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49438F88" w14:textId="1A0DD89A" w:rsidR="009D66C8" w:rsidRPr="00B74E1D" w:rsidRDefault="009D66C8" w:rsidP="001D1D0E">
          <w:pPr>
            <w:shd w:val="clear" w:color="auto" w:fill="FFFFFF"/>
            <w:jc w:val="center"/>
            <w:rPr>
              <w:b/>
              <w:bCs/>
            </w:rPr>
          </w:pPr>
          <w:r w:rsidRPr="00B74E1D">
            <w:rPr>
              <w:b/>
            </w:rPr>
            <w:t>Ministru kabineta noteikumu projekt</w:t>
          </w:r>
          <w:r w:rsidR="00F7727C">
            <w:rPr>
              <w:b/>
            </w:rPr>
            <w:t>a</w:t>
          </w:r>
          <w:r w:rsidRPr="00B74E1D">
            <w:rPr>
              <w:b/>
            </w:rPr>
            <w:t xml:space="preserve"> “</w:t>
          </w:r>
          <w:r w:rsidR="00EC78C2" w:rsidRPr="00EC78C2">
            <w:rPr>
              <w:b/>
              <w:bCs/>
            </w:rPr>
            <w:t>Biedrības "Latvijas Arhitektu savienība" valsts pārvaldes uzdevuma ietvaros sniegto maksas pakalpojumu cenrādis</w:t>
          </w:r>
          <w:r w:rsidR="00DB0C82">
            <w:rPr>
              <w:b/>
            </w:rPr>
            <w:t>”</w:t>
          </w:r>
          <w:r w:rsidR="00B6763C">
            <w:rPr>
              <w:b/>
            </w:rPr>
            <w:t xml:space="preserve"> </w:t>
          </w:r>
          <w:r w:rsidRPr="00B74E1D">
            <w:rPr>
              <w:b/>
              <w:bCs/>
            </w:rPr>
            <w:t>sākotnējās ietekmes novērtējuma ziņojums (anotācija)</w:t>
          </w:r>
        </w:p>
      </w:sdtContent>
    </w:sdt>
    <w:p w14:paraId="49438F89" w14:textId="77777777" w:rsidR="00161647" w:rsidRPr="00B74E1D"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39"/>
      </w:tblGrid>
      <w:tr w:rsidR="00730B3B" w:rsidRPr="00B74E1D" w14:paraId="49438F8B" w14:textId="77777777" w:rsidTr="00F615B8">
        <w:trPr>
          <w:cantSplit/>
        </w:trPr>
        <w:tc>
          <w:tcPr>
            <w:tcW w:w="9169" w:type="dxa"/>
            <w:gridSpan w:val="2"/>
            <w:shd w:val="clear" w:color="auto" w:fill="FFFFFF"/>
            <w:vAlign w:val="center"/>
            <w:hideMark/>
          </w:tcPr>
          <w:p w14:paraId="49438F8A" w14:textId="77777777" w:rsidR="00BD5588" w:rsidRPr="00B74E1D" w:rsidRDefault="00656B5C" w:rsidP="00E273A1">
            <w:pPr>
              <w:jc w:val="center"/>
              <w:rPr>
                <w:b/>
                <w:iCs/>
                <w:lang w:eastAsia="en-US"/>
              </w:rPr>
            </w:pPr>
            <w:r w:rsidRPr="00B74E1D">
              <w:rPr>
                <w:b/>
                <w:iCs/>
                <w:lang w:eastAsia="en-US"/>
              </w:rPr>
              <w:t>Tiesību akta projekta anotācijas kopsavilkums</w:t>
            </w:r>
          </w:p>
        </w:tc>
      </w:tr>
      <w:tr w:rsidR="00730B3B" w:rsidRPr="00B74E1D" w14:paraId="49438F8F" w14:textId="77777777" w:rsidTr="00F615B8">
        <w:trPr>
          <w:cantSplit/>
        </w:trPr>
        <w:tc>
          <w:tcPr>
            <w:tcW w:w="2830" w:type="dxa"/>
            <w:shd w:val="clear" w:color="auto" w:fill="FFFFFF"/>
            <w:hideMark/>
          </w:tcPr>
          <w:p w14:paraId="49438F8C" w14:textId="77777777" w:rsidR="00BD5588" w:rsidRPr="00B74E1D" w:rsidRDefault="00656B5C" w:rsidP="00E273A1">
            <w:pPr>
              <w:rPr>
                <w:iCs/>
                <w:lang w:eastAsia="en-US"/>
              </w:rPr>
            </w:pPr>
            <w:r w:rsidRPr="00B74E1D">
              <w:rPr>
                <w:iCs/>
                <w:lang w:eastAsia="en-US"/>
              </w:rPr>
              <w:t>Mērķis, risinājums un projekta spēkā stāšanās laiks (500 zīmes bez atstarpēm)</w:t>
            </w:r>
          </w:p>
        </w:tc>
        <w:tc>
          <w:tcPr>
            <w:tcW w:w="6339" w:type="dxa"/>
            <w:shd w:val="clear" w:color="auto" w:fill="FFFFFF"/>
            <w:hideMark/>
          </w:tcPr>
          <w:p w14:paraId="1FE68C4B" w14:textId="0B9920AD" w:rsidR="00EC78C2" w:rsidRDefault="00EC78C2" w:rsidP="00B6763C">
            <w:pPr>
              <w:jc w:val="both"/>
              <w:rPr>
                <w:rStyle w:val="Strong"/>
                <w:b w:val="0"/>
                <w:bdr w:val="none" w:sz="0" w:space="0" w:color="auto" w:frame="1"/>
                <w:shd w:val="clear" w:color="auto" w:fill="FFFFFF"/>
              </w:rPr>
            </w:pPr>
            <w:r w:rsidRPr="00EC78C2">
              <w:rPr>
                <w:rStyle w:val="Strong"/>
                <w:b w:val="0"/>
                <w:bdr w:val="none" w:sz="0" w:space="0" w:color="auto" w:frame="1"/>
                <w:shd w:val="clear" w:color="auto" w:fill="FFFFFF"/>
              </w:rPr>
              <w:t>Ministru kabineta noteikumu projekt</w:t>
            </w:r>
            <w:r>
              <w:rPr>
                <w:rStyle w:val="Strong"/>
                <w:b w:val="0"/>
                <w:bdr w:val="none" w:sz="0" w:space="0" w:color="auto" w:frame="1"/>
                <w:shd w:val="clear" w:color="auto" w:fill="FFFFFF"/>
              </w:rPr>
              <w:t>ā</w:t>
            </w:r>
            <w:r w:rsidRPr="00EC78C2">
              <w:rPr>
                <w:rStyle w:val="Strong"/>
                <w:b w:val="0"/>
                <w:bdr w:val="none" w:sz="0" w:space="0" w:color="auto" w:frame="1"/>
                <w:shd w:val="clear" w:color="auto" w:fill="FFFFFF"/>
              </w:rPr>
              <w:t xml:space="preserve"> “Biedrības "Latvijas Arhitektu savienība" valsts pārvaldes uzdevuma ietvaros sniegto maksas pakalpojumu cenrādis”</w:t>
            </w:r>
            <w:r>
              <w:rPr>
                <w:rStyle w:val="Strong"/>
                <w:b w:val="0"/>
                <w:bdr w:val="none" w:sz="0" w:space="0" w:color="auto" w:frame="1"/>
                <w:shd w:val="clear" w:color="auto" w:fill="FFFFFF"/>
              </w:rPr>
              <w:t xml:space="preserve"> (turpmāk – </w:t>
            </w:r>
            <w:r w:rsidRPr="001B22BD">
              <w:rPr>
                <w:rStyle w:val="Strong"/>
                <w:b w:val="0"/>
                <w:i/>
                <w:bdr w:val="none" w:sz="0" w:space="0" w:color="auto" w:frame="1"/>
                <w:shd w:val="clear" w:color="auto" w:fill="FFFFFF"/>
              </w:rPr>
              <w:t>Noteikumu projekts</w:t>
            </w:r>
            <w:r>
              <w:rPr>
                <w:rStyle w:val="Strong"/>
                <w:b w:val="0"/>
                <w:bdr w:val="none" w:sz="0" w:space="0" w:color="auto" w:frame="1"/>
                <w:shd w:val="clear" w:color="auto" w:fill="FFFFFF"/>
              </w:rPr>
              <w:t>)</w:t>
            </w:r>
            <w:r w:rsidRPr="00EC78C2">
              <w:rPr>
                <w:rStyle w:val="Strong"/>
                <w:b w:val="0"/>
                <w:bdr w:val="none" w:sz="0" w:space="0" w:color="auto" w:frame="1"/>
                <w:shd w:val="clear" w:color="auto" w:fill="FFFFFF"/>
              </w:rPr>
              <w:t xml:space="preserve"> </w:t>
            </w:r>
            <w:r w:rsidR="00CA7328" w:rsidRPr="00B74E1D">
              <w:rPr>
                <w:rStyle w:val="Strong"/>
                <w:b w:val="0"/>
                <w:bdr w:val="none" w:sz="0" w:space="0" w:color="auto" w:frame="1"/>
                <w:shd w:val="clear" w:color="auto" w:fill="FFFFFF"/>
              </w:rPr>
              <w:t>ir noteikts</w:t>
            </w:r>
            <w:r>
              <w:rPr>
                <w:rStyle w:val="Strong"/>
                <w:b w:val="0"/>
                <w:bdr w:val="none" w:sz="0" w:space="0" w:color="auto" w:frame="1"/>
                <w:shd w:val="clear" w:color="auto" w:fill="FFFFFF"/>
              </w:rPr>
              <w:t xml:space="preserve"> biedrības “Latvijas Arhitektu savienība” sertificēšanas maksas pakalpojumu cenrādis, kas ietver gan arhitektu uzraudzību, gan kompetences novērtēšanu, gan citus pakalpojumus, tajā skaitā arī arhitektiem, kuri ir īslaicīgo pakalpojumu sniedzēji.</w:t>
            </w:r>
          </w:p>
          <w:p w14:paraId="49438F8E" w14:textId="06398987" w:rsidR="00770594" w:rsidRPr="00B74E1D" w:rsidRDefault="00EC78C2" w:rsidP="00C616BC">
            <w:pPr>
              <w:jc w:val="both"/>
              <w:rPr>
                <w:bCs/>
                <w:bdr w:val="none" w:sz="0" w:space="0" w:color="auto" w:frame="1"/>
                <w:shd w:val="clear" w:color="auto" w:fill="FFFFFF"/>
              </w:rPr>
            </w:pPr>
            <w:r w:rsidRPr="00EC78C2">
              <w:rPr>
                <w:rStyle w:val="Strong"/>
                <w:b w:val="0"/>
                <w:bdr w:val="none" w:sz="0" w:space="0" w:color="auto" w:frame="1"/>
                <w:shd w:val="clear" w:color="auto" w:fill="FFFFFF"/>
              </w:rPr>
              <w:t>Projekts stāsies spēkā pēc tā pieņemšanas Ministru kabinetā un izsludināšanas.</w:t>
            </w:r>
          </w:p>
        </w:tc>
      </w:tr>
    </w:tbl>
    <w:p w14:paraId="49438F90" w14:textId="77777777" w:rsidR="00161647" w:rsidRPr="00B74E1D"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40"/>
        <w:gridCol w:w="1793"/>
        <w:gridCol w:w="7780"/>
      </w:tblGrid>
      <w:tr w:rsidR="00730B3B" w:rsidRPr="00B74E1D" w14:paraId="49438F92" w14:textId="77777777" w:rsidTr="00F54498">
        <w:tc>
          <w:tcPr>
            <w:tcW w:w="5000" w:type="pct"/>
            <w:gridSpan w:val="3"/>
            <w:vAlign w:val="center"/>
            <w:hideMark/>
          </w:tcPr>
          <w:p w14:paraId="49438F91" w14:textId="77777777" w:rsidR="00BD5588" w:rsidRPr="00B74E1D" w:rsidRDefault="00656B5C" w:rsidP="00793205">
            <w:pPr>
              <w:widowControl w:val="0"/>
              <w:jc w:val="center"/>
              <w:rPr>
                <w:b/>
                <w:bCs/>
              </w:rPr>
            </w:pPr>
            <w:r w:rsidRPr="00B74E1D">
              <w:rPr>
                <w:b/>
                <w:bCs/>
              </w:rPr>
              <w:t>I. Tiesību akta projekta izstrādes nepieciešamība</w:t>
            </w:r>
          </w:p>
        </w:tc>
      </w:tr>
      <w:tr w:rsidR="00730B3B" w:rsidRPr="00B74E1D" w14:paraId="49438F96" w14:textId="77777777" w:rsidTr="00F615B8">
        <w:tc>
          <w:tcPr>
            <w:tcW w:w="281" w:type="pct"/>
            <w:hideMark/>
          </w:tcPr>
          <w:p w14:paraId="49438F93" w14:textId="77777777" w:rsidR="00BD5588" w:rsidRPr="00B74E1D" w:rsidRDefault="00656B5C" w:rsidP="00793205">
            <w:pPr>
              <w:widowControl w:val="0"/>
              <w:jc w:val="center"/>
            </w:pPr>
            <w:r w:rsidRPr="00B74E1D">
              <w:t>1.</w:t>
            </w:r>
          </w:p>
        </w:tc>
        <w:tc>
          <w:tcPr>
            <w:tcW w:w="1263" w:type="pct"/>
            <w:hideMark/>
          </w:tcPr>
          <w:p w14:paraId="49438F94" w14:textId="77777777" w:rsidR="00BD5588" w:rsidRPr="00B74E1D" w:rsidRDefault="00656B5C" w:rsidP="00793205">
            <w:pPr>
              <w:widowControl w:val="0"/>
            </w:pPr>
            <w:r w:rsidRPr="00B74E1D">
              <w:t>Pamatojums</w:t>
            </w:r>
          </w:p>
        </w:tc>
        <w:tc>
          <w:tcPr>
            <w:tcW w:w="3456" w:type="pct"/>
            <w:hideMark/>
          </w:tcPr>
          <w:p w14:paraId="49438F95" w14:textId="4BDE64B8" w:rsidR="00161647" w:rsidRPr="00B74E1D" w:rsidRDefault="00EC78C2" w:rsidP="009A714F">
            <w:pPr>
              <w:shd w:val="clear" w:color="auto" w:fill="FFFFFF"/>
              <w:jc w:val="both"/>
              <w:rPr>
                <w:bCs/>
              </w:rPr>
            </w:pPr>
            <w:r w:rsidRPr="001B22BD">
              <w:rPr>
                <w:i/>
              </w:rPr>
              <w:t>Noteikumu projekts</w:t>
            </w:r>
            <w:r>
              <w:t xml:space="preserve"> ir</w:t>
            </w:r>
            <w:r w:rsidR="00A5594D" w:rsidRPr="00B74E1D">
              <w:t xml:space="preserve"> izstrādāts</w:t>
            </w:r>
            <w:r w:rsidR="00EE640D" w:rsidRPr="00B74E1D">
              <w:t xml:space="preserve"> </w:t>
            </w:r>
            <w:r w:rsidR="00C616BC" w:rsidRPr="00B74E1D">
              <w:t>pamatojoties uz Būvniecības likuma 5.</w:t>
            </w:r>
            <w:r w:rsidR="006054CA">
              <w:t xml:space="preserve"> </w:t>
            </w:r>
            <w:r w:rsidR="00C616BC" w:rsidRPr="00B74E1D">
              <w:t>panta pirmās daļas 4.</w:t>
            </w:r>
            <w:r w:rsidR="006054CA">
              <w:t xml:space="preserve"> </w:t>
            </w:r>
            <w:r w:rsidR="00C616BC" w:rsidRPr="00B74E1D">
              <w:t xml:space="preserve">punkta </w:t>
            </w:r>
            <w:r w:rsidR="006054CA">
              <w:t>“</w:t>
            </w:r>
            <w:r w:rsidR="00C616BC" w:rsidRPr="00B74E1D">
              <w:t>e</w:t>
            </w:r>
            <w:r w:rsidR="006054CA">
              <w:t>”</w:t>
            </w:r>
            <w:r w:rsidR="00C616BC" w:rsidRPr="00B74E1D">
              <w:t xml:space="preserve"> apakšpunktu.</w:t>
            </w:r>
            <w:r w:rsidR="00C54801" w:rsidRPr="00B74E1D">
              <w:t xml:space="preserve"> </w:t>
            </w:r>
          </w:p>
        </w:tc>
      </w:tr>
      <w:tr w:rsidR="00730B3B" w:rsidRPr="00B74E1D" w14:paraId="49439158" w14:textId="77777777" w:rsidTr="00F615B8">
        <w:tc>
          <w:tcPr>
            <w:tcW w:w="281" w:type="pct"/>
            <w:hideMark/>
          </w:tcPr>
          <w:p w14:paraId="49438F97" w14:textId="77777777" w:rsidR="00BD5588" w:rsidRPr="00B74E1D" w:rsidRDefault="00656B5C" w:rsidP="00793205">
            <w:pPr>
              <w:widowControl w:val="0"/>
            </w:pPr>
            <w:r w:rsidRPr="00B74E1D">
              <w:t>2.</w:t>
            </w:r>
          </w:p>
        </w:tc>
        <w:tc>
          <w:tcPr>
            <w:tcW w:w="1263" w:type="pct"/>
            <w:hideMark/>
          </w:tcPr>
          <w:p w14:paraId="49438F98" w14:textId="77777777" w:rsidR="00EB796A" w:rsidRPr="00B74E1D" w:rsidRDefault="00656B5C" w:rsidP="00793205">
            <w:pPr>
              <w:widowControl w:val="0"/>
            </w:pPr>
            <w:r w:rsidRPr="00B74E1D">
              <w:t>Pašreizējā situācija un problēmas, kuru risināšanai tiesību akta projekts izstrādāts, tiesiskā regulējuma mērķis un būtība</w:t>
            </w:r>
          </w:p>
          <w:p w14:paraId="49438F99" w14:textId="77777777" w:rsidR="00BD5588" w:rsidRPr="00B74E1D" w:rsidRDefault="00BD5588" w:rsidP="00012352">
            <w:bookmarkStart w:id="0" w:name="_GoBack"/>
            <w:bookmarkEnd w:id="0"/>
          </w:p>
        </w:tc>
        <w:tc>
          <w:tcPr>
            <w:tcW w:w="3456" w:type="pct"/>
            <w:hideMark/>
          </w:tcPr>
          <w:p w14:paraId="49438F9A" w14:textId="270A7841" w:rsidR="00D11989" w:rsidRPr="00B74E1D" w:rsidRDefault="0057649D" w:rsidP="00D11989">
            <w:pPr>
              <w:shd w:val="clear" w:color="auto" w:fill="FFFFFF"/>
              <w:ind w:firstLine="392"/>
              <w:jc w:val="both"/>
            </w:pPr>
            <w:r w:rsidRPr="00B74E1D">
              <w:t>2018.</w:t>
            </w:r>
            <w:r w:rsidR="001D00AA">
              <w:t xml:space="preserve"> </w:t>
            </w:r>
            <w:r w:rsidRPr="00B74E1D">
              <w:t>gada 20.</w:t>
            </w:r>
            <w:r w:rsidR="001D00AA">
              <w:t xml:space="preserve"> </w:t>
            </w:r>
            <w:r w:rsidRPr="00B74E1D">
              <w:t xml:space="preserve">martā tika pieņemti Ministru kabineta noteikumi Nr.169 </w:t>
            </w:r>
            <w:r w:rsidRPr="001B22BD">
              <w:rPr>
                <w:i/>
              </w:rPr>
              <w:t xml:space="preserve">“Būvspeciālistu kompetences novērtēšanas un </w:t>
            </w:r>
            <w:r w:rsidR="00A739A4" w:rsidRPr="001B22BD">
              <w:rPr>
                <w:i/>
              </w:rPr>
              <w:t>patstāv</w:t>
            </w:r>
            <w:r w:rsidRPr="001B22BD">
              <w:rPr>
                <w:i/>
              </w:rPr>
              <w:t>īgās prakses uzraudzības noteikumi”</w:t>
            </w:r>
            <w:r w:rsidRPr="00B74E1D">
              <w:t xml:space="preserve"> (turpmāk – </w:t>
            </w:r>
            <w:r w:rsidRPr="001B22BD">
              <w:rPr>
                <w:i/>
              </w:rPr>
              <w:t>Noteikumi Nr.169</w:t>
            </w:r>
            <w:r w:rsidRPr="00B74E1D">
              <w:t>), kas aizstāj</w:t>
            </w:r>
            <w:r w:rsidR="00D11989" w:rsidRPr="00B74E1D">
              <w:t>a</w:t>
            </w:r>
            <w:r w:rsidRPr="00B74E1D">
              <w:t xml:space="preserve"> Ministru kabineta 2014.</w:t>
            </w:r>
            <w:r w:rsidR="00DE6782">
              <w:t xml:space="preserve"> </w:t>
            </w:r>
            <w:r w:rsidRPr="00B74E1D">
              <w:t>gada 7.</w:t>
            </w:r>
            <w:r w:rsidR="00DE6782">
              <w:t xml:space="preserve"> </w:t>
            </w:r>
            <w:r w:rsidRPr="00B74E1D">
              <w:t>oktobra noteikumus Nr.</w:t>
            </w:r>
            <w:r w:rsidR="00DE6782">
              <w:t xml:space="preserve"> </w:t>
            </w:r>
            <w:r w:rsidRPr="00B74E1D">
              <w:t xml:space="preserve">610 </w:t>
            </w:r>
            <w:r w:rsidRPr="001B22BD">
              <w:rPr>
                <w:i/>
              </w:rPr>
              <w:t xml:space="preserve">“Būvspeciālistu kompetences novērtēšanas un </w:t>
            </w:r>
            <w:r w:rsidR="00A739A4" w:rsidRPr="001B22BD">
              <w:rPr>
                <w:i/>
              </w:rPr>
              <w:t>patstāv</w:t>
            </w:r>
            <w:r w:rsidRPr="001B22BD">
              <w:rPr>
                <w:i/>
              </w:rPr>
              <w:t>īgās prakses uzraudzības noteikumi”</w:t>
            </w:r>
            <w:r w:rsidRPr="00DE6782">
              <w:t xml:space="preserve"> (turpmāk – </w:t>
            </w:r>
            <w:r w:rsidRPr="001B22BD">
              <w:rPr>
                <w:i/>
              </w:rPr>
              <w:t>Noteikumi Nr.610</w:t>
            </w:r>
            <w:r w:rsidRPr="00DE6782">
              <w:t>)</w:t>
            </w:r>
            <w:r w:rsidRPr="00B74E1D">
              <w:t>.</w:t>
            </w:r>
            <w:r w:rsidR="00D11989" w:rsidRPr="00B74E1D">
              <w:t xml:space="preserve"> </w:t>
            </w:r>
          </w:p>
          <w:p w14:paraId="49438F9B" w14:textId="3FD4659D" w:rsidR="00894B9E" w:rsidRPr="001B22BD" w:rsidRDefault="00941371" w:rsidP="00D11989">
            <w:pPr>
              <w:shd w:val="clear" w:color="auto" w:fill="FFFFFF"/>
              <w:ind w:firstLine="392"/>
              <w:jc w:val="both"/>
            </w:pPr>
            <w:r w:rsidRPr="00B74E1D">
              <w:t xml:space="preserve">Saskaņā ar </w:t>
            </w:r>
            <w:r w:rsidR="00D11989" w:rsidRPr="001B22BD">
              <w:rPr>
                <w:i/>
              </w:rPr>
              <w:t>N</w:t>
            </w:r>
            <w:r w:rsidRPr="001B22BD">
              <w:rPr>
                <w:i/>
              </w:rPr>
              <w:t>oteikumu Nr.169</w:t>
            </w:r>
            <w:r w:rsidRPr="00B74E1D">
              <w:t xml:space="preserve"> 2.1.</w:t>
            </w:r>
            <w:r w:rsidR="001F2805">
              <w:t xml:space="preserve"> </w:t>
            </w:r>
            <w:r w:rsidRPr="00B74E1D">
              <w:t>apakšpunktu būvspeciālist</w:t>
            </w:r>
            <w:r w:rsidR="001628CE">
              <w:t>u</w:t>
            </w:r>
            <w:r w:rsidRPr="00B74E1D">
              <w:t xml:space="preserve"> kompetences novērtēšanu un </w:t>
            </w:r>
            <w:r w:rsidR="00A739A4" w:rsidRPr="00A739A4">
              <w:t>patstāv</w:t>
            </w:r>
            <w:r w:rsidRPr="00B74E1D">
              <w:t>īgās prakses uzraudzību veic privāto tiesību juridisk</w:t>
            </w:r>
            <w:r w:rsidR="00AF0385">
              <w:t>as</w:t>
            </w:r>
            <w:r w:rsidRPr="00B74E1D">
              <w:t xml:space="preserve"> personas, kurām saskaņā ar noslēgto līgumu Ekonomikas ministrija Valsts pārvaldes iekārtas likumā un </w:t>
            </w:r>
            <w:r w:rsidRPr="001B22BD">
              <w:rPr>
                <w:i/>
              </w:rPr>
              <w:t>Noteikumos</w:t>
            </w:r>
            <w:r w:rsidR="00D11989" w:rsidRPr="001B22BD">
              <w:rPr>
                <w:i/>
              </w:rPr>
              <w:t xml:space="preserve"> Nr.169</w:t>
            </w:r>
            <w:r w:rsidRPr="001B22BD">
              <w:t xml:space="preserve"> noteiktajā kārtībā ir deleģējusi šo uzdevumu.</w:t>
            </w:r>
            <w:r w:rsidR="00D11989" w:rsidRPr="001B22BD">
              <w:t xml:space="preserve"> </w:t>
            </w:r>
            <w:r w:rsidR="00894B9E" w:rsidRPr="001B22BD">
              <w:t xml:space="preserve">Saskaņā ar </w:t>
            </w:r>
            <w:r w:rsidR="00894B9E" w:rsidRPr="001B22BD">
              <w:rPr>
                <w:i/>
              </w:rPr>
              <w:t>Noteikumu Nr.169</w:t>
            </w:r>
            <w:r w:rsidR="00894B9E" w:rsidRPr="001B22BD">
              <w:t xml:space="preserve"> 84.</w:t>
            </w:r>
            <w:r w:rsidR="001B22BD">
              <w:t xml:space="preserve"> </w:t>
            </w:r>
            <w:r w:rsidR="00894B9E" w:rsidRPr="001B22BD">
              <w:t xml:space="preserve">punktu </w:t>
            </w:r>
            <w:r w:rsidR="00894B9E" w:rsidRPr="001B22BD">
              <w:rPr>
                <w:i/>
              </w:rPr>
              <w:t xml:space="preserve">deleģēšanas līgumi par būvspeciālistu kompetences novērtēšanu un </w:t>
            </w:r>
            <w:r w:rsidR="00A739A4" w:rsidRPr="001B22BD">
              <w:rPr>
                <w:i/>
              </w:rPr>
              <w:t>patstāv</w:t>
            </w:r>
            <w:r w:rsidR="00894B9E" w:rsidRPr="001B22BD">
              <w:rPr>
                <w:i/>
              </w:rPr>
              <w:t>īgās prakses uzraudzību, kas noslēgti starp Ekonomikas ministriju un kompetences pārbaudes iestādi līdz šo noteikumu spēkā stāšanās dienai, piemērojami līdz jauna deleģēšanas līguma noslēgšanai, bet ne ilgāk kā līdz 2018. gada 31. decembrim</w:t>
            </w:r>
            <w:r w:rsidR="00894B9E" w:rsidRPr="001B22BD">
              <w:t>.</w:t>
            </w:r>
            <w:r w:rsidR="002130EC" w:rsidRPr="001B22BD">
              <w:t xml:space="preserve"> </w:t>
            </w:r>
          </w:p>
          <w:p w14:paraId="75BEE1A4" w14:textId="524B1FA9" w:rsidR="0037320F" w:rsidRDefault="0037320F" w:rsidP="00D11989">
            <w:pPr>
              <w:shd w:val="clear" w:color="auto" w:fill="FFFFFF"/>
              <w:ind w:firstLine="392"/>
              <w:jc w:val="both"/>
            </w:pPr>
            <w:r>
              <w:t>Saskaņā ar būvniecības likuma 13.</w:t>
            </w:r>
            <w:r w:rsidR="001B22BD">
              <w:t xml:space="preserve"> </w:t>
            </w:r>
            <w:r>
              <w:t>panta pirmo daļu arhitekti arī ir būvspeciālisti.</w:t>
            </w:r>
          </w:p>
          <w:p w14:paraId="08B0F895" w14:textId="0C874D24" w:rsidR="00B82A2E" w:rsidRDefault="00B82A2E" w:rsidP="00D11989">
            <w:pPr>
              <w:shd w:val="clear" w:color="auto" w:fill="FFFFFF"/>
              <w:ind w:firstLine="392"/>
              <w:jc w:val="both"/>
            </w:pPr>
            <w:r>
              <w:t xml:space="preserve">Latvijas nacionālajā akreditācijas birojs 2018. gada 10. decembrī  ir pieņēmis lēmumu par </w:t>
            </w:r>
            <w:r w:rsidR="001B22BD">
              <w:t>b</w:t>
            </w:r>
            <w:r>
              <w:t xml:space="preserve">iedrības “Latvijas Arhitektu savienība” (turpmāk – </w:t>
            </w:r>
            <w:r w:rsidRPr="002757BA">
              <w:rPr>
                <w:i/>
              </w:rPr>
              <w:t>LAS</w:t>
            </w:r>
            <w:r>
              <w:t xml:space="preserve">) akreditāciju arhitektu kompetences novērtēšanā un patstāvīgās prakses uzraudzībā, līdz ar to Ekonomikas ministrija ar </w:t>
            </w:r>
            <w:r w:rsidRPr="002757BA">
              <w:rPr>
                <w:i/>
              </w:rPr>
              <w:t>LAS</w:t>
            </w:r>
            <w:r>
              <w:t xml:space="preserve"> 2019. gada 17. janvārī ir noslēgusi deleģēšanas līgumu</w:t>
            </w:r>
            <w:r w:rsidR="00BB279B">
              <w:t xml:space="preserve"> </w:t>
            </w:r>
            <w:r>
              <w:t xml:space="preserve">par arhitektu kompetences novērtēšanu un patstāvīgas prakses uzraudzību. </w:t>
            </w:r>
          </w:p>
          <w:p w14:paraId="7A5BBDBB" w14:textId="3A4367AA" w:rsidR="001628CE" w:rsidRDefault="00E75269" w:rsidP="008355B9">
            <w:pPr>
              <w:ind w:firstLine="392"/>
              <w:jc w:val="both"/>
            </w:pPr>
            <w:r>
              <w:t>Līdz 2018.</w:t>
            </w:r>
            <w:r w:rsidR="001B22BD">
              <w:t xml:space="preserve"> </w:t>
            </w:r>
            <w:r>
              <w:t>gada 31.</w:t>
            </w:r>
            <w:r w:rsidR="001B22BD">
              <w:t xml:space="preserve"> </w:t>
            </w:r>
            <w:r>
              <w:t xml:space="preserve">decembrim </w:t>
            </w:r>
            <w:r w:rsidR="00962AF4" w:rsidRPr="002757BA">
              <w:rPr>
                <w:i/>
              </w:rPr>
              <w:t>LAS</w:t>
            </w:r>
            <w:r w:rsidR="00962AF4">
              <w:t xml:space="preserve"> </w:t>
            </w:r>
            <w:r w:rsidR="00B82A2E">
              <w:t>sniedza sertificēšanas maksas pakalpojumus</w:t>
            </w:r>
            <w:r w:rsidR="00962AF4">
              <w:t xml:space="preserve"> saskaņā ar cenrādi, kas ir noteikts Ministru kabineta 2015.</w:t>
            </w:r>
            <w:r w:rsidR="001B22BD">
              <w:t xml:space="preserve"> </w:t>
            </w:r>
            <w:r w:rsidR="00962AF4">
              <w:t>gada 7.</w:t>
            </w:r>
            <w:r w:rsidR="001B22BD">
              <w:t xml:space="preserve"> </w:t>
            </w:r>
            <w:r w:rsidR="00962AF4">
              <w:t>aprīļa noteikumos Nr.</w:t>
            </w:r>
            <w:r w:rsidR="001B22BD">
              <w:t xml:space="preserve"> </w:t>
            </w:r>
            <w:r w:rsidR="00962AF4">
              <w:t>177 “</w:t>
            </w:r>
            <w:r w:rsidR="00962AF4" w:rsidRPr="00962AF4">
              <w:t>Biedrības "Latvijas Arhitektu savienība" valsts pārvaldes uzdevuma ietvaros sniegto maksas pakalpojumu cenrādis</w:t>
            </w:r>
            <w:r w:rsidR="00962AF4">
              <w:t xml:space="preserve">” (turpmāk – </w:t>
            </w:r>
            <w:r w:rsidR="00962AF4" w:rsidRPr="002757BA">
              <w:rPr>
                <w:i/>
              </w:rPr>
              <w:t>Spēkā esošais cenrādis</w:t>
            </w:r>
            <w:r w:rsidR="00962AF4">
              <w:t xml:space="preserve">). </w:t>
            </w:r>
          </w:p>
          <w:p w14:paraId="53DE5482" w14:textId="24955F0A" w:rsidR="00962AF4" w:rsidRDefault="00962AF4" w:rsidP="008355B9">
            <w:pPr>
              <w:ind w:firstLine="392"/>
              <w:jc w:val="both"/>
            </w:pPr>
            <w:r w:rsidRPr="002757BA">
              <w:rPr>
                <w:i/>
              </w:rPr>
              <w:t>Spēkā esošā cenrā</w:t>
            </w:r>
            <w:r w:rsidR="00F24CC9">
              <w:rPr>
                <w:i/>
              </w:rPr>
              <w:t>dī</w:t>
            </w:r>
            <w:r>
              <w:t xml:space="preserve"> tiek mainītas visas jau esošo pakalpojumu cenas kā arī cenrādī tiek iekļautas jaunas maksas pakalpojumu pozīcijas, līdz ar to </w:t>
            </w:r>
            <w:r w:rsidRPr="002757BA">
              <w:rPr>
                <w:i/>
              </w:rPr>
              <w:t xml:space="preserve">Spēkā </w:t>
            </w:r>
            <w:r w:rsidRPr="002757BA">
              <w:rPr>
                <w:i/>
              </w:rPr>
              <w:lastRenderedPageBreak/>
              <w:t>esošo cenrādi</w:t>
            </w:r>
            <w:r>
              <w:t xml:space="preserve"> </w:t>
            </w:r>
            <w:r w:rsidR="00B82A2E" w:rsidRPr="00B82A2E">
              <w:t xml:space="preserve">kuru ir apstiprinājis Ministru kabinets līdz ar </w:t>
            </w:r>
            <w:r w:rsidR="00B82A2E" w:rsidRPr="002757BA">
              <w:rPr>
                <w:i/>
              </w:rPr>
              <w:t>Noteikumu projekta</w:t>
            </w:r>
            <w:r w:rsidR="00B82A2E" w:rsidRPr="00B82A2E">
              <w:t xml:space="preserve"> spēkā stāšanās brīdi ir jāatzīst par spēku zaudējuš</w:t>
            </w:r>
            <w:r w:rsidR="00B82A2E">
              <w:t>u.</w:t>
            </w:r>
          </w:p>
          <w:p w14:paraId="49438FA5" w14:textId="7484AA4D" w:rsidR="00D53CAA" w:rsidRDefault="00D53CAA" w:rsidP="00E75269">
            <w:pPr>
              <w:shd w:val="clear" w:color="auto" w:fill="FFFFFF"/>
              <w:ind w:firstLine="392"/>
              <w:jc w:val="both"/>
            </w:pPr>
            <w:r w:rsidRPr="005A2484">
              <w:rPr>
                <w:i/>
              </w:rPr>
              <w:t>Spēkā esoš</w:t>
            </w:r>
            <w:r w:rsidR="001628CE" w:rsidRPr="005A2484">
              <w:rPr>
                <w:i/>
              </w:rPr>
              <w:t>ais</w:t>
            </w:r>
            <w:r w:rsidRPr="005A2484">
              <w:rPr>
                <w:i/>
              </w:rPr>
              <w:t xml:space="preserve"> cenrā</w:t>
            </w:r>
            <w:r w:rsidR="001628CE" w:rsidRPr="005A2484">
              <w:rPr>
                <w:i/>
              </w:rPr>
              <w:t>dis</w:t>
            </w:r>
            <w:r w:rsidRPr="005A2484">
              <w:t xml:space="preserve"> ir izstrādāt</w:t>
            </w:r>
            <w:r w:rsidR="001628CE" w:rsidRPr="005A2484">
              <w:t>s</w:t>
            </w:r>
            <w:r w:rsidRPr="005A2484">
              <w:t xml:space="preserve"> balstoties uz </w:t>
            </w:r>
            <w:r w:rsidR="00A61C1D" w:rsidRPr="005A2484">
              <w:rPr>
                <w:i/>
              </w:rPr>
              <w:t>N</w:t>
            </w:r>
            <w:r w:rsidRPr="005A2484">
              <w:rPr>
                <w:i/>
              </w:rPr>
              <w:t>oteikumi</w:t>
            </w:r>
            <w:r w:rsidR="00A61C1D" w:rsidRPr="005A2484">
              <w:rPr>
                <w:i/>
              </w:rPr>
              <w:t>em</w:t>
            </w:r>
            <w:r w:rsidRPr="005A2484">
              <w:rPr>
                <w:i/>
              </w:rPr>
              <w:t xml:space="preserve"> Nr.610</w:t>
            </w:r>
            <w:r w:rsidR="002757BA" w:rsidRPr="005A2484">
              <w:rPr>
                <w:i/>
              </w:rPr>
              <w:t>,</w:t>
            </w:r>
            <w:r w:rsidRPr="005A2484">
              <w:t xml:space="preserve"> uzraudzībā iekļaujot tikai sūdzību izskatīšanu un vispārējas plānveida pārbaudes</w:t>
            </w:r>
            <w:r>
              <w:t xml:space="preserve">. Ņemot vērā, ka </w:t>
            </w:r>
            <w:r w:rsidRPr="008221BF">
              <w:t xml:space="preserve">saskaņā ar </w:t>
            </w:r>
            <w:r w:rsidRPr="008221BF">
              <w:rPr>
                <w:i/>
              </w:rPr>
              <w:t>Noteikumiem Nr.169</w:t>
            </w:r>
            <w:r w:rsidRPr="008221BF">
              <w:t xml:space="preserve"> un </w:t>
            </w:r>
            <w:r w:rsidRPr="00E75269">
              <w:t>Ekonomikas ministrijas 2018. gada 23.</w:t>
            </w:r>
            <w:r w:rsidR="00EE5671">
              <w:t xml:space="preserve"> </w:t>
            </w:r>
            <w:r w:rsidRPr="00E75269">
              <w:t xml:space="preserve">augusta rīkojumu Nr. 2.17-1/2018/52 </w:t>
            </w:r>
            <w:r w:rsidRPr="000A7D26">
              <w:rPr>
                <w:i/>
              </w:rPr>
              <w:t>“Par vadlīniju un prasību apstiprināšanu būvspeciālistu kompetences pārbaudes iestādēm un to publiskošanu”</w:t>
            </w:r>
            <w:r w:rsidRPr="00E75269">
              <w:t xml:space="preserve"> (turpmāk – </w:t>
            </w:r>
            <w:r w:rsidRPr="00E75269">
              <w:rPr>
                <w:i/>
              </w:rPr>
              <w:t>Vadlīnijas</w:t>
            </w:r>
            <w:r w:rsidRPr="00E75269">
              <w:t>)</w:t>
            </w:r>
            <w:r>
              <w:t xml:space="preserve"> </w:t>
            </w:r>
            <w:r w:rsidRPr="008221BF">
              <w:t xml:space="preserve">būtiski ir pieaugušas prasības </w:t>
            </w:r>
            <w:r w:rsidR="001628CE">
              <w:t>arhitektu</w:t>
            </w:r>
            <w:r w:rsidRPr="008221BF">
              <w:t xml:space="preserve"> </w:t>
            </w:r>
            <w:r w:rsidR="00A739A4" w:rsidRPr="00F3731A">
              <w:rPr>
                <w:rStyle w:val="Strong"/>
                <w:b w:val="0"/>
                <w:bdr w:val="none" w:sz="0" w:space="0" w:color="auto" w:frame="1"/>
                <w:shd w:val="clear" w:color="auto" w:fill="FFFFFF"/>
              </w:rPr>
              <w:t>uzraudzība</w:t>
            </w:r>
            <w:r w:rsidR="00A739A4">
              <w:rPr>
                <w:rStyle w:val="Strong"/>
                <w:b w:val="0"/>
                <w:bdr w:val="none" w:sz="0" w:space="0" w:color="auto" w:frame="1"/>
                <w:shd w:val="clear" w:color="auto" w:fill="FFFFFF"/>
              </w:rPr>
              <w:t>i un</w:t>
            </w:r>
            <w:r w:rsidR="00A739A4" w:rsidRPr="00F3731A">
              <w:rPr>
                <w:rStyle w:val="Strong"/>
                <w:b w:val="0"/>
                <w:bdr w:val="none" w:sz="0" w:space="0" w:color="auto" w:frame="1"/>
                <w:shd w:val="clear" w:color="auto" w:fill="FFFFFF"/>
              </w:rPr>
              <w:t xml:space="preserve"> </w:t>
            </w:r>
            <w:r w:rsidR="00A739A4">
              <w:rPr>
                <w:rStyle w:val="Strong"/>
                <w:b w:val="0"/>
                <w:bdr w:val="none" w:sz="0" w:space="0" w:color="auto" w:frame="1"/>
                <w:shd w:val="clear" w:color="auto" w:fill="FFFFFF"/>
              </w:rPr>
              <w:t>kompetences novērtēšanai</w:t>
            </w:r>
            <w:r>
              <w:t xml:space="preserve"> tajā skaitā iekļaujot arī padziļinātas plānveida pārbaudes,</w:t>
            </w:r>
            <w:r w:rsidRPr="008221BF">
              <w:t xml:space="preserve"> </w:t>
            </w:r>
            <w:r w:rsidR="002757BA">
              <w:rPr>
                <w:i/>
              </w:rPr>
              <w:t>S</w:t>
            </w:r>
            <w:r w:rsidRPr="006255C9">
              <w:rPr>
                <w:i/>
              </w:rPr>
              <w:t>pēkā esoš</w:t>
            </w:r>
            <w:r w:rsidR="001628CE">
              <w:rPr>
                <w:i/>
              </w:rPr>
              <w:t>ais</w:t>
            </w:r>
            <w:r w:rsidRPr="006255C9">
              <w:rPr>
                <w:i/>
              </w:rPr>
              <w:t xml:space="preserve"> cenrā</w:t>
            </w:r>
            <w:r w:rsidR="001628CE">
              <w:rPr>
                <w:i/>
              </w:rPr>
              <w:t>dis</w:t>
            </w:r>
            <w:r>
              <w:t xml:space="preserve"> </w:t>
            </w:r>
            <w:r w:rsidRPr="008221BF">
              <w:t>bija jāpārskata pēc būtības, jo no</w:t>
            </w:r>
            <w:r>
              <w:t xml:space="preserve"> jaunajām prasībām </w:t>
            </w:r>
            <w:r w:rsidRPr="008221BF">
              <w:t xml:space="preserve">izriet, ka būtiski pieaugs arī </w:t>
            </w:r>
            <w:r>
              <w:t>uzraudzības</w:t>
            </w:r>
            <w:r w:rsidR="00B129E8">
              <w:t xml:space="preserve"> un kompetences novērtēšanas</w:t>
            </w:r>
            <w:r w:rsidRPr="008221BF">
              <w:t xml:space="preserve"> izmaksas. </w:t>
            </w:r>
            <w:r>
              <w:t>Ņemot vērā iepriekš minēto</w:t>
            </w:r>
            <w:r w:rsidR="00D84E0C" w:rsidRPr="001628CE">
              <w:t xml:space="preserve"> noslēgtaj</w:t>
            </w:r>
            <w:r w:rsidR="001628CE" w:rsidRPr="001628CE">
              <w:t>ā</w:t>
            </w:r>
            <w:r w:rsidRPr="001628CE">
              <w:t xml:space="preserve"> </w:t>
            </w:r>
            <w:r w:rsidR="00D84E0C" w:rsidRPr="001628CE">
              <w:t>d</w:t>
            </w:r>
            <w:r w:rsidRPr="001628CE">
              <w:t>eleģēšanas līgum</w:t>
            </w:r>
            <w:r w:rsidR="001628CE" w:rsidRPr="001628CE">
              <w:t>ā</w:t>
            </w:r>
            <w:r w:rsidR="00D84E0C">
              <w:t xml:space="preserve"> </w:t>
            </w:r>
            <w:r>
              <w:t xml:space="preserve">ir iekļauts nosacījums, ka </w:t>
            </w:r>
            <w:r w:rsidR="001628CE" w:rsidRPr="002757BA">
              <w:rPr>
                <w:i/>
              </w:rPr>
              <w:t>LAS</w:t>
            </w:r>
            <w:r>
              <w:t xml:space="preserve"> līdz jaunās uzraudzības maksas apstiprināšanai</w:t>
            </w:r>
            <w:r w:rsidR="001628CE">
              <w:t xml:space="preserve"> uzraudzības ietvaros</w:t>
            </w:r>
            <w:r>
              <w:t xml:space="preserve"> veiks tikai sūdzību izskatīšanu</w:t>
            </w:r>
            <w:r w:rsidR="001628CE">
              <w:t>. P</w:t>
            </w:r>
            <w:r>
              <w:t xml:space="preserve">ilnu </w:t>
            </w:r>
            <w:r w:rsidR="001628CE">
              <w:t>arhitektu</w:t>
            </w:r>
            <w:r>
              <w:t xml:space="preserve"> uzraudzību</w:t>
            </w:r>
            <w:r w:rsidR="001628CE">
              <w:t xml:space="preserve"> </w:t>
            </w:r>
            <w:r w:rsidR="001628CE" w:rsidRPr="002757BA">
              <w:rPr>
                <w:i/>
              </w:rPr>
              <w:t>LAS</w:t>
            </w:r>
            <w:r>
              <w:t xml:space="preserve"> uzsāks tikai pēc jaunās uzraudzības maksas apstiprināšanas, </w:t>
            </w:r>
            <w:r w:rsidRPr="008221BF">
              <w:t xml:space="preserve">jo kamēr sertificēšanas maksas pakalpojumu cenas ir noteiktas </w:t>
            </w:r>
            <w:r w:rsidR="00C50D68" w:rsidRPr="00C50D68">
              <w:rPr>
                <w:i/>
              </w:rPr>
              <w:t>S</w:t>
            </w:r>
            <w:r w:rsidRPr="00C50D68">
              <w:rPr>
                <w:i/>
              </w:rPr>
              <w:t>pēkā esoša</w:t>
            </w:r>
            <w:r w:rsidR="001628CE" w:rsidRPr="00C50D68">
              <w:rPr>
                <w:i/>
              </w:rPr>
              <w:t>jā</w:t>
            </w:r>
            <w:r w:rsidRPr="00C50D68">
              <w:rPr>
                <w:i/>
              </w:rPr>
              <w:t xml:space="preserve"> cenrā</w:t>
            </w:r>
            <w:r w:rsidR="001628CE" w:rsidRPr="00C50D68">
              <w:rPr>
                <w:i/>
              </w:rPr>
              <w:t>dī</w:t>
            </w:r>
            <w:r w:rsidRPr="008221BF">
              <w:t xml:space="preserve">, </w:t>
            </w:r>
            <w:r w:rsidR="001628CE" w:rsidRPr="002757BA">
              <w:rPr>
                <w:i/>
              </w:rPr>
              <w:t>LAS</w:t>
            </w:r>
            <w:r w:rsidRPr="008221BF">
              <w:t xml:space="preserve"> nespēs pilnvērtīgi veikt </w:t>
            </w:r>
            <w:r w:rsidR="001628CE">
              <w:t>arhitektu</w:t>
            </w:r>
            <w:r w:rsidRPr="008221BF">
              <w:t xml:space="preserve"> uzraudzību. Līdz ar to noteikumu projekta stāšanās spēkā ir būtisks priekšnosacījums </w:t>
            </w:r>
            <w:r w:rsidRPr="008221BF">
              <w:rPr>
                <w:rStyle w:val="Strong"/>
                <w:b w:val="0"/>
                <w:bdr w:val="none" w:sz="0" w:space="0" w:color="auto" w:frame="1"/>
                <w:shd w:val="clear" w:color="auto" w:fill="FFFFFF"/>
              </w:rPr>
              <w:t xml:space="preserve">valsts pārvaldes uzdevuma – </w:t>
            </w:r>
            <w:r w:rsidR="001628CE">
              <w:rPr>
                <w:rStyle w:val="Strong"/>
                <w:b w:val="0"/>
                <w:bdr w:val="none" w:sz="0" w:space="0" w:color="auto" w:frame="1"/>
                <w:shd w:val="clear" w:color="auto" w:fill="FFFFFF"/>
              </w:rPr>
              <w:t>arhitektu</w:t>
            </w:r>
            <w:r w:rsidRPr="008221BF">
              <w:rPr>
                <w:rStyle w:val="Strong"/>
                <w:b w:val="0"/>
                <w:bdr w:val="none" w:sz="0" w:space="0" w:color="auto" w:frame="1"/>
                <w:shd w:val="clear" w:color="auto" w:fill="FFFFFF"/>
              </w:rPr>
              <w:t xml:space="preserve"> uzraudzības izpildei.</w:t>
            </w:r>
          </w:p>
          <w:p w14:paraId="49438FA8" w14:textId="27F8855D" w:rsidR="00881DD7" w:rsidRPr="00F57DC3" w:rsidRDefault="00AB7E83" w:rsidP="00881DD7">
            <w:pPr>
              <w:shd w:val="clear" w:color="auto" w:fill="FFFFFF"/>
              <w:ind w:firstLine="392"/>
              <w:jc w:val="both"/>
              <w:rPr>
                <w:b/>
              </w:rPr>
            </w:pPr>
            <w:r w:rsidRPr="002757BA">
              <w:rPr>
                <w:b/>
                <w:i/>
              </w:rPr>
              <w:t>LAS</w:t>
            </w:r>
            <w:r w:rsidR="00881DD7" w:rsidRPr="00F57DC3">
              <w:rPr>
                <w:b/>
              </w:rPr>
              <w:t xml:space="preserve"> maksas pakalpojumos ietilpst:</w:t>
            </w:r>
          </w:p>
          <w:p w14:paraId="49438FA9" w14:textId="5A5DBE10" w:rsidR="00881DD7" w:rsidRPr="00B74E1D" w:rsidRDefault="00881DD7" w:rsidP="00881DD7">
            <w:pPr>
              <w:pStyle w:val="ListParagraph"/>
              <w:numPr>
                <w:ilvl w:val="0"/>
                <w:numId w:val="19"/>
              </w:numPr>
              <w:shd w:val="clear" w:color="auto" w:fill="FFFFFF"/>
              <w:jc w:val="both"/>
            </w:pPr>
            <w:r w:rsidRPr="00B74E1D">
              <w:t xml:space="preserve">sākotnējā kompetences novērtēšana </w:t>
            </w:r>
            <w:r w:rsidR="00A7157A">
              <w:t>arhitekta</w:t>
            </w:r>
            <w:r w:rsidRPr="00B74E1D">
              <w:t xml:space="preserve"> sertifikāta saņemšanai </w:t>
            </w:r>
            <w:r w:rsidRPr="00B74E1D">
              <w:rPr>
                <w:b/>
              </w:rPr>
              <w:t xml:space="preserve">150 </w:t>
            </w:r>
            <w:r w:rsidR="0020771F" w:rsidRPr="00941AA5">
              <w:rPr>
                <w:b/>
                <w:i/>
              </w:rPr>
              <w:t>euro</w:t>
            </w:r>
            <w:r w:rsidRPr="00B74E1D">
              <w:t xml:space="preserve"> apmērā</w:t>
            </w:r>
            <w:r w:rsidR="00F27C71">
              <w:t xml:space="preserve">, kas noteikta </w:t>
            </w:r>
            <w:r w:rsidRPr="00B74E1D">
              <w:rPr>
                <w:i/>
              </w:rPr>
              <w:t>Noteikumu Nr.169</w:t>
            </w:r>
            <w:r w:rsidRPr="00B74E1D">
              <w:t xml:space="preserve"> 65.1.apakšpunkt</w:t>
            </w:r>
            <w:r w:rsidR="00F27C71">
              <w:t>ā</w:t>
            </w:r>
            <w:r w:rsidR="00D84D1A" w:rsidRPr="00B74E1D">
              <w:t>;</w:t>
            </w:r>
          </w:p>
          <w:p w14:paraId="49438FAA" w14:textId="2563617C" w:rsidR="00F57DC3" w:rsidRPr="00B74E1D" w:rsidRDefault="00661FAF" w:rsidP="00F57DC3">
            <w:pPr>
              <w:pStyle w:val="ListParagraph"/>
              <w:numPr>
                <w:ilvl w:val="0"/>
                <w:numId w:val="19"/>
              </w:numPr>
              <w:shd w:val="clear" w:color="auto" w:fill="FFFFFF"/>
              <w:jc w:val="both"/>
            </w:pPr>
            <w:r>
              <w:t>arhitektu</w:t>
            </w:r>
            <w:r w:rsidR="00F57DC3" w:rsidRPr="00B74E1D">
              <w:t xml:space="preserve"> </w:t>
            </w:r>
            <w:r w:rsidR="00F57DC3" w:rsidRPr="00661FAF">
              <w:rPr>
                <w:i/>
              </w:rPr>
              <w:t>uzraudzība</w:t>
            </w:r>
            <w:r w:rsidR="00F57DC3" w:rsidRPr="00B74E1D">
              <w:t xml:space="preserve"> saskaņā ar </w:t>
            </w:r>
            <w:r w:rsidR="00F57DC3" w:rsidRPr="00B74E1D">
              <w:rPr>
                <w:i/>
              </w:rPr>
              <w:t>Noteikumu Nr.169</w:t>
            </w:r>
            <w:r w:rsidR="00F57DC3" w:rsidRPr="00B74E1D">
              <w:t xml:space="preserve"> 65.2.1.apakšpunktu </w:t>
            </w:r>
            <w:r w:rsidR="00F27C71">
              <w:t xml:space="preserve">(pakalpojuma maksa </w:t>
            </w:r>
            <w:r w:rsidR="00F57DC3" w:rsidRPr="00B74E1D">
              <w:t xml:space="preserve">tiek noteikta </w:t>
            </w:r>
            <w:r w:rsidR="00F57DC3">
              <w:t xml:space="preserve">ar šo </w:t>
            </w:r>
            <w:r w:rsidR="002757BA">
              <w:rPr>
                <w:i/>
              </w:rPr>
              <w:t>N</w:t>
            </w:r>
            <w:r w:rsidR="00F57DC3" w:rsidRPr="00B74E1D">
              <w:rPr>
                <w:i/>
              </w:rPr>
              <w:t>oteikumu projekt</w:t>
            </w:r>
            <w:r w:rsidR="00F57DC3">
              <w:rPr>
                <w:i/>
              </w:rPr>
              <w:t>u</w:t>
            </w:r>
            <w:r w:rsidR="00F57DC3" w:rsidRPr="00B74E1D">
              <w:t>);</w:t>
            </w:r>
          </w:p>
          <w:p w14:paraId="49438FAB" w14:textId="7E62169F" w:rsidR="00881DD7" w:rsidRDefault="00881DD7" w:rsidP="00881DD7">
            <w:pPr>
              <w:pStyle w:val="ListParagraph"/>
              <w:numPr>
                <w:ilvl w:val="0"/>
                <w:numId w:val="19"/>
              </w:numPr>
              <w:shd w:val="clear" w:color="auto" w:fill="FFFFFF"/>
              <w:jc w:val="both"/>
            </w:pPr>
            <w:r w:rsidRPr="00B74E1D">
              <w:t>gada maks</w:t>
            </w:r>
            <w:r w:rsidR="00B236C8">
              <w:t>a</w:t>
            </w:r>
            <w:r w:rsidRPr="00B74E1D">
              <w:t xml:space="preserve"> </w:t>
            </w:r>
            <w:r w:rsidRPr="00B74E1D">
              <w:rPr>
                <w:b/>
              </w:rPr>
              <w:t xml:space="preserve">30 </w:t>
            </w:r>
            <w:r w:rsidR="0020771F" w:rsidRPr="00941AA5">
              <w:rPr>
                <w:b/>
                <w:i/>
              </w:rPr>
              <w:t>euro</w:t>
            </w:r>
            <w:r w:rsidRPr="00B74E1D">
              <w:t xml:space="preserve"> apmērā par Latvijas standartu tiešsaistes lasītavas abonēšanu</w:t>
            </w:r>
            <w:r w:rsidR="00F27C71">
              <w:t xml:space="preserve">, kas noteikta </w:t>
            </w:r>
            <w:r w:rsidRPr="00B74E1D">
              <w:rPr>
                <w:i/>
              </w:rPr>
              <w:t>Noteikumu Nr.169</w:t>
            </w:r>
            <w:r w:rsidRPr="00B74E1D">
              <w:t xml:space="preserve"> 65.2.2.apakšpunkt</w:t>
            </w:r>
            <w:r w:rsidR="00F27C71">
              <w:t>ā</w:t>
            </w:r>
            <w:r w:rsidRPr="00B74E1D">
              <w:t>;</w:t>
            </w:r>
          </w:p>
          <w:p w14:paraId="3A914696" w14:textId="77777777" w:rsidR="00661FAF" w:rsidRDefault="00A739A4" w:rsidP="008355B9">
            <w:pPr>
              <w:pStyle w:val="ListParagraph"/>
              <w:numPr>
                <w:ilvl w:val="0"/>
                <w:numId w:val="19"/>
              </w:numPr>
              <w:jc w:val="both"/>
            </w:pPr>
            <w:r>
              <w:t xml:space="preserve">papildus sertificēšanas maksas pakalpojumiem saskaņā ar </w:t>
            </w:r>
            <w:r w:rsidRPr="00C63916">
              <w:rPr>
                <w:i/>
              </w:rPr>
              <w:t>Noteikumu Nr.169</w:t>
            </w:r>
            <w:r>
              <w:t xml:space="preserve"> 65.3.apakšpunktu</w:t>
            </w:r>
            <w:r w:rsidR="00C63916">
              <w:t>, kuros ietilpst</w:t>
            </w:r>
            <w:r w:rsidR="00661FAF">
              <w:t>:</w:t>
            </w:r>
          </w:p>
          <w:p w14:paraId="140AD33E" w14:textId="1328C3F4" w:rsidR="00A739A4" w:rsidRDefault="00C63916" w:rsidP="00661FAF">
            <w:pPr>
              <w:pStyle w:val="ListParagraph"/>
              <w:numPr>
                <w:ilvl w:val="1"/>
                <w:numId w:val="19"/>
              </w:numPr>
              <w:jc w:val="both"/>
            </w:pPr>
            <w:r>
              <w:t xml:space="preserve"> </w:t>
            </w:r>
            <w:r w:rsidRPr="00C63916">
              <w:rPr>
                <w:i/>
              </w:rPr>
              <w:t>kompetenču, prasmju un zināšanu līmeņa novērtēšana</w:t>
            </w:r>
            <w:r w:rsidR="00661FAF">
              <w:rPr>
                <w:i/>
              </w:rPr>
              <w:t>,</w:t>
            </w:r>
            <w:r>
              <w:t xml:space="preserve"> saskaņā ar </w:t>
            </w:r>
            <w:r w:rsidR="00661FAF" w:rsidRPr="00C50D68">
              <w:rPr>
                <w:i/>
              </w:rPr>
              <w:t>N</w:t>
            </w:r>
            <w:r w:rsidRPr="00C50D68">
              <w:rPr>
                <w:i/>
              </w:rPr>
              <w:t>oteikumu</w:t>
            </w:r>
            <w:r w:rsidR="00661FAF" w:rsidRPr="00C50D68">
              <w:rPr>
                <w:i/>
              </w:rPr>
              <w:t xml:space="preserve"> Nr.169</w:t>
            </w:r>
            <w:r>
              <w:t xml:space="preserve"> 48.5.apakšpunktu (pakalpojuma maksa </w:t>
            </w:r>
            <w:r w:rsidRPr="00B74E1D">
              <w:t xml:space="preserve">tiek noteikta </w:t>
            </w:r>
            <w:r>
              <w:t xml:space="preserve">ar šo </w:t>
            </w:r>
            <w:r w:rsidR="00661FAF" w:rsidRPr="00661FAF">
              <w:rPr>
                <w:i/>
              </w:rPr>
              <w:t>N</w:t>
            </w:r>
            <w:r w:rsidRPr="00661FAF">
              <w:rPr>
                <w:i/>
              </w:rPr>
              <w:t>oteikumu projektu</w:t>
            </w:r>
            <w:r w:rsidRPr="00B74E1D">
              <w:t>)</w:t>
            </w:r>
            <w:r w:rsidR="00661FAF">
              <w:t>;</w:t>
            </w:r>
          </w:p>
          <w:p w14:paraId="7B27E4B4" w14:textId="1DE0F75B" w:rsidR="00661FAF" w:rsidRDefault="00661FAF" w:rsidP="00661FAF">
            <w:pPr>
              <w:pStyle w:val="ListParagraph"/>
              <w:numPr>
                <w:ilvl w:val="1"/>
                <w:numId w:val="19"/>
              </w:numPr>
              <w:jc w:val="both"/>
            </w:pPr>
            <w:r>
              <w:t xml:space="preserve"> </w:t>
            </w:r>
            <w:r w:rsidRPr="00661FAF">
              <w:rPr>
                <w:i/>
              </w:rPr>
              <w:t>profesionālās pilnveides pārbaude</w:t>
            </w:r>
            <w:r>
              <w:t xml:space="preserve"> saskaņā ar </w:t>
            </w:r>
            <w:r w:rsidRPr="00C50D68">
              <w:rPr>
                <w:i/>
              </w:rPr>
              <w:t>Noteikumu Nr.169</w:t>
            </w:r>
            <w:r>
              <w:t xml:space="preserve"> 40.2.apakšpunktu (pakalpojuma maksa </w:t>
            </w:r>
            <w:r w:rsidRPr="00B74E1D">
              <w:t xml:space="preserve">tiek noteikta </w:t>
            </w:r>
            <w:r>
              <w:t xml:space="preserve">ar šo </w:t>
            </w:r>
            <w:r w:rsidRPr="002757BA">
              <w:rPr>
                <w:i/>
              </w:rPr>
              <w:t>Noteikumu projektu</w:t>
            </w:r>
            <w:r w:rsidRPr="00B74E1D">
              <w:t>)</w:t>
            </w:r>
            <w:r>
              <w:t>;</w:t>
            </w:r>
          </w:p>
          <w:p w14:paraId="14D677C7" w14:textId="19B7FD6A" w:rsidR="00661FAF" w:rsidRDefault="00661FAF" w:rsidP="00661FAF">
            <w:pPr>
              <w:pStyle w:val="ListParagraph"/>
              <w:numPr>
                <w:ilvl w:val="1"/>
                <w:numId w:val="19"/>
              </w:numPr>
              <w:jc w:val="both"/>
            </w:pPr>
            <w:r>
              <w:t xml:space="preserve">maksa par atkārtotu </w:t>
            </w:r>
            <w:r w:rsidR="002757BA">
              <w:t xml:space="preserve">patstāvīgas </w:t>
            </w:r>
            <w:r>
              <w:t>prakses</w:t>
            </w:r>
            <w:r w:rsidR="002757BA">
              <w:t xml:space="preserve"> un profesionālās pilnveides</w:t>
            </w:r>
            <w:r>
              <w:t xml:space="preserve"> pārbaudi (pakalpojuma maksa </w:t>
            </w:r>
            <w:r w:rsidRPr="00B74E1D">
              <w:t xml:space="preserve">tiek noteikta </w:t>
            </w:r>
            <w:r>
              <w:t xml:space="preserve">ar šo </w:t>
            </w:r>
            <w:r w:rsidRPr="00661FAF">
              <w:rPr>
                <w:i/>
              </w:rPr>
              <w:t>Noteikumu projektu</w:t>
            </w:r>
            <w:r w:rsidRPr="00B74E1D">
              <w:t>)</w:t>
            </w:r>
            <w:r>
              <w:t>;</w:t>
            </w:r>
          </w:p>
          <w:p w14:paraId="39748C91" w14:textId="2D0FDC50" w:rsidR="00661FAF" w:rsidRPr="00B74E1D" w:rsidRDefault="00661FAF" w:rsidP="00661FAF">
            <w:pPr>
              <w:pStyle w:val="ListParagraph"/>
              <w:numPr>
                <w:ilvl w:val="1"/>
                <w:numId w:val="19"/>
              </w:numPr>
              <w:jc w:val="both"/>
            </w:pPr>
            <w:r>
              <w:t xml:space="preserve">ārpuskārtas novērtēšana informatīvās </w:t>
            </w:r>
            <w:r w:rsidR="002757BA">
              <w:t>pie</w:t>
            </w:r>
            <w:r>
              <w:t xml:space="preserve">zīmes piešķiršanai, saskaņā ar </w:t>
            </w:r>
            <w:r w:rsidRPr="002757BA">
              <w:rPr>
                <w:i/>
              </w:rPr>
              <w:t>LAS</w:t>
            </w:r>
            <w:r>
              <w:t xml:space="preserve"> </w:t>
            </w:r>
            <w:r w:rsidRPr="00661FAF">
              <w:t>praktiskās pieredzes klasifikatoru</w:t>
            </w:r>
            <w:r>
              <w:t xml:space="preserve"> (pakalpojuma maksa </w:t>
            </w:r>
            <w:r w:rsidRPr="00B74E1D">
              <w:t xml:space="preserve">tiek noteikta </w:t>
            </w:r>
            <w:r>
              <w:t xml:space="preserve">ar šo </w:t>
            </w:r>
            <w:r w:rsidRPr="00661FAF">
              <w:rPr>
                <w:i/>
              </w:rPr>
              <w:t>Noteikumu projektu</w:t>
            </w:r>
            <w:r w:rsidRPr="00B74E1D">
              <w:t>)</w:t>
            </w:r>
            <w:r>
              <w:t>.</w:t>
            </w:r>
          </w:p>
          <w:p w14:paraId="49438FAC" w14:textId="77777777" w:rsidR="00586C71" w:rsidRDefault="00586C71" w:rsidP="001F490F">
            <w:pPr>
              <w:shd w:val="clear" w:color="auto" w:fill="FFFFFF"/>
              <w:jc w:val="both"/>
            </w:pPr>
          </w:p>
          <w:p w14:paraId="49438FAD" w14:textId="393B6490" w:rsidR="00D16279" w:rsidRDefault="00D16279" w:rsidP="00D16279">
            <w:pPr>
              <w:shd w:val="clear" w:color="auto" w:fill="FFFFFF"/>
              <w:ind w:firstLine="593"/>
              <w:jc w:val="both"/>
            </w:pPr>
          </w:p>
          <w:p w14:paraId="75197DF6" w14:textId="77777777" w:rsidR="003F0979" w:rsidRDefault="001F490F" w:rsidP="001F490F">
            <w:pPr>
              <w:shd w:val="clear" w:color="auto" w:fill="FFFFFF"/>
              <w:ind w:firstLine="593"/>
              <w:jc w:val="both"/>
              <w:rPr>
                <w:bCs/>
              </w:rPr>
            </w:pPr>
            <w:r>
              <w:rPr>
                <w:bCs/>
              </w:rPr>
              <w:t>Saskaņā ar Pievienotās vērtības nodokļa likuma 3.</w:t>
            </w:r>
            <w:r w:rsidR="003C17DF">
              <w:rPr>
                <w:bCs/>
              </w:rPr>
              <w:t xml:space="preserve"> </w:t>
            </w:r>
            <w:r>
              <w:rPr>
                <w:bCs/>
              </w:rPr>
              <w:t>panta astoto daļu privātpersonas, kuras saskaņā ar Valsts pārvaldes iekārtas likumu pilda tām deleģētus valsts pārvaldes uzdevumus, neuzskata par nodokļ</w:t>
            </w:r>
            <w:r w:rsidR="003F0979">
              <w:rPr>
                <w:bCs/>
              </w:rPr>
              <w:t>a</w:t>
            </w:r>
            <w:r>
              <w:rPr>
                <w:bCs/>
              </w:rPr>
              <w:t xml:space="preserve"> maksātājiem attiecībā uz tām darbībām vai darījumiem, kuros tās iesaistās valsts pārvaldes funkciju vai uzdevumu pildīšanā. </w:t>
            </w:r>
          </w:p>
          <w:p w14:paraId="49438FAE" w14:textId="78A670F1" w:rsidR="001F490F" w:rsidRDefault="003F0979" w:rsidP="001F490F">
            <w:pPr>
              <w:shd w:val="clear" w:color="auto" w:fill="FFFFFF"/>
              <w:ind w:firstLine="593"/>
              <w:jc w:val="both"/>
              <w:rPr>
                <w:bCs/>
              </w:rPr>
            </w:pPr>
            <w:r>
              <w:t xml:space="preserve">Būvniecības likuma 13. panta trīspadsmitajā  daļā ir noteikts, ka būvspeciālistu kompetences novērtēšana un </w:t>
            </w:r>
            <w:r w:rsidRPr="00A739A4">
              <w:t>patstāv</w:t>
            </w:r>
            <w:r>
              <w:t xml:space="preserve">īgās prakses uzraudzība tiek deleģēta un šī likuma 5. panta pirmās daļas 4. punkta “e” apakšpunktā ir noteikts, </w:t>
            </w:r>
            <w:r>
              <w:lastRenderedPageBreak/>
              <w:t xml:space="preserve">ka maksu par būvspeciālistu kompetences novērtēšanu un </w:t>
            </w:r>
            <w:r w:rsidRPr="00A739A4">
              <w:t>patstāv</w:t>
            </w:r>
            <w:r>
              <w:t xml:space="preserve">īgās prakses uzraudzību nosaka Ministru kabinets. </w:t>
            </w:r>
            <w:r w:rsidR="001F490F">
              <w:rPr>
                <w:bCs/>
              </w:rPr>
              <w:t>Līdz ar to</w:t>
            </w:r>
            <w:r w:rsidR="00A75DAE">
              <w:rPr>
                <w:bCs/>
              </w:rPr>
              <w:t xml:space="preserve"> </w:t>
            </w:r>
            <w:r w:rsidR="00D16279">
              <w:rPr>
                <w:bCs/>
              </w:rPr>
              <w:t xml:space="preserve">būvspeciālistu kompetences novērtēšanas, </w:t>
            </w:r>
            <w:r w:rsidR="00A739A4" w:rsidRPr="00A739A4">
              <w:rPr>
                <w:bCs/>
              </w:rPr>
              <w:t>patstāv</w:t>
            </w:r>
            <w:r w:rsidR="00D16279">
              <w:rPr>
                <w:bCs/>
              </w:rPr>
              <w:t>īgās prakses uzraudzības</w:t>
            </w:r>
            <w:r w:rsidR="000C403F">
              <w:rPr>
                <w:bCs/>
              </w:rPr>
              <w:t xml:space="preserve"> </w:t>
            </w:r>
            <w:r w:rsidR="00661FAF">
              <w:rPr>
                <w:bCs/>
              </w:rPr>
              <w:t>un papildus sertificēšanas maksas pakalpojumiem, kurus ir apstiprinājis Ministru kabinets</w:t>
            </w:r>
            <w:r w:rsidR="00D16279">
              <w:rPr>
                <w:bCs/>
              </w:rPr>
              <w:t xml:space="preserve"> </w:t>
            </w:r>
            <w:r w:rsidR="00F57DC3" w:rsidRPr="00F57DC3">
              <w:rPr>
                <w:b/>
                <w:bCs/>
              </w:rPr>
              <w:t>pievienotās vērtības nodokli</w:t>
            </w:r>
            <w:r w:rsidR="001F490F">
              <w:rPr>
                <w:bCs/>
              </w:rPr>
              <w:t xml:space="preserve"> nepiemēro.</w:t>
            </w:r>
          </w:p>
          <w:p w14:paraId="46B062A5" w14:textId="631C2E87" w:rsidR="00661FAF" w:rsidRDefault="00661FAF" w:rsidP="002B05BA">
            <w:pPr>
              <w:shd w:val="clear" w:color="auto" w:fill="FFFFFF"/>
              <w:ind w:firstLine="399"/>
              <w:jc w:val="both"/>
              <w:rPr>
                <w:bCs/>
              </w:rPr>
            </w:pPr>
            <w:r>
              <w:rPr>
                <w:bCs/>
              </w:rPr>
              <w:t>Arhitektu u</w:t>
            </w:r>
            <w:r w:rsidR="00121DE1">
              <w:rPr>
                <w:bCs/>
              </w:rPr>
              <w:t>zraudzības</w:t>
            </w:r>
            <w:r>
              <w:rPr>
                <w:bCs/>
              </w:rPr>
              <w:t xml:space="preserve"> un papildus sertificēšanas maksas pakalpojumu </w:t>
            </w:r>
            <w:r w:rsidR="00121DE1">
              <w:rPr>
                <w:bCs/>
              </w:rPr>
              <w:t xml:space="preserve"> izmaksu</w:t>
            </w:r>
            <w:r w:rsidR="0050539C" w:rsidRPr="00B74E1D">
              <w:rPr>
                <w:bCs/>
              </w:rPr>
              <w:t xml:space="preserve"> aprēķinos ņem</w:t>
            </w:r>
            <w:r w:rsidR="00121DE1">
              <w:rPr>
                <w:bCs/>
              </w:rPr>
              <w:t>ti</w:t>
            </w:r>
            <w:r w:rsidR="0050539C" w:rsidRPr="00B74E1D">
              <w:rPr>
                <w:bCs/>
              </w:rPr>
              <w:t xml:space="preserve"> vērā </w:t>
            </w:r>
            <w:r>
              <w:rPr>
                <w:bCs/>
                <w:i/>
              </w:rPr>
              <w:t>LAS</w:t>
            </w:r>
            <w:r>
              <w:rPr>
                <w:bCs/>
              </w:rPr>
              <w:t xml:space="preserve"> aprēķini</w:t>
            </w:r>
            <w:r w:rsidR="0050539C" w:rsidRPr="00B74E1D">
              <w:rPr>
                <w:bCs/>
              </w:rPr>
              <w:t>.</w:t>
            </w:r>
            <w:r w:rsidR="002B05BA" w:rsidRPr="00B74E1D">
              <w:rPr>
                <w:bCs/>
              </w:rPr>
              <w:t xml:space="preserve"> </w:t>
            </w:r>
          </w:p>
          <w:p w14:paraId="4B31CA48" w14:textId="77777777" w:rsidR="0003749D" w:rsidRDefault="0003749D" w:rsidP="002B05BA">
            <w:pPr>
              <w:shd w:val="clear" w:color="auto" w:fill="FFFFFF"/>
              <w:ind w:firstLine="399"/>
              <w:jc w:val="both"/>
              <w:rPr>
                <w:b/>
              </w:rPr>
            </w:pPr>
          </w:p>
          <w:p w14:paraId="283361E6" w14:textId="39CCD840" w:rsidR="00083E83" w:rsidRPr="00083E83" w:rsidRDefault="00AA2BE2" w:rsidP="00083E83">
            <w:pPr>
              <w:shd w:val="clear" w:color="auto" w:fill="FFFFFF"/>
              <w:jc w:val="both"/>
              <w:rPr>
                <w:b/>
                <w:u w:val="single"/>
              </w:rPr>
            </w:pPr>
            <w:r>
              <w:rPr>
                <w:b/>
                <w:u w:val="single"/>
              </w:rPr>
              <w:t xml:space="preserve">1. </w:t>
            </w:r>
            <w:r w:rsidR="00083E83" w:rsidRPr="00083E83">
              <w:rPr>
                <w:b/>
                <w:u w:val="single"/>
              </w:rPr>
              <w:t>Kompetenču, prasmju un zināšanu līmeņa novērtēšanas izmaksas</w:t>
            </w:r>
          </w:p>
          <w:p w14:paraId="5B80B5D1" w14:textId="34018D58" w:rsidR="00083E83" w:rsidRPr="00083E83" w:rsidRDefault="00083E83" w:rsidP="002B05BA">
            <w:pPr>
              <w:shd w:val="clear" w:color="auto" w:fill="FFFFFF"/>
              <w:ind w:firstLine="399"/>
              <w:jc w:val="both"/>
            </w:pPr>
          </w:p>
          <w:p w14:paraId="535D9A4F" w14:textId="2956C78C" w:rsidR="00265679" w:rsidRDefault="00083E83" w:rsidP="00265679">
            <w:pPr>
              <w:shd w:val="clear" w:color="auto" w:fill="FFFFFF"/>
              <w:ind w:firstLine="399"/>
              <w:jc w:val="both"/>
            </w:pPr>
            <w:r w:rsidRPr="0003749D">
              <w:rPr>
                <w:i/>
              </w:rPr>
              <w:t>LAS</w:t>
            </w:r>
            <w:r>
              <w:t xml:space="preserve"> norāda, ka </w:t>
            </w:r>
            <w:r w:rsidRPr="00C63916">
              <w:rPr>
                <w:i/>
              </w:rPr>
              <w:t>kompetenču, prasmju un zināšanu līmeņa novērtēšan</w:t>
            </w:r>
            <w:r>
              <w:rPr>
                <w:i/>
              </w:rPr>
              <w:t xml:space="preserve">ā </w:t>
            </w:r>
            <w:r>
              <w:t xml:space="preserve">arhitektiem </w:t>
            </w:r>
            <w:r w:rsidRPr="00083E83">
              <w:t>tiek</w:t>
            </w:r>
            <w:r w:rsidR="00265679">
              <w:t xml:space="preserve"> piemērota pārbaude</w:t>
            </w:r>
            <w:r>
              <w:t>,</w:t>
            </w:r>
            <w:r w:rsidR="00265679">
              <w:t xml:space="preserve"> kurā tiek izvērtēts viens arhitekta izstrādāts būvprojekts,</w:t>
            </w:r>
            <w:r w:rsidR="00265679" w:rsidRPr="00BB6A71">
              <w:t xml:space="preserve"> </w:t>
            </w:r>
            <w:r w:rsidR="00265679" w:rsidRPr="005F0B17">
              <w:t>par kur</w:t>
            </w:r>
            <w:r w:rsidR="00265679" w:rsidRPr="00BB6A71">
              <w:t>u</w:t>
            </w:r>
            <w:r w:rsidR="00265679" w:rsidRPr="005F0B17">
              <w:t xml:space="preserve"> ir veikta atzīme par būvatļaujas projektēšanas nosacījumu izpildi</w:t>
            </w:r>
            <w:r w:rsidR="00265679">
              <w:t xml:space="preserve">, tajā skaitā </w:t>
            </w:r>
            <w:r w:rsidR="00265679" w:rsidRPr="00265679">
              <w:t xml:space="preserve">projekta risinājumu, būvei izvirzāmo būtisko prasību piemērošanas, projektēšanas procesa apraksta, projekta atbilstības normatīvajiem aktiem izvērtēšanas un projekta sadaļu savstarpējās saskaņotības novērtēšanas un intervijas ar </w:t>
            </w:r>
            <w:r w:rsidR="00265679">
              <w:t>arhitektu kā arī eksāmens ar vismaz trīs teorētiskiem jautājumiem par arhitekta prakses vispārīgiem jautājumiem, normatīvajiem aktiem, tajā skaitā būvprojektēšanas un būvprojekta dokumentāciju, projekta vadību, būvniecības procesa posmiem un autoruzraudzību un vismaz trīs praktiskiem uzdevumiem, no kuriem viens ietver uzdevumu par ugunsdrošības tēmu un viens uzdevumu par energoefektivitātes tēmu.</w:t>
            </w:r>
          </w:p>
          <w:p w14:paraId="288053A9" w14:textId="5F784408" w:rsidR="00083E83" w:rsidRPr="00083E83" w:rsidRDefault="00083E83" w:rsidP="002B05BA">
            <w:pPr>
              <w:shd w:val="clear" w:color="auto" w:fill="FFFFFF"/>
              <w:ind w:firstLine="399"/>
              <w:jc w:val="both"/>
            </w:pPr>
            <w:r>
              <w:t xml:space="preserve">Kompetenču, prasmju un zināšanu līmeņa novērtēšanas eksāmenā </w:t>
            </w:r>
            <w:r w:rsidR="00CB1554">
              <w:t xml:space="preserve">papildus teorētiskajiem jautājumiem un praktiskajiem uzdevumiem </w:t>
            </w:r>
            <w:r>
              <w:t>tiek izvērtēts</w:t>
            </w:r>
            <w:r w:rsidR="00CB1554">
              <w:t xml:space="preserve"> arī</w:t>
            </w:r>
            <w:r>
              <w:t xml:space="preserve"> viens būvprojekts, kur</w:t>
            </w:r>
            <w:r w:rsidR="00770AFA">
              <w:t>u pēdējo piecu gadu laikā ir</w:t>
            </w:r>
            <w:r>
              <w:t xml:space="preserve"> izstrād</w:t>
            </w:r>
            <w:r w:rsidR="00770AFA">
              <w:t>ājis</w:t>
            </w:r>
            <w:r>
              <w:t xml:space="preserve"> eksaminē</w:t>
            </w:r>
            <w:r w:rsidR="00CB1554">
              <w:t>jamai</w:t>
            </w:r>
            <w:r>
              <w:t xml:space="preserve">s arhitekts. Ņemot vērā, ka kompetenču, prasmju un zināšanu līmeņa novērtēšanu saskaņā ar </w:t>
            </w:r>
            <w:r w:rsidRPr="00770AFA">
              <w:rPr>
                <w:i/>
              </w:rPr>
              <w:t>Noteikumiem Nr.169</w:t>
            </w:r>
            <w:r>
              <w:t xml:space="preserve"> piemēro vairākos gadījumos, tajā skaitā </w:t>
            </w:r>
            <w:r w:rsidR="00CB1554">
              <w:t>arī gadījumā, ja arhitektam pēdējo piecu gadu laikā ir nepietiekoša patstāvīgā prakse (</w:t>
            </w:r>
            <w:r>
              <w:t>40.1.</w:t>
            </w:r>
            <w:r w:rsidR="00241C2F">
              <w:t xml:space="preserve"> </w:t>
            </w:r>
            <w:r>
              <w:t>apakšpunkt</w:t>
            </w:r>
            <w:r w:rsidR="00CB1554">
              <w:t xml:space="preserve">s), pastāv iespēja, ka arhitekts pēdējo piecu gadu laikā nav </w:t>
            </w:r>
            <w:r w:rsidR="00770AFA">
              <w:t>izstrādājis</w:t>
            </w:r>
            <w:r w:rsidR="00CB1554">
              <w:t xml:space="preserve"> nevien</w:t>
            </w:r>
            <w:r w:rsidR="00770AFA">
              <w:t>u</w:t>
            </w:r>
            <w:r w:rsidR="00CB1554">
              <w:t xml:space="preserve"> būvprojekt</w:t>
            </w:r>
            <w:r w:rsidR="00770AFA">
              <w:t>u</w:t>
            </w:r>
            <w:r w:rsidR="00CB1554">
              <w:t xml:space="preserve">. Līdz ar to kompetenču, prasmju un zināšana līmeņa novērtēšanas eksāmenam </w:t>
            </w:r>
            <w:r>
              <w:t>ir divas daļas, no kurām 1.</w:t>
            </w:r>
            <w:r w:rsidR="00241C2F">
              <w:t xml:space="preserve"> </w:t>
            </w:r>
            <w:r>
              <w:t xml:space="preserve">daļu piemēro gadījumā ja arhitekts </w:t>
            </w:r>
            <w:r w:rsidR="00CB1554">
              <w:t>var iesniegt izvērtēšanai kādu būvprojektu, kur</w:t>
            </w:r>
            <w:r w:rsidR="000A7E37">
              <w:t>a izstrādē ir piedalījies</w:t>
            </w:r>
            <w:r w:rsidR="00CB1554">
              <w:t xml:space="preserve"> pēdējo piecu gadu laikā un 2. daļa ja arhitekts šādu būvprojektu iesniegt nevar. </w:t>
            </w:r>
            <w:r w:rsidR="007171B2">
              <w:t>Kompetenču, prasmju un zināšanu līmeņa novērtēšanas eksāmena 2. daļas</w:t>
            </w:r>
            <w:r w:rsidR="00CB1554">
              <w:t xml:space="preserve"> gadījumā būvprojektu, kas ir nepieciešams eksāmena uzdevumu izpildei</w:t>
            </w:r>
            <w:r w:rsidR="007171B2">
              <w:t>,</w:t>
            </w:r>
            <w:r w:rsidR="00CB1554">
              <w:t xml:space="preserve"> nodrošina </w:t>
            </w:r>
            <w:r w:rsidR="00CB1554" w:rsidRPr="00CB1554">
              <w:rPr>
                <w:i/>
              </w:rPr>
              <w:t>LAS</w:t>
            </w:r>
            <w:r w:rsidR="00CB1554">
              <w:t>.</w:t>
            </w:r>
            <w:r w:rsidR="00D9526F">
              <w:t xml:space="preserve"> Vien</w:t>
            </w:r>
            <w:r w:rsidR="00D15242">
              <w:t>am arhitektam vienā reizē nevar tikt piemērotas abas šīs eksāmena daļas.</w:t>
            </w:r>
          </w:p>
          <w:p w14:paraId="12B838DA" w14:textId="4D1A2E0A" w:rsidR="00D9526F" w:rsidRPr="0097000C" w:rsidRDefault="00D9526F" w:rsidP="00D9526F">
            <w:pPr>
              <w:ind w:firstLine="486"/>
              <w:jc w:val="both"/>
            </w:pPr>
            <w:r>
              <w:t xml:space="preserve">Kompetenču, prasmju un zināšanu līmeņa novērtēšanas eksāmena izmaksās </w:t>
            </w:r>
            <w:r w:rsidRPr="0097000C">
              <w:t>tiek ievērtētas tikai tiešās izmaksas</w:t>
            </w:r>
            <w:r w:rsidR="00770AFA">
              <w:t>.</w:t>
            </w:r>
            <w:r w:rsidRPr="0097000C">
              <w:t xml:space="preserve"> </w:t>
            </w:r>
            <w:r w:rsidR="00770AFA">
              <w:t>Ņ</w:t>
            </w:r>
            <w:r w:rsidRPr="0097000C">
              <w:t>emot vērā, ka</w:t>
            </w:r>
            <w:r>
              <w:t xml:space="preserve"> </w:t>
            </w:r>
            <w:r w:rsidRPr="0097000C">
              <w:t xml:space="preserve">līdz šim ne reizi </w:t>
            </w:r>
            <w:r>
              <w:t>šī pārbaude nav piemērota</w:t>
            </w:r>
            <w:r w:rsidRPr="0097000C">
              <w:t>, nākotnē paredzamais gadījumu skaits nav prognozējams, savukārt  netiešo izmaksu komponente kopējās kompetences novērtēšanas izmaksās ir nenozīmīgi niecīga</w:t>
            </w:r>
            <w:r w:rsidR="00770AFA">
              <w:t xml:space="preserve"> līdz ar to</w:t>
            </w:r>
            <w:r>
              <w:t xml:space="preserve"> </w:t>
            </w:r>
            <w:r w:rsidR="00770AFA">
              <w:t>n</w:t>
            </w:r>
            <w:r>
              <w:t>etiešās izmaksas ir iekļautas sertifikāta uzturēšanas maksā.</w:t>
            </w:r>
          </w:p>
          <w:p w14:paraId="4069CEB9" w14:textId="0C4E45BC" w:rsidR="00D9526F" w:rsidRDefault="00D9526F" w:rsidP="00D9526F">
            <w:pPr>
              <w:jc w:val="both"/>
            </w:pPr>
          </w:p>
          <w:p w14:paraId="31D5FA11" w14:textId="4F59F90C" w:rsidR="00770AFA" w:rsidRDefault="00770AFA" w:rsidP="00D9526F">
            <w:pPr>
              <w:jc w:val="both"/>
            </w:pPr>
          </w:p>
          <w:p w14:paraId="49B4223E" w14:textId="1E92790B" w:rsidR="00064DE9" w:rsidRDefault="00064DE9" w:rsidP="00D9526F">
            <w:pPr>
              <w:jc w:val="both"/>
            </w:pPr>
          </w:p>
          <w:p w14:paraId="743A70A3" w14:textId="01000EA9" w:rsidR="00064DE9" w:rsidRDefault="00064DE9" w:rsidP="00D9526F">
            <w:pPr>
              <w:jc w:val="both"/>
            </w:pPr>
          </w:p>
          <w:p w14:paraId="7A3F1D2B" w14:textId="624EE82A" w:rsidR="00064DE9" w:rsidRDefault="00064DE9" w:rsidP="00D9526F">
            <w:pPr>
              <w:jc w:val="both"/>
            </w:pPr>
          </w:p>
          <w:p w14:paraId="082D8E12" w14:textId="56AFF0D9" w:rsidR="00064DE9" w:rsidRDefault="00064DE9" w:rsidP="00D9526F">
            <w:pPr>
              <w:jc w:val="both"/>
            </w:pPr>
          </w:p>
          <w:p w14:paraId="36B7AA65" w14:textId="77777777" w:rsidR="00064DE9" w:rsidRDefault="00064DE9" w:rsidP="00D9526F">
            <w:pPr>
              <w:jc w:val="both"/>
            </w:pPr>
          </w:p>
          <w:p w14:paraId="556610C7" w14:textId="77777777" w:rsidR="00770AFA" w:rsidRPr="0097000C" w:rsidRDefault="00770AFA" w:rsidP="00D9526F">
            <w:pPr>
              <w:jc w:val="both"/>
            </w:pPr>
          </w:p>
          <w:p w14:paraId="117EB434" w14:textId="77777777" w:rsidR="00D9526F" w:rsidRPr="00B74E1D" w:rsidRDefault="00D9526F" w:rsidP="00D9526F">
            <w:pPr>
              <w:jc w:val="right"/>
              <w:rPr>
                <w:b/>
                <w:i/>
              </w:rPr>
            </w:pPr>
            <w:r>
              <w:rPr>
                <w:i/>
              </w:rPr>
              <w:t>1</w:t>
            </w:r>
            <w:r w:rsidRPr="00B74E1D">
              <w:rPr>
                <w:b/>
                <w:i/>
              </w:rPr>
              <w:t>.</w:t>
            </w:r>
            <w:r w:rsidRPr="00B74E1D">
              <w:rPr>
                <w:i/>
                <w:lang w:eastAsia="x-none"/>
              </w:rPr>
              <w:t>tabula</w:t>
            </w:r>
          </w:p>
          <w:p w14:paraId="44D3E5AA" w14:textId="6B36A7C8" w:rsidR="00D9526F" w:rsidRPr="00B74E1D" w:rsidRDefault="00D9526F" w:rsidP="00D9526F">
            <w:pPr>
              <w:jc w:val="center"/>
              <w:rPr>
                <w:b/>
              </w:rPr>
            </w:pPr>
            <w:r w:rsidRPr="00D9526F">
              <w:rPr>
                <w:b/>
              </w:rPr>
              <w:t>Arhitektu kompetenču, prasmju un zināšanu līmeņa novērtēšanas eksāmena</w:t>
            </w:r>
            <w:r>
              <w:rPr>
                <w:b/>
              </w:rPr>
              <w:t xml:space="preserve"> 1.</w:t>
            </w:r>
            <w:r w:rsidR="007449A8">
              <w:rPr>
                <w:b/>
              </w:rPr>
              <w:t xml:space="preserve"> </w:t>
            </w:r>
            <w:r>
              <w:rPr>
                <w:b/>
              </w:rPr>
              <w:t>daļas</w:t>
            </w:r>
            <w:r w:rsidRPr="00B74E1D">
              <w:rPr>
                <w:b/>
              </w:rPr>
              <w:t xml:space="preserve"> izmaksu aprēķins </w:t>
            </w:r>
          </w:p>
          <w:p w14:paraId="362C6CA5" w14:textId="676464DF" w:rsidR="00D9526F" w:rsidRPr="0097000C" w:rsidRDefault="00D9526F" w:rsidP="00D9526F">
            <w:pPr>
              <w:autoSpaceDE w:val="0"/>
              <w:autoSpaceDN w:val="0"/>
              <w:adjustRightInd w:val="0"/>
              <w:jc w:val="both"/>
              <w:rPr>
                <w:b/>
                <w:bCs/>
              </w:rPr>
            </w:pPr>
          </w:p>
          <w:tbl>
            <w:tblPr>
              <w:tblStyle w:val="TableGrid"/>
              <w:tblW w:w="0" w:type="auto"/>
              <w:tblLook w:val="04A0" w:firstRow="1" w:lastRow="0" w:firstColumn="1" w:lastColumn="0" w:noHBand="0" w:noVBand="1"/>
            </w:tblPr>
            <w:tblGrid>
              <w:gridCol w:w="2245"/>
              <w:gridCol w:w="1244"/>
              <w:gridCol w:w="1438"/>
              <w:gridCol w:w="1350"/>
              <w:gridCol w:w="1433"/>
            </w:tblGrid>
            <w:tr w:rsidR="00D9526F" w:rsidRPr="0097000C" w14:paraId="31E7165B" w14:textId="77777777" w:rsidTr="00B31D9D">
              <w:tc>
                <w:tcPr>
                  <w:tcW w:w="2425" w:type="dxa"/>
                </w:tcPr>
                <w:p w14:paraId="6150BCD2" w14:textId="77777777" w:rsidR="00D9526F" w:rsidRPr="0097000C" w:rsidRDefault="00D9526F" w:rsidP="00D9526F">
                  <w:pPr>
                    <w:autoSpaceDE w:val="0"/>
                    <w:autoSpaceDN w:val="0"/>
                    <w:adjustRightInd w:val="0"/>
                    <w:jc w:val="both"/>
                    <w:rPr>
                      <w:bCs/>
                    </w:rPr>
                  </w:pPr>
                  <w:r w:rsidRPr="0097000C">
                    <w:rPr>
                      <w:bCs/>
                    </w:rPr>
                    <w:t xml:space="preserve">Rādītājs </w:t>
                  </w:r>
                  <w:r w:rsidRPr="0097000C">
                    <w:rPr>
                      <w:bCs/>
                      <w:i/>
                    </w:rPr>
                    <w:t>(izmaksu veids)</w:t>
                  </w:r>
                </w:p>
              </w:tc>
              <w:tc>
                <w:tcPr>
                  <w:tcW w:w="1350" w:type="dxa"/>
                </w:tcPr>
                <w:p w14:paraId="7168BE0B" w14:textId="77777777" w:rsidR="00D9526F" w:rsidRPr="0097000C" w:rsidRDefault="00D9526F" w:rsidP="00D9526F">
                  <w:pPr>
                    <w:autoSpaceDE w:val="0"/>
                    <w:autoSpaceDN w:val="0"/>
                    <w:adjustRightInd w:val="0"/>
                    <w:jc w:val="both"/>
                    <w:rPr>
                      <w:bCs/>
                    </w:rPr>
                  </w:pPr>
                  <w:r w:rsidRPr="0097000C">
                    <w:rPr>
                      <w:bCs/>
                    </w:rPr>
                    <w:t xml:space="preserve">Skaits </w:t>
                  </w:r>
                </w:p>
                <w:p w14:paraId="5A4FB291" w14:textId="77777777" w:rsidR="00D9526F" w:rsidRPr="0097000C" w:rsidRDefault="00D9526F" w:rsidP="00D9526F">
                  <w:pPr>
                    <w:autoSpaceDE w:val="0"/>
                    <w:autoSpaceDN w:val="0"/>
                    <w:adjustRightInd w:val="0"/>
                    <w:jc w:val="both"/>
                    <w:rPr>
                      <w:bCs/>
                      <w:i/>
                    </w:rPr>
                  </w:pPr>
                </w:p>
                <w:p w14:paraId="3E824735" w14:textId="77777777" w:rsidR="00D9526F" w:rsidRPr="0097000C" w:rsidRDefault="00D9526F" w:rsidP="00D9526F">
                  <w:pPr>
                    <w:autoSpaceDE w:val="0"/>
                    <w:autoSpaceDN w:val="0"/>
                    <w:adjustRightInd w:val="0"/>
                    <w:jc w:val="both"/>
                    <w:rPr>
                      <w:bCs/>
                    </w:rPr>
                  </w:pPr>
                </w:p>
              </w:tc>
              <w:tc>
                <w:tcPr>
                  <w:tcW w:w="1530" w:type="dxa"/>
                </w:tcPr>
                <w:p w14:paraId="26F290A0" w14:textId="77777777" w:rsidR="00D9526F" w:rsidRPr="0097000C" w:rsidRDefault="00D9526F" w:rsidP="00D9526F">
                  <w:pPr>
                    <w:autoSpaceDE w:val="0"/>
                    <w:autoSpaceDN w:val="0"/>
                    <w:adjustRightInd w:val="0"/>
                    <w:jc w:val="both"/>
                    <w:rPr>
                      <w:bCs/>
                    </w:rPr>
                  </w:pPr>
                  <w:r>
                    <w:rPr>
                      <w:bCs/>
                    </w:rPr>
                    <w:t>Eksperta stundas likme</w:t>
                  </w:r>
                  <w:r w:rsidRPr="0097000C">
                    <w:rPr>
                      <w:bCs/>
                    </w:rPr>
                    <w:t xml:space="preserve"> </w:t>
                  </w:r>
                  <w:r w:rsidRPr="0097000C">
                    <w:rPr>
                      <w:bCs/>
                      <w:i/>
                    </w:rPr>
                    <w:t>(Euro/h)</w:t>
                  </w:r>
                </w:p>
              </w:tc>
              <w:tc>
                <w:tcPr>
                  <w:tcW w:w="1350" w:type="dxa"/>
                </w:tcPr>
                <w:p w14:paraId="42A311D5" w14:textId="77777777" w:rsidR="00D9526F" w:rsidRPr="0097000C" w:rsidRDefault="00D9526F" w:rsidP="00D9526F">
                  <w:pPr>
                    <w:autoSpaceDE w:val="0"/>
                    <w:autoSpaceDN w:val="0"/>
                    <w:adjustRightInd w:val="0"/>
                    <w:jc w:val="both"/>
                    <w:rPr>
                      <w:bCs/>
                    </w:rPr>
                  </w:pPr>
                  <w:r w:rsidRPr="0097000C">
                    <w:rPr>
                      <w:bCs/>
                    </w:rPr>
                    <w:t>Laika ieguldījums</w:t>
                  </w:r>
                </w:p>
                <w:p w14:paraId="04EFEBB4" w14:textId="77777777" w:rsidR="00D9526F" w:rsidRPr="0097000C" w:rsidRDefault="00D9526F" w:rsidP="00D9526F">
                  <w:pPr>
                    <w:autoSpaceDE w:val="0"/>
                    <w:autoSpaceDN w:val="0"/>
                    <w:adjustRightInd w:val="0"/>
                    <w:jc w:val="both"/>
                    <w:rPr>
                      <w:bCs/>
                      <w:i/>
                    </w:rPr>
                  </w:pPr>
                  <w:r w:rsidRPr="0097000C">
                    <w:rPr>
                      <w:bCs/>
                      <w:i/>
                    </w:rPr>
                    <w:t>(h)</w:t>
                  </w:r>
                </w:p>
              </w:tc>
              <w:tc>
                <w:tcPr>
                  <w:tcW w:w="1530" w:type="dxa"/>
                </w:tcPr>
                <w:p w14:paraId="03320B45" w14:textId="77777777" w:rsidR="00D9526F" w:rsidRPr="0097000C" w:rsidRDefault="00D9526F" w:rsidP="00D9526F">
                  <w:pPr>
                    <w:autoSpaceDE w:val="0"/>
                    <w:autoSpaceDN w:val="0"/>
                    <w:adjustRightInd w:val="0"/>
                    <w:jc w:val="both"/>
                    <w:rPr>
                      <w:bCs/>
                    </w:rPr>
                  </w:pPr>
                  <w:r w:rsidRPr="0097000C">
                    <w:rPr>
                      <w:bCs/>
                    </w:rPr>
                    <w:t xml:space="preserve">Izmaksu apjoms </w:t>
                  </w:r>
                  <w:r w:rsidRPr="0097000C">
                    <w:rPr>
                      <w:bCs/>
                      <w:i/>
                    </w:rPr>
                    <w:t>(Euro)</w:t>
                  </w:r>
                </w:p>
              </w:tc>
            </w:tr>
            <w:tr w:rsidR="00D9526F" w:rsidRPr="0097000C" w14:paraId="26198784" w14:textId="77777777" w:rsidTr="00D9526F">
              <w:tc>
                <w:tcPr>
                  <w:tcW w:w="2425" w:type="dxa"/>
                </w:tcPr>
                <w:p w14:paraId="0951750F" w14:textId="77A44994" w:rsidR="00D9526F" w:rsidRPr="0097000C" w:rsidRDefault="00D9526F" w:rsidP="00D9526F">
                  <w:pPr>
                    <w:autoSpaceDE w:val="0"/>
                    <w:autoSpaceDN w:val="0"/>
                    <w:adjustRightInd w:val="0"/>
                    <w:jc w:val="both"/>
                    <w:rPr>
                      <w:bCs/>
                    </w:rPr>
                  </w:pPr>
                  <w:r>
                    <w:t>Kompetenču, prasmju un zināšanu līmeņa novērtēšana</w:t>
                  </w:r>
                  <w:r w:rsidR="00B31D9D">
                    <w:t>s 1. daļa</w:t>
                  </w:r>
                </w:p>
              </w:tc>
              <w:tc>
                <w:tcPr>
                  <w:tcW w:w="1350" w:type="dxa"/>
                </w:tcPr>
                <w:p w14:paraId="15047C52" w14:textId="77777777" w:rsidR="00D9526F" w:rsidRPr="0097000C" w:rsidRDefault="00D9526F" w:rsidP="00D9526F">
                  <w:pPr>
                    <w:autoSpaceDE w:val="0"/>
                    <w:autoSpaceDN w:val="0"/>
                    <w:adjustRightInd w:val="0"/>
                    <w:jc w:val="both"/>
                    <w:rPr>
                      <w:bCs/>
                    </w:rPr>
                  </w:pPr>
                  <w:r w:rsidRPr="0097000C">
                    <w:rPr>
                      <w:bCs/>
                    </w:rPr>
                    <w:t>1</w:t>
                  </w:r>
                </w:p>
              </w:tc>
              <w:tc>
                <w:tcPr>
                  <w:tcW w:w="1530" w:type="dxa"/>
                </w:tcPr>
                <w:p w14:paraId="68220E48" w14:textId="77777777" w:rsidR="00D9526F" w:rsidRPr="0097000C" w:rsidRDefault="00D9526F" w:rsidP="00D9526F">
                  <w:pPr>
                    <w:autoSpaceDE w:val="0"/>
                    <w:autoSpaceDN w:val="0"/>
                    <w:adjustRightInd w:val="0"/>
                    <w:jc w:val="both"/>
                    <w:rPr>
                      <w:bCs/>
                    </w:rPr>
                  </w:pPr>
                  <w:r>
                    <w:rPr>
                      <w:bCs/>
                    </w:rPr>
                    <w:t>40</w:t>
                  </w:r>
                  <w:r w:rsidRPr="0097000C">
                    <w:rPr>
                      <w:bCs/>
                    </w:rPr>
                    <w:t>,00</w:t>
                  </w:r>
                </w:p>
              </w:tc>
              <w:tc>
                <w:tcPr>
                  <w:tcW w:w="1350" w:type="dxa"/>
                </w:tcPr>
                <w:p w14:paraId="7D8ADEB5" w14:textId="77777777" w:rsidR="00D9526F" w:rsidRPr="0097000C" w:rsidRDefault="00D9526F" w:rsidP="00D9526F">
                  <w:pPr>
                    <w:autoSpaceDE w:val="0"/>
                    <w:autoSpaceDN w:val="0"/>
                    <w:adjustRightInd w:val="0"/>
                    <w:jc w:val="both"/>
                    <w:rPr>
                      <w:bCs/>
                    </w:rPr>
                  </w:pPr>
                  <w:r w:rsidRPr="0097000C">
                    <w:rPr>
                      <w:bCs/>
                    </w:rPr>
                    <w:t>24</w:t>
                  </w:r>
                </w:p>
              </w:tc>
              <w:tc>
                <w:tcPr>
                  <w:tcW w:w="1530" w:type="dxa"/>
                  <w:shd w:val="clear" w:color="auto" w:fill="FFFFFF" w:themeFill="background1"/>
                </w:tcPr>
                <w:p w14:paraId="538EBDF0" w14:textId="77777777" w:rsidR="00D9526F" w:rsidRPr="00D61911" w:rsidRDefault="00D9526F" w:rsidP="00D9526F">
                  <w:pPr>
                    <w:autoSpaceDE w:val="0"/>
                    <w:autoSpaceDN w:val="0"/>
                    <w:adjustRightInd w:val="0"/>
                    <w:jc w:val="both"/>
                    <w:rPr>
                      <w:b/>
                      <w:bCs/>
                      <w:u w:val="single"/>
                    </w:rPr>
                  </w:pPr>
                  <w:r w:rsidRPr="00D61911">
                    <w:rPr>
                      <w:b/>
                      <w:bCs/>
                      <w:u w:val="single"/>
                    </w:rPr>
                    <w:t>9</w:t>
                  </w:r>
                  <w:r>
                    <w:rPr>
                      <w:b/>
                      <w:bCs/>
                      <w:u w:val="single"/>
                    </w:rPr>
                    <w:t>60</w:t>
                  </w:r>
                  <w:r w:rsidRPr="00D61911">
                    <w:rPr>
                      <w:b/>
                      <w:bCs/>
                      <w:u w:val="single"/>
                    </w:rPr>
                    <w:t>,00</w:t>
                  </w:r>
                </w:p>
              </w:tc>
            </w:tr>
          </w:tbl>
          <w:p w14:paraId="34C1F266" w14:textId="479E78AF" w:rsidR="00CB1554" w:rsidRDefault="00CB1554" w:rsidP="002B05BA">
            <w:pPr>
              <w:shd w:val="clear" w:color="auto" w:fill="FFFFFF"/>
              <w:ind w:firstLine="399"/>
              <w:jc w:val="both"/>
            </w:pPr>
          </w:p>
          <w:p w14:paraId="5ADAF4BD" w14:textId="70E9304A" w:rsidR="00FE33B5" w:rsidRPr="00B74E1D" w:rsidRDefault="00B31D9D" w:rsidP="00FE33B5">
            <w:pPr>
              <w:jc w:val="right"/>
              <w:rPr>
                <w:b/>
                <w:i/>
              </w:rPr>
            </w:pPr>
            <w:r>
              <w:rPr>
                <w:i/>
              </w:rPr>
              <w:t>2</w:t>
            </w:r>
            <w:r w:rsidR="00FE33B5" w:rsidRPr="00B74E1D">
              <w:rPr>
                <w:b/>
                <w:i/>
              </w:rPr>
              <w:t>.</w:t>
            </w:r>
            <w:r w:rsidR="00FE33B5" w:rsidRPr="00B74E1D">
              <w:rPr>
                <w:i/>
                <w:lang w:eastAsia="x-none"/>
              </w:rPr>
              <w:t>tabula</w:t>
            </w:r>
          </w:p>
          <w:p w14:paraId="1CEBE09C" w14:textId="18279182" w:rsidR="00FE33B5" w:rsidRPr="00B74E1D" w:rsidRDefault="00FE33B5" w:rsidP="00FE33B5">
            <w:pPr>
              <w:jc w:val="center"/>
              <w:rPr>
                <w:b/>
              </w:rPr>
            </w:pPr>
            <w:r w:rsidRPr="00D9526F">
              <w:rPr>
                <w:b/>
              </w:rPr>
              <w:t>Arhitektu kompetenču, prasmju un zināšanu līmeņa novērtēšanas eksāmena</w:t>
            </w:r>
            <w:r>
              <w:rPr>
                <w:b/>
              </w:rPr>
              <w:t xml:space="preserve"> 2.</w:t>
            </w:r>
            <w:r w:rsidR="00241C2F">
              <w:rPr>
                <w:b/>
              </w:rPr>
              <w:t xml:space="preserve"> </w:t>
            </w:r>
            <w:r>
              <w:rPr>
                <w:b/>
              </w:rPr>
              <w:t>daļas</w:t>
            </w:r>
            <w:r w:rsidRPr="00B74E1D">
              <w:rPr>
                <w:b/>
              </w:rPr>
              <w:t xml:space="preserve"> izmaksu aprēķins </w:t>
            </w:r>
          </w:p>
          <w:p w14:paraId="424E83A2" w14:textId="34B33A93" w:rsidR="00FE33B5" w:rsidRPr="00F728F7" w:rsidRDefault="00FE33B5" w:rsidP="00FE33B5">
            <w:pPr>
              <w:pStyle w:val="ListParagraph"/>
              <w:autoSpaceDE w:val="0"/>
              <w:autoSpaceDN w:val="0"/>
              <w:adjustRightInd w:val="0"/>
              <w:jc w:val="both"/>
              <w:rPr>
                <w:b/>
                <w:bCs/>
              </w:rPr>
            </w:pPr>
          </w:p>
          <w:tbl>
            <w:tblPr>
              <w:tblStyle w:val="TableGrid"/>
              <w:tblW w:w="0" w:type="auto"/>
              <w:tblLook w:val="04A0" w:firstRow="1" w:lastRow="0" w:firstColumn="1" w:lastColumn="0" w:noHBand="0" w:noVBand="1"/>
            </w:tblPr>
            <w:tblGrid>
              <w:gridCol w:w="2246"/>
              <w:gridCol w:w="1243"/>
              <w:gridCol w:w="1438"/>
              <w:gridCol w:w="1350"/>
              <w:gridCol w:w="1433"/>
            </w:tblGrid>
            <w:tr w:rsidR="00FE33B5" w:rsidRPr="0097000C" w14:paraId="0FE8464E" w14:textId="77777777" w:rsidTr="00B31D9D">
              <w:tc>
                <w:tcPr>
                  <w:tcW w:w="2246" w:type="dxa"/>
                </w:tcPr>
                <w:p w14:paraId="591CC002" w14:textId="77777777" w:rsidR="00FE33B5" w:rsidRPr="0097000C" w:rsidRDefault="00FE33B5" w:rsidP="00FE33B5">
                  <w:pPr>
                    <w:autoSpaceDE w:val="0"/>
                    <w:autoSpaceDN w:val="0"/>
                    <w:adjustRightInd w:val="0"/>
                    <w:jc w:val="both"/>
                    <w:rPr>
                      <w:bCs/>
                    </w:rPr>
                  </w:pPr>
                  <w:r w:rsidRPr="0097000C">
                    <w:rPr>
                      <w:bCs/>
                    </w:rPr>
                    <w:t xml:space="preserve">Rādītājs </w:t>
                  </w:r>
                  <w:r w:rsidRPr="0097000C">
                    <w:rPr>
                      <w:bCs/>
                      <w:i/>
                    </w:rPr>
                    <w:t>(izmaksu veids)</w:t>
                  </w:r>
                </w:p>
              </w:tc>
              <w:tc>
                <w:tcPr>
                  <w:tcW w:w="1243" w:type="dxa"/>
                </w:tcPr>
                <w:p w14:paraId="3EFEE49E" w14:textId="77777777" w:rsidR="00FE33B5" w:rsidRPr="0097000C" w:rsidRDefault="00FE33B5" w:rsidP="00FE33B5">
                  <w:pPr>
                    <w:autoSpaceDE w:val="0"/>
                    <w:autoSpaceDN w:val="0"/>
                    <w:adjustRightInd w:val="0"/>
                    <w:jc w:val="both"/>
                    <w:rPr>
                      <w:bCs/>
                    </w:rPr>
                  </w:pPr>
                  <w:r w:rsidRPr="0097000C">
                    <w:rPr>
                      <w:bCs/>
                    </w:rPr>
                    <w:t xml:space="preserve">Skaits </w:t>
                  </w:r>
                </w:p>
                <w:p w14:paraId="53955DB6" w14:textId="77777777" w:rsidR="00FE33B5" w:rsidRPr="0097000C" w:rsidRDefault="00FE33B5" w:rsidP="00FE33B5">
                  <w:pPr>
                    <w:autoSpaceDE w:val="0"/>
                    <w:autoSpaceDN w:val="0"/>
                    <w:adjustRightInd w:val="0"/>
                    <w:jc w:val="both"/>
                    <w:rPr>
                      <w:bCs/>
                      <w:i/>
                    </w:rPr>
                  </w:pPr>
                </w:p>
                <w:p w14:paraId="2438E091" w14:textId="77777777" w:rsidR="00FE33B5" w:rsidRPr="0097000C" w:rsidRDefault="00FE33B5" w:rsidP="00FE33B5">
                  <w:pPr>
                    <w:autoSpaceDE w:val="0"/>
                    <w:autoSpaceDN w:val="0"/>
                    <w:adjustRightInd w:val="0"/>
                    <w:jc w:val="both"/>
                    <w:rPr>
                      <w:bCs/>
                    </w:rPr>
                  </w:pPr>
                </w:p>
              </w:tc>
              <w:tc>
                <w:tcPr>
                  <w:tcW w:w="1438" w:type="dxa"/>
                </w:tcPr>
                <w:p w14:paraId="350BDF29" w14:textId="77777777" w:rsidR="00FE33B5" w:rsidRPr="0097000C" w:rsidRDefault="00FE33B5" w:rsidP="00FE33B5">
                  <w:pPr>
                    <w:autoSpaceDE w:val="0"/>
                    <w:autoSpaceDN w:val="0"/>
                    <w:adjustRightInd w:val="0"/>
                    <w:jc w:val="both"/>
                    <w:rPr>
                      <w:bCs/>
                    </w:rPr>
                  </w:pPr>
                  <w:r>
                    <w:rPr>
                      <w:bCs/>
                    </w:rPr>
                    <w:t>Eksperta stundas l</w:t>
                  </w:r>
                  <w:r w:rsidRPr="0097000C">
                    <w:rPr>
                      <w:bCs/>
                    </w:rPr>
                    <w:t xml:space="preserve">ikme </w:t>
                  </w:r>
                  <w:r w:rsidRPr="0097000C">
                    <w:rPr>
                      <w:bCs/>
                      <w:i/>
                    </w:rPr>
                    <w:t>(Euro/h)</w:t>
                  </w:r>
                </w:p>
              </w:tc>
              <w:tc>
                <w:tcPr>
                  <w:tcW w:w="1350" w:type="dxa"/>
                </w:tcPr>
                <w:p w14:paraId="237D027C" w14:textId="77777777" w:rsidR="00FE33B5" w:rsidRPr="0097000C" w:rsidRDefault="00FE33B5" w:rsidP="00FE33B5">
                  <w:pPr>
                    <w:autoSpaceDE w:val="0"/>
                    <w:autoSpaceDN w:val="0"/>
                    <w:adjustRightInd w:val="0"/>
                    <w:jc w:val="both"/>
                    <w:rPr>
                      <w:bCs/>
                    </w:rPr>
                  </w:pPr>
                  <w:r w:rsidRPr="0097000C">
                    <w:rPr>
                      <w:bCs/>
                    </w:rPr>
                    <w:t>Laika ieguldījums</w:t>
                  </w:r>
                </w:p>
                <w:p w14:paraId="0DD519AE" w14:textId="77777777" w:rsidR="00FE33B5" w:rsidRPr="0097000C" w:rsidRDefault="00FE33B5" w:rsidP="00FE33B5">
                  <w:pPr>
                    <w:autoSpaceDE w:val="0"/>
                    <w:autoSpaceDN w:val="0"/>
                    <w:adjustRightInd w:val="0"/>
                    <w:jc w:val="both"/>
                    <w:rPr>
                      <w:bCs/>
                      <w:i/>
                    </w:rPr>
                  </w:pPr>
                  <w:r w:rsidRPr="0097000C">
                    <w:rPr>
                      <w:bCs/>
                      <w:i/>
                    </w:rPr>
                    <w:t>(h)</w:t>
                  </w:r>
                </w:p>
              </w:tc>
              <w:tc>
                <w:tcPr>
                  <w:tcW w:w="1433" w:type="dxa"/>
                </w:tcPr>
                <w:p w14:paraId="4346D864" w14:textId="77777777" w:rsidR="00FE33B5" w:rsidRPr="0097000C" w:rsidRDefault="00FE33B5" w:rsidP="00FE33B5">
                  <w:pPr>
                    <w:autoSpaceDE w:val="0"/>
                    <w:autoSpaceDN w:val="0"/>
                    <w:adjustRightInd w:val="0"/>
                    <w:jc w:val="both"/>
                    <w:rPr>
                      <w:bCs/>
                    </w:rPr>
                  </w:pPr>
                  <w:r w:rsidRPr="0097000C">
                    <w:rPr>
                      <w:bCs/>
                    </w:rPr>
                    <w:t xml:space="preserve">Izmaksu apjoms  </w:t>
                  </w:r>
                  <w:r w:rsidRPr="0097000C">
                    <w:rPr>
                      <w:bCs/>
                      <w:i/>
                    </w:rPr>
                    <w:t>(Euro)</w:t>
                  </w:r>
                </w:p>
              </w:tc>
            </w:tr>
            <w:tr w:rsidR="00FE33B5" w:rsidRPr="0097000C" w14:paraId="5DD9CA3A" w14:textId="77777777" w:rsidTr="00B31D9D">
              <w:tc>
                <w:tcPr>
                  <w:tcW w:w="2246" w:type="dxa"/>
                </w:tcPr>
                <w:p w14:paraId="5CDDC6DF" w14:textId="05248F4B" w:rsidR="00FE33B5" w:rsidRPr="0097000C" w:rsidRDefault="00B31D9D" w:rsidP="00FE33B5">
                  <w:pPr>
                    <w:autoSpaceDE w:val="0"/>
                    <w:autoSpaceDN w:val="0"/>
                    <w:adjustRightInd w:val="0"/>
                    <w:jc w:val="both"/>
                    <w:rPr>
                      <w:bCs/>
                    </w:rPr>
                  </w:pPr>
                  <w:r>
                    <w:t>Kompetenču, prasmju un zināšanu līmeņa novērtēšanas 2. daļa</w:t>
                  </w:r>
                </w:p>
              </w:tc>
              <w:tc>
                <w:tcPr>
                  <w:tcW w:w="1243" w:type="dxa"/>
                </w:tcPr>
                <w:p w14:paraId="43233D1E" w14:textId="77777777" w:rsidR="00FE33B5" w:rsidRPr="0097000C" w:rsidRDefault="00FE33B5" w:rsidP="00FE33B5">
                  <w:pPr>
                    <w:autoSpaceDE w:val="0"/>
                    <w:autoSpaceDN w:val="0"/>
                    <w:adjustRightInd w:val="0"/>
                    <w:jc w:val="both"/>
                    <w:rPr>
                      <w:bCs/>
                    </w:rPr>
                  </w:pPr>
                  <w:r w:rsidRPr="0097000C">
                    <w:rPr>
                      <w:bCs/>
                    </w:rPr>
                    <w:t>1</w:t>
                  </w:r>
                </w:p>
              </w:tc>
              <w:tc>
                <w:tcPr>
                  <w:tcW w:w="1438" w:type="dxa"/>
                </w:tcPr>
                <w:p w14:paraId="39EC7526" w14:textId="77777777" w:rsidR="00FE33B5" w:rsidRPr="0097000C" w:rsidRDefault="00FE33B5" w:rsidP="00FE33B5">
                  <w:pPr>
                    <w:autoSpaceDE w:val="0"/>
                    <w:autoSpaceDN w:val="0"/>
                    <w:adjustRightInd w:val="0"/>
                    <w:jc w:val="both"/>
                    <w:rPr>
                      <w:bCs/>
                    </w:rPr>
                  </w:pPr>
                  <w:r>
                    <w:rPr>
                      <w:bCs/>
                    </w:rPr>
                    <w:t>40</w:t>
                  </w:r>
                  <w:r w:rsidRPr="0097000C">
                    <w:rPr>
                      <w:bCs/>
                    </w:rPr>
                    <w:t>,00</w:t>
                  </w:r>
                </w:p>
              </w:tc>
              <w:tc>
                <w:tcPr>
                  <w:tcW w:w="1350" w:type="dxa"/>
                </w:tcPr>
                <w:p w14:paraId="3F57170F" w14:textId="77777777" w:rsidR="00FE33B5" w:rsidRPr="0097000C" w:rsidRDefault="00FE33B5" w:rsidP="00FE33B5">
                  <w:pPr>
                    <w:autoSpaceDE w:val="0"/>
                    <w:autoSpaceDN w:val="0"/>
                    <w:adjustRightInd w:val="0"/>
                    <w:jc w:val="both"/>
                    <w:rPr>
                      <w:bCs/>
                    </w:rPr>
                  </w:pPr>
                  <w:r>
                    <w:rPr>
                      <w:bCs/>
                    </w:rPr>
                    <w:t>20</w:t>
                  </w:r>
                </w:p>
              </w:tc>
              <w:tc>
                <w:tcPr>
                  <w:tcW w:w="1433" w:type="dxa"/>
                </w:tcPr>
                <w:p w14:paraId="0B1C75A4" w14:textId="77777777" w:rsidR="00FE33B5" w:rsidRPr="00F728F7" w:rsidRDefault="00FE33B5" w:rsidP="00FE33B5">
                  <w:pPr>
                    <w:autoSpaceDE w:val="0"/>
                    <w:autoSpaceDN w:val="0"/>
                    <w:adjustRightInd w:val="0"/>
                    <w:jc w:val="both"/>
                    <w:rPr>
                      <w:bCs/>
                    </w:rPr>
                  </w:pPr>
                  <w:r>
                    <w:rPr>
                      <w:bCs/>
                    </w:rPr>
                    <w:t>80</w:t>
                  </w:r>
                  <w:r w:rsidRPr="00F728F7">
                    <w:rPr>
                      <w:bCs/>
                    </w:rPr>
                    <w:t>0,00</w:t>
                  </w:r>
                </w:p>
              </w:tc>
            </w:tr>
            <w:tr w:rsidR="00FE33B5" w:rsidRPr="0097000C" w14:paraId="5142B62B" w14:textId="77777777" w:rsidTr="00B31D9D">
              <w:tc>
                <w:tcPr>
                  <w:tcW w:w="2246" w:type="dxa"/>
                </w:tcPr>
                <w:p w14:paraId="072FEF03" w14:textId="77777777" w:rsidR="00FE33B5" w:rsidRDefault="00FE33B5" w:rsidP="00FE33B5">
                  <w:pPr>
                    <w:autoSpaceDE w:val="0"/>
                    <w:autoSpaceDN w:val="0"/>
                    <w:adjustRightInd w:val="0"/>
                    <w:jc w:val="both"/>
                  </w:pPr>
                  <w:r>
                    <w:t>Uzdevuma sagatavošana</w:t>
                  </w:r>
                </w:p>
              </w:tc>
              <w:tc>
                <w:tcPr>
                  <w:tcW w:w="1243" w:type="dxa"/>
                </w:tcPr>
                <w:p w14:paraId="54F0F4B2" w14:textId="77777777" w:rsidR="00FE33B5" w:rsidRPr="0097000C" w:rsidRDefault="00FE33B5" w:rsidP="00FE33B5">
                  <w:pPr>
                    <w:autoSpaceDE w:val="0"/>
                    <w:autoSpaceDN w:val="0"/>
                    <w:adjustRightInd w:val="0"/>
                    <w:jc w:val="both"/>
                    <w:rPr>
                      <w:bCs/>
                    </w:rPr>
                  </w:pPr>
                  <w:r>
                    <w:rPr>
                      <w:bCs/>
                    </w:rPr>
                    <w:t>1</w:t>
                  </w:r>
                </w:p>
              </w:tc>
              <w:tc>
                <w:tcPr>
                  <w:tcW w:w="1438" w:type="dxa"/>
                </w:tcPr>
                <w:p w14:paraId="3AE829C1" w14:textId="77777777" w:rsidR="00FE33B5" w:rsidRPr="0097000C" w:rsidRDefault="00FE33B5" w:rsidP="00FE33B5">
                  <w:pPr>
                    <w:autoSpaceDE w:val="0"/>
                    <w:autoSpaceDN w:val="0"/>
                    <w:adjustRightInd w:val="0"/>
                    <w:jc w:val="both"/>
                    <w:rPr>
                      <w:bCs/>
                    </w:rPr>
                  </w:pPr>
                  <w:r>
                    <w:rPr>
                      <w:bCs/>
                    </w:rPr>
                    <w:t>40</w:t>
                  </w:r>
                </w:p>
              </w:tc>
              <w:tc>
                <w:tcPr>
                  <w:tcW w:w="1350" w:type="dxa"/>
                </w:tcPr>
                <w:p w14:paraId="7796A9D3" w14:textId="77777777" w:rsidR="00FE33B5" w:rsidRDefault="00FE33B5" w:rsidP="00FE33B5">
                  <w:pPr>
                    <w:autoSpaceDE w:val="0"/>
                    <w:autoSpaceDN w:val="0"/>
                    <w:adjustRightInd w:val="0"/>
                    <w:jc w:val="both"/>
                    <w:rPr>
                      <w:bCs/>
                    </w:rPr>
                  </w:pPr>
                  <w:r>
                    <w:rPr>
                      <w:bCs/>
                    </w:rPr>
                    <w:t>20</w:t>
                  </w:r>
                </w:p>
              </w:tc>
              <w:tc>
                <w:tcPr>
                  <w:tcW w:w="1433" w:type="dxa"/>
                </w:tcPr>
                <w:p w14:paraId="69FE0640" w14:textId="77777777" w:rsidR="00FE33B5" w:rsidRPr="00F728F7" w:rsidRDefault="00FE33B5" w:rsidP="00FE33B5">
                  <w:pPr>
                    <w:autoSpaceDE w:val="0"/>
                    <w:autoSpaceDN w:val="0"/>
                    <w:adjustRightInd w:val="0"/>
                    <w:jc w:val="both"/>
                    <w:rPr>
                      <w:bCs/>
                    </w:rPr>
                  </w:pPr>
                  <w:r>
                    <w:rPr>
                      <w:bCs/>
                    </w:rPr>
                    <w:t>800</w:t>
                  </w:r>
                  <w:r w:rsidRPr="00F728F7">
                    <w:rPr>
                      <w:bCs/>
                    </w:rPr>
                    <w:t>,00</w:t>
                  </w:r>
                </w:p>
              </w:tc>
            </w:tr>
            <w:tr w:rsidR="00B31D9D" w:rsidRPr="0097000C" w14:paraId="7C972C83" w14:textId="77777777" w:rsidTr="00B31D9D">
              <w:tc>
                <w:tcPr>
                  <w:tcW w:w="6277" w:type="dxa"/>
                  <w:gridSpan w:val="4"/>
                </w:tcPr>
                <w:p w14:paraId="66333B9E" w14:textId="703AFA65" w:rsidR="00B31D9D" w:rsidRPr="00B31D9D" w:rsidRDefault="00B31D9D" w:rsidP="00B31D9D">
                  <w:pPr>
                    <w:autoSpaceDE w:val="0"/>
                    <w:autoSpaceDN w:val="0"/>
                    <w:adjustRightInd w:val="0"/>
                    <w:jc w:val="right"/>
                    <w:rPr>
                      <w:b/>
                      <w:bCs/>
                    </w:rPr>
                  </w:pPr>
                  <w:r w:rsidRPr="00B31D9D">
                    <w:rPr>
                      <w:b/>
                      <w:bCs/>
                    </w:rPr>
                    <w:t>Kopā (</w:t>
                  </w:r>
                  <w:r w:rsidRPr="00B31D9D">
                    <w:rPr>
                      <w:b/>
                      <w:bCs/>
                      <w:i/>
                    </w:rPr>
                    <w:t>euro</w:t>
                  </w:r>
                  <w:r w:rsidRPr="00B31D9D">
                    <w:rPr>
                      <w:b/>
                      <w:bCs/>
                    </w:rPr>
                    <w:t>)</w:t>
                  </w:r>
                </w:p>
              </w:tc>
              <w:tc>
                <w:tcPr>
                  <w:tcW w:w="1433" w:type="dxa"/>
                </w:tcPr>
                <w:p w14:paraId="56830D04" w14:textId="2D1AA2A3" w:rsidR="00B31D9D" w:rsidRPr="00B31D9D" w:rsidRDefault="00B31D9D" w:rsidP="00FE33B5">
                  <w:pPr>
                    <w:autoSpaceDE w:val="0"/>
                    <w:autoSpaceDN w:val="0"/>
                    <w:adjustRightInd w:val="0"/>
                    <w:jc w:val="both"/>
                    <w:rPr>
                      <w:b/>
                      <w:bCs/>
                    </w:rPr>
                  </w:pPr>
                  <w:r w:rsidRPr="00B31D9D">
                    <w:rPr>
                      <w:b/>
                      <w:bCs/>
                    </w:rPr>
                    <w:t>1600,00</w:t>
                  </w:r>
                </w:p>
              </w:tc>
            </w:tr>
          </w:tbl>
          <w:p w14:paraId="07535F33" w14:textId="77777777" w:rsidR="00FE33B5" w:rsidRDefault="00FE33B5" w:rsidP="00FE33B5">
            <w:pPr>
              <w:pStyle w:val="ListParagraph"/>
              <w:jc w:val="both"/>
              <w:rPr>
                <w:u w:val="single"/>
              </w:rPr>
            </w:pPr>
          </w:p>
          <w:p w14:paraId="73C18962" w14:textId="6B956F70" w:rsidR="00B31D9D" w:rsidRDefault="00B31D9D" w:rsidP="00B31D9D">
            <w:pPr>
              <w:shd w:val="clear" w:color="auto" w:fill="FFFFFF"/>
              <w:ind w:firstLine="394"/>
              <w:jc w:val="both"/>
            </w:pPr>
            <w:r w:rsidRPr="00B74E1D">
              <w:t xml:space="preserve">No aprēķina izriet, ka lai nosegtu </w:t>
            </w:r>
            <w:r w:rsidRPr="005C4A7D">
              <w:rPr>
                <w:bCs/>
                <w:i/>
              </w:rPr>
              <w:t>kompetenču, prasmju un zināšanu līmeņa novērtēšana</w:t>
            </w:r>
            <w:r>
              <w:rPr>
                <w:bCs/>
                <w:i/>
              </w:rPr>
              <w:t>s eksāmena</w:t>
            </w:r>
            <w:r w:rsidRPr="00B74E1D">
              <w:t xml:space="preserve"> izmaksas </w:t>
            </w:r>
            <w:r>
              <w:t xml:space="preserve">tā cenai ir jābūt 960 </w:t>
            </w:r>
            <w:r w:rsidRPr="00941AA5">
              <w:rPr>
                <w:i/>
              </w:rPr>
              <w:t>euro</w:t>
            </w:r>
            <w:r>
              <w:t xml:space="preserve"> par 1.</w:t>
            </w:r>
            <w:r w:rsidR="00DE18D5">
              <w:t xml:space="preserve"> </w:t>
            </w:r>
            <w:r>
              <w:t xml:space="preserve">daļu un 1600 </w:t>
            </w:r>
            <w:r w:rsidRPr="00D9526F">
              <w:rPr>
                <w:i/>
              </w:rPr>
              <w:t>euro</w:t>
            </w:r>
            <w:r>
              <w:t xml:space="preserve"> par 2.</w:t>
            </w:r>
            <w:r w:rsidR="00241C2F">
              <w:t xml:space="preserve"> </w:t>
            </w:r>
            <w:r>
              <w:t>daļu no vienas personas par</w:t>
            </w:r>
            <w:r w:rsidR="007171B2">
              <w:t xml:space="preserve"> vienu</w:t>
            </w:r>
            <w:r>
              <w:t xml:space="preserve"> eksāmenu</w:t>
            </w:r>
            <w:r w:rsidRPr="00B74E1D">
              <w:t>.</w:t>
            </w:r>
          </w:p>
          <w:p w14:paraId="6E614F91" w14:textId="7102A17B" w:rsidR="00770AFA" w:rsidRDefault="00770AFA" w:rsidP="002B05BA">
            <w:pPr>
              <w:shd w:val="clear" w:color="auto" w:fill="FFFFFF"/>
              <w:ind w:firstLine="399"/>
              <w:jc w:val="both"/>
            </w:pPr>
          </w:p>
          <w:p w14:paraId="0CF9D2CA" w14:textId="77777777" w:rsidR="00770AFA" w:rsidRDefault="00770AFA" w:rsidP="002B05BA">
            <w:pPr>
              <w:shd w:val="clear" w:color="auto" w:fill="FFFFFF"/>
              <w:ind w:firstLine="399"/>
              <w:jc w:val="both"/>
            </w:pPr>
          </w:p>
          <w:p w14:paraId="0CCF745B" w14:textId="0DAF6F60" w:rsidR="00770AFA" w:rsidRDefault="00770AFA" w:rsidP="002B05BA">
            <w:pPr>
              <w:shd w:val="clear" w:color="auto" w:fill="FFFFFF"/>
              <w:ind w:firstLine="399"/>
              <w:jc w:val="both"/>
            </w:pPr>
          </w:p>
          <w:p w14:paraId="1E505EB7" w14:textId="77777777" w:rsidR="00770AFA" w:rsidRDefault="00770AFA" w:rsidP="002B05BA">
            <w:pPr>
              <w:shd w:val="clear" w:color="auto" w:fill="FFFFFF"/>
              <w:ind w:firstLine="399"/>
              <w:jc w:val="both"/>
            </w:pPr>
          </w:p>
          <w:p w14:paraId="49438FB7" w14:textId="5C98585C" w:rsidR="00EA1F88" w:rsidRDefault="00AA2BE2" w:rsidP="00083E83">
            <w:pPr>
              <w:shd w:val="clear" w:color="auto" w:fill="FFFFFF"/>
              <w:rPr>
                <w:b/>
                <w:u w:val="single"/>
              </w:rPr>
            </w:pPr>
            <w:r>
              <w:rPr>
                <w:b/>
                <w:u w:val="single"/>
              </w:rPr>
              <w:t xml:space="preserve">2. </w:t>
            </w:r>
            <w:r w:rsidR="00661FAF" w:rsidRPr="00083E83">
              <w:rPr>
                <w:b/>
                <w:u w:val="single"/>
              </w:rPr>
              <w:t>Arhitektu</w:t>
            </w:r>
            <w:r w:rsidR="00EA1F88" w:rsidRPr="00083E83">
              <w:rPr>
                <w:b/>
                <w:u w:val="single"/>
              </w:rPr>
              <w:t xml:space="preserve"> uzraudzība</w:t>
            </w:r>
            <w:r w:rsidR="0042788B" w:rsidRPr="00083E83">
              <w:rPr>
                <w:b/>
                <w:u w:val="single"/>
              </w:rPr>
              <w:t xml:space="preserve">s </w:t>
            </w:r>
            <w:r w:rsidR="00E17384" w:rsidRPr="00083E83">
              <w:rPr>
                <w:b/>
                <w:u w:val="single"/>
              </w:rPr>
              <w:t>izmaksas</w:t>
            </w:r>
          </w:p>
          <w:p w14:paraId="5109A5C7" w14:textId="77777777" w:rsidR="00083E83" w:rsidRPr="00083E83" w:rsidRDefault="00083E83" w:rsidP="00083E83">
            <w:pPr>
              <w:shd w:val="clear" w:color="auto" w:fill="FFFFFF"/>
              <w:rPr>
                <w:b/>
                <w:u w:val="single"/>
              </w:rPr>
            </w:pPr>
          </w:p>
          <w:p w14:paraId="4F7C7261" w14:textId="40A26E4B" w:rsidR="00661FAF" w:rsidRDefault="00661FAF" w:rsidP="002B05BA">
            <w:pPr>
              <w:shd w:val="clear" w:color="auto" w:fill="FFFFFF"/>
              <w:ind w:firstLine="399"/>
              <w:jc w:val="both"/>
            </w:pPr>
            <w:r>
              <w:t>Arhitektu</w:t>
            </w:r>
            <w:r w:rsidR="00EA1F88" w:rsidRPr="00B74E1D">
              <w:t xml:space="preserve"> uzraudzības ietvaros </w:t>
            </w:r>
            <w:r>
              <w:t>arhitekti</w:t>
            </w:r>
            <w:r w:rsidR="00EA1F88" w:rsidRPr="00B74E1D">
              <w:t xml:space="preserve"> </w:t>
            </w:r>
            <w:r w:rsidR="002B05BA" w:rsidRPr="00B74E1D">
              <w:t xml:space="preserve">katru gadu </w:t>
            </w:r>
            <w:r w:rsidR="00EA1F88" w:rsidRPr="00B74E1D">
              <w:t xml:space="preserve">veic maksājumu par aktīvo sertifikātu. Būvspeciālistu reģistrā </w:t>
            </w:r>
            <w:r w:rsidR="00D7172F">
              <w:t>201</w:t>
            </w:r>
            <w:r>
              <w:t>9</w:t>
            </w:r>
            <w:r w:rsidR="00D7172F">
              <w:t>.</w:t>
            </w:r>
            <w:r w:rsidR="007449A8">
              <w:t xml:space="preserve"> </w:t>
            </w:r>
            <w:r w:rsidR="00D7172F">
              <w:t xml:space="preserve">gada </w:t>
            </w:r>
            <w:r w:rsidR="00371A41">
              <w:t>17</w:t>
            </w:r>
            <w:r w:rsidR="00D7172F">
              <w:t>.</w:t>
            </w:r>
            <w:r w:rsidR="007449A8">
              <w:t xml:space="preserve"> </w:t>
            </w:r>
            <w:r w:rsidR="00371A41">
              <w:t>martā</w:t>
            </w:r>
            <w:r w:rsidR="00EA1F88" w:rsidRPr="00B74E1D">
              <w:t xml:space="preserve"> ir </w:t>
            </w:r>
            <w:r w:rsidR="00FA0975" w:rsidRPr="00B74E1D">
              <w:t>reģistrēt</w:t>
            </w:r>
            <w:r w:rsidR="00FA0975">
              <w:t>i</w:t>
            </w:r>
            <w:r w:rsidR="00FA0975" w:rsidRPr="00B74E1D">
              <w:t xml:space="preserve"> </w:t>
            </w:r>
            <w:r>
              <w:t>8</w:t>
            </w:r>
            <w:r w:rsidR="00371A41">
              <w:t>17</w:t>
            </w:r>
            <w:r>
              <w:t xml:space="preserve"> aktīvi arhitektu sertifikāti.</w:t>
            </w:r>
            <w:r w:rsidR="00EA1F88" w:rsidRPr="00B74E1D">
              <w:t xml:space="preserve"> </w:t>
            </w:r>
            <w:r w:rsidR="00371A41">
              <w:t xml:space="preserve">Ņemot vērā, ka sertifikāta uzturēšanas nosacījumi tiek mainīti, tai skaitā ieviešot atvieglotas sertifikāta uzturēšanas prasības nelielu objektu projektētājiem, paredzams, ka aktīvo sertifikātu vidējais skaits tuvākajos </w:t>
            </w:r>
            <w:r w:rsidR="007449A8">
              <w:t>trīs</w:t>
            </w:r>
            <w:r w:rsidR="00371A41">
              <w:t xml:space="preserve"> gados pieaugs līdz vidēji 830, </w:t>
            </w:r>
            <w:r w:rsidR="00FA0975">
              <w:t xml:space="preserve">līdz ar to </w:t>
            </w:r>
            <w:r w:rsidR="00371A41">
              <w:t>aprēķins veikts</w:t>
            </w:r>
            <w:r w:rsidR="001B3857">
              <w:t xml:space="preserve"> 830 sertificētajiem arhitektiem</w:t>
            </w:r>
            <w:r w:rsidR="00FA0975">
              <w:t>.</w:t>
            </w:r>
          </w:p>
          <w:p w14:paraId="49438FC0" w14:textId="1AC61C03" w:rsidR="007174FD" w:rsidRDefault="007174FD" w:rsidP="007174FD">
            <w:pPr>
              <w:shd w:val="clear" w:color="auto" w:fill="FFFFFF"/>
              <w:jc w:val="both"/>
              <w:rPr>
                <w:sz w:val="18"/>
              </w:rPr>
            </w:pPr>
          </w:p>
          <w:p w14:paraId="3D2D575D" w14:textId="0F7D4E13" w:rsidR="00064DE9" w:rsidRDefault="00064DE9" w:rsidP="007174FD">
            <w:pPr>
              <w:shd w:val="clear" w:color="auto" w:fill="FFFFFF"/>
              <w:jc w:val="both"/>
              <w:rPr>
                <w:sz w:val="18"/>
              </w:rPr>
            </w:pPr>
          </w:p>
          <w:p w14:paraId="5528E6B9" w14:textId="1D282D69" w:rsidR="00064DE9" w:rsidRDefault="00064DE9" w:rsidP="007174FD">
            <w:pPr>
              <w:shd w:val="clear" w:color="auto" w:fill="FFFFFF"/>
              <w:jc w:val="both"/>
              <w:rPr>
                <w:sz w:val="18"/>
              </w:rPr>
            </w:pPr>
          </w:p>
          <w:p w14:paraId="2962E5B2" w14:textId="52129B41" w:rsidR="00064DE9" w:rsidRDefault="00064DE9" w:rsidP="007174FD">
            <w:pPr>
              <w:shd w:val="clear" w:color="auto" w:fill="FFFFFF"/>
              <w:jc w:val="both"/>
              <w:rPr>
                <w:sz w:val="18"/>
              </w:rPr>
            </w:pPr>
          </w:p>
          <w:p w14:paraId="2EDAF24B" w14:textId="208DED62" w:rsidR="00064DE9" w:rsidRDefault="00064DE9" w:rsidP="007174FD">
            <w:pPr>
              <w:shd w:val="clear" w:color="auto" w:fill="FFFFFF"/>
              <w:jc w:val="both"/>
              <w:rPr>
                <w:sz w:val="18"/>
              </w:rPr>
            </w:pPr>
          </w:p>
          <w:p w14:paraId="7FD87CAC" w14:textId="77777777" w:rsidR="00064DE9" w:rsidRDefault="00064DE9" w:rsidP="007174FD">
            <w:pPr>
              <w:shd w:val="clear" w:color="auto" w:fill="FFFFFF"/>
              <w:jc w:val="both"/>
              <w:rPr>
                <w:sz w:val="18"/>
              </w:rPr>
            </w:pPr>
          </w:p>
          <w:p w14:paraId="49438FC3" w14:textId="3F1C239D" w:rsidR="00EA1F88" w:rsidRPr="006B19FE" w:rsidRDefault="006B19FE" w:rsidP="00FB176F">
            <w:pPr>
              <w:shd w:val="clear" w:color="auto" w:fill="FFFFFF"/>
              <w:jc w:val="both"/>
              <w:rPr>
                <w:b/>
              </w:rPr>
            </w:pPr>
            <w:r w:rsidRPr="006B19FE">
              <w:rPr>
                <w:b/>
              </w:rPr>
              <w:t>Netiešās izmaksas</w:t>
            </w:r>
          </w:p>
          <w:p w14:paraId="7875C15B" w14:textId="3B494FFC" w:rsidR="00DF16FA" w:rsidRPr="00B74E1D" w:rsidRDefault="007171B2" w:rsidP="00DF16FA">
            <w:pPr>
              <w:jc w:val="right"/>
              <w:rPr>
                <w:b/>
                <w:i/>
              </w:rPr>
            </w:pPr>
            <w:r>
              <w:rPr>
                <w:i/>
              </w:rPr>
              <w:t>3</w:t>
            </w:r>
            <w:r w:rsidR="00DF16FA" w:rsidRPr="00B74E1D">
              <w:rPr>
                <w:b/>
                <w:i/>
              </w:rPr>
              <w:t>.</w:t>
            </w:r>
            <w:r w:rsidR="00DF16FA" w:rsidRPr="00B74E1D">
              <w:rPr>
                <w:i/>
                <w:lang w:eastAsia="x-none"/>
              </w:rPr>
              <w:t>tabula</w:t>
            </w:r>
          </w:p>
          <w:p w14:paraId="5887BA6A" w14:textId="2008EA16" w:rsidR="00DF16FA" w:rsidRPr="00B74E1D" w:rsidRDefault="00DF16FA" w:rsidP="00DF16FA">
            <w:pPr>
              <w:jc w:val="center"/>
              <w:rPr>
                <w:b/>
              </w:rPr>
            </w:pPr>
            <w:r>
              <w:rPr>
                <w:b/>
              </w:rPr>
              <w:t>Arhitektu</w:t>
            </w:r>
            <w:r w:rsidRPr="00B74E1D">
              <w:rPr>
                <w:b/>
              </w:rPr>
              <w:t xml:space="preserve"> uzraudzības netiešo izmaksu aprēķins </w:t>
            </w:r>
          </w:p>
          <w:p w14:paraId="6A07662C" w14:textId="77777777" w:rsidR="00DF16FA" w:rsidRPr="00B74E1D" w:rsidRDefault="00DF16FA" w:rsidP="00DF16FA">
            <w:pPr>
              <w:shd w:val="clear" w:color="auto" w:fill="FFFFFF"/>
              <w:jc w:val="both"/>
            </w:pPr>
          </w:p>
          <w:tbl>
            <w:tblPr>
              <w:tblW w:w="5919" w:type="dxa"/>
              <w:jc w:val="center"/>
              <w:tblLook w:val="04A0" w:firstRow="1" w:lastRow="0" w:firstColumn="1" w:lastColumn="0" w:noHBand="0" w:noVBand="1"/>
            </w:tblPr>
            <w:tblGrid>
              <w:gridCol w:w="810"/>
              <w:gridCol w:w="3783"/>
              <w:gridCol w:w="1326"/>
            </w:tblGrid>
            <w:tr w:rsidR="00DF16FA" w:rsidRPr="006D3CFF" w14:paraId="4C8769FA" w14:textId="77777777" w:rsidTr="00DF16FA">
              <w:trPr>
                <w:trHeight w:val="955"/>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A68B" w14:textId="77777777" w:rsidR="00DF16FA" w:rsidRPr="006D3CFF" w:rsidRDefault="00DF16FA" w:rsidP="00DF16FA">
                  <w:pPr>
                    <w:rPr>
                      <w:color w:val="000000"/>
                    </w:rPr>
                  </w:pPr>
                  <w:r w:rsidRPr="006D3CFF">
                    <w:rPr>
                      <w:color w:val="000000"/>
                    </w:rPr>
                    <w:t>N.p.k.</w:t>
                  </w:r>
                </w:p>
              </w:tc>
              <w:tc>
                <w:tcPr>
                  <w:tcW w:w="3783" w:type="dxa"/>
                  <w:tcBorders>
                    <w:top w:val="single" w:sz="4" w:space="0" w:color="auto"/>
                    <w:left w:val="nil"/>
                    <w:bottom w:val="single" w:sz="4" w:space="0" w:color="auto"/>
                    <w:right w:val="single" w:sz="4" w:space="0" w:color="auto"/>
                  </w:tcBorders>
                  <w:shd w:val="clear" w:color="auto" w:fill="auto"/>
                  <w:noWrap/>
                  <w:vAlign w:val="center"/>
                  <w:hideMark/>
                </w:tcPr>
                <w:p w14:paraId="2C8129F8" w14:textId="77777777" w:rsidR="00DF16FA" w:rsidRPr="006D3CFF" w:rsidRDefault="00DF16FA" w:rsidP="00DF16FA">
                  <w:pPr>
                    <w:rPr>
                      <w:color w:val="000000"/>
                    </w:rPr>
                  </w:pPr>
                  <w:r w:rsidRPr="006D3CFF">
                    <w:rPr>
                      <w:color w:val="000000"/>
                    </w:rPr>
                    <w:t>Nosaukums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7233E93B" w14:textId="77777777" w:rsidR="00DF16FA" w:rsidRPr="006D3CFF" w:rsidRDefault="00DF16FA" w:rsidP="00DF16FA">
                  <w:pPr>
                    <w:jc w:val="center"/>
                    <w:rPr>
                      <w:color w:val="000000"/>
                    </w:rPr>
                  </w:pPr>
                  <w:r w:rsidRPr="006D3CFF">
                    <w:rPr>
                      <w:color w:val="000000"/>
                    </w:rPr>
                    <w:t>Kopā (</w:t>
                  </w:r>
                  <w:r w:rsidRPr="006D3CFF">
                    <w:rPr>
                      <w:i/>
                      <w:color w:val="000000"/>
                    </w:rPr>
                    <w:t>euro</w:t>
                  </w:r>
                  <w:r w:rsidRPr="006D3CFF">
                    <w:rPr>
                      <w:color w:val="000000"/>
                    </w:rPr>
                    <w:t>)</w:t>
                  </w:r>
                </w:p>
              </w:tc>
            </w:tr>
            <w:tr w:rsidR="00DF16FA" w:rsidRPr="006D3CFF" w14:paraId="601DE14D" w14:textId="77777777" w:rsidTr="00DF16FA">
              <w:trPr>
                <w:trHeight w:val="1097"/>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F98B3E" w14:textId="77777777" w:rsidR="00DF16FA" w:rsidRPr="006D3CFF" w:rsidRDefault="00DF16FA" w:rsidP="00DF16FA">
                  <w:pPr>
                    <w:rPr>
                      <w:color w:val="000000"/>
                    </w:rPr>
                  </w:pPr>
                  <w:r w:rsidRPr="006D3CFF">
                    <w:rPr>
                      <w:color w:val="000000"/>
                    </w:rPr>
                    <w:t>1</w:t>
                  </w:r>
                </w:p>
              </w:tc>
              <w:tc>
                <w:tcPr>
                  <w:tcW w:w="3783" w:type="dxa"/>
                  <w:tcBorders>
                    <w:top w:val="nil"/>
                    <w:left w:val="nil"/>
                    <w:bottom w:val="single" w:sz="4" w:space="0" w:color="auto"/>
                    <w:right w:val="single" w:sz="4" w:space="0" w:color="auto"/>
                  </w:tcBorders>
                  <w:shd w:val="clear" w:color="auto" w:fill="auto"/>
                  <w:vAlign w:val="center"/>
                  <w:hideMark/>
                </w:tcPr>
                <w:p w14:paraId="5D5F80D2" w14:textId="77777777" w:rsidR="00DF16FA" w:rsidRPr="006D3CFF" w:rsidRDefault="00DF16FA" w:rsidP="00DF16FA">
                  <w:pPr>
                    <w:rPr>
                      <w:color w:val="000000"/>
                    </w:rPr>
                  </w:pPr>
                  <w:r w:rsidRPr="006D3CFF">
                    <w:rPr>
                      <w:color w:val="000000"/>
                    </w:rPr>
                    <w:t xml:space="preserve">Telpu īre un uzturēšanas izdevumi (ieskaitot komunālos, apsardzes un apsaimniekošanas maksājumus) </w:t>
                  </w:r>
                </w:p>
              </w:tc>
              <w:tc>
                <w:tcPr>
                  <w:tcW w:w="1326" w:type="dxa"/>
                  <w:tcBorders>
                    <w:top w:val="nil"/>
                    <w:left w:val="nil"/>
                    <w:bottom w:val="single" w:sz="4" w:space="0" w:color="auto"/>
                    <w:right w:val="single" w:sz="4" w:space="0" w:color="auto"/>
                  </w:tcBorders>
                  <w:shd w:val="clear" w:color="auto" w:fill="auto"/>
                  <w:noWrap/>
                  <w:vAlign w:val="center"/>
                  <w:hideMark/>
                </w:tcPr>
                <w:p w14:paraId="33DDD414" w14:textId="7C3FD104" w:rsidR="00DF16FA" w:rsidRPr="006D3CFF" w:rsidRDefault="001B3857" w:rsidP="00DF16FA">
                  <w:pPr>
                    <w:jc w:val="center"/>
                    <w:rPr>
                      <w:color w:val="000000"/>
                    </w:rPr>
                  </w:pPr>
                  <w:r>
                    <w:rPr>
                      <w:color w:val="000000"/>
                    </w:rPr>
                    <w:t>95</w:t>
                  </w:r>
                  <w:r w:rsidR="00A87D40">
                    <w:rPr>
                      <w:color w:val="000000"/>
                    </w:rPr>
                    <w:t> </w:t>
                  </w:r>
                  <w:r w:rsidR="00DF16FA">
                    <w:rPr>
                      <w:color w:val="000000"/>
                    </w:rPr>
                    <w:t>55,00</w:t>
                  </w:r>
                </w:p>
              </w:tc>
            </w:tr>
            <w:tr w:rsidR="00DF16FA" w:rsidRPr="006D3CFF" w14:paraId="48BDAB5A" w14:textId="77777777" w:rsidTr="00DF16FA">
              <w:trPr>
                <w:trHeight w:val="27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591F3C" w14:textId="77777777" w:rsidR="00DF16FA" w:rsidRPr="006D3CFF" w:rsidRDefault="00DF16FA" w:rsidP="00DF16FA">
                  <w:pPr>
                    <w:rPr>
                      <w:color w:val="000000"/>
                    </w:rPr>
                  </w:pPr>
                  <w:r w:rsidRPr="006D3CFF">
                    <w:rPr>
                      <w:color w:val="000000"/>
                    </w:rPr>
                    <w:t>2</w:t>
                  </w:r>
                </w:p>
              </w:tc>
              <w:tc>
                <w:tcPr>
                  <w:tcW w:w="3783" w:type="dxa"/>
                  <w:tcBorders>
                    <w:top w:val="nil"/>
                    <w:left w:val="nil"/>
                    <w:bottom w:val="single" w:sz="4" w:space="0" w:color="auto"/>
                    <w:right w:val="single" w:sz="4" w:space="0" w:color="auto"/>
                  </w:tcBorders>
                  <w:shd w:val="clear" w:color="auto" w:fill="auto"/>
                  <w:vAlign w:val="center"/>
                  <w:hideMark/>
                </w:tcPr>
                <w:p w14:paraId="77103FF2" w14:textId="77777777" w:rsidR="00DF16FA" w:rsidRPr="006D3CFF" w:rsidRDefault="00DF16FA" w:rsidP="00DF16FA">
                  <w:pPr>
                    <w:rPr>
                      <w:color w:val="000000"/>
                    </w:rPr>
                  </w:pPr>
                  <w:r>
                    <w:rPr>
                      <w:color w:val="000000"/>
                    </w:rPr>
                    <w:t>Institūcijas vadītājs</w:t>
                  </w:r>
                </w:p>
              </w:tc>
              <w:tc>
                <w:tcPr>
                  <w:tcW w:w="1326" w:type="dxa"/>
                  <w:tcBorders>
                    <w:top w:val="nil"/>
                    <w:left w:val="nil"/>
                    <w:bottom w:val="single" w:sz="4" w:space="0" w:color="auto"/>
                    <w:right w:val="single" w:sz="4" w:space="0" w:color="auto"/>
                  </w:tcBorders>
                  <w:shd w:val="clear" w:color="auto" w:fill="auto"/>
                  <w:noWrap/>
                  <w:vAlign w:val="center"/>
                  <w:hideMark/>
                </w:tcPr>
                <w:p w14:paraId="4572308F" w14:textId="4CD900F5" w:rsidR="00DF16FA" w:rsidRPr="006D3CFF" w:rsidRDefault="00DF16FA" w:rsidP="00DF16FA">
                  <w:pPr>
                    <w:jc w:val="center"/>
                    <w:rPr>
                      <w:color w:val="000000"/>
                    </w:rPr>
                  </w:pPr>
                  <w:r>
                    <w:rPr>
                      <w:color w:val="000000"/>
                    </w:rPr>
                    <w:t>13</w:t>
                  </w:r>
                  <w:r w:rsidR="00B10CC0">
                    <w:rPr>
                      <w:b/>
                      <w:bCs/>
                      <w:color w:val="000000"/>
                    </w:rPr>
                    <w:t> </w:t>
                  </w:r>
                  <w:r>
                    <w:rPr>
                      <w:color w:val="000000"/>
                    </w:rPr>
                    <w:t>400,00</w:t>
                  </w:r>
                </w:p>
              </w:tc>
            </w:tr>
            <w:tr w:rsidR="00DF16FA" w:rsidRPr="006D3CFF" w14:paraId="5A1DF95B" w14:textId="77777777" w:rsidTr="00DF16FA">
              <w:trPr>
                <w:trHeight w:val="279"/>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636786" w14:textId="77777777" w:rsidR="00DF16FA" w:rsidRPr="006D3CFF" w:rsidRDefault="00DF16FA" w:rsidP="00DF16FA">
                  <w:pPr>
                    <w:rPr>
                      <w:color w:val="000000"/>
                    </w:rPr>
                  </w:pPr>
                  <w:r w:rsidRPr="006D3CFF">
                    <w:rPr>
                      <w:color w:val="000000"/>
                    </w:rPr>
                    <w:t>3</w:t>
                  </w:r>
                </w:p>
              </w:tc>
              <w:tc>
                <w:tcPr>
                  <w:tcW w:w="3783" w:type="dxa"/>
                  <w:tcBorders>
                    <w:top w:val="nil"/>
                    <w:left w:val="nil"/>
                    <w:bottom w:val="single" w:sz="4" w:space="0" w:color="auto"/>
                    <w:right w:val="single" w:sz="4" w:space="0" w:color="auto"/>
                  </w:tcBorders>
                  <w:shd w:val="clear" w:color="auto" w:fill="auto"/>
                  <w:vAlign w:val="center"/>
                  <w:hideMark/>
                </w:tcPr>
                <w:p w14:paraId="138752A1" w14:textId="77777777" w:rsidR="00DF16FA" w:rsidRPr="006D3CFF" w:rsidRDefault="00DF16FA" w:rsidP="00DF16FA">
                  <w:pPr>
                    <w:rPr>
                      <w:color w:val="000000"/>
                    </w:rPr>
                  </w:pPr>
                  <w:r>
                    <w:rPr>
                      <w:color w:val="000000"/>
                    </w:rPr>
                    <w:t>Lietvedis</w:t>
                  </w:r>
                </w:p>
              </w:tc>
              <w:tc>
                <w:tcPr>
                  <w:tcW w:w="1326" w:type="dxa"/>
                  <w:tcBorders>
                    <w:top w:val="nil"/>
                    <w:left w:val="nil"/>
                    <w:bottom w:val="single" w:sz="4" w:space="0" w:color="auto"/>
                    <w:right w:val="single" w:sz="4" w:space="0" w:color="auto"/>
                  </w:tcBorders>
                  <w:shd w:val="clear" w:color="auto" w:fill="auto"/>
                  <w:noWrap/>
                  <w:vAlign w:val="center"/>
                  <w:hideMark/>
                </w:tcPr>
                <w:p w14:paraId="4979A0E3" w14:textId="5CFF652B" w:rsidR="00DF16FA" w:rsidRPr="006D3CFF" w:rsidRDefault="00DF16FA" w:rsidP="00DF16FA">
                  <w:pPr>
                    <w:jc w:val="center"/>
                    <w:rPr>
                      <w:color w:val="000000"/>
                    </w:rPr>
                  </w:pPr>
                  <w:r>
                    <w:rPr>
                      <w:color w:val="000000"/>
                    </w:rPr>
                    <w:t>1</w:t>
                  </w:r>
                  <w:r w:rsidR="00B10CC0">
                    <w:rPr>
                      <w:b/>
                      <w:bCs/>
                      <w:color w:val="000000"/>
                    </w:rPr>
                    <w:t> </w:t>
                  </w:r>
                  <w:r>
                    <w:rPr>
                      <w:color w:val="000000"/>
                    </w:rPr>
                    <w:t>800,00</w:t>
                  </w:r>
                </w:p>
              </w:tc>
            </w:tr>
            <w:tr w:rsidR="00DF16FA" w:rsidRPr="006D3CFF" w14:paraId="4F6AC806" w14:textId="77777777" w:rsidTr="00DF16FA">
              <w:trPr>
                <w:trHeight w:val="269"/>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F4108B" w14:textId="77777777" w:rsidR="00DF16FA" w:rsidRPr="006D3CFF" w:rsidRDefault="00DF16FA" w:rsidP="00DF16FA">
                  <w:pPr>
                    <w:rPr>
                      <w:color w:val="000000"/>
                    </w:rPr>
                  </w:pPr>
                  <w:r w:rsidRPr="006D3CFF">
                    <w:rPr>
                      <w:color w:val="000000"/>
                    </w:rPr>
                    <w:t>4</w:t>
                  </w:r>
                </w:p>
              </w:tc>
              <w:tc>
                <w:tcPr>
                  <w:tcW w:w="3783" w:type="dxa"/>
                  <w:tcBorders>
                    <w:top w:val="nil"/>
                    <w:left w:val="nil"/>
                    <w:bottom w:val="single" w:sz="4" w:space="0" w:color="auto"/>
                    <w:right w:val="single" w:sz="4" w:space="0" w:color="auto"/>
                  </w:tcBorders>
                  <w:shd w:val="clear" w:color="auto" w:fill="auto"/>
                  <w:vAlign w:val="center"/>
                  <w:hideMark/>
                </w:tcPr>
                <w:p w14:paraId="102B8156" w14:textId="77777777" w:rsidR="00DF16FA" w:rsidRPr="006D3CFF" w:rsidRDefault="00DF16FA" w:rsidP="00DF16FA">
                  <w:pPr>
                    <w:rPr>
                      <w:color w:val="000000"/>
                    </w:rPr>
                  </w:pPr>
                  <w:r w:rsidRPr="006D3CFF">
                    <w:rPr>
                      <w:color w:val="000000"/>
                    </w:rPr>
                    <w:t>Kvalitātes vadītājs</w:t>
                  </w:r>
                </w:p>
              </w:tc>
              <w:tc>
                <w:tcPr>
                  <w:tcW w:w="1326" w:type="dxa"/>
                  <w:tcBorders>
                    <w:top w:val="nil"/>
                    <w:left w:val="nil"/>
                    <w:bottom w:val="single" w:sz="4" w:space="0" w:color="auto"/>
                    <w:right w:val="single" w:sz="4" w:space="0" w:color="auto"/>
                  </w:tcBorders>
                  <w:shd w:val="clear" w:color="auto" w:fill="auto"/>
                  <w:noWrap/>
                  <w:vAlign w:val="center"/>
                  <w:hideMark/>
                </w:tcPr>
                <w:p w14:paraId="700D75BD" w14:textId="58B2DF5B" w:rsidR="00DF16FA" w:rsidRPr="006D3CFF" w:rsidRDefault="00DF16FA" w:rsidP="00DF16FA">
                  <w:pPr>
                    <w:jc w:val="center"/>
                    <w:rPr>
                      <w:color w:val="000000"/>
                    </w:rPr>
                  </w:pPr>
                  <w:r>
                    <w:rPr>
                      <w:color w:val="000000"/>
                    </w:rPr>
                    <w:t>750,00</w:t>
                  </w:r>
                </w:p>
              </w:tc>
            </w:tr>
            <w:tr w:rsidR="001B3857" w:rsidRPr="006D3CFF" w14:paraId="182CD4B0" w14:textId="77777777" w:rsidTr="00DF16FA">
              <w:trPr>
                <w:trHeight w:val="269"/>
                <w:jc w:val="center"/>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3B45252" w14:textId="0AE82D4C" w:rsidR="001B3857" w:rsidRPr="006D3CFF" w:rsidRDefault="001B3857" w:rsidP="00DF16FA">
                  <w:pPr>
                    <w:rPr>
                      <w:color w:val="000000"/>
                    </w:rPr>
                  </w:pPr>
                  <w:r>
                    <w:rPr>
                      <w:color w:val="000000"/>
                    </w:rPr>
                    <w:t>5</w:t>
                  </w:r>
                </w:p>
              </w:tc>
              <w:tc>
                <w:tcPr>
                  <w:tcW w:w="3783" w:type="dxa"/>
                  <w:tcBorders>
                    <w:top w:val="nil"/>
                    <w:left w:val="nil"/>
                    <w:bottom w:val="single" w:sz="4" w:space="0" w:color="auto"/>
                    <w:right w:val="single" w:sz="4" w:space="0" w:color="auto"/>
                  </w:tcBorders>
                  <w:shd w:val="clear" w:color="auto" w:fill="auto"/>
                  <w:vAlign w:val="center"/>
                </w:tcPr>
                <w:p w14:paraId="07C6C64B" w14:textId="748EB3BA" w:rsidR="001B3857" w:rsidRPr="006D3CFF" w:rsidRDefault="009E1678" w:rsidP="00DF16FA">
                  <w:pPr>
                    <w:rPr>
                      <w:color w:val="000000"/>
                    </w:rPr>
                  </w:pPr>
                  <w:r>
                    <w:rPr>
                      <w:color w:val="000000"/>
                    </w:rPr>
                    <w:t>Sertificēšanas centra p</w:t>
                  </w:r>
                  <w:r w:rsidR="008C5945">
                    <w:rPr>
                      <w:color w:val="000000"/>
                    </w:rPr>
                    <w:t>adomes</w:t>
                  </w:r>
                  <w:r w:rsidR="001B3857">
                    <w:rPr>
                      <w:color w:val="000000"/>
                    </w:rPr>
                    <w:t xml:space="preserve"> atalgojums</w:t>
                  </w:r>
                </w:p>
              </w:tc>
              <w:tc>
                <w:tcPr>
                  <w:tcW w:w="1326" w:type="dxa"/>
                  <w:tcBorders>
                    <w:top w:val="nil"/>
                    <w:left w:val="nil"/>
                    <w:bottom w:val="single" w:sz="4" w:space="0" w:color="auto"/>
                    <w:right w:val="single" w:sz="4" w:space="0" w:color="auto"/>
                  </w:tcBorders>
                  <w:shd w:val="clear" w:color="auto" w:fill="auto"/>
                  <w:noWrap/>
                  <w:vAlign w:val="center"/>
                </w:tcPr>
                <w:p w14:paraId="6FB1EF0E" w14:textId="117477EA" w:rsidR="001B3857" w:rsidRDefault="001B3857" w:rsidP="00DF16FA">
                  <w:pPr>
                    <w:jc w:val="center"/>
                    <w:rPr>
                      <w:color w:val="000000"/>
                    </w:rPr>
                  </w:pPr>
                  <w:r>
                    <w:rPr>
                      <w:color w:val="000000"/>
                    </w:rPr>
                    <w:t>3600,00</w:t>
                  </w:r>
                </w:p>
              </w:tc>
            </w:tr>
            <w:tr w:rsidR="00DF16FA" w:rsidRPr="006D3CFF" w14:paraId="7FF09505" w14:textId="77777777" w:rsidTr="00DF16FA">
              <w:trPr>
                <w:trHeight w:val="5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886B77" w14:textId="26B74A53" w:rsidR="00DF16FA" w:rsidRPr="006D3CFF" w:rsidRDefault="001B3857" w:rsidP="00DF16FA">
                  <w:pPr>
                    <w:rPr>
                      <w:color w:val="000000"/>
                    </w:rPr>
                  </w:pPr>
                  <w:r>
                    <w:rPr>
                      <w:color w:val="000000"/>
                    </w:rPr>
                    <w:t>6</w:t>
                  </w:r>
                </w:p>
              </w:tc>
              <w:tc>
                <w:tcPr>
                  <w:tcW w:w="3783" w:type="dxa"/>
                  <w:tcBorders>
                    <w:top w:val="nil"/>
                    <w:left w:val="nil"/>
                    <w:bottom w:val="single" w:sz="4" w:space="0" w:color="auto"/>
                    <w:right w:val="single" w:sz="4" w:space="0" w:color="auto"/>
                  </w:tcBorders>
                  <w:shd w:val="clear" w:color="auto" w:fill="auto"/>
                  <w:vAlign w:val="center"/>
                  <w:hideMark/>
                </w:tcPr>
                <w:p w14:paraId="628F938A" w14:textId="77777777" w:rsidR="00DF16FA" w:rsidRPr="006D3CFF" w:rsidRDefault="00DF16FA" w:rsidP="00DF16FA">
                  <w:pPr>
                    <w:rPr>
                      <w:color w:val="000000"/>
                    </w:rPr>
                  </w:pPr>
                  <w:r w:rsidRPr="006D3CFF">
                    <w:rPr>
                      <w:color w:val="000000"/>
                    </w:rPr>
                    <w:t>Grāmatvedības pakalpojumi</w:t>
                  </w:r>
                </w:p>
              </w:tc>
              <w:tc>
                <w:tcPr>
                  <w:tcW w:w="1326" w:type="dxa"/>
                  <w:tcBorders>
                    <w:top w:val="nil"/>
                    <w:left w:val="nil"/>
                    <w:bottom w:val="single" w:sz="4" w:space="0" w:color="auto"/>
                    <w:right w:val="single" w:sz="4" w:space="0" w:color="auto"/>
                  </w:tcBorders>
                  <w:shd w:val="clear" w:color="auto" w:fill="auto"/>
                  <w:noWrap/>
                  <w:vAlign w:val="center"/>
                  <w:hideMark/>
                </w:tcPr>
                <w:p w14:paraId="391BF0C5" w14:textId="66EAE927" w:rsidR="00DF16FA" w:rsidRPr="006D3CFF" w:rsidRDefault="00DF16FA" w:rsidP="00DF16FA">
                  <w:pPr>
                    <w:jc w:val="center"/>
                    <w:rPr>
                      <w:color w:val="000000"/>
                    </w:rPr>
                  </w:pPr>
                  <w:r>
                    <w:rPr>
                      <w:color w:val="000000"/>
                    </w:rPr>
                    <w:t>5</w:t>
                  </w:r>
                  <w:r w:rsidR="00B10CC0">
                    <w:rPr>
                      <w:b/>
                      <w:bCs/>
                      <w:color w:val="000000"/>
                    </w:rPr>
                    <w:t> </w:t>
                  </w:r>
                  <w:r>
                    <w:rPr>
                      <w:color w:val="000000"/>
                    </w:rPr>
                    <w:t>400,00</w:t>
                  </w:r>
                </w:p>
              </w:tc>
            </w:tr>
            <w:tr w:rsidR="00DF16FA" w:rsidRPr="006D3CFF" w14:paraId="1DD1BD2C" w14:textId="77777777" w:rsidTr="00DF16FA">
              <w:trPr>
                <w:trHeight w:val="253"/>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91F0C1" w14:textId="5D05FE30" w:rsidR="00DF16FA" w:rsidRPr="006D3CFF" w:rsidRDefault="001B3857" w:rsidP="00DF16FA">
                  <w:pPr>
                    <w:rPr>
                      <w:color w:val="000000"/>
                    </w:rPr>
                  </w:pPr>
                  <w:r>
                    <w:rPr>
                      <w:color w:val="000000"/>
                    </w:rPr>
                    <w:t>7</w:t>
                  </w:r>
                </w:p>
              </w:tc>
              <w:tc>
                <w:tcPr>
                  <w:tcW w:w="3783" w:type="dxa"/>
                  <w:tcBorders>
                    <w:top w:val="nil"/>
                    <w:left w:val="nil"/>
                    <w:bottom w:val="single" w:sz="4" w:space="0" w:color="auto"/>
                    <w:right w:val="single" w:sz="4" w:space="0" w:color="auto"/>
                  </w:tcBorders>
                  <w:shd w:val="clear" w:color="auto" w:fill="auto"/>
                  <w:vAlign w:val="center"/>
                  <w:hideMark/>
                </w:tcPr>
                <w:p w14:paraId="38CDF368" w14:textId="77777777" w:rsidR="00DF16FA" w:rsidRPr="006D3CFF" w:rsidRDefault="00DF16FA" w:rsidP="00DF16FA">
                  <w:pPr>
                    <w:rPr>
                      <w:color w:val="000000"/>
                    </w:rPr>
                  </w:pPr>
                  <w:r>
                    <w:rPr>
                      <w:color w:val="000000"/>
                    </w:rPr>
                    <w:t>Revīzijas</w:t>
                  </w:r>
                  <w:r w:rsidRPr="006D3CFF">
                    <w:rPr>
                      <w:color w:val="000000"/>
                    </w:rPr>
                    <w:t xml:space="preserve"> pakalpojumi</w:t>
                  </w:r>
                </w:p>
              </w:tc>
              <w:tc>
                <w:tcPr>
                  <w:tcW w:w="1326" w:type="dxa"/>
                  <w:tcBorders>
                    <w:top w:val="nil"/>
                    <w:left w:val="nil"/>
                    <w:bottom w:val="single" w:sz="4" w:space="0" w:color="auto"/>
                    <w:right w:val="single" w:sz="4" w:space="0" w:color="auto"/>
                  </w:tcBorders>
                  <w:shd w:val="clear" w:color="auto" w:fill="auto"/>
                  <w:noWrap/>
                  <w:vAlign w:val="center"/>
                  <w:hideMark/>
                </w:tcPr>
                <w:p w14:paraId="4FFFA7B5" w14:textId="22DF2DC0" w:rsidR="00DF16FA" w:rsidRPr="006D3CFF" w:rsidRDefault="00DF16FA" w:rsidP="00DF16FA">
                  <w:pPr>
                    <w:jc w:val="center"/>
                    <w:rPr>
                      <w:color w:val="000000"/>
                    </w:rPr>
                  </w:pPr>
                  <w:r>
                    <w:rPr>
                      <w:color w:val="000000"/>
                    </w:rPr>
                    <w:t>1</w:t>
                  </w:r>
                  <w:r w:rsidR="00B10CC0">
                    <w:rPr>
                      <w:b/>
                      <w:bCs/>
                      <w:color w:val="000000"/>
                    </w:rPr>
                    <w:t> </w:t>
                  </w:r>
                  <w:r>
                    <w:rPr>
                      <w:color w:val="000000"/>
                    </w:rPr>
                    <w:t>000,00</w:t>
                  </w:r>
                </w:p>
              </w:tc>
            </w:tr>
            <w:tr w:rsidR="00DF16FA" w:rsidRPr="006D3CFF" w14:paraId="6EC8C7D2" w14:textId="77777777" w:rsidTr="00DF16FA">
              <w:trPr>
                <w:trHeight w:val="301"/>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53027A" w14:textId="49F56D00" w:rsidR="00DF16FA" w:rsidRPr="006D3CFF" w:rsidRDefault="001B3857" w:rsidP="00DF16FA">
                  <w:pPr>
                    <w:rPr>
                      <w:color w:val="000000"/>
                    </w:rPr>
                  </w:pPr>
                  <w:r>
                    <w:rPr>
                      <w:color w:val="000000"/>
                    </w:rPr>
                    <w:t>8</w:t>
                  </w:r>
                </w:p>
              </w:tc>
              <w:tc>
                <w:tcPr>
                  <w:tcW w:w="3783" w:type="dxa"/>
                  <w:tcBorders>
                    <w:top w:val="nil"/>
                    <w:left w:val="nil"/>
                    <w:bottom w:val="single" w:sz="4" w:space="0" w:color="auto"/>
                    <w:right w:val="single" w:sz="4" w:space="0" w:color="auto"/>
                  </w:tcBorders>
                  <w:shd w:val="clear" w:color="auto" w:fill="auto"/>
                  <w:vAlign w:val="center"/>
                  <w:hideMark/>
                </w:tcPr>
                <w:p w14:paraId="1592AC5C" w14:textId="77777777" w:rsidR="00DF16FA" w:rsidRPr="006D3CFF" w:rsidRDefault="00DF16FA" w:rsidP="00DF16FA">
                  <w:pPr>
                    <w:rPr>
                      <w:color w:val="000000"/>
                    </w:rPr>
                  </w:pPr>
                  <w:r w:rsidRPr="006D3CFF">
                    <w:rPr>
                      <w:color w:val="000000"/>
                    </w:rPr>
                    <w:t>Akreditācijas izmaksas</w:t>
                  </w:r>
                </w:p>
              </w:tc>
              <w:tc>
                <w:tcPr>
                  <w:tcW w:w="1326" w:type="dxa"/>
                  <w:tcBorders>
                    <w:top w:val="nil"/>
                    <w:left w:val="nil"/>
                    <w:bottom w:val="single" w:sz="4" w:space="0" w:color="auto"/>
                    <w:right w:val="single" w:sz="4" w:space="0" w:color="auto"/>
                  </w:tcBorders>
                  <w:shd w:val="clear" w:color="auto" w:fill="auto"/>
                  <w:noWrap/>
                  <w:vAlign w:val="center"/>
                  <w:hideMark/>
                </w:tcPr>
                <w:p w14:paraId="36EAF514" w14:textId="069F2871" w:rsidR="00DF16FA" w:rsidRPr="006D3CFF" w:rsidRDefault="00DF16FA" w:rsidP="00DF16FA">
                  <w:pPr>
                    <w:jc w:val="center"/>
                    <w:rPr>
                      <w:color w:val="000000"/>
                    </w:rPr>
                  </w:pPr>
                  <w:r>
                    <w:rPr>
                      <w:color w:val="000000"/>
                    </w:rPr>
                    <w:t>1</w:t>
                  </w:r>
                  <w:r w:rsidR="00B10CC0">
                    <w:rPr>
                      <w:b/>
                      <w:bCs/>
                      <w:color w:val="000000"/>
                    </w:rPr>
                    <w:t> </w:t>
                  </w:r>
                  <w:r>
                    <w:rPr>
                      <w:color w:val="000000"/>
                    </w:rPr>
                    <w:t>905,00</w:t>
                  </w:r>
                </w:p>
              </w:tc>
            </w:tr>
            <w:tr w:rsidR="00DF16FA" w:rsidRPr="006D3CFF" w14:paraId="462EC97D" w14:textId="77777777" w:rsidTr="00DF16FA">
              <w:trPr>
                <w:trHeight w:val="37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A6AF0A" w14:textId="6763729D" w:rsidR="00DF16FA" w:rsidRPr="006D3CFF" w:rsidRDefault="001B3857" w:rsidP="00DF16FA">
                  <w:pPr>
                    <w:rPr>
                      <w:color w:val="000000"/>
                    </w:rPr>
                  </w:pPr>
                  <w:r>
                    <w:rPr>
                      <w:color w:val="000000"/>
                    </w:rPr>
                    <w:t>9</w:t>
                  </w:r>
                </w:p>
              </w:tc>
              <w:tc>
                <w:tcPr>
                  <w:tcW w:w="3783" w:type="dxa"/>
                  <w:tcBorders>
                    <w:top w:val="nil"/>
                    <w:left w:val="nil"/>
                    <w:bottom w:val="single" w:sz="4" w:space="0" w:color="auto"/>
                    <w:right w:val="single" w:sz="4" w:space="0" w:color="auto"/>
                  </w:tcBorders>
                  <w:shd w:val="clear" w:color="auto" w:fill="auto"/>
                  <w:vAlign w:val="center"/>
                  <w:hideMark/>
                </w:tcPr>
                <w:p w14:paraId="4095CDE7" w14:textId="77777777" w:rsidR="00DF16FA" w:rsidRPr="006D3CFF" w:rsidRDefault="00DF16FA" w:rsidP="00DF16FA">
                  <w:pPr>
                    <w:rPr>
                      <w:color w:val="000000"/>
                    </w:rPr>
                  </w:pPr>
                  <w:r w:rsidRPr="006D3CFF">
                    <w:rPr>
                      <w:color w:val="000000"/>
                    </w:rPr>
                    <w:t xml:space="preserve">Civiltiesiskā apdrošināšana </w:t>
                  </w:r>
                </w:p>
              </w:tc>
              <w:tc>
                <w:tcPr>
                  <w:tcW w:w="1326" w:type="dxa"/>
                  <w:tcBorders>
                    <w:top w:val="nil"/>
                    <w:left w:val="nil"/>
                    <w:bottom w:val="single" w:sz="4" w:space="0" w:color="auto"/>
                    <w:right w:val="single" w:sz="4" w:space="0" w:color="auto"/>
                  </w:tcBorders>
                  <w:shd w:val="clear" w:color="auto" w:fill="auto"/>
                  <w:noWrap/>
                  <w:vAlign w:val="center"/>
                  <w:hideMark/>
                </w:tcPr>
                <w:p w14:paraId="4E08E465" w14:textId="513F5B52" w:rsidR="00DF16FA" w:rsidRPr="006D3CFF" w:rsidRDefault="00DF16FA" w:rsidP="00DF16FA">
                  <w:pPr>
                    <w:jc w:val="center"/>
                    <w:rPr>
                      <w:color w:val="000000"/>
                    </w:rPr>
                  </w:pPr>
                  <w:r>
                    <w:rPr>
                      <w:color w:val="000000"/>
                    </w:rPr>
                    <w:t>1</w:t>
                  </w:r>
                  <w:r w:rsidR="00B10CC0">
                    <w:rPr>
                      <w:b/>
                      <w:bCs/>
                      <w:color w:val="000000"/>
                    </w:rPr>
                    <w:t> </w:t>
                  </w:r>
                  <w:r>
                    <w:rPr>
                      <w:color w:val="000000"/>
                    </w:rPr>
                    <w:t>400,00</w:t>
                  </w:r>
                </w:p>
              </w:tc>
            </w:tr>
            <w:tr w:rsidR="00DF16FA" w:rsidRPr="006D3CFF" w14:paraId="6864310B" w14:textId="77777777" w:rsidTr="00DF16FA">
              <w:trPr>
                <w:trHeight w:val="30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F48F3D" w14:textId="6D30D42A" w:rsidR="00DF16FA" w:rsidRPr="006D3CFF" w:rsidRDefault="001B3857" w:rsidP="00DF16FA">
                  <w:pPr>
                    <w:rPr>
                      <w:color w:val="000000"/>
                    </w:rPr>
                  </w:pPr>
                  <w:r>
                    <w:rPr>
                      <w:color w:val="000000"/>
                    </w:rPr>
                    <w:t>10</w:t>
                  </w:r>
                </w:p>
              </w:tc>
              <w:tc>
                <w:tcPr>
                  <w:tcW w:w="3783" w:type="dxa"/>
                  <w:tcBorders>
                    <w:top w:val="nil"/>
                    <w:left w:val="nil"/>
                    <w:bottom w:val="single" w:sz="4" w:space="0" w:color="auto"/>
                    <w:right w:val="single" w:sz="4" w:space="0" w:color="auto"/>
                  </w:tcBorders>
                  <w:shd w:val="clear" w:color="auto" w:fill="auto"/>
                  <w:vAlign w:val="center"/>
                  <w:hideMark/>
                </w:tcPr>
                <w:p w14:paraId="4027CDEF" w14:textId="77777777" w:rsidR="00DF16FA" w:rsidRPr="006D3CFF" w:rsidRDefault="00DF16FA" w:rsidP="00DF16FA">
                  <w:pPr>
                    <w:rPr>
                      <w:color w:val="000000"/>
                    </w:rPr>
                  </w:pPr>
                  <w:r w:rsidRPr="006D3CFF">
                    <w:rPr>
                      <w:color w:val="000000"/>
                    </w:rPr>
                    <w:t>Pirmā pieprasījuma garantijas nodrošināšanas maksa</w:t>
                  </w:r>
                </w:p>
              </w:tc>
              <w:tc>
                <w:tcPr>
                  <w:tcW w:w="1326" w:type="dxa"/>
                  <w:tcBorders>
                    <w:top w:val="nil"/>
                    <w:left w:val="nil"/>
                    <w:bottom w:val="single" w:sz="4" w:space="0" w:color="auto"/>
                    <w:right w:val="single" w:sz="4" w:space="0" w:color="auto"/>
                  </w:tcBorders>
                  <w:shd w:val="clear" w:color="auto" w:fill="auto"/>
                  <w:noWrap/>
                  <w:vAlign w:val="center"/>
                  <w:hideMark/>
                </w:tcPr>
                <w:p w14:paraId="52141B32" w14:textId="4A8E77B7" w:rsidR="00DF16FA" w:rsidRPr="006D3CFF" w:rsidRDefault="00DF16FA" w:rsidP="00DF16FA">
                  <w:pPr>
                    <w:jc w:val="center"/>
                    <w:rPr>
                      <w:color w:val="000000"/>
                    </w:rPr>
                  </w:pPr>
                  <w:r>
                    <w:rPr>
                      <w:color w:val="000000"/>
                    </w:rPr>
                    <w:t>95,00</w:t>
                  </w:r>
                </w:p>
              </w:tc>
            </w:tr>
            <w:tr w:rsidR="00DF16FA" w:rsidRPr="006D3CFF" w14:paraId="169A48F6" w14:textId="77777777" w:rsidTr="00DF16FA">
              <w:trPr>
                <w:trHeight w:val="60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BA51B4" w14:textId="05483504" w:rsidR="00DF16FA" w:rsidRPr="006D3CFF" w:rsidRDefault="001B3857" w:rsidP="00DF16FA">
                  <w:pPr>
                    <w:rPr>
                      <w:color w:val="000000"/>
                    </w:rPr>
                  </w:pPr>
                  <w:r w:rsidRPr="006D3CFF">
                    <w:rPr>
                      <w:color w:val="000000"/>
                    </w:rPr>
                    <w:t>1</w:t>
                  </w:r>
                  <w:r>
                    <w:rPr>
                      <w:color w:val="000000"/>
                    </w:rPr>
                    <w:t>1</w:t>
                  </w:r>
                </w:p>
              </w:tc>
              <w:tc>
                <w:tcPr>
                  <w:tcW w:w="3783" w:type="dxa"/>
                  <w:tcBorders>
                    <w:top w:val="nil"/>
                    <w:left w:val="nil"/>
                    <w:bottom w:val="single" w:sz="4" w:space="0" w:color="auto"/>
                    <w:right w:val="single" w:sz="4" w:space="0" w:color="auto"/>
                  </w:tcBorders>
                  <w:shd w:val="clear" w:color="auto" w:fill="auto"/>
                  <w:vAlign w:val="center"/>
                  <w:hideMark/>
                </w:tcPr>
                <w:p w14:paraId="14DD5703" w14:textId="26FE549B" w:rsidR="00DF16FA" w:rsidRPr="006D3CFF" w:rsidRDefault="00DF16FA" w:rsidP="00DF16FA">
                  <w:pPr>
                    <w:rPr>
                      <w:color w:val="000000"/>
                    </w:rPr>
                  </w:pPr>
                  <w:r w:rsidRPr="006D3CFF">
                    <w:rPr>
                      <w:color w:val="000000"/>
                    </w:rPr>
                    <w:t>IT</w:t>
                  </w:r>
                  <w:r w:rsidR="001B3857">
                    <w:rPr>
                      <w:color w:val="000000"/>
                    </w:rPr>
                    <w:t xml:space="preserve"> pakalpojumi,</w:t>
                  </w:r>
                  <w:r w:rsidRPr="006D3CFF">
                    <w:rPr>
                      <w:color w:val="000000"/>
                    </w:rPr>
                    <w:t xml:space="preserve"> tehnika un programmatūra</w:t>
                  </w:r>
                </w:p>
              </w:tc>
              <w:tc>
                <w:tcPr>
                  <w:tcW w:w="1326" w:type="dxa"/>
                  <w:tcBorders>
                    <w:top w:val="nil"/>
                    <w:left w:val="nil"/>
                    <w:bottom w:val="single" w:sz="4" w:space="0" w:color="auto"/>
                    <w:right w:val="single" w:sz="4" w:space="0" w:color="auto"/>
                  </w:tcBorders>
                  <w:shd w:val="clear" w:color="auto" w:fill="auto"/>
                  <w:noWrap/>
                  <w:vAlign w:val="center"/>
                  <w:hideMark/>
                </w:tcPr>
                <w:p w14:paraId="0A5FC1CB" w14:textId="2AEBB85F" w:rsidR="00DF16FA" w:rsidRPr="006D3CFF" w:rsidRDefault="001B3857" w:rsidP="00DF16FA">
                  <w:pPr>
                    <w:jc w:val="center"/>
                    <w:rPr>
                      <w:color w:val="000000"/>
                    </w:rPr>
                  </w:pPr>
                  <w:r>
                    <w:rPr>
                      <w:color w:val="000000"/>
                    </w:rPr>
                    <w:t>5</w:t>
                  </w:r>
                  <w:r w:rsidR="00A87D40">
                    <w:rPr>
                      <w:color w:val="000000"/>
                    </w:rPr>
                    <w:t> </w:t>
                  </w:r>
                  <w:r>
                    <w:rPr>
                      <w:color w:val="000000"/>
                    </w:rPr>
                    <w:t>050</w:t>
                  </w:r>
                  <w:r w:rsidR="00DF16FA">
                    <w:rPr>
                      <w:color w:val="000000"/>
                    </w:rPr>
                    <w:t>,00</w:t>
                  </w:r>
                </w:p>
              </w:tc>
            </w:tr>
            <w:tr w:rsidR="00DF16FA" w:rsidRPr="006D3CFF" w14:paraId="04E96CF7" w14:textId="77777777" w:rsidTr="00DF16FA">
              <w:trPr>
                <w:trHeight w:val="379"/>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EDD265" w14:textId="300CE49D" w:rsidR="00DF16FA" w:rsidRPr="006D3CFF" w:rsidRDefault="001B3857" w:rsidP="00DF16FA">
                  <w:pPr>
                    <w:rPr>
                      <w:color w:val="000000"/>
                    </w:rPr>
                  </w:pPr>
                  <w:r w:rsidRPr="006D3CFF">
                    <w:rPr>
                      <w:color w:val="000000"/>
                    </w:rPr>
                    <w:t>1</w:t>
                  </w:r>
                  <w:r>
                    <w:rPr>
                      <w:color w:val="000000"/>
                    </w:rPr>
                    <w:t>2</w:t>
                  </w:r>
                </w:p>
              </w:tc>
              <w:tc>
                <w:tcPr>
                  <w:tcW w:w="3783" w:type="dxa"/>
                  <w:tcBorders>
                    <w:top w:val="nil"/>
                    <w:left w:val="nil"/>
                    <w:bottom w:val="single" w:sz="4" w:space="0" w:color="auto"/>
                    <w:right w:val="single" w:sz="4" w:space="0" w:color="auto"/>
                  </w:tcBorders>
                  <w:shd w:val="clear" w:color="auto" w:fill="auto"/>
                  <w:vAlign w:val="center"/>
                  <w:hideMark/>
                </w:tcPr>
                <w:p w14:paraId="39AD3C0B" w14:textId="77777777" w:rsidR="00DF16FA" w:rsidRPr="006D3CFF" w:rsidRDefault="00DF16FA" w:rsidP="00DF16FA">
                  <w:pPr>
                    <w:rPr>
                      <w:color w:val="000000"/>
                    </w:rPr>
                  </w:pPr>
                  <w:r w:rsidRPr="006D3CFF">
                    <w:rPr>
                      <w:color w:val="000000"/>
                    </w:rPr>
                    <w:t>Kancelejas un pasta izdevumi</w:t>
                  </w:r>
                </w:p>
              </w:tc>
              <w:tc>
                <w:tcPr>
                  <w:tcW w:w="1326" w:type="dxa"/>
                  <w:tcBorders>
                    <w:top w:val="nil"/>
                    <w:left w:val="nil"/>
                    <w:bottom w:val="single" w:sz="4" w:space="0" w:color="auto"/>
                    <w:right w:val="single" w:sz="4" w:space="0" w:color="auto"/>
                  </w:tcBorders>
                  <w:shd w:val="clear" w:color="auto" w:fill="auto"/>
                  <w:noWrap/>
                  <w:vAlign w:val="center"/>
                  <w:hideMark/>
                </w:tcPr>
                <w:p w14:paraId="45E5332F" w14:textId="2282843E" w:rsidR="00DF16FA" w:rsidRPr="006D3CFF" w:rsidRDefault="00DF16FA" w:rsidP="00DF16FA">
                  <w:pPr>
                    <w:jc w:val="center"/>
                    <w:rPr>
                      <w:color w:val="000000"/>
                    </w:rPr>
                  </w:pPr>
                  <w:r>
                    <w:rPr>
                      <w:color w:val="000000"/>
                    </w:rPr>
                    <w:t>820,00</w:t>
                  </w:r>
                </w:p>
              </w:tc>
            </w:tr>
            <w:tr w:rsidR="00DF16FA" w:rsidRPr="006D3CFF" w14:paraId="4C5C55E7" w14:textId="77777777" w:rsidTr="00DF16FA">
              <w:trPr>
                <w:trHeight w:val="28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5FFDF" w14:textId="79AB152D" w:rsidR="00DF16FA" w:rsidRPr="006D3CFF" w:rsidRDefault="001B3857" w:rsidP="00DF16FA">
                  <w:pPr>
                    <w:rPr>
                      <w:color w:val="000000"/>
                    </w:rPr>
                  </w:pPr>
                  <w:r w:rsidRPr="006D3CFF">
                    <w:rPr>
                      <w:color w:val="000000"/>
                    </w:rPr>
                    <w:t>1</w:t>
                  </w:r>
                  <w:r>
                    <w:rPr>
                      <w:color w:val="000000"/>
                    </w:rPr>
                    <w:t>3</w:t>
                  </w:r>
                </w:p>
              </w:tc>
              <w:tc>
                <w:tcPr>
                  <w:tcW w:w="3783" w:type="dxa"/>
                  <w:tcBorders>
                    <w:top w:val="nil"/>
                    <w:left w:val="nil"/>
                    <w:bottom w:val="single" w:sz="4" w:space="0" w:color="auto"/>
                    <w:right w:val="single" w:sz="4" w:space="0" w:color="auto"/>
                  </w:tcBorders>
                  <w:shd w:val="clear" w:color="auto" w:fill="auto"/>
                  <w:vAlign w:val="center"/>
                  <w:hideMark/>
                </w:tcPr>
                <w:p w14:paraId="2335D412" w14:textId="77777777" w:rsidR="00DF16FA" w:rsidRPr="006D3CFF" w:rsidRDefault="00DF16FA" w:rsidP="00DF16FA">
                  <w:pPr>
                    <w:rPr>
                      <w:color w:val="000000"/>
                    </w:rPr>
                  </w:pPr>
                  <w:r>
                    <w:rPr>
                      <w:color w:val="000000"/>
                    </w:rPr>
                    <w:t>Komandējumi</w:t>
                  </w:r>
                </w:p>
              </w:tc>
              <w:tc>
                <w:tcPr>
                  <w:tcW w:w="1326" w:type="dxa"/>
                  <w:tcBorders>
                    <w:top w:val="nil"/>
                    <w:left w:val="nil"/>
                    <w:bottom w:val="single" w:sz="4" w:space="0" w:color="auto"/>
                    <w:right w:val="single" w:sz="4" w:space="0" w:color="auto"/>
                  </w:tcBorders>
                  <w:shd w:val="clear" w:color="auto" w:fill="auto"/>
                  <w:noWrap/>
                  <w:vAlign w:val="center"/>
                  <w:hideMark/>
                </w:tcPr>
                <w:p w14:paraId="63158A02" w14:textId="30C42BA9" w:rsidR="00DF16FA" w:rsidRPr="006D3CFF" w:rsidRDefault="00DF16FA" w:rsidP="00DF16FA">
                  <w:pPr>
                    <w:jc w:val="center"/>
                    <w:rPr>
                      <w:color w:val="000000"/>
                    </w:rPr>
                  </w:pPr>
                  <w:r>
                    <w:rPr>
                      <w:color w:val="000000"/>
                    </w:rPr>
                    <w:t>1</w:t>
                  </w:r>
                  <w:r w:rsidR="00B10CC0">
                    <w:rPr>
                      <w:b/>
                      <w:bCs/>
                      <w:color w:val="000000"/>
                    </w:rPr>
                    <w:t> </w:t>
                  </w:r>
                  <w:r>
                    <w:rPr>
                      <w:color w:val="000000"/>
                    </w:rPr>
                    <w:t>500,00</w:t>
                  </w:r>
                </w:p>
              </w:tc>
            </w:tr>
            <w:tr w:rsidR="00DF16FA" w:rsidRPr="006D3CFF" w14:paraId="2753A3C3" w14:textId="77777777" w:rsidTr="00DF16FA">
              <w:trPr>
                <w:trHeight w:val="544"/>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585D55" w14:textId="33585DC1" w:rsidR="00DF16FA" w:rsidRPr="006D3CFF" w:rsidRDefault="001B3857" w:rsidP="00DF16FA">
                  <w:pPr>
                    <w:rPr>
                      <w:color w:val="000000"/>
                    </w:rPr>
                  </w:pPr>
                  <w:r w:rsidRPr="006D3CFF">
                    <w:rPr>
                      <w:color w:val="000000"/>
                    </w:rPr>
                    <w:t>1</w:t>
                  </w:r>
                  <w:r>
                    <w:rPr>
                      <w:color w:val="000000"/>
                    </w:rPr>
                    <w:t>4</w:t>
                  </w:r>
                </w:p>
              </w:tc>
              <w:tc>
                <w:tcPr>
                  <w:tcW w:w="3783" w:type="dxa"/>
                  <w:tcBorders>
                    <w:top w:val="nil"/>
                    <w:left w:val="nil"/>
                    <w:bottom w:val="single" w:sz="4" w:space="0" w:color="auto"/>
                    <w:right w:val="single" w:sz="4" w:space="0" w:color="auto"/>
                  </w:tcBorders>
                  <w:shd w:val="clear" w:color="auto" w:fill="auto"/>
                  <w:vAlign w:val="center"/>
                  <w:hideMark/>
                </w:tcPr>
                <w:p w14:paraId="12013443" w14:textId="77777777" w:rsidR="00DF16FA" w:rsidRPr="006D3CFF" w:rsidRDefault="00DF16FA" w:rsidP="00DF16FA">
                  <w:pPr>
                    <w:rPr>
                      <w:color w:val="000000"/>
                    </w:rPr>
                  </w:pPr>
                  <w:r w:rsidRPr="006D3CFF">
                    <w:rPr>
                      <w:color w:val="000000"/>
                    </w:rPr>
                    <w:t>Ekspertu kvalifikācijas celšana</w:t>
                  </w:r>
                  <w:r>
                    <w:rPr>
                      <w:color w:val="000000"/>
                    </w:rPr>
                    <w:t>s</w:t>
                  </w:r>
                  <w:r w:rsidRPr="006D3CFF">
                    <w:rPr>
                      <w:color w:val="000000"/>
                    </w:rPr>
                    <w:t xml:space="preserve"> pasākumi</w:t>
                  </w:r>
                </w:p>
              </w:tc>
              <w:tc>
                <w:tcPr>
                  <w:tcW w:w="1326" w:type="dxa"/>
                  <w:tcBorders>
                    <w:top w:val="nil"/>
                    <w:left w:val="nil"/>
                    <w:bottom w:val="single" w:sz="4" w:space="0" w:color="auto"/>
                    <w:right w:val="single" w:sz="4" w:space="0" w:color="auto"/>
                  </w:tcBorders>
                  <w:shd w:val="clear" w:color="auto" w:fill="auto"/>
                  <w:noWrap/>
                  <w:vAlign w:val="center"/>
                  <w:hideMark/>
                </w:tcPr>
                <w:p w14:paraId="533EB286" w14:textId="2FE2F455" w:rsidR="00DF16FA" w:rsidRPr="006D3CFF" w:rsidRDefault="00DF16FA" w:rsidP="00DF16FA">
                  <w:pPr>
                    <w:jc w:val="center"/>
                    <w:rPr>
                      <w:color w:val="000000"/>
                    </w:rPr>
                  </w:pPr>
                  <w:r>
                    <w:rPr>
                      <w:color w:val="000000"/>
                    </w:rPr>
                    <w:t>7</w:t>
                  </w:r>
                  <w:r w:rsidR="00B10CC0">
                    <w:rPr>
                      <w:b/>
                      <w:bCs/>
                      <w:color w:val="000000"/>
                    </w:rPr>
                    <w:t> </w:t>
                  </w:r>
                  <w:r>
                    <w:rPr>
                      <w:color w:val="000000"/>
                    </w:rPr>
                    <w:t>450,00</w:t>
                  </w:r>
                </w:p>
              </w:tc>
            </w:tr>
            <w:tr w:rsidR="00DF16FA" w:rsidRPr="006D3CFF" w14:paraId="0B4F87C8" w14:textId="77777777" w:rsidTr="00DF16FA">
              <w:trPr>
                <w:trHeight w:val="544"/>
                <w:jc w:val="center"/>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EBE2497" w14:textId="60117912" w:rsidR="00DF16FA" w:rsidRPr="00A87D40" w:rsidRDefault="001B3857" w:rsidP="00DF16FA">
                  <w:r w:rsidRPr="00A87D40">
                    <w:t>15</w:t>
                  </w:r>
                </w:p>
              </w:tc>
              <w:tc>
                <w:tcPr>
                  <w:tcW w:w="3783" w:type="dxa"/>
                  <w:tcBorders>
                    <w:top w:val="nil"/>
                    <w:left w:val="nil"/>
                    <w:bottom w:val="single" w:sz="4" w:space="0" w:color="auto"/>
                    <w:right w:val="single" w:sz="4" w:space="0" w:color="auto"/>
                  </w:tcBorders>
                  <w:shd w:val="clear" w:color="auto" w:fill="auto"/>
                  <w:vAlign w:val="center"/>
                </w:tcPr>
                <w:p w14:paraId="6F8E89E6" w14:textId="77777777" w:rsidR="00DF16FA" w:rsidRPr="00A87D40" w:rsidRDefault="00DF16FA" w:rsidP="00DF16FA">
                  <w:r w:rsidRPr="00A87D40">
                    <w:t>Citi pakalpojumi</w:t>
                  </w:r>
                </w:p>
              </w:tc>
              <w:tc>
                <w:tcPr>
                  <w:tcW w:w="1326" w:type="dxa"/>
                  <w:tcBorders>
                    <w:top w:val="nil"/>
                    <w:left w:val="nil"/>
                    <w:bottom w:val="single" w:sz="4" w:space="0" w:color="auto"/>
                    <w:right w:val="single" w:sz="4" w:space="0" w:color="auto"/>
                  </w:tcBorders>
                  <w:shd w:val="clear" w:color="auto" w:fill="auto"/>
                  <w:noWrap/>
                  <w:vAlign w:val="center"/>
                </w:tcPr>
                <w:p w14:paraId="4A4D1C9D" w14:textId="48388827" w:rsidR="00DF16FA" w:rsidRPr="00A87D40" w:rsidRDefault="001B3857" w:rsidP="00DF16FA">
                  <w:pPr>
                    <w:jc w:val="center"/>
                  </w:pPr>
                  <w:r w:rsidRPr="00A87D40">
                    <w:rPr>
                      <w:bCs/>
                    </w:rPr>
                    <w:t>1</w:t>
                  </w:r>
                  <w:r w:rsidR="00A87D40" w:rsidRPr="00A87D40">
                    <w:t> </w:t>
                  </w:r>
                  <w:r w:rsidRPr="00A87D40">
                    <w:t>900</w:t>
                  </w:r>
                  <w:r w:rsidR="00DF16FA" w:rsidRPr="00A87D40">
                    <w:t>,00</w:t>
                  </w:r>
                </w:p>
              </w:tc>
            </w:tr>
            <w:tr w:rsidR="00DF16FA" w:rsidRPr="006D3CFF" w14:paraId="7124AE2F" w14:textId="77777777" w:rsidTr="00DF16FA">
              <w:trPr>
                <w:trHeight w:val="300"/>
                <w:jc w:val="center"/>
              </w:trPr>
              <w:tc>
                <w:tcPr>
                  <w:tcW w:w="4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C7D8" w14:textId="77777777" w:rsidR="00DF16FA" w:rsidRPr="006D3CFF" w:rsidRDefault="00DF16FA" w:rsidP="00DF16FA">
                  <w:pPr>
                    <w:rPr>
                      <w:b/>
                      <w:bCs/>
                      <w:color w:val="000000"/>
                    </w:rPr>
                  </w:pPr>
                  <w:r w:rsidRPr="006D3CFF">
                    <w:rPr>
                      <w:b/>
                      <w:bCs/>
                      <w:color w:val="000000"/>
                    </w:rPr>
                    <w:t>Kopā netiešās izmaksas (</w:t>
                  </w:r>
                  <w:r w:rsidRPr="006D3CFF">
                    <w:rPr>
                      <w:b/>
                      <w:bCs/>
                      <w:i/>
                      <w:color w:val="000000"/>
                    </w:rPr>
                    <w:t>euro</w:t>
                  </w:r>
                  <w:r w:rsidRPr="006D3CFF">
                    <w:rPr>
                      <w:b/>
                      <w:bCs/>
                      <w:color w:val="000000"/>
                    </w:rPr>
                    <w:t>)</w:t>
                  </w:r>
                </w:p>
              </w:tc>
              <w:tc>
                <w:tcPr>
                  <w:tcW w:w="1326" w:type="dxa"/>
                  <w:tcBorders>
                    <w:top w:val="nil"/>
                    <w:left w:val="nil"/>
                    <w:bottom w:val="single" w:sz="4" w:space="0" w:color="auto"/>
                    <w:right w:val="single" w:sz="4" w:space="0" w:color="auto"/>
                  </w:tcBorders>
                  <w:shd w:val="clear" w:color="auto" w:fill="auto"/>
                  <w:noWrap/>
                  <w:vAlign w:val="center"/>
                  <w:hideMark/>
                </w:tcPr>
                <w:p w14:paraId="22B76830" w14:textId="2E576E40" w:rsidR="00DF16FA" w:rsidRPr="006D3CFF" w:rsidRDefault="00DF16FA" w:rsidP="00DF16FA">
                  <w:pPr>
                    <w:jc w:val="center"/>
                    <w:rPr>
                      <w:b/>
                      <w:bCs/>
                      <w:color w:val="000000"/>
                    </w:rPr>
                  </w:pPr>
                  <w:r>
                    <w:rPr>
                      <w:b/>
                      <w:bCs/>
                      <w:color w:val="000000"/>
                    </w:rPr>
                    <w:t>55</w:t>
                  </w:r>
                  <w:r w:rsidR="00B10CC0">
                    <w:rPr>
                      <w:b/>
                      <w:bCs/>
                      <w:color w:val="000000"/>
                    </w:rPr>
                    <w:t> </w:t>
                  </w:r>
                  <w:r>
                    <w:rPr>
                      <w:b/>
                      <w:bCs/>
                      <w:color w:val="000000"/>
                    </w:rPr>
                    <w:t>625,00</w:t>
                  </w:r>
                </w:p>
              </w:tc>
            </w:tr>
            <w:tr w:rsidR="00DF16FA" w:rsidRPr="006D3CFF" w14:paraId="67ED9F7C" w14:textId="77777777" w:rsidTr="00DF16FA">
              <w:trPr>
                <w:trHeight w:val="300"/>
                <w:jc w:val="center"/>
              </w:trPr>
              <w:tc>
                <w:tcPr>
                  <w:tcW w:w="4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B3C7C" w14:textId="77777777" w:rsidR="00DF16FA" w:rsidRPr="006D3CFF" w:rsidRDefault="00DF16FA" w:rsidP="00DF16FA">
                  <w:pPr>
                    <w:jc w:val="both"/>
                    <w:rPr>
                      <w:b/>
                      <w:bCs/>
                      <w:color w:val="000000"/>
                    </w:rPr>
                  </w:pPr>
                  <w:r w:rsidRPr="006D3CFF">
                    <w:rPr>
                      <w:b/>
                      <w:bCs/>
                      <w:color w:val="000000"/>
                    </w:rPr>
                    <w:t xml:space="preserve">Kopā uz 1 </w:t>
                  </w:r>
                  <w:r>
                    <w:rPr>
                      <w:b/>
                      <w:bCs/>
                      <w:color w:val="000000"/>
                    </w:rPr>
                    <w:t>sertificētu arhitektu</w:t>
                  </w:r>
                  <w:r w:rsidRPr="006D3CFF">
                    <w:rPr>
                      <w:b/>
                      <w:bCs/>
                      <w:color w:val="000000"/>
                    </w:rPr>
                    <w:t xml:space="preserve"> (</w:t>
                  </w:r>
                  <w:r w:rsidRPr="006D3CFF">
                    <w:rPr>
                      <w:b/>
                      <w:bCs/>
                      <w:i/>
                      <w:color w:val="000000"/>
                    </w:rPr>
                    <w:t>euro</w:t>
                  </w:r>
                  <w:r w:rsidRPr="006D3CFF">
                    <w:rPr>
                      <w:b/>
                      <w:bCs/>
                      <w:color w:val="000000"/>
                    </w:rPr>
                    <w:t>)</w:t>
                  </w:r>
                </w:p>
              </w:tc>
              <w:tc>
                <w:tcPr>
                  <w:tcW w:w="1326" w:type="dxa"/>
                  <w:tcBorders>
                    <w:top w:val="nil"/>
                    <w:left w:val="nil"/>
                    <w:bottom w:val="single" w:sz="4" w:space="0" w:color="auto"/>
                    <w:right w:val="single" w:sz="4" w:space="0" w:color="auto"/>
                  </w:tcBorders>
                  <w:shd w:val="clear" w:color="auto" w:fill="auto"/>
                  <w:noWrap/>
                  <w:vAlign w:val="center"/>
                  <w:hideMark/>
                </w:tcPr>
                <w:p w14:paraId="268C1AD2" w14:textId="77777777" w:rsidR="00DF16FA" w:rsidRPr="006D3CFF" w:rsidRDefault="00DF16FA" w:rsidP="00DF16FA">
                  <w:pPr>
                    <w:jc w:val="center"/>
                    <w:rPr>
                      <w:b/>
                      <w:bCs/>
                      <w:color w:val="000000"/>
                    </w:rPr>
                  </w:pPr>
                  <w:r>
                    <w:rPr>
                      <w:b/>
                      <w:bCs/>
                      <w:color w:val="000000"/>
                    </w:rPr>
                    <w:t>67,00</w:t>
                  </w:r>
                </w:p>
              </w:tc>
            </w:tr>
          </w:tbl>
          <w:p w14:paraId="2F4EE76F" w14:textId="77777777" w:rsidR="00DF16FA" w:rsidRPr="00064DE9" w:rsidRDefault="00DF16FA" w:rsidP="00DF16FA">
            <w:pPr>
              <w:shd w:val="clear" w:color="auto" w:fill="FFFFFF"/>
              <w:jc w:val="both"/>
              <w:rPr>
                <w:sz w:val="14"/>
              </w:rPr>
            </w:pPr>
          </w:p>
          <w:p w14:paraId="0111672B" w14:textId="21DDBF1E" w:rsidR="00DF16FA" w:rsidRPr="00B74E1D" w:rsidRDefault="00DF16FA" w:rsidP="00DF16FA">
            <w:pPr>
              <w:autoSpaceDE w:val="0"/>
              <w:autoSpaceDN w:val="0"/>
              <w:adjustRightInd w:val="0"/>
              <w:ind w:firstLine="402"/>
              <w:jc w:val="both"/>
              <w:rPr>
                <w:bCs/>
              </w:rPr>
            </w:pPr>
            <w:r w:rsidRPr="00B74E1D">
              <w:rPr>
                <w:bCs/>
              </w:rPr>
              <w:t xml:space="preserve">Netiešo izmaksu aprēķinā ņemti vērā </w:t>
            </w:r>
            <w:r w:rsidR="00DD21FA">
              <w:rPr>
                <w:bCs/>
                <w:i/>
              </w:rPr>
              <w:t>LAS</w:t>
            </w:r>
            <w:r w:rsidRPr="00B74E1D">
              <w:rPr>
                <w:bCs/>
              </w:rPr>
              <w:t xml:space="preserve"> iesniegtie aprēķini</w:t>
            </w:r>
            <w:r w:rsidR="00026F27">
              <w:rPr>
                <w:bCs/>
              </w:rPr>
              <w:t>.</w:t>
            </w:r>
            <w:r w:rsidRPr="00B74E1D">
              <w:rPr>
                <w:bCs/>
              </w:rPr>
              <w:t xml:space="preserve"> Izmaksās iekļauts biroja darbinieku atalgojums (</w:t>
            </w:r>
            <w:r w:rsidR="00026F27">
              <w:rPr>
                <w:bCs/>
              </w:rPr>
              <w:t>lietvedis</w:t>
            </w:r>
            <w:r w:rsidRPr="00B74E1D">
              <w:rPr>
                <w:bCs/>
              </w:rPr>
              <w:t xml:space="preserve">, </w:t>
            </w:r>
            <w:r w:rsidR="00026F27">
              <w:rPr>
                <w:bCs/>
              </w:rPr>
              <w:t>institūcijas</w:t>
            </w:r>
            <w:r w:rsidRPr="00B74E1D">
              <w:rPr>
                <w:bCs/>
              </w:rPr>
              <w:t xml:space="preserve"> vadītājs, kvalitātes vadītājs, </w:t>
            </w:r>
            <w:r w:rsidR="001B3857">
              <w:rPr>
                <w:bCs/>
              </w:rPr>
              <w:t xml:space="preserve">organizācijas </w:t>
            </w:r>
            <w:r w:rsidR="009E1678">
              <w:rPr>
                <w:bCs/>
              </w:rPr>
              <w:t>padome</w:t>
            </w:r>
            <w:r w:rsidRPr="00B74E1D">
              <w:rPr>
                <w:bCs/>
              </w:rPr>
              <w:t>)</w:t>
            </w:r>
            <w:r w:rsidR="001B3857">
              <w:rPr>
                <w:bCs/>
              </w:rPr>
              <w:t>, grāmatvedības pakalpojumi</w:t>
            </w:r>
            <w:r w:rsidRPr="00B74E1D">
              <w:rPr>
                <w:bCs/>
              </w:rPr>
              <w:t>.</w:t>
            </w:r>
          </w:p>
          <w:p w14:paraId="13AF87EF" w14:textId="0114B2DB" w:rsidR="00DF16FA" w:rsidRPr="00B74E1D" w:rsidRDefault="00DF16FA" w:rsidP="00DF16FA">
            <w:pPr>
              <w:autoSpaceDE w:val="0"/>
              <w:autoSpaceDN w:val="0"/>
              <w:adjustRightInd w:val="0"/>
              <w:ind w:firstLine="402"/>
              <w:jc w:val="both"/>
              <w:rPr>
                <w:bCs/>
              </w:rPr>
            </w:pPr>
            <w:r w:rsidRPr="00B74E1D">
              <w:rPr>
                <w:bCs/>
              </w:rPr>
              <w:t xml:space="preserve">Aprēķinātas arī izmaksas, kuras saistītas ar telpu uzturēšanu, pasta un kancelejas izdevumiem, IT </w:t>
            </w:r>
            <w:r w:rsidR="001B3857">
              <w:rPr>
                <w:bCs/>
              </w:rPr>
              <w:t xml:space="preserve">sistēmas </w:t>
            </w:r>
            <w:r w:rsidRPr="00B74E1D">
              <w:rPr>
                <w:bCs/>
              </w:rPr>
              <w:t>un programatūras uzturēšanas izmaksas.</w:t>
            </w:r>
          </w:p>
          <w:p w14:paraId="4FFE8EDA" w14:textId="2C7DDBF1" w:rsidR="00DF16FA" w:rsidRPr="00B74E1D" w:rsidRDefault="00DF16FA" w:rsidP="00DF16FA">
            <w:pPr>
              <w:autoSpaceDE w:val="0"/>
              <w:autoSpaceDN w:val="0"/>
              <w:adjustRightInd w:val="0"/>
              <w:ind w:firstLine="402"/>
              <w:jc w:val="both"/>
              <w:rPr>
                <w:bCs/>
              </w:rPr>
            </w:pPr>
            <w:r w:rsidRPr="00B74E1D">
              <w:rPr>
                <w:bCs/>
              </w:rPr>
              <w:t xml:space="preserve">Akreditācijas izmaksas iekļautas, jo </w:t>
            </w:r>
            <w:r w:rsidR="00026F27">
              <w:rPr>
                <w:bCs/>
                <w:i/>
              </w:rPr>
              <w:t>LAS</w:t>
            </w:r>
            <w:r w:rsidRPr="00B74E1D">
              <w:rPr>
                <w:bCs/>
              </w:rPr>
              <w:t xml:space="preserve"> ir jābūt spēkā esošai akreditācijai </w:t>
            </w:r>
            <w:r w:rsidR="007A2E82">
              <w:rPr>
                <w:bCs/>
              </w:rPr>
              <w:t xml:space="preserve">Latvijas </w:t>
            </w:r>
            <w:r w:rsidRPr="00B74E1D">
              <w:rPr>
                <w:bCs/>
              </w:rPr>
              <w:t xml:space="preserve">nacionālajā akreditācijas </w:t>
            </w:r>
            <w:r w:rsidR="00026F27">
              <w:rPr>
                <w:bCs/>
              </w:rPr>
              <w:t>birojā</w:t>
            </w:r>
            <w:r w:rsidRPr="00B74E1D">
              <w:rPr>
                <w:bCs/>
              </w:rPr>
              <w:t xml:space="preserve"> kā personu sertificēšanas institūcijai saskaņā ar normatīvajiem aktiem par atbilstības novērtēšanu vai akreditācijai citas Eiropas Savienības dalībvalsts akreditācijas institūcijā. </w:t>
            </w:r>
          </w:p>
          <w:p w14:paraId="73BB1AEB" w14:textId="62F9E857" w:rsidR="00DF16FA" w:rsidRPr="00B74E1D" w:rsidRDefault="00DD0E23" w:rsidP="00DF16FA">
            <w:pPr>
              <w:autoSpaceDE w:val="0"/>
              <w:autoSpaceDN w:val="0"/>
              <w:adjustRightInd w:val="0"/>
              <w:ind w:firstLine="402"/>
              <w:jc w:val="both"/>
              <w:rPr>
                <w:bCs/>
              </w:rPr>
            </w:pPr>
            <w:r>
              <w:rPr>
                <w:bCs/>
              </w:rPr>
              <w:t>Revīzijas</w:t>
            </w:r>
            <w:r w:rsidR="00DF16FA" w:rsidRPr="00B74E1D">
              <w:rPr>
                <w:bCs/>
              </w:rPr>
              <w:t xml:space="preserve"> izmaksas iekļautas, jo atbilstoši </w:t>
            </w:r>
            <w:r w:rsidR="00DF16FA" w:rsidRPr="00D84E0C">
              <w:rPr>
                <w:i/>
              </w:rPr>
              <w:t>noslēgtaj</w:t>
            </w:r>
            <w:r w:rsidR="00026F27">
              <w:rPr>
                <w:i/>
              </w:rPr>
              <w:t>am</w:t>
            </w:r>
            <w:r w:rsidR="00DF16FA">
              <w:t xml:space="preserve"> </w:t>
            </w:r>
            <w:r w:rsidR="00DF16FA">
              <w:rPr>
                <w:i/>
              </w:rPr>
              <w:t>d</w:t>
            </w:r>
            <w:r w:rsidR="00DF16FA" w:rsidRPr="00995693">
              <w:rPr>
                <w:i/>
              </w:rPr>
              <w:t>eleģēšanas līgum</w:t>
            </w:r>
            <w:r w:rsidR="00026F27">
              <w:rPr>
                <w:i/>
              </w:rPr>
              <w:t>am</w:t>
            </w:r>
            <w:r w:rsidR="00DF16FA">
              <w:t xml:space="preserve"> </w:t>
            </w:r>
            <w:r w:rsidR="00026F27" w:rsidRPr="00026F27">
              <w:rPr>
                <w:i/>
              </w:rPr>
              <w:t>LAS</w:t>
            </w:r>
            <w:r w:rsidR="00DF16FA">
              <w:rPr>
                <w:bCs/>
              </w:rPr>
              <w:t xml:space="preserve"> </w:t>
            </w:r>
            <w:r w:rsidR="00DF16FA" w:rsidRPr="00B74E1D">
              <w:rPr>
                <w:bCs/>
              </w:rPr>
              <w:t>pienākumi ietver ik gadu sniegt zvērināta revidenta auditētu darbības pārskatu par iepriekšējā kalendāra gadā deleģēto uzdevumu izpildi, ieņēmumiem no pakalpojumu maksas un līdzekļu izlietojumu.</w:t>
            </w:r>
          </w:p>
          <w:p w14:paraId="6C04AA18" w14:textId="3772A96C" w:rsidR="00DF16FA" w:rsidRPr="00B74E1D" w:rsidRDefault="00DF16FA" w:rsidP="00DF16FA">
            <w:pPr>
              <w:autoSpaceDE w:val="0"/>
              <w:autoSpaceDN w:val="0"/>
              <w:adjustRightInd w:val="0"/>
              <w:ind w:firstLine="402"/>
              <w:jc w:val="both"/>
              <w:rPr>
                <w:bCs/>
              </w:rPr>
            </w:pPr>
            <w:r w:rsidRPr="009A118B">
              <w:lastRenderedPageBreak/>
              <w:t>Noslēgtaj</w:t>
            </w:r>
            <w:r w:rsidR="00026F27" w:rsidRPr="009A118B">
              <w:t>ā</w:t>
            </w:r>
            <w:r w:rsidRPr="009A118B">
              <w:t xml:space="preserve"> deleģēšanas līgum</w:t>
            </w:r>
            <w:r w:rsidR="00026F27" w:rsidRPr="009A118B">
              <w:t>ā</w:t>
            </w:r>
            <w:r>
              <w:t xml:space="preserve"> </w:t>
            </w:r>
            <w:r w:rsidRPr="00B74E1D">
              <w:rPr>
                <w:bCs/>
              </w:rPr>
              <w:t xml:space="preserve">ir iekļauta prasība, ka </w:t>
            </w:r>
            <w:r w:rsidR="00026F27">
              <w:rPr>
                <w:bCs/>
                <w:i/>
              </w:rPr>
              <w:t>LAS</w:t>
            </w:r>
            <w:r w:rsidRPr="00B74E1D">
              <w:rPr>
                <w:bCs/>
              </w:rPr>
              <w:t xml:space="preserve"> ir jābūt civiltiesiskajai apdrošināšanai ar līguma summu vismaz 100</w:t>
            </w:r>
            <w:r>
              <w:rPr>
                <w:bCs/>
              </w:rPr>
              <w:t> </w:t>
            </w:r>
            <w:r w:rsidRPr="00B74E1D">
              <w:rPr>
                <w:bCs/>
              </w:rPr>
              <w:t xml:space="preserve">000 </w:t>
            </w:r>
            <w:r w:rsidRPr="00941AA5">
              <w:rPr>
                <w:bCs/>
                <w:i/>
              </w:rPr>
              <w:t>euro</w:t>
            </w:r>
            <w:r w:rsidRPr="00B74E1D">
              <w:rPr>
                <w:bCs/>
              </w:rPr>
              <w:t xml:space="preserve"> apmērā, kā arī pirmā pieprasījuma garantijai 10</w:t>
            </w:r>
            <w:r>
              <w:rPr>
                <w:bCs/>
              </w:rPr>
              <w:t> </w:t>
            </w:r>
            <w:r w:rsidRPr="00B74E1D">
              <w:rPr>
                <w:bCs/>
              </w:rPr>
              <w:t xml:space="preserve">000 </w:t>
            </w:r>
            <w:r w:rsidRPr="00941AA5">
              <w:rPr>
                <w:bCs/>
                <w:i/>
              </w:rPr>
              <w:t>euro</w:t>
            </w:r>
            <w:r w:rsidRPr="00B74E1D">
              <w:rPr>
                <w:bCs/>
              </w:rPr>
              <w:t xml:space="preserve"> apmērā, kas iestājas, ja </w:t>
            </w:r>
            <w:r w:rsidR="00026F27">
              <w:rPr>
                <w:bCs/>
                <w:i/>
              </w:rPr>
              <w:t>LAS</w:t>
            </w:r>
            <w:r w:rsidRPr="00B74E1D" w:rsidDel="0043765C">
              <w:rPr>
                <w:bCs/>
              </w:rPr>
              <w:t xml:space="preserve"> </w:t>
            </w:r>
            <w:r w:rsidRPr="00B74E1D">
              <w:rPr>
                <w:bCs/>
              </w:rPr>
              <w:t>pārtrauc valsts deleģētā uzdevuma izpili, līdz ar to netiešajās izmaksā</w:t>
            </w:r>
            <w:r>
              <w:rPr>
                <w:bCs/>
              </w:rPr>
              <w:t>s</w:t>
            </w:r>
            <w:r w:rsidRPr="00B74E1D">
              <w:rPr>
                <w:bCs/>
              </w:rPr>
              <w:t xml:space="preserve"> ir iekļauta civiltiesiskās apdrošināšanas prēmijas un pirmā pieprasījuma garantijas </w:t>
            </w:r>
            <w:r>
              <w:rPr>
                <w:bCs/>
              </w:rPr>
              <w:t>apdrošināšanas</w:t>
            </w:r>
            <w:r w:rsidRPr="00B74E1D">
              <w:rPr>
                <w:bCs/>
              </w:rPr>
              <w:t xml:space="preserve"> maksa.</w:t>
            </w:r>
          </w:p>
          <w:p w14:paraId="09FE5D53" w14:textId="72D2DD1A" w:rsidR="00DF16FA" w:rsidRDefault="00026F27" w:rsidP="00DF16FA">
            <w:pPr>
              <w:autoSpaceDE w:val="0"/>
              <w:autoSpaceDN w:val="0"/>
              <w:adjustRightInd w:val="0"/>
              <w:ind w:firstLine="402"/>
              <w:jc w:val="both"/>
              <w:rPr>
                <w:bCs/>
              </w:rPr>
            </w:pPr>
            <w:r>
              <w:rPr>
                <w:bCs/>
                <w:i/>
              </w:rPr>
              <w:t>LAS</w:t>
            </w:r>
            <w:r w:rsidR="00DF16FA" w:rsidRPr="00B74E1D">
              <w:rPr>
                <w:bCs/>
              </w:rPr>
              <w:t xml:space="preserve"> ir nodarbināti </w:t>
            </w:r>
            <w:r>
              <w:rPr>
                <w:bCs/>
              </w:rPr>
              <w:t>15</w:t>
            </w:r>
            <w:r w:rsidR="00DF16FA" w:rsidRPr="00B74E1D">
              <w:rPr>
                <w:bCs/>
              </w:rPr>
              <w:t xml:space="preserve"> eksperti, līdz ar to </w:t>
            </w:r>
            <w:r>
              <w:rPr>
                <w:bCs/>
                <w:i/>
              </w:rPr>
              <w:t>LAS</w:t>
            </w:r>
            <w:r w:rsidR="00DF16FA" w:rsidRPr="00B74E1D">
              <w:rPr>
                <w:bCs/>
              </w:rPr>
              <w:t xml:space="preserve"> regulāri (katru gadu) ir jānodrošina šo ekspertu kvalifikācijas celšanas kursi.</w:t>
            </w:r>
          </w:p>
          <w:p w14:paraId="27C2D191" w14:textId="4F4D1BA7" w:rsidR="00026F27" w:rsidRPr="00A87D40" w:rsidRDefault="00026F27" w:rsidP="00DF16FA">
            <w:pPr>
              <w:autoSpaceDE w:val="0"/>
              <w:autoSpaceDN w:val="0"/>
              <w:adjustRightInd w:val="0"/>
              <w:ind w:firstLine="402"/>
              <w:jc w:val="both"/>
              <w:rPr>
                <w:bCs/>
              </w:rPr>
            </w:pPr>
            <w:r w:rsidRPr="00A87D40">
              <w:t xml:space="preserve">Citi pakalpojumi ir </w:t>
            </w:r>
            <w:r w:rsidRPr="00A87D40">
              <w:rPr>
                <w:i/>
              </w:rPr>
              <w:t>LAS</w:t>
            </w:r>
            <w:r w:rsidRPr="00A87D40">
              <w:t xml:space="preserve"> nepieciešamie pakalpojumi normatīvajos aktos, deleģēšanas līgumā un standartā noteikto uzdevumu izpildei (piemēram, arhivēšana, ieinteresēto pušu sanāksmju organizēšana un apkalpošana</w:t>
            </w:r>
            <w:r w:rsidR="001B3857" w:rsidRPr="00A87D40">
              <w:t>, datu aizsardzības konsultācijas</w:t>
            </w:r>
            <w:r w:rsidRPr="00A87D40">
              <w:t>)</w:t>
            </w:r>
            <w:r w:rsidR="00A87D40" w:rsidRPr="00A87D40">
              <w:t>.</w:t>
            </w:r>
          </w:p>
          <w:p w14:paraId="7E4EDD57" w14:textId="1ED058D1" w:rsidR="00DF16FA" w:rsidRPr="00B74E1D" w:rsidRDefault="00026F27" w:rsidP="00DF16FA">
            <w:pPr>
              <w:autoSpaceDE w:val="0"/>
              <w:autoSpaceDN w:val="0"/>
              <w:adjustRightInd w:val="0"/>
              <w:ind w:firstLine="402"/>
              <w:jc w:val="both"/>
            </w:pPr>
            <w:r>
              <w:t>Arhitektu</w:t>
            </w:r>
            <w:r w:rsidR="00DF16FA" w:rsidRPr="00B74E1D">
              <w:t xml:space="preserve"> uzraudzības ietvaros</w:t>
            </w:r>
            <w:r w:rsidR="00DF16FA">
              <w:t xml:space="preserve"> minēto darbību</w:t>
            </w:r>
            <w:r w:rsidR="00DF16FA" w:rsidRPr="00B74E1D">
              <w:t xml:space="preserve"> </w:t>
            </w:r>
            <w:r w:rsidR="00DF16FA">
              <w:t>veikšanas ne</w:t>
            </w:r>
            <w:r w:rsidR="00DF16FA" w:rsidRPr="00B74E1D">
              <w:t xml:space="preserve">tiešās izmaksas uz vienu </w:t>
            </w:r>
            <w:r w:rsidR="009A118B">
              <w:t>arhit</w:t>
            </w:r>
            <w:r w:rsidR="003252AE">
              <w:t>e</w:t>
            </w:r>
            <w:r w:rsidR="009A118B">
              <w:t>ktu</w:t>
            </w:r>
            <w:r w:rsidR="00DF16FA" w:rsidRPr="00B74E1D">
              <w:t xml:space="preserve"> sastāda </w:t>
            </w:r>
            <w:r w:rsidR="00DD0E23">
              <w:t>67,00</w:t>
            </w:r>
            <w:r w:rsidR="00DF16FA" w:rsidRPr="00B74E1D">
              <w:t xml:space="preserve"> </w:t>
            </w:r>
            <w:r w:rsidR="00DF16FA" w:rsidRPr="00941AA5">
              <w:rPr>
                <w:i/>
              </w:rPr>
              <w:t>euro</w:t>
            </w:r>
            <w:r w:rsidR="00DF16FA" w:rsidRPr="00B74E1D">
              <w:t>.</w:t>
            </w:r>
          </w:p>
          <w:p w14:paraId="17EFB6FC" w14:textId="7C5EE0F0" w:rsidR="00DF16FA" w:rsidRPr="00064DE9" w:rsidRDefault="00DF16FA" w:rsidP="00FB176F">
            <w:pPr>
              <w:shd w:val="clear" w:color="auto" w:fill="FFFFFF"/>
              <w:jc w:val="both"/>
              <w:rPr>
                <w:b/>
                <w:sz w:val="10"/>
                <w:u w:val="single"/>
              </w:rPr>
            </w:pPr>
          </w:p>
          <w:p w14:paraId="5EE84B66" w14:textId="476F9F86" w:rsidR="00457AF6" w:rsidRPr="00457AF6" w:rsidRDefault="00457AF6" w:rsidP="00FB176F">
            <w:pPr>
              <w:shd w:val="clear" w:color="auto" w:fill="FFFFFF"/>
              <w:jc w:val="both"/>
              <w:rPr>
                <w:b/>
              </w:rPr>
            </w:pPr>
            <w:r w:rsidRPr="00457AF6">
              <w:rPr>
                <w:b/>
              </w:rPr>
              <w:t>Tiešās izmaksas</w:t>
            </w:r>
          </w:p>
          <w:p w14:paraId="1E62AFC2" w14:textId="4AFD5A00" w:rsidR="00457AF6" w:rsidRPr="00064DE9" w:rsidRDefault="00457AF6" w:rsidP="00FB176F">
            <w:pPr>
              <w:shd w:val="clear" w:color="auto" w:fill="FFFFFF"/>
              <w:jc w:val="both"/>
              <w:rPr>
                <w:b/>
                <w:sz w:val="10"/>
                <w:u w:val="single"/>
              </w:rPr>
            </w:pPr>
          </w:p>
          <w:p w14:paraId="67417609" w14:textId="77777777" w:rsidR="006B19FE" w:rsidRDefault="006B19FE" w:rsidP="006B19FE">
            <w:pPr>
              <w:shd w:val="clear" w:color="auto" w:fill="FFFFFF"/>
              <w:ind w:firstLine="455"/>
              <w:jc w:val="both"/>
            </w:pPr>
            <w:r>
              <w:t>Arhitektu</w:t>
            </w:r>
            <w:r w:rsidRPr="00B74E1D">
              <w:t xml:space="preserve"> uzraudzības ietvaros tiek veiktas šādas </w:t>
            </w:r>
            <w:r>
              <w:t>darbības</w:t>
            </w:r>
            <w:r w:rsidRPr="00B74E1D">
              <w:t>:</w:t>
            </w:r>
          </w:p>
          <w:p w14:paraId="555A208B" w14:textId="736B7B13" w:rsidR="006B19FE" w:rsidRPr="00B74E1D" w:rsidRDefault="006B19FE" w:rsidP="006B19FE">
            <w:pPr>
              <w:pStyle w:val="ListParagraph"/>
              <w:numPr>
                <w:ilvl w:val="1"/>
                <w:numId w:val="21"/>
              </w:numPr>
              <w:shd w:val="clear" w:color="auto" w:fill="FFFFFF"/>
              <w:jc w:val="both"/>
            </w:pPr>
            <w:r w:rsidRPr="00B74E1D">
              <w:t xml:space="preserve">saskaņā ar </w:t>
            </w:r>
            <w:r w:rsidRPr="00D8230B">
              <w:rPr>
                <w:i/>
              </w:rPr>
              <w:t>Noteikumu Nr.169</w:t>
            </w:r>
            <w:r w:rsidRPr="00B74E1D">
              <w:t xml:space="preserve"> 46.punktu </w:t>
            </w:r>
            <w:r>
              <w:rPr>
                <w:i/>
              </w:rPr>
              <w:t>LAS</w:t>
            </w:r>
            <w:r w:rsidRPr="00B74E1D">
              <w:t xml:space="preserve"> katru gadu ir jāpārbauda</w:t>
            </w:r>
            <w:r>
              <w:t>,</w:t>
            </w:r>
            <w:r w:rsidRPr="00B74E1D">
              <w:t xml:space="preserve"> vai visi </w:t>
            </w:r>
            <w:r>
              <w:t>arhitekti</w:t>
            </w:r>
            <w:r w:rsidRPr="00B74E1D">
              <w:t xml:space="preserve"> ir izpildījuši </w:t>
            </w:r>
            <w:r w:rsidR="009A118B" w:rsidRPr="009A118B">
              <w:rPr>
                <w:i/>
              </w:rPr>
              <w:t>N</w:t>
            </w:r>
            <w:r w:rsidRPr="009A118B">
              <w:rPr>
                <w:i/>
              </w:rPr>
              <w:t>oteikumu</w:t>
            </w:r>
            <w:r w:rsidR="009A118B" w:rsidRPr="009A118B">
              <w:rPr>
                <w:i/>
              </w:rPr>
              <w:t xml:space="preserve"> Nr.169</w:t>
            </w:r>
            <w:r w:rsidRPr="00B74E1D">
              <w:t xml:space="preserve"> 44.5., 44.6. un 44.7.</w:t>
            </w:r>
            <w:r w:rsidR="007A2E82">
              <w:t xml:space="preserve"> </w:t>
            </w:r>
            <w:r w:rsidRPr="00B74E1D">
              <w:t>apakšpunk</w:t>
            </w:r>
            <w:r>
              <w:t>tā</w:t>
            </w:r>
            <w:r w:rsidRPr="00B74E1D">
              <w:t xml:space="preserve"> minētos pienākumus, kas iekļauj aktuālās informācijas ievadīšanu būvspeciālistu reģistrā un </w:t>
            </w:r>
            <w:r w:rsidRPr="00A739A4">
              <w:t>patstāv</w:t>
            </w:r>
            <w:r w:rsidRPr="00B74E1D">
              <w:t xml:space="preserve">īgās prakses uzraudzības gada maksas veikšanu. Šajā pārbaudē katru gadu tiek pārbaudīti visi </w:t>
            </w:r>
            <w:r>
              <w:t>arhitekti</w:t>
            </w:r>
            <w:r w:rsidRPr="00B74E1D">
              <w:t xml:space="preserve"> (turpmāk – </w:t>
            </w:r>
            <w:r w:rsidRPr="00D8230B">
              <w:rPr>
                <w:i/>
              </w:rPr>
              <w:t>100% pārbaude</w:t>
            </w:r>
            <w:r w:rsidRPr="00B74E1D">
              <w:t>)</w:t>
            </w:r>
            <w:r w:rsidR="007E64F1">
              <w:t>.</w:t>
            </w:r>
            <w:r w:rsidR="007E64F1" w:rsidRPr="00B74E1D">
              <w:rPr>
                <w:i/>
              </w:rPr>
              <w:t xml:space="preserve"> 100% pārbaudē</w:t>
            </w:r>
            <w:r w:rsidR="007E64F1" w:rsidRPr="00B74E1D">
              <w:t xml:space="preserve"> informācija netiek pārbaudīta pēc būtības, līdz ar to šo pārbaudi var veikt administratīvais personāls. Ja pārbaudes laikā tiek konstatēts, ka </w:t>
            </w:r>
            <w:r w:rsidR="007E64F1">
              <w:t>arhitekts</w:t>
            </w:r>
            <w:r w:rsidR="007E64F1" w:rsidRPr="00B74E1D">
              <w:t xml:space="preserve"> nav izpildījis kādu no minētajiem pienākumiem, </w:t>
            </w:r>
            <w:r w:rsidR="007E64F1">
              <w:rPr>
                <w:i/>
              </w:rPr>
              <w:t xml:space="preserve">LAS </w:t>
            </w:r>
            <w:r w:rsidR="007E64F1" w:rsidRPr="00B74E1D">
              <w:t>ir jāpieprasa šī pienākuma izpilde</w:t>
            </w:r>
            <w:r w:rsidR="007E64F1" w:rsidRPr="00B84E2D">
              <w:rPr>
                <w:i/>
              </w:rPr>
              <w:t xml:space="preserve">. </w:t>
            </w:r>
            <w:r w:rsidR="007E64F1">
              <w:rPr>
                <w:i/>
              </w:rPr>
              <w:t>LAS</w:t>
            </w:r>
            <w:r w:rsidR="007E64F1" w:rsidRPr="00B74E1D">
              <w:t xml:space="preserve"> norāda, ka vidējā administratīvā personāla atlīdzība ieskaitot nodokļu maksājumus ir 1</w:t>
            </w:r>
            <w:r w:rsidR="007E64F1">
              <w:t>2</w:t>
            </w:r>
            <w:r w:rsidR="007E64F1" w:rsidRPr="00B74E1D">
              <w:t xml:space="preserve"> </w:t>
            </w:r>
            <w:r w:rsidR="007E64F1" w:rsidRPr="00941AA5">
              <w:rPr>
                <w:i/>
              </w:rPr>
              <w:t>euro</w:t>
            </w:r>
            <w:r w:rsidR="007E64F1" w:rsidRPr="00B74E1D">
              <w:t xml:space="preserve"> stundā</w:t>
            </w:r>
            <w:r w:rsidR="007E64F1">
              <w:t>, jo administratīvajam personālam ir jābūt ar atbilstošu kompetenci būvniecības jomā</w:t>
            </w:r>
            <w:r w:rsidRPr="00B74E1D">
              <w:t>;</w:t>
            </w:r>
          </w:p>
          <w:p w14:paraId="7D9F5633" w14:textId="4C28F79D" w:rsidR="006B19FE" w:rsidRPr="00B74E1D" w:rsidRDefault="006B19FE" w:rsidP="006B19FE">
            <w:pPr>
              <w:pStyle w:val="ListParagraph"/>
              <w:numPr>
                <w:ilvl w:val="1"/>
                <w:numId w:val="21"/>
              </w:numPr>
              <w:shd w:val="clear" w:color="auto" w:fill="FFFFFF"/>
              <w:jc w:val="both"/>
            </w:pPr>
            <w:r w:rsidRPr="00B74E1D">
              <w:t xml:space="preserve">saskaņā ar Būvniecības likuma </w:t>
            </w:r>
            <w:r w:rsidR="00A7157A">
              <w:t>13. panta 9</w:t>
            </w:r>
            <w:r w:rsidRPr="00DD254D">
              <w:rPr>
                <w:vertAlign w:val="superscript"/>
              </w:rPr>
              <w:t>1</w:t>
            </w:r>
            <w:r w:rsidRPr="00B74E1D">
              <w:t xml:space="preserve"> daļu </w:t>
            </w:r>
            <w:r>
              <w:rPr>
                <w:i/>
              </w:rPr>
              <w:t>LAS</w:t>
            </w:r>
            <w:r w:rsidRPr="00B74E1D">
              <w:t xml:space="preserve"> ne retāk kā reizi piecos gados pēc būtības ir jāpārbauda </w:t>
            </w:r>
            <w:r>
              <w:t>arhitekta</w:t>
            </w:r>
            <w:r w:rsidRPr="00B74E1D">
              <w:t xml:space="preserve"> iesniegtā informācija par </w:t>
            </w:r>
            <w:r w:rsidRPr="00A739A4">
              <w:t>patstāv</w:t>
            </w:r>
            <w:r w:rsidRPr="00B74E1D">
              <w:t xml:space="preserve">īgo praksi, izglītību, apgūtajām profesionālās pilnveides programmām un citiem kompetenci paaugstinošiem pasākumiem sertifikātā norādītajā jomā. Šajā pārbaudē katru gadu tiek pārbaudīti 20% no kopējā </w:t>
            </w:r>
            <w:r>
              <w:t>arhitektu</w:t>
            </w:r>
            <w:r w:rsidRPr="00B74E1D">
              <w:t xml:space="preserve"> skaita (turpmāk – </w:t>
            </w:r>
            <w:r w:rsidRPr="00DD254D">
              <w:rPr>
                <w:i/>
              </w:rPr>
              <w:t>20% pārbaude</w:t>
            </w:r>
            <w:r w:rsidRPr="00B74E1D">
              <w:t>)</w:t>
            </w:r>
            <w:r w:rsidR="007E64F1">
              <w:t xml:space="preserve">. </w:t>
            </w:r>
            <w:r w:rsidR="007E64F1" w:rsidRPr="00B74E1D">
              <w:rPr>
                <w:i/>
              </w:rPr>
              <w:t xml:space="preserve">20% pārbaude </w:t>
            </w:r>
            <w:r w:rsidR="007E64F1" w:rsidRPr="00B74E1D">
              <w:t>tiek veikta</w:t>
            </w:r>
            <w:r w:rsidR="007E64F1">
              <w:t>,</w:t>
            </w:r>
            <w:r w:rsidR="007E64F1" w:rsidRPr="00B74E1D">
              <w:t xml:space="preserve"> komunicējot ar pārbaudāmo </w:t>
            </w:r>
            <w:r w:rsidR="007E64F1">
              <w:t>arhitektu</w:t>
            </w:r>
            <w:r w:rsidR="007E64F1" w:rsidRPr="00B74E1D">
              <w:t xml:space="preserve"> – informējot par pārbaudi un nepieciešamības gadījumā pieprasot iesniegt papildus informāciju</w:t>
            </w:r>
            <w:r w:rsidR="00586501">
              <w:t xml:space="preserve">, </w:t>
            </w:r>
            <w:r w:rsidR="007E64F1">
              <w:t xml:space="preserve">kā arī </w:t>
            </w:r>
            <w:r w:rsidR="00586501">
              <w:t>prakses un tālākizglītības apjoma atbilstību institūcijas noteiktajiem kritērijiem analizējot iesniegto informāciju</w:t>
            </w:r>
            <w:r w:rsidR="007E64F1" w:rsidRPr="00B74E1D">
              <w:t xml:space="preserve">. Ņemot vērā, ka šajā pārbaudē ir jāizvērtē </w:t>
            </w:r>
            <w:r w:rsidR="007E64F1">
              <w:t>arhitektu</w:t>
            </w:r>
            <w:r w:rsidR="007E64F1" w:rsidRPr="00B74E1D">
              <w:t xml:space="preserve"> iesniegtie dokumenti pēc būtības, </w:t>
            </w:r>
            <w:r w:rsidR="00586501">
              <w:t xml:space="preserve">kā arī šīs pārbaudes laikā tiek noteikta arhitekta prakses atbilstība informatīvās piezīmes piešķiršanas kritērijiem </w:t>
            </w:r>
            <w:r w:rsidR="00A87D40">
              <w:t>un</w:t>
            </w:r>
            <w:r w:rsidR="007E64F1" w:rsidRPr="00B74E1D">
              <w:t xml:space="preserve"> šīs pārbaudes laikā</w:t>
            </w:r>
            <w:r w:rsidR="007E64F1">
              <w:t>,</w:t>
            </w:r>
            <w:r w:rsidR="007E64F1" w:rsidRPr="00B74E1D">
              <w:t xml:space="preserve"> uz risku analīzi balstoties tiek</w:t>
            </w:r>
            <w:r w:rsidR="00A87D40">
              <w:t xml:space="preserve"> arī</w:t>
            </w:r>
            <w:r w:rsidR="007E64F1" w:rsidRPr="00B74E1D">
              <w:t xml:space="preserve"> atlasīti </w:t>
            </w:r>
            <w:r w:rsidR="007E64F1">
              <w:t>arhitekti</w:t>
            </w:r>
            <w:r w:rsidR="007E64F1" w:rsidRPr="00B74E1D">
              <w:t xml:space="preserve"> padziļinātai pārbaudei</w:t>
            </w:r>
            <w:r w:rsidR="00A87D40">
              <w:t>,</w:t>
            </w:r>
            <w:r w:rsidR="007E64F1" w:rsidRPr="00B74E1D">
              <w:t xml:space="preserve"> </w:t>
            </w:r>
            <w:r w:rsidR="007E64F1" w:rsidRPr="00B74E1D">
              <w:rPr>
                <w:i/>
              </w:rPr>
              <w:t>20% pārbaudi</w:t>
            </w:r>
            <w:r w:rsidR="007E64F1" w:rsidRPr="00B74E1D">
              <w:t xml:space="preserve"> atbilstošā kvalitātē var veikt tikai </w:t>
            </w:r>
            <w:r w:rsidR="007E64F1">
              <w:rPr>
                <w:i/>
              </w:rPr>
              <w:t>LAS</w:t>
            </w:r>
            <w:r w:rsidR="007E64F1" w:rsidRPr="00B74E1D">
              <w:t xml:space="preserve"> ekspert</w:t>
            </w:r>
            <w:r w:rsidR="007E64F1">
              <w:t>i</w:t>
            </w:r>
            <w:r w:rsidR="007E64F1" w:rsidRPr="00B74E1D">
              <w:t>, kur</w:t>
            </w:r>
            <w:r w:rsidR="007E64F1">
              <w:t>i</w:t>
            </w:r>
            <w:r w:rsidR="007E64F1" w:rsidRPr="00B74E1D">
              <w:t xml:space="preserve"> atbilst </w:t>
            </w:r>
            <w:r w:rsidR="007E64F1" w:rsidRPr="00B74E1D">
              <w:rPr>
                <w:i/>
              </w:rPr>
              <w:t>Noteikumu Nr.169</w:t>
            </w:r>
            <w:r w:rsidR="007E64F1" w:rsidRPr="00B74E1D">
              <w:t xml:space="preserve"> 20.</w:t>
            </w:r>
            <w:r w:rsidR="00521B9E">
              <w:t xml:space="preserve"> </w:t>
            </w:r>
            <w:r w:rsidR="007E64F1" w:rsidRPr="00B74E1D">
              <w:t xml:space="preserve">punkta prasībām. </w:t>
            </w:r>
            <w:r w:rsidR="007E64F1">
              <w:rPr>
                <w:i/>
              </w:rPr>
              <w:t xml:space="preserve">LAS </w:t>
            </w:r>
            <w:r w:rsidR="007E64F1" w:rsidRPr="00B74E1D">
              <w:t xml:space="preserve">norāda, ka vidējā eksperta atlīdzība ieskaitot nodokļu maksājumus ir 40 </w:t>
            </w:r>
            <w:r w:rsidR="007E64F1" w:rsidRPr="00941AA5">
              <w:rPr>
                <w:i/>
              </w:rPr>
              <w:t>euro</w:t>
            </w:r>
            <w:r w:rsidR="007E64F1" w:rsidRPr="00B74E1D">
              <w:t xml:space="preserve"> stundā</w:t>
            </w:r>
            <w:r w:rsidRPr="00B74E1D">
              <w:t>;</w:t>
            </w:r>
          </w:p>
          <w:p w14:paraId="64BADD55" w14:textId="5B31FC69" w:rsidR="006B19FE" w:rsidRPr="00B74E1D" w:rsidRDefault="006B19FE" w:rsidP="006B19FE">
            <w:pPr>
              <w:pStyle w:val="ListParagraph"/>
              <w:numPr>
                <w:ilvl w:val="1"/>
                <w:numId w:val="21"/>
              </w:numPr>
              <w:shd w:val="clear" w:color="auto" w:fill="FFFFFF"/>
              <w:jc w:val="both"/>
            </w:pPr>
            <w:r w:rsidRPr="00B74E1D">
              <w:t>saskaņā ar Būvniecības likuma</w:t>
            </w:r>
            <w:r w:rsidR="00A7157A">
              <w:t xml:space="preserve"> 13. panta</w:t>
            </w:r>
            <w:r w:rsidRPr="00B74E1D">
              <w:t xml:space="preserve"> 9</w:t>
            </w:r>
            <w:r w:rsidRPr="00DD254D">
              <w:rPr>
                <w:vertAlign w:val="superscript"/>
              </w:rPr>
              <w:t xml:space="preserve">1 </w:t>
            </w:r>
            <w:r w:rsidRPr="00B74E1D">
              <w:t>daļas 3.</w:t>
            </w:r>
            <w:r w:rsidR="00521B9E">
              <w:t xml:space="preserve"> </w:t>
            </w:r>
            <w:r w:rsidRPr="00B74E1D">
              <w:t xml:space="preserve">punktu un </w:t>
            </w:r>
            <w:r w:rsidRPr="00DD254D">
              <w:rPr>
                <w:i/>
              </w:rPr>
              <w:t>Noteikumu Nr.169</w:t>
            </w:r>
            <w:r w:rsidRPr="00B74E1D">
              <w:t xml:space="preserve"> 47.</w:t>
            </w:r>
            <w:r w:rsidR="00B3094A">
              <w:t xml:space="preserve"> </w:t>
            </w:r>
            <w:r w:rsidRPr="00B74E1D">
              <w:t xml:space="preserve">punktu </w:t>
            </w:r>
            <w:r>
              <w:rPr>
                <w:i/>
              </w:rPr>
              <w:t>LAS</w:t>
            </w:r>
            <w:r w:rsidRPr="00B74E1D">
              <w:t xml:space="preserve"> ir jāizvērtē par </w:t>
            </w:r>
            <w:r w:rsidR="00462CA0">
              <w:t>arhitektiem</w:t>
            </w:r>
            <w:r w:rsidRPr="00B74E1D">
              <w:t xml:space="preserve"> saņemtās sūdzības (turpmāk – </w:t>
            </w:r>
            <w:r w:rsidRPr="00DD254D">
              <w:rPr>
                <w:i/>
              </w:rPr>
              <w:t>sūdzību izvērtēšana</w:t>
            </w:r>
            <w:r w:rsidRPr="00B74E1D">
              <w:t>)</w:t>
            </w:r>
            <w:r w:rsidR="0020488B">
              <w:t xml:space="preserve">. </w:t>
            </w:r>
            <w:r w:rsidR="0020488B" w:rsidRPr="00B74E1D">
              <w:t xml:space="preserve">Ņemot </w:t>
            </w:r>
            <w:r w:rsidR="00586501">
              <w:t xml:space="preserve">vērā </w:t>
            </w:r>
            <w:r w:rsidR="00A87D40" w:rsidRPr="00A87D40">
              <w:rPr>
                <w:i/>
              </w:rPr>
              <w:t>V</w:t>
            </w:r>
            <w:r w:rsidR="00586501" w:rsidRPr="00A87D40">
              <w:rPr>
                <w:i/>
              </w:rPr>
              <w:t>adlīnijās</w:t>
            </w:r>
            <w:r w:rsidR="00586501">
              <w:t xml:space="preserve"> noteikto, institūcijai jābūt pietiekošiem resursiem, lai gadā veiktu  sūdzību </w:t>
            </w:r>
            <w:r w:rsidR="00586501">
              <w:lastRenderedPageBreak/>
              <w:t>izvērtēšanu līdz 5% no kopējā sertificēto arhitektu skaita</w:t>
            </w:r>
            <w:r w:rsidR="0020488B" w:rsidRPr="00B74E1D">
              <w:t xml:space="preserve">. </w:t>
            </w:r>
            <w:r w:rsidR="0020488B" w:rsidRPr="004A7DCB">
              <w:rPr>
                <w:i/>
              </w:rPr>
              <w:t>Sūdzību izvērtēšanā</w:t>
            </w:r>
            <w:r w:rsidR="0020488B" w:rsidRPr="00B74E1D">
              <w:t xml:space="preserve"> ir jāizvērtē sarežģītas situācijas, atsevišķos gadījumos vienlaicīgi iesaistot vairākus ekspertus un juristu, </w:t>
            </w:r>
            <w:r w:rsidR="001B3857">
              <w:t>kā arī veicot būvprojekta ekspertīzi, analizējot būvprojekta izstrādes procesa dokumentāciju.</w:t>
            </w:r>
            <w:r w:rsidR="0020488B" w:rsidRPr="00B74E1D">
              <w:t xml:space="preserve"> Līdz ar to sūdzību izskatīšanu pēc būtības var veikt tikai veic </w:t>
            </w:r>
            <w:r w:rsidR="0020488B">
              <w:rPr>
                <w:i/>
              </w:rPr>
              <w:t>LAS</w:t>
            </w:r>
            <w:r w:rsidR="0020488B" w:rsidRPr="00B74E1D">
              <w:t xml:space="preserve"> eksperti. </w:t>
            </w:r>
            <w:r w:rsidR="0020488B">
              <w:rPr>
                <w:i/>
              </w:rPr>
              <w:t>LAS</w:t>
            </w:r>
            <w:r w:rsidR="0020488B" w:rsidRPr="00B74E1D">
              <w:t xml:space="preserve"> norāda, ka juridiskie pakalpojumi ir kā ārpakalpojums un vidējā jurista stundas likme ir 100 </w:t>
            </w:r>
            <w:r w:rsidR="0020488B" w:rsidRPr="00941AA5">
              <w:rPr>
                <w:i/>
              </w:rPr>
              <w:t>euro</w:t>
            </w:r>
            <w:r w:rsidR="0020488B" w:rsidRPr="00B74E1D">
              <w:t xml:space="preserve"> stundā. Gadījumā, ja vidējais izskatāmo sūdzību skaits būtiski pārsniegs 5% no kopējā </w:t>
            </w:r>
            <w:r w:rsidR="0020488B">
              <w:t>arhitektu</w:t>
            </w:r>
            <w:r w:rsidR="0020488B" w:rsidRPr="00B74E1D">
              <w:t xml:space="preserve"> skaita, </w:t>
            </w:r>
            <w:r w:rsidR="0020488B">
              <w:t>būs nepieciešams</w:t>
            </w:r>
            <w:r w:rsidR="0020488B" w:rsidRPr="00B74E1D">
              <w:t xml:space="preserve"> pārskatīt </w:t>
            </w:r>
            <w:r w:rsidR="0020488B">
              <w:t>arhitektu</w:t>
            </w:r>
            <w:r w:rsidR="0020488B" w:rsidRPr="00B74E1D">
              <w:t xml:space="preserve"> uzraudzības maks</w:t>
            </w:r>
            <w:r w:rsidR="0020488B">
              <w:t>u</w:t>
            </w:r>
            <w:r>
              <w:t>;</w:t>
            </w:r>
          </w:p>
          <w:p w14:paraId="6FC9FAFD" w14:textId="63B75FF7" w:rsidR="006B19FE" w:rsidRDefault="006B19FE" w:rsidP="006B19FE">
            <w:pPr>
              <w:pStyle w:val="ListParagraph"/>
              <w:numPr>
                <w:ilvl w:val="1"/>
                <w:numId w:val="21"/>
              </w:numPr>
              <w:shd w:val="clear" w:color="auto" w:fill="FFFFFF"/>
              <w:jc w:val="both"/>
            </w:pPr>
            <w:r w:rsidRPr="00B74E1D">
              <w:t xml:space="preserve">saskaņā ar </w:t>
            </w:r>
            <w:r w:rsidRPr="00DD254D">
              <w:rPr>
                <w:i/>
              </w:rPr>
              <w:t>Vadlīnijām</w:t>
            </w:r>
            <w:r w:rsidRPr="00B74E1D">
              <w:t xml:space="preserve"> </w:t>
            </w:r>
            <w:r>
              <w:rPr>
                <w:i/>
              </w:rPr>
              <w:t>LAS</w:t>
            </w:r>
            <w:r w:rsidRPr="00B74E1D">
              <w:t xml:space="preserve"> plānveidīgi, balstoties uz risku analīzi ir jāveic padziļināta pārbaude 1% </w:t>
            </w:r>
            <w:r>
              <w:t>arhitektu</w:t>
            </w:r>
            <w:r w:rsidRPr="00B74E1D">
              <w:t xml:space="preserve">, no kopējā </w:t>
            </w:r>
            <w:r>
              <w:t>arhitektu</w:t>
            </w:r>
            <w:r w:rsidRPr="00B74E1D">
              <w:t xml:space="preserve"> skaita (turpmāk – </w:t>
            </w:r>
            <w:r w:rsidRPr="00DD254D">
              <w:rPr>
                <w:i/>
              </w:rPr>
              <w:t>1% pārbaude</w:t>
            </w:r>
            <w:r w:rsidRPr="00B74E1D">
              <w:t>)</w:t>
            </w:r>
            <w:r w:rsidR="0020488B">
              <w:t xml:space="preserve">. </w:t>
            </w:r>
            <w:r w:rsidR="0020488B" w:rsidRPr="00B74E1D">
              <w:rPr>
                <w:i/>
              </w:rPr>
              <w:t>1% pārbaudē</w:t>
            </w:r>
            <w:r w:rsidR="0020488B" w:rsidRPr="00B74E1D">
              <w:t xml:space="preserve"> tiek pēc nejaušības principa izvēlēts viens pārskata periodā izstrādāts būvprojekts, kuram pēc būtības tiek pārbaudīta atbilstība </w:t>
            </w:r>
            <w:r w:rsidR="00586501">
              <w:t xml:space="preserve">labai profesionālajai praksei, kā arī </w:t>
            </w:r>
            <w:r w:rsidR="0020488B" w:rsidRPr="00B74E1D">
              <w:t>normatīvo aktu prasībām</w:t>
            </w:r>
            <w:r w:rsidR="00586501">
              <w:t>, tāpat tiek pārbaudīta pakalpojumu sniegšanas procesa atbilstība labai profesionālajai praksei</w:t>
            </w:r>
            <w:r w:rsidR="0020488B" w:rsidRPr="00B74E1D">
              <w:t xml:space="preserve">. </w:t>
            </w:r>
            <w:r w:rsidR="0020488B" w:rsidRPr="00DE0E3D">
              <w:rPr>
                <w:i/>
              </w:rPr>
              <w:t>1% pārbaudi</w:t>
            </w:r>
            <w:r w:rsidR="0020488B" w:rsidRPr="00B74E1D">
              <w:t xml:space="preserve"> pēc būtības var veikt tikai </w:t>
            </w:r>
            <w:r w:rsidR="0020488B">
              <w:rPr>
                <w:i/>
              </w:rPr>
              <w:t>LAS</w:t>
            </w:r>
            <w:r w:rsidR="0020488B" w:rsidRPr="00B74E1D">
              <w:t xml:space="preserve"> eksperti</w:t>
            </w:r>
            <w:r>
              <w:t>;</w:t>
            </w:r>
          </w:p>
          <w:p w14:paraId="29E6FB48" w14:textId="62BE22E8" w:rsidR="00457AF6" w:rsidRPr="00064DE9" w:rsidRDefault="00457AF6" w:rsidP="00DE43B4">
            <w:pPr>
              <w:shd w:val="clear" w:color="auto" w:fill="FFFFFF"/>
              <w:ind w:firstLine="394"/>
              <w:jc w:val="both"/>
              <w:rPr>
                <w:sz w:val="20"/>
              </w:rPr>
            </w:pPr>
          </w:p>
          <w:p w14:paraId="080234C4" w14:textId="1743F36A" w:rsidR="00360524" w:rsidRDefault="00360524" w:rsidP="00360524">
            <w:pPr>
              <w:autoSpaceDE w:val="0"/>
              <w:autoSpaceDN w:val="0"/>
              <w:adjustRightInd w:val="0"/>
              <w:jc w:val="both"/>
              <w:rPr>
                <w:b/>
                <w:bCs/>
              </w:rPr>
            </w:pPr>
            <w:r w:rsidRPr="0097000C">
              <w:rPr>
                <w:b/>
                <w:bCs/>
              </w:rPr>
              <w:t>Tiešās izmaksas</w:t>
            </w:r>
            <w:r>
              <w:rPr>
                <w:b/>
                <w:bCs/>
              </w:rPr>
              <w:t xml:space="preserve"> – standarta sertifikāta uzturēšanas prasības</w:t>
            </w:r>
          </w:p>
          <w:p w14:paraId="57AEEDD6" w14:textId="7F427116" w:rsidR="00360524" w:rsidRDefault="00360524" w:rsidP="00360524">
            <w:pPr>
              <w:autoSpaceDE w:val="0"/>
              <w:autoSpaceDN w:val="0"/>
              <w:adjustRightInd w:val="0"/>
              <w:jc w:val="both"/>
              <w:rPr>
                <w:bCs/>
              </w:rPr>
            </w:pPr>
            <w:r w:rsidRPr="009F7729">
              <w:rPr>
                <w:bCs/>
              </w:rPr>
              <w:t>Ser</w:t>
            </w:r>
            <w:r>
              <w:rPr>
                <w:bCs/>
              </w:rPr>
              <w:t>tificēto arhitektu skaits, kas ievēros standarta sertifikāta uzturēšanas prasības – 580.</w:t>
            </w:r>
          </w:p>
          <w:p w14:paraId="1FF4468A" w14:textId="3C995307" w:rsidR="00B10CC0" w:rsidRPr="00B74E1D" w:rsidRDefault="007171B2" w:rsidP="00B10CC0">
            <w:pPr>
              <w:jc w:val="right"/>
              <w:rPr>
                <w:b/>
                <w:i/>
              </w:rPr>
            </w:pPr>
            <w:r>
              <w:rPr>
                <w:i/>
              </w:rPr>
              <w:t>4</w:t>
            </w:r>
            <w:r w:rsidR="00B10CC0" w:rsidRPr="00B74E1D">
              <w:rPr>
                <w:b/>
                <w:i/>
              </w:rPr>
              <w:t>.</w:t>
            </w:r>
            <w:r w:rsidR="00B10CC0" w:rsidRPr="00B74E1D">
              <w:rPr>
                <w:i/>
                <w:lang w:eastAsia="x-none"/>
              </w:rPr>
              <w:t>tabula</w:t>
            </w:r>
          </w:p>
          <w:p w14:paraId="7942D36D" w14:textId="6F227088" w:rsidR="00B10CC0" w:rsidRPr="00B74E1D" w:rsidRDefault="00B10CC0" w:rsidP="00B10CC0">
            <w:pPr>
              <w:jc w:val="center"/>
              <w:rPr>
                <w:b/>
              </w:rPr>
            </w:pPr>
            <w:r>
              <w:rPr>
                <w:b/>
              </w:rPr>
              <w:t xml:space="preserve">Arhitektu </w:t>
            </w:r>
            <w:r w:rsidRPr="00B74E1D">
              <w:rPr>
                <w:b/>
              </w:rPr>
              <w:t xml:space="preserve">uzraudzības tiešo izmaksu aprēķins </w:t>
            </w:r>
          </w:p>
          <w:p w14:paraId="32F945B7" w14:textId="77777777" w:rsidR="00B10CC0" w:rsidRDefault="00B10CC0" w:rsidP="00360524">
            <w:pPr>
              <w:autoSpaceDE w:val="0"/>
              <w:autoSpaceDN w:val="0"/>
              <w:adjustRightInd w:val="0"/>
              <w:jc w:val="both"/>
              <w:rPr>
                <w:bCs/>
              </w:rPr>
            </w:pPr>
          </w:p>
          <w:tbl>
            <w:tblPr>
              <w:tblW w:w="7710" w:type="dxa"/>
              <w:jc w:val="center"/>
              <w:tblLook w:val="04A0" w:firstRow="1" w:lastRow="0" w:firstColumn="1" w:lastColumn="0" w:noHBand="0" w:noVBand="1"/>
            </w:tblPr>
            <w:tblGrid>
              <w:gridCol w:w="810"/>
              <w:gridCol w:w="1967"/>
              <w:gridCol w:w="1236"/>
              <w:gridCol w:w="1012"/>
              <w:gridCol w:w="909"/>
              <w:gridCol w:w="1776"/>
            </w:tblGrid>
            <w:tr w:rsidR="00360524" w:rsidRPr="009F7729" w14:paraId="2F1D8E67" w14:textId="77777777" w:rsidTr="00A87D40">
              <w:trPr>
                <w:trHeight w:val="68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71224" w14:textId="77777777" w:rsidR="00360524" w:rsidRPr="009F7729" w:rsidRDefault="00360524" w:rsidP="00360524">
                  <w:pPr>
                    <w:jc w:val="center"/>
                    <w:rPr>
                      <w:color w:val="000000"/>
                    </w:rPr>
                  </w:pPr>
                  <w:r w:rsidRPr="009F7729">
                    <w:rPr>
                      <w:color w:val="000000"/>
                    </w:rPr>
                    <w:t>N.p.k.</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77AFE264" w14:textId="77777777" w:rsidR="00360524" w:rsidRPr="009F7729" w:rsidRDefault="00360524" w:rsidP="00360524">
                  <w:pPr>
                    <w:jc w:val="center"/>
                    <w:rPr>
                      <w:color w:val="000000"/>
                    </w:rPr>
                  </w:pPr>
                  <w:r w:rsidRPr="009F7729">
                    <w:rPr>
                      <w:color w:val="000000"/>
                    </w:rPr>
                    <w:t>Pārbaudes Nosaukums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318D0526" w14:textId="77777777" w:rsidR="00360524" w:rsidRPr="009F7729" w:rsidRDefault="00360524" w:rsidP="00360524">
                  <w:pPr>
                    <w:jc w:val="center"/>
                    <w:rPr>
                      <w:color w:val="000000"/>
                    </w:rPr>
                  </w:pPr>
                  <w:r w:rsidRPr="009F7729">
                    <w:rPr>
                      <w:color w:val="000000"/>
                    </w:rPr>
                    <w:t>gadījumu skaits gadā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A0B4F29" w14:textId="77777777" w:rsidR="00360524" w:rsidRPr="009F7729" w:rsidRDefault="00360524" w:rsidP="00360524">
                  <w:pPr>
                    <w:jc w:val="center"/>
                    <w:rPr>
                      <w:color w:val="000000"/>
                    </w:rPr>
                  </w:pPr>
                  <w:r w:rsidRPr="009F7729">
                    <w:rPr>
                      <w:color w:val="000000"/>
                    </w:rPr>
                    <w:t>stundas likme (</w:t>
                  </w:r>
                  <w:r w:rsidRPr="009F7729">
                    <w:rPr>
                      <w:i/>
                      <w:color w:val="000000"/>
                    </w:rPr>
                    <w:t>euro</w:t>
                  </w:r>
                  <w:r w:rsidRPr="009F7729">
                    <w:rPr>
                      <w:color w:val="000000"/>
                    </w:rPr>
                    <w:t>)</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EE88EE4" w14:textId="77777777" w:rsidR="00360524" w:rsidRPr="009F7729" w:rsidRDefault="00360524" w:rsidP="00360524">
                  <w:pPr>
                    <w:jc w:val="center"/>
                    <w:rPr>
                      <w:color w:val="000000"/>
                    </w:rPr>
                  </w:pPr>
                  <w:r w:rsidRPr="009F7729">
                    <w:rPr>
                      <w:color w:val="000000"/>
                    </w:rPr>
                    <w:t>stundu skaits</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6ABEA71A" w14:textId="77777777" w:rsidR="00360524" w:rsidRPr="009F7729" w:rsidRDefault="00360524" w:rsidP="00360524">
                  <w:pPr>
                    <w:jc w:val="center"/>
                    <w:rPr>
                      <w:color w:val="000000"/>
                    </w:rPr>
                  </w:pPr>
                  <w:r w:rsidRPr="009F7729">
                    <w:rPr>
                      <w:color w:val="000000"/>
                    </w:rPr>
                    <w:t>kopā (</w:t>
                  </w:r>
                  <w:r w:rsidRPr="009F7729">
                    <w:rPr>
                      <w:i/>
                      <w:color w:val="000000"/>
                    </w:rPr>
                    <w:t>euro</w:t>
                  </w:r>
                  <w:r w:rsidRPr="009F7729">
                    <w:rPr>
                      <w:color w:val="000000"/>
                    </w:rPr>
                    <w:t>)</w:t>
                  </w:r>
                </w:p>
              </w:tc>
            </w:tr>
            <w:tr w:rsidR="00360524" w:rsidRPr="009F7729" w14:paraId="62706B38" w14:textId="77777777" w:rsidTr="00A87D40">
              <w:trPr>
                <w:trHeight w:val="3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BECC5DC" w14:textId="77777777" w:rsidR="00360524" w:rsidRPr="009F7729" w:rsidRDefault="00360524" w:rsidP="00360524">
                  <w:pPr>
                    <w:jc w:val="center"/>
                    <w:rPr>
                      <w:color w:val="000000"/>
                    </w:rPr>
                  </w:pPr>
                  <w:r w:rsidRPr="009F7729">
                    <w:rPr>
                      <w:color w:val="000000"/>
                    </w:rPr>
                    <w:t>1</w:t>
                  </w:r>
                </w:p>
              </w:tc>
              <w:tc>
                <w:tcPr>
                  <w:tcW w:w="1967" w:type="dxa"/>
                  <w:tcBorders>
                    <w:top w:val="nil"/>
                    <w:left w:val="nil"/>
                    <w:bottom w:val="single" w:sz="4" w:space="0" w:color="auto"/>
                    <w:right w:val="single" w:sz="4" w:space="0" w:color="auto"/>
                  </w:tcBorders>
                  <w:shd w:val="clear" w:color="auto" w:fill="auto"/>
                  <w:vAlign w:val="center"/>
                  <w:hideMark/>
                </w:tcPr>
                <w:p w14:paraId="656F447D" w14:textId="77777777" w:rsidR="00360524" w:rsidRPr="009F7729" w:rsidRDefault="00360524" w:rsidP="00360524">
                  <w:pPr>
                    <w:jc w:val="center"/>
                    <w:rPr>
                      <w:i/>
                      <w:color w:val="000000"/>
                    </w:rPr>
                  </w:pPr>
                  <w:r w:rsidRPr="009F7729">
                    <w:rPr>
                      <w:i/>
                      <w:color w:val="000000"/>
                    </w:rPr>
                    <w:t>100% pārbaude</w:t>
                  </w:r>
                </w:p>
              </w:tc>
              <w:tc>
                <w:tcPr>
                  <w:tcW w:w="1236" w:type="dxa"/>
                  <w:tcBorders>
                    <w:top w:val="nil"/>
                    <w:left w:val="nil"/>
                    <w:bottom w:val="single" w:sz="4" w:space="0" w:color="auto"/>
                    <w:right w:val="single" w:sz="4" w:space="0" w:color="auto"/>
                  </w:tcBorders>
                  <w:shd w:val="clear" w:color="auto" w:fill="auto"/>
                  <w:vAlign w:val="center"/>
                  <w:hideMark/>
                </w:tcPr>
                <w:p w14:paraId="78A358C2" w14:textId="77777777" w:rsidR="00360524" w:rsidRPr="009F7729" w:rsidRDefault="00360524" w:rsidP="00360524">
                  <w:pPr>
                    <w:jc w:val="center"/>
                    <w:rPr>
                      <w:color w:val="000000"/>
                    </w:rPr>
                  </w:pPr>
                  <w:r>
                    <w:rPr>
                      <w:color w:val="000000"/>
                    </w:rPr>
                    <w:t>580</w:t>
                  </w:r>
                </w:p>
              </w:tc>
              <w:tc>
                <w:tcPr>
                  <w:tcW w:w="1012" w:type="dxa"/>
                  <w:tcBorders>
                    <w:top w:val="nil"/>
                    <w:left w:val="nil"/>
                    <w:bottom w:val="single" w:sz="4" w:space="0" w:color="auto"/>
                    <w:right w:val="single" w:sz="4" w:space="0" w:color="auto"/>
                  </w:tcBorders>
                  <w:shd w:val="clear" w:color="auto" w:fill="auto"/>
                  <w:vAlign w:val="center"/>
                  <w:hideMark/>
                </w:tcPr>
                <w:p w14:paraId="2D90F327" w14:textId="0A563DC2" w:rsidR="00360524" w:rsidRPr="009F7729" w:rsidRDefault="00360524" w:rsidP="00360524">
                  <w:pPr>
                    <w:jc w:val="center"/>
                    <w:rPr>
                      <w:color w:val="000000"/>
                    </w:rPr>
                  </w:pPr>
                  <w:r w:rsidRPr="009F7729">
                    <w:rPr>
                      <w:color w:val="000000"/>
                    </w:rPr>
                    <w:t>1</w:t>
                  </w:r>
                  <w:r>
                    <w:rPr>
                      <w:color w:val="000000"/>
                    </w:rPr>
                    <w:t>2,00</w:t>
                  </w:r>
                </w:p>
              </w:tc>
              <w:tc>
                <w:tcPr>
                  <w:tcW w:w="909" w:type="dxa"/>
                  <w:tcBorders>
                    <w:top w:val="nil"/>
                    <w:left w:val="nil"/>
                    <w:bottom w:val="single" w:sz="4" w:space="0" w:color="auto"/>
                    <w:right w:val="single" w:sz="4" w:space="0" w:color="auto"/>
                  </w:tcBorders>
                  <w:shd w:val="clear" w:color="auto" w:fill="auto"/>
                  <w:vAlign w:val="center"/>
                  <w:hideMark/>
                </w:tcPr>
                <w:p w14:paraId="2CCCEF91" w14:textId="77777777" w:rsidR="00360524" w:rsidRPr="009F7729" w:rsidRDefault="00360524" w:rsidP="00360524">
                  <w:pPr>
                    <w:jc w:val="center"/>
                    <w:rPr>
                      <w:color w:val="000000"/>
                    </w:rPr>
                  </w:pPr>
                  <w:r w:rsidRPr="009F7729">
                    <w:rPr>
                      <w:color w:val="000000"/>
                    </w:rPr>
                    <w:t>1</w:t>
                  </w:r>
                </w:p>
              </w:tc>
              <w:tc>
                <w:tcPr>
                  <w:tcW w:w="1776" w:type="dxa"/>
                  <w:tcBorders>
                    <w:top w:val="nil"/>
                    <w:left w:val="nil"/>
                    <w:bottom w:val="single" w:sz="4" w:space="0" w:color="auto"/>
                    <w:right w:val="single" w:sz="4" w:space="0" w:color="auto"/>
                  </w:tcBorders>
                  <w:shd w:val="clear" w:color="auto" w:fill="auto"/>
                  <w:vAlign w:val="center"/>
                  <w:hideMark/>
                </w:tcPr>
                <w:p w14:paraId="4D0F63B1" w14:textId="6118E71D" w:rsidR="00360524" w:rsidRPr="009F7729" w:rsidRDefault="00360524" w:rsidP="00360524">
                  <w:pPr>
                    <w:jc w:val="center"/>
                    <w:rPr>
                      <w:color w:val="000000"/>
                    </w:rPr>
                  </w:pPr>
                  <w:r>
                    <w:rPr>
                      <w:color w:val="000000"/>
                    </w:rPr>
                    <w:t>6</w:t>
                  </w:r>
                  <w:r>
                    <w:rPr>
                      <w:b/>
                      <w:bCs/>
                      <w:color w:val="000000"/>
                    </w:rPr>
                    <w:t> </w:t>
                  </w:r>
                  <w:r>
                    <w:rPr>
                      <w:color w:val="000000"/>
                    </w:rPr>
                    <w:t>960,00</w:t>
                  </w:r>
                </w:p>
              </w:tc>
            </w:tr>
            <w:tr w:rsidR="00360524" w:rsidRPr="009F7729" w14:paraId="70BDC082" w14:textId="77777777" w:rsidTr="00A87D40">
              <w:trPr>
                <w:trHeight w:val="3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DCE2F18" w14:textId="77777777" w:rsidR="00360524" w:rsidRPr="009F7729" w:rsidRDefault="00360524" w:rsidP="00360524">
                  <w:pPr>
                    <w:jc w:val="center"/>
                    <w:rPr>
                      <w:color w:val="000000"/>
                    </w:rPr>
                  </w:pPr>
                  <w:r w:rsidRPr="009F7729">
                    <w:rPr>
                      <w:color w:val="000000"/>
                    </w:rPr>
                    <w:t>2</w:t>
                  </w:r>
                </w:p>
              </w:tc>
              <w:tc>
                <w:tcPr>
                  <w:tcW w:w="1967" w:type="dxa"/>
                  <w:tcBorders>
                    <w:top w:val="nil"/>
                    <w:left w:val="nil"/>
                    <w:bottom w:val="single" w:sz="4" w:space="0" w:color="auto"/>
                    <w:right w:val="single" w:sz="4" w:space="0" w:color="auto"/>
                  </w:tcBorders>
                  <w:shd w:val="clear" w:color="auto" w:fill="auto"/>
                  <w:vAlign w:val="center"/>
                  <w:hideMark/>
                </w:tcPr>
                <w:p w14:paraId="39F166D6" w14:textId="77777777" w:rsidR="00360524" w:rsidRPr="009F7729" w:rsidRDefault="00360524" w:rsidP="00360524">
                  <w:pPr>
                    <w:jc w:val="center"/>
                    <w:rPr>
                      <w:i/>
                      <w:color w:val="000000"/>
                    </w:rPr>
                  </w:pPr>
                  <w:r w:rsidRPr="009F7729">
                    <w:rPr>
                      <w:i/>
                      <w:color w:val="000000"/>
                    </w:rPr>
                    <w:t>20% pārbaude</w:t>
                  </w:r>
                </w:p>
              </w:tc>
              <w:tc>
                <w:tcPr>
                  <w:tcW w:w="1236" w:type="dxa"/>
                  <w:tcBorders>
                    <w:top w:val="nil"/>
                    <w:left w:val="nil"/>
                    <w:bottom w:val="single" w:sz="4" w:space="0" w:color="auto"/>
                    <w:right w:val="single" w:sz="4" w:space="0" w:color="auto"/>
                  </w:tcBorders>
                  <w:shd w:val="clear" w:color="auto" w:fill="auto"/>
                  <w:vAlign w:val="center"/>
                  <w:hideMark/>
                </w:tcPr>
                <w:p w14:paraId="7D0305A4" w14:textId="77777777" w:rsidR="00360524" w:rsidRPr="009F7729" w:rsidRDefault="00360524" w:rsidP="00360524">
                  <w:pPr>
                    <w:jc w:val="center"/>
                    <w:rPr>
                      <w:color w:val="000000"/>
                    </w:rPr>
                  </w:pPr>
                  <w:r>
                    <w:rPr>
                      <w:color w:val="000000"/>
                    </w:rPr>
                    <w:t>116</w:t>
                  </w:r>
                </w:p>
              </w:tc>
              <w:tc>
                <w:tcPr>
                  <w:tcW w:w="1012" w:type="dxa"/>
                  <w:tcBorders>
                    <w:top w:val="nil"/>
                    <w:left w:val="nil"/>
                    <w:bottom w:val="single" w:sz="4" w:space="0" w:color="auto"/>
                    <w:right w:val="single" w:sz="4" w:space="0" w:color="auto"/>
                  </w:tcBorders>
                  <w:shd w:val="clear" w:color="auto" w:fill="auto"/>
                  <w:vAlign w:val="center"/>
                  <w:hideMark/>
                </w:tcPr>
                <w:p w14:paraId="77FC65FA" w14:textId="2C77E805" w:rsidR="00360524" w:rsidRPr="009F7729" w:rsidRDefault="00360524" w:rsidP="00360524">
                  <w:pPr>
                    <w:jc w:val="center"/>
                    <w:rPr>
                      <w:color w:val="000000"/>
                    </w:rPr>
                  </w:pPr>
                  <w:r w:rsidRPr="009F7729">
                    <w:rPr>
                      <w:color w:val="000000"/>
                    </w:rPr>
                    <w:t>40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28E11C56" w14:textId="0CE96658" w:rsidR="00360524" w:rsidRPr="009F7729" w:rsidRDefault="00C928B5" w:rsidP="00360524">
                  <w:pPr>
                    <w:jc w:val="center"/>
                    <w:rPr>
                      <w:color w:val="000000"/>
                    </w:rPr>
                  </w:pPr>
                  <w:r>
                    <w:rPr>
                      <w:color w:val="000000"/>
                    </w:rPr>
                    <w:t>8</w:t>
                  </w:r>
                </w:p>
              </w:tc>
              <w:tc>
                <w:tcPr>
                  <w:tcW w:w="1776" w:type="dxa"/>
                  <w:tcBorders>
                    <w:top w:val="nil"/>
                    <w:left w:val="nil"/>
                    <w:bottom w:val="single" w:sz="4" w:space="0" w:color="auto"/>
                    <w:right w:val="single" w:sz="4" w:space="0" w:color="auto"/>
                  </w:tcBorders>
                  <w:shd w:val="clear" w:color="auto" w:fill="auto"/>
                  <w:vAlign w:val="center"/>
                  <w:hideMark/>
                </w:tcPr>
                <w:p w14:paraId="5F08D41A" w14:textId="1A5D6B0D" w:rsidR="00360524" w:rsidRPr="009F7729" w:rsidRDefault="00586501" w:rsidP="00360524">
                  <w:pPr>
                    <w:jc w:val="center"/>
                    <w:rPr>
                      <w:color w:val="000000"/>
                    </w:rPr>
                  </w:pPr>
                  <w:r>
                    <w:rPr>
                      <w:color w:val="000000"/>
                    </w:rPr>
                    <w:t>37</w:t>
                  </w:r>
                  <w:r w:rsidR="00A87D40">
                    <w:rPr>
                      <w:color w:val="000000"/>
                    </w:rPr>
                    <w:t> </w:t>
                  </w:r>
                  <w:r>
                    <w:rPr>
                      <w:color w:val="000000"/>
                    </w:rPr>
                    <w:t>120</w:t>
                  </w:r>
                  <w:r w:rsidR="00360524">
                    <w:rPr>
                      <w:color w:val="000000"/>
                    </w:rPr>
                    <w:t>,00</w:t>
                  </w:r>
                </w:p>
              </w:tc>
            </w:tr>
            <w:tr w:rsidR="00360524" w:rsidRPr="009F7729" w14:paraId="6D66FE25" w14:textId="77777777" w:rsidTr="00A87D40">
              <w:trPr>
                <w:trHeight w:val="6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A8F3DFA" w14:textId="77777777" w:rsidR="00360524" w:rsidRPr="009F7729" w:rsidRDefault="00360524" w:rsidP="00360524">
                  <w:pPr>
                    <w:jc w:val="center"/>
                    <w:rPr>
                      <w:color w:val="000000"/>
                    </w:rPr>
                  </w:pPr>
                  <w:r w:rsidRPr="009F7729">
                    <w:rPr>
                      <w:color w:val="000000"/>
                    </w:rPr>
                    <w:t>3</w:t>
                  </w:r>
                </w:p>
              </w:tc>
              <w:tc>
                <w:tcPr>
                  <w:tcW w:w="1967" w:type="dxa"/>
                  <w:tcBorders>
                    <w:top w:val="nil"/>
                    <w:left w:val="nil"/>
                    <w:bottom w:val="single" w:sz="4" w:space="0" w:color="auto"/>
                    <w:right w:val="single" w:sz="4" w:space="0" w:color="auto"/>
                  </w:tcBorders>
                  <w:shd w:val="clear" w:color="auto" w:fill="auto"/>
                  <w:vAlign w:val="center"/>
                  <w:hideMark/>
                </w:tcPr>
                <w:p w14:paraId="24497850" w14:textId="77777777" w:rsidR="00360524" w:rsidRPr="009F7729" w:rsidRDefault="00360524" w:rsidP="00360524">
                  <w:pPr>
                    <w:jc w:val="center"/>
                    <w:rPr>
                      <w:i/>
                      <w:color w:val="000000"/>
                    </w:rPr>
                  </w:pPr>
                  <w:r w:rsidRPr="009F7729">
                    <w:rPr>
                      <w:i/>
                      <w:color w:val="000000"/>
                    </w:rPr>
                    <w:t>Sūdzību izvērtēšana</w:t>
                  </w:r>
                </w:p>
              </w:tc>
              <w:tc>
                <w:tcPr>
                  <w:tcW w:w="1236" w:type="dxa"/>
                  <w:tcBorders>
                    <w:top w:val="nil"/>
                    <w:left w:val="nil"/>
                    <w:bottom w:val="single" w:sz="4" w:space="0" w:color="auto"/>
                    <w:right w:val="single" w:sz="4" w:space="0" w:color="auto"/>
                  </w:tcBorders>
                  <w:shd w:val="clear" w:color="auto" w:fill="auto"/>
                  <w:vAlign w:val="center"/>
                  <w:hideMark/>
                </w:tcPr>
                <w:p w14:paraId="31995C65" w14:textId="443EAAA1" w:rsidR="00360524" w:rsidRPr="009F7729" w:rsidRDefault="007077D4" w:rsidP="00360524">
                  <w:pPr>
                    <w:jc w:val="center"/>
                    <w:rPr>
                      <w:color w:val="000000"/>
                    </w:rPr>
                  </w:pPr>
                  <w:r>
                    <w:rPr>
                      <w:color w:val="000000"/>
                    </w:rPr>
                    <w:t>3</w:t>
                  </w:r>
                  <w:r w:rsidR="00360524">
                    <w:rPr>
                      <w:color w:val="000000"/>
                    </w:rPr>
                    <w:t>0</w:t>
                  </w:r>
                </w:p>
              </w:tc>
              <w:tc>
                <w:tcPr>
                  <w:tcW w:w="1012" w:type="dxa"/>
                  <w:tcBorders>
                    <w:top w:val="nil"/>
                    <w:left w:val="nil"/>
                    <w:bottom w:val="single" w:sz="4" w:space="0" w:color="auto"/>
                    <w:right w:val="single" w:sz="4" w:space="0" w:color="auto"/>
                  </w:tcBorders>
                  <w:shd w:val="clear" w:color="auto" w:fill="auto"/>
                  <w:vAlign w:val="center"/>
                  <w:hideMark/>
                </w:tcPr>
                <w:p w14:paraId="637A6588" w14:textId="383C4670" w:rsidR="00360524" w:rsidRPr="009F7729" w:rsidRDefault="00360524" w:rsidP="00360524">
                  <w:pPr>
                    <w:jc w:val="center"/>
                    <w:rPr>
                      <w:color w:val="000000"/>
                    </w:rPr>
                  </w:pPr>
                  <w:r w:rsidRPr="009F7729">
                    <w:rPr>
                      <w:color w:val="000000"/>
                    </w:rPr>
                    <w:t>40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69960040" w14:textId="212C0D47" w:rsidR="00360524" w:rsidRPr="009F7729" w:rsidRDefault="00360524" w:rsidP="00360524">
                  <w:pPr>
                    <w:jc w:val="center"/>
                    <w:rPr>
                      <w:color w:val="000000"/>
                    </w:rPr>
                  </w:pPr>
                  <w:r>
                    <w:rPr>
                      <w:color w:val="000000"/>
                    </w:rPr>
                    <w:t>1</w:t>
                  </w:r>
                  <w:r w:rsidR="007077D4">
                    <w:rPr>
                      <w:color w:val="000000"/>
                    </w:rPr>
                    <w:t>0</w:t>
                  </w:r>
                </w:p>
              </w:tc>
              <w:tc>
                <w:tcPr>
                  <w:tcW w:w="1776" w:type="dxa"/>
                  <w:tcBorders>
                    <w:top w:val="nil"/>
                    <w:left w:val="nil"/>
                    <w:bottom w:val="single" w:sz="4" w:space="0" w:color="auto"/>
                    <w:right w:val="single" w:sz="4" w:space="0" w:color="auto"/>
                  </w:tcBorders>
                  <w:shd w:val="clear" w:color="auto" w:fill="auto"/>
                  <w:vAlign w:val="center"/>
                  <w:hideMark/>
                </w:tcPr>
                <w:p w14:paraId="3A947C07" w14:textId="4BAF2CDD" w:rsidR="00360524" w:rsidRPr="009F7729" w:rsidRDefault="00360524" w:rsidP="00360524">
                  <w:pPr>
                    <w:jc w:val="center"/>
                    <w:rPr>
                      <w:color w:val="000000"/>
                    </w:rPr>
                  </w:pPr>
                  <w:r>
                    <w:rPr>
                      <w:color w:val="000000"/>
                    </w:rPr>
                    <w:t>12</w:t>
                  </w:r>
                  <w:r>
                    <w:rPr>
                      <w:b/>
                      <w:bCs/>
                      <w:color w:val="000000"/>
                    </w:rPr>
                    <w:t> </w:t>
                  </w:r>
                  <w:r>
                    <w:rPr>
                      <w:color w:val="000000"/>
                    </w:rPr>
                    <w:t>000,00</w:t>
                  </w:r>
                </w:p>
              </w:tc>
            </w:tr>
            <w:tr w:rsidR="00360524" w:rsidRPr="009F7729" w14:paraId="4C319D47" w14:textId="77777777" w:rsidTr="00A87D40">
              <w:trPr>
                <w:trHeight w:val="6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330B6F9" w14:textId="77777777" w:rsidR="00360524" w:rsidRPr="009F7729" w:rsidRDefault="00360524" w:rsidP="00360524">
                  <w:pPr>
                    <w:jc w:val="center"/>
                    <w:rPr>
                      <w:color w:val="000000"/>
                    </w:rPr>
                  </w:pPr>
                  <w:r w:rsidRPr="009F7729">
                    <w:rPr>
                      <w:color w:val="000000"/>
                    </w:rPr>
                    <w:t>4</w:t>
                  </w:r>
                </w:p>
              </w:tc>
              <w:tc>
                <w:tcPr>
                  <w:tcW w:w="1967" w:type="dxa"/>
                  <w:tcBorders>
                    <w:top w:val="nil"/>
                    <w:left w:val="nil"/>
                    <w:bottom w:val="single" w:sz="4" w:space="0" w:color="auto"/>
                    <w:right w:val="single" w:sz="4" w:space="0" w:color="auto"/>
                  </w:tcBorders>
                  <w:shd w:val="clear" w:color="auto" w:fill="auto"/>
                  <w:vAlign w:val="center"/>
                  <w:hideMark/>
                </w:tcPr>
                <w:p w14:paraId="1EE826BB" w14:textId="77777777" w:rsidR="00360524" w:rsidRPr="009F7729" w:rsidRDefault="00360524" w:rsidP="00360524">
                  <w:pPr>
                    <w:jc w:val="center"/>
                    <w:rPr>
                      <w:i/>
                      <w:color w:val="000000"/>
                    </w:rPr>
                  </w:pPr>
                  <w:r w:rsidRPr="009F7729">
                    <w:rPr>
                      <w:i/>
                      <w:color w:val="000000"/>
                    </w:rPr>
                    <w:t>1% pārbaude</w:t>
                  </w:r>
                </w:p>
              </w:tc>
              <w:tc>
                <w:tcPr>
                  <w:tcW w:w="1236" w:type="dxa"/>
                  <w:tcBorders>
                    <w:top w:val="nil"/>
                    <w:left w:val="nil"/>
                    <w:bottom w:val="single" w:sz="4" w:space="0" w:color="auto"/>
                    <w:right w:val="single" w:sz="4" w:space="0" w:color="auto"/>
                  </w:tcBorders>
                  <w:shd w:val="clear" w:color="auto" w:fill="auto"/>
                  <w:vAlign w:val="center"/>
                  <w:hideMark/>
                </w:tcPr>
                <w:p w14:paraId="4B229738" w14:textId="77777777" w:rsidR="00360524" w:rsidRPr="009F7729" w:rsidRDefault="00360524" w:rsidP="00360524">
                  <w:pPr>
                    <w:jc w:val="center"/>
                    <w:rPr>
                      <w:color w:val="000000"/>
                    </w:rPr>
                  </w:pPr>
                  <w:r>
                    <w:rPr>
                      <w:color w:val="000000"/>
                    </w:rPr>
                    <w:t>7</w:t>
                  </w:r>
                </w:p>
              </w:tc>
              <w:tc>
                <w:tcPr>
                  <w:tcW w:w="1012" w:type="dxa"/>
                  <w:tcBorders>
                    <w:top w:val="nil"/>
                    <w:left w:val="nil"/>
                    <w:bottom w:val="single" w:sz="4" w:space="0" w:color="auto"/>
                    <w:right w:val="single" w:sz="4" w:space="0" w:color="auto"/>
                  </w:tcBorders>
                  <w:shd w:val="clear" w:color="auto" w:fill="auto"/>
                  <w:vAlign w:val="center"/>
                  <w:hideMark/>
                </w:tcPr>
                <w:p w14:paraId="09101D88" w14:textId="06111624" w:rsidR="00360524" w:rsidRPr="009F7729" w:rsidRDefault="00360524" w:rsidP="00360524">
                  <w:pPr>
                    <w:jc w:val="center"/>
                    <w:rPr>
                      <w:color w:val="000000"/>
                    </w:rPr>
                  </w:pPr>
                  <w:r w:rsidRPr="009F7729">
                    <w:rPr>
                      <w:color w:val="000000"/>
                    </w:rPr>
                    <w:t>40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4A49AA3F" w14:textId="77777777" w:rsidR="00360524" w:rsidRPr="009F7729" w:rsidRDefault="00360524" w:rsidP="00360524">
                  <w:pPr>
                    <w:jc w:val="center"/>
                    <w:rPr>
                      <w:color w:val="000000"/>
                    </w:rPr>
                  </w:pPr>
                  <w:r>
                    <w:rPr>
                      <w:color w:val="000000"/>
                    </w:rPr>
                    <w:t>40</w:t>
                  </w:r>
                </w:p>
              </w:tc>
              <w:tc>
                <w:tcPr>
                  <w:tcW w:w="1776" w:type="dxa"/>
                  <w:tcBorders>
                    <w:top w:val="nil"/>
                    <w:left w:val="nil"/>
                    <w:bottom w:val="single" w:sz="4" w:space="0" w:color="auto"/>
                    <w:right w:val="single" w:sz="4" w:space="0" w:color="auto"/>
                  </w:tcBorders>
                  <w:shd w:val="clear" w:color="auto" w:fill="auto"/>
                  <w:vAlign w:val="center"/>
                  <w:hideMark/>
                </w:tcPr>
                <w:p w14:paraId="07150370" w14:textId="61C7DE7C" w:rsidR="00360524" w:rsidRPr="009F7729" w:rsidRDefault="00360524" w:rsidP="00360524">
                  <w:pPr>
                    <w:jc w:val="center"/>
                    <w:rPr>
                      <w:color w:val="000000"/>
                    </w:rPr>
                  </w:pPr>
                  <w:r>
                    <w:rPr>
                      <w:color w:val="000000"/>
                    </w:rPr>
                    <w:t>11</w:t>
                  </w:r>
                  <w:r>
                    <w:rPr>
                      <w:b/>
                      <w:bCs/>
                      <w:color w:val="000000"/>
                    </w:rPr>
                    <w:t> </w:t>
                  </w:r>
                  <w:r>
                    <w:rPr>
                      <w:color w:val="000000"/>
                    </w:rPr>
                    <w:t>200,00</w:t>
                  </w:r>
                </w:p>
              </w:tc>
            </w:tr>
            <w:tr w:rsidR="00360524" w:rsidRPr="009F7729" w14:paraId="4AAF6678" w14:textId="77777777" w:rsidTr="00A87D40">
              <w:trPr>
                <w:trHeight w:val="744"/>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66B9279" w14:textId="77777777" w:rsidR="00360524" w:rsidRPr="009F7729" w:rsidRDefault="00360524" w:rsidP="00360524">
                  <w:pPr>
                    <w:jc w:val="center"/>
                    <w:rPr>
                      <w:color w:val="000000"/>
                    </w:rPr>
                  </w:pPr>
                  <w:r w:rsidRPr="009F7729">
                    <w:rPr>
                      <w:color w:val="000000"/>
                    </w:rPr>
                    <w:t>5</w:t>
                  </w:r>
                </w:p>
              </w:tc>
              <w:tc>
                <w:tcPr>
                  <w:tcW w:w="1967" w:type="dxa"/>
                  <w:tcBorders>
                    <w:top w:val="nil"/>
                    <w:left w:val="nil"/>
                    <w:bottom w:val="single" w:sz="4" w:space="0" w:color="auto"/>
                    <w:right w:val="single" w:sz="4" w:space="0" w:color="auto"/>
                  </w:tcBorders>
                  <w:shd w:val="clear" w:color="auto" w:fill="auto"/>
                  <w:vAlign w:val="center"/>
                  <w:hideMark/>
                </w:tcPr>
                <w:p w14:paraId="07DEF218" w14:textId="77777777" w:rsidR="00360524" w:rsidRPr="009F7729" w:rsidRDefault="00360524" w:rsidP="00360524">
                  <w:pPr>
                    <w:jc w:val="center"/>
                    <w:rPr>
                      <w:color w:val="000000"/>
                    </w:rPr>
                  </w:pPr>
                  <w:r w:rsidRPr="009F7729">
                    <w:rPr>
                      <w:color w:val="000000"/>
                    </w:rPr>
                    <w:t>Juridiskie pakalpojumi</w:t>
                  </w:r>
                </w:p>
              </w:tc>
              <w:tc>
                <w:tcPr>
                  <w:tcW w:w="1236" w:type="dxa"/>
                  <w:tcBorders>
                    <w:top w:val="nil"/>
                    <w:left w:val="nil"/>
                    <w:bottom w:val="single" w:sz="4" w:space="0" w:color="auto"/>
                    <w:right w:val="single" w:sz="4" w:space="0" w:color="auto"/>
                  </w:tcBorders>
                  <w:shd w:val="clear" w:color="auto" w:fill="auto"/>
                  <w:vAlign w:val="center"/>
                  <w:hideMark/>
                </w:tcPr>
                <w:p w14:paraId="0EFA36CC" w14:textId="77777777" w:rsidR="00360524" w:rsidRPr="009F7729" w:rsidRDefault="00360524" w:rsidP="00360524">
                  <w:pPr>
                    <w:jc w:val="center"/>
                    <w:rPr>
                      <w:color w:val="000000"/>
                    </w:rPr>
                  </w:pPr>
                  <w:r>
                    <w:rPr>
                      <w:color w:val="000000"/>
                    </w:rPr>
                    <w:t>18</w:t>
                  </w:r>
                </w:p>
              </w:tc>
              <w:tc>
                <w:tcPr>
                  <w:tcW w:w="1012" w:type="dxa"/>
                  <w:tcBorders>
                    <w:top w:val="nil"/>
                    <w:left w:val="nil"/>
                    <w:bottom w:val="single" w:sz="4" w:space="0" w:color="auto"/>
                    <w:right w:val="single" w:sz="4" w:space="0" w:color="auto"/>
                  </w:tcBorders>
                  <w:shd w:val="clear" w:color="auto" w:fill="auto"/>
                  <w:vAlign w:val="center"/>
                  <w:hideMark/>
                </w:tcPr>
                <w:p w14:paraId="3014ECCD" w14:textId="4BC3EF9B" w:rsidR="00360524" w:rsidRPr="009F7729" w:rsidRDefault="00360524" w:rsidP="00360524">
                  <w:pPr>
                    <w:jc w:val="center"/>
                    <w:rPr>
                      <w:color w:val="000000"/>
                    </w:rPr>
                  </w:pPr>
                  <w:r w:rsidRPr="009F7729">
                    <w:rPr>
                      <w:color w:val="000000"/>
                    </w:rPr>
                    <w:t>100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2DCD5342" w14:textId="77777777" w:rsidR="00360524" w:rsidRPr="009F7729" w:rsidRDefault="00360524" w:rsidP="00360524">
                  <w:pPr>
                    <w:jc w:val="center"/>
                    <w:rPr>
                      <w:color w:val="000000"/>
                    </w:rPr>
                  </w:pPr>
                  <w:r>
                    <w:rPr>
                      <w:color w:val="000000"/>
                    </w:rPr>
                    <w:t>10</w:t>
                  </w:r>
                </w:p>
              </w:tc>
              <w:tc>
                <w:tcPr>
                  <w:tcW w:w="1776" w:type="dxa"/>
                  <w:tcBorders>
                    <w:top w:val="nil"/>
                    <w:left w:val="nil"/>
                    <w:bottom w:val="single" w:sz="4" w:space="0" w:color="auto"/>
                    <w:right w:val="single" w:sz="4" w:space="0" w:color="auto"/>
                  </w:tcBorders>
                  <w:shd w:val="clear" w:color="auto" w:fill="auto"/>
                  <w:vAlign w:val="center"/>
                  <w:hideMark/>
                </w:tcPr>
                <w:p w14:paraId="38FFDC33" w14:textId="254BA363" w:rsidR="00360524" w:rsidRPr="009F7729" w:rsidRDefault="00360524" w:rsidP="00360524">
                  <w:pPr>
                    <w:jc w:val="center"/>
                    <w:rPr>
                      <w:color w:val="000000"/>
                    </w:rPr>
                  </w:pPr>
                  <w:r>
                    <w:rPr>
                      <w:color w:val="000000"/>
                    </w:rPr>
                    <w:t>18</w:t>
                  </w:r>
                  <w:r>
                    <w:rPr>
                      <w:b/>
                      <w:bCs/>
                      <w:color w:val="000000"/>
                    </w:rPr>
                    <w:t> </w:t>
                  </w:r>
                  <w:r>
                    <w:rPr>
                      <w:color w:val="000000"/>
                    </w:rPr>
                    <w:t>000,00</w:t>
                  </w:r>
                </w:p>
              </w:tc>
            </w:tr>
            <w:tr w:rsidR="00360524" w:rsidRPr="009F7729" w14:paraId="63EF1112" w14:textId="77777777" w:rsidTr="00A87D40">
              <w:trPr>
                <w:trHeight w:val="49"/>
                <w:jc w:val="center"/>
              </w:trPr>
              <w:tc>
                <w:tcPr>
                  <w:tcW w:w="5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EB4C0E" w14:textId="77777777" w:rsidR="00360524" w:rsidRPr="009F7729" w:rsidRDefault="00360524" w:rsidP="00360524">
                  <w:pPr>
                    <w:jc w:val="right"/>
                    <w:rPr>
                      <w:b/>
                      <w:bCs/>
                      <w:color w:val="000000"/>
                    </w:rPr>
                  </w:pPr>
                  <w:r w:rsidRPr="009F7729">
                    <w:rPr>
                      <w:b/>
                      <w:bCs/>
                      <w:color w:val="000000"/>
                    </w:rPr>
                    <w:t>Kopā tiešās izmaksas (</w:t>
                  </w:r>
                  <w:r w:rsidRPr="009F7729">
                    <w:rPr>
                      <w:b/>
                      <w:bCs/>
                      <w:i/>
                      <w:color w:val="000000"/>
                    </w:rPr>
                    <w:t>euro</w:t>
                  </w:r>
                  <w:r w:rsidRPr="009F7729">
                    <w:rPr>
                      <w:b/>
                      <w:bCs/>
                      <w:color w:val="000000"/>
                    </w:rPr>
                    <w:t>)</w:t>
                  </w:r>
                </w:p>
              </w:tc>
              <w:tc>
                <w:tcPr>
                  <w:tcW w:w="1776" w:type="dxa"/>
                  <w:tcBorders>
                    <w:top w:val="nil"/>
                    <w:left w:val="nil"/>
                    <w:bottom w:val="single" w:sz="4" w:space="0" w:color="auto"/>
                    <w:right w:val="single" w:sz="4" w:space="0" w:color="auto"/>
                  </w:tcBorders>
                  <w:shd w:val="clear" w:color="auto" w:fill="auto"/>
                  <w:vAlign w:val="center"/>
                  <w:hideMark/>
                </w:tcPr>
                <w:p w14:paraId="4AD18BDA" w14:textId="0CE087C0" w:rsidR="00360524" w:rsidRPr="009F7729" w:rsidRDefault="00360524" w:rsidP="00360524">
                  <w:pPr>
                    <w:jc w:val="center"/>
                    <w:rPr>
                      <w:b/>
                      <w:bCs/>
                      <w:color w:val="000000"/>
                    </w:rPr>
                  </w:pPr>
                  <w:r>
                    <w:rPr>
                      <w:b/>
                      <w:bCs/>
                      <w:color w:val="000000"/>
                    </w:rPr>
                    <w:t>85 </w:t>
                  </w:r>
                  <w:r w:rsidR="00586501">
                    <w:rPr>
                      <w:b/>
                      <w:bCs/>
                      <w:color w:val="000000"/>
                    </w:rPr>
                    <w:t>280</w:t>
                  </w:r>
                  <w:r>
                    <w:rPr>
                      <w:b/>
                      <w:bCs/>
                      <w:color w:val="000000"/>
                    </w:rPr>
                    <w:t>,00</w:t>
                  </w:r>
                </w:p>
              </w:tc>
            </w:tr>
            <w:tr w:rsidR="00360524" w:rsidRPr="009F7729" w14:paraId="0248DB10" w14:textId="77777777" w:rsidTr="00A87D40">
              <w:trPr>
                <w:trHeight w:val="224"/>
                <w:jc w:val="center"/>
              </w:trPr>
              <w:tc>
                <w:tcPr>
                  <w:tcW w:w="5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6EC870" w14:textId="77777777" w:rsidR="00360524" w:rsidRPr="009F7729" w:rsidRDefault="00360524" w:rsidP="00360524">
                  <w:pPr>
                    <w:jc w:val="right"/>
                    <w:rPr>
                      <w:b/>
                      <w:bCs/>
                      <w:color w:val="000000"/>
                    </w:rPr>
                  </w:pPr>
                  <w:r w:rsidRPr="009F7729">
                    <w:rPr>
                      <w:b/>
                      <w:bCs/>
                      <w:color w:val="000000"/>
                    </w:rPr>
                    <w:t xml:space="preserve">Kopā tiešās izmaksas uz 1 </w:t>
                  </w:r>
                  <w:r>
                    <w:rPr>
                      <w:b/>
                      <w:bCs/>
                      <w:color w:val="000000"/>
                    </w:rPr>
                    <w:t>sertificētu arhitektu</w:t>
                  </w:r>
                  <w:r w:rsidRPr="009F7729">
                    <w:rPr>
                      <w:b/>
                      <w:bCs/>
                      <w:color w:val="000000"/>
                    </w:rPr>
                    <w:t xml:space="preserve"> (</w:t>
                  </w:r>
                  <w:r w:rsidRPr="009F7729">
                    <w:rPr>
                      <w:b/>
                      <w:bCs/>
                      <w:i/>
                      <w:color w:val="000000"/>
                    </w:rPr>
                    <w:t>euro</w:t>
                  </w:r>
                  <w:r w:rsidRPr="009F7729">
                    <w:rPr>
                      <w:b/>
                      <w:bCs/>
                      <w:color w:val="000000"/>
                    </w:rPr>
                    <w:t>)</w:t>
                  </w:r>
                </w:p>
              </w:tc>
              <w:tc>
                <w:tcPr>
                  <w:tcW w:w="1776" w:type="dxa"/>
                  <w:tcBorders>
                    <w:top w:val="nil"/>
                    <w:left w:val="nil"/>
                    <w:bottom w:val="single" w:sz="4" w:space="0" w:color="auto"/>
                    <w:right w:val="single" w:sz="4" w:space="0" w:color="auto"/>
                  </w:tcBorders>
                  <w:shd w:val="clear" w:color="auto" w:fill="auto"/>
                  <w:vAlign w:val="center"/>
                  <w:hideMark/>
                </w:tcPr>
                <w:p w14:paraId="660C55EA" w14:textId="1CC482CE" w:rsidR="00360524" w:rsidRPr="009F7729" w:rsidRDefault="00C928B5" w:rsidP="00360524">
                  <w:pPr>
                    <w:jc w:val="center"/>
                    <w:rPr>
                      <w:b/>
                      <w:bCs/>
                      <w:color w:val="000000"/>
                    </w:rPr>
                  </w:pPr>
                  <w:r>
                    <w:rPr>
                      <w:b/>
                      <w:bCs/>
                      <w:color w:val="000000"/>
                    </w:rPr>
                    <w:t>147</w:t>
                  </w:r>
                  <w:r w:rsidR="00360524">
                    <w:rPr>
                      <w:b/>
                      <w:bCs/>
                      <w:color w:val="000000"/>
                    </w:rPr>
                    <w:t>,</w:t>
                  </w:r>
                  <w:r w:rsidR="00057408">
                    <w:rPr>
                      <w:b/>
                      <w:bCs/>
                      <w:color w:val="000000"/>
                    </w:rPr>
                    <w:t>0</w:t>
                  </w:r>
                  <w:r w:rsidR="007171B2">
                    <w:rPr>
                      <w:b/>
                      <w:bCs/>
                      <w:color w:val="000000"/>
                    </w:rPr>
                    <w:t>0</w:t>
                  </w:r>
                </w:p>
              </w:tc>
            </w:tr>
          </w:tbl>
          <w:p w14:paraId="334E15FA" w14:textId="4EDCEBB7" w:rsidR="00DE43B4" w:rsidRDefault="00DE43B4" w:rsidP="00DE43B4">
            <w:pPr>
              <w:shd w:val="clear" w:color="auto" w:fill="FFFFFF"/>
              <w:ind w:firstLine="394"/>
              <w:jc w:val="both"/>
            </w:pPr>
          </w:p>
          <w:p w14:paraId="37892A5C" w14:textId="77777777" w:rsidR="000E7C57" w:rsidRDefault="000E7C57" w:rsidP="00B10CC0">
            <w:pPr>
              <w:jc w:val="right"/>
              <w:rPr>
                <w:i/>
              </w:rPr>
            </w:pPr>
          </w:p>
          <w:p w14:paraId="1AB531EF" w14:textId="0D5957C7" w:rsidR="00B10CC0" w:rsidRPr="00B74E1D" w:rsidRDefault="007171B2" w:rsidP="00B10CC0">
            <w:pPr>
              <w:jc w:val="right"/>
              <w:rPr>
                <w:b/>
                <w:i/>
              </w:rPr>
            </w:pPr>
            <w:r>
              <w:rPr>
                <w:i/>
              </w:rPr>
              <w:t>5</w:t>
            </w:r>
            <w:r w:rsidR="00B10CC0" w:rsidRPr="00B74E1D">
              <w:rPr>
                <w:b/>
                <w:i/>
              </w:rPr>
              <w:t>.</w:t>
            </w:r>
            <w:r w:rsidR="00B10CC0" w:rsidRPr="00B74E1D">
              <w:rPr>
                <w:i/>
                <w:lang w:eastAsia="x-none"/>
              </w:rPr>
              <w:t>tabula</w:t>
            </w:r>
          </w:p>
          <w:p w14:paraId="3449696E" w14:textId="7F5E5EFF" w:rsidR="00B10CC0" w:rsidRPr="00B74E1D" w:rsidRDefault="00B10CC0" w:rsidP="00B10CC0">
            <w:pPr>
              <w:jc w:val="center"/>
              <w:rPr>
                <w:b/>
              </w:rPr>
            </w:pPr>
            <w:r>
              <w:rPr>
                <w:b/>
              </w:rPr>
              <w:t xml:space="preserve">Arhitektu ar </w:t>
            </w:r>
            <w:r w:rsidRPr="00B74E1D">
              <w:rPr>
                <w:b/>
              </w:rPr>
              <w:t xml:space="preserve">uzraudzības izmaksu kopsavilkums </w:t>
            </w:r>
          </w:p>
          <w:tbl>
            <w:tblPr>
              <w:tblStyle w:val="TableGrid"/>
              <w:tblW w:w="0" w:type="auto"/>
              <w:jc w:val="center"/>
              <w:tblLook w:val="04A0" w:firstRow="1" w:lastRow="0" w:firstColumn="1" w:lastColumn="0" w:noHBand="0" w:noVBand="1"/>
            </w:tblPr>
            <w:tblGrid>
              <w:gridCol w:w="3089"/>
              <w:gridCol w:w="3038"/>
            </w:tblGrid>
            <w:tr w:rsidR="00B10CC0" w:rsidRPr="00B10CC0" w14:paraId="6DA8F7AE" w14:textId="77777777" w:rsidTr="00B31D9D">
              <w:trPr>
                <w:jc w:val="center"/>
              </w:trPr>
              <w:tc>
                <w:tcPr>
                  <w:tcW w:w="3089" w:type="dxa"/>
                </w:tcPr>
                <w:p w14:paraId="70C92E08" w14:textId="77777777" w:rsidR="00B10CC0" w:rsidRPr="00B10CC0" w:rsidRDefault="00B10CC0" w:rsidP="00B10CC0">
                  <w:pPr>
                    <w:pStyle w:val="NormalWeb"/>
                    <w:spacing w:before="0" w:beforeAutospacing="0" w:after="0" w:afterAutospacing="0"/>
                    <w:jc w:val="center"/>
                    <w:rPr>
                      <w:rFonts w:ascii="Times New Roman" w:hAnsi="Times New Roman"/>
                      <w:b/>
                      <w:bCs/>
                      <w:sz w:val="24"/>
                      <w:szCs w:val="24"/>
                      <w:lang w:val="lv-LV" w:eastAsia="lv-LV"/>
                    </w:rPr>
                  </w:pPr>
                  <w:r w:rsidRPr="00B10CC0">
                    <w:rPr>
                      <w:rFonts w:ascii="Times New Roman" w:hAnsi="Times New Roman"/>
                      <w:b/>
                      <w:bCs/>
                      <w:sz w:val="24"/>
                      <w:szCs w:val="24"/>
                      <w:lang w:val="lv-LV" w:eastAsia="lv-LV"/>
                    </w:rPr>
                    <w:t>Rādītājs (izmaksu veids)</w:t>
                  </w:r>
                </w:p>
              </w:tc>
              <w:tc>
                <w:tcPr>
                  <w:tcW w:w="3038" w:type="dxa"/>
                </w:tcPr>
                <w:p w14:paraId="70F7CE0F" w14:textId="77777777" w:rsidR="00B10CC0" w:rsidRPr="00B10CC0" w:rsidRDefault="00B10CC0" w:rsidP="00B10CC0">
                  <w:pPr>
                    <w:pStyle w:val="NormalWeb"/>
                    <w:spacing w:before="0" w:beforeAutospacing="0" w:after="0" w:afterAutospacing="0"/>
                    <w:jc w:val="center"/>
                    <w:rPr>
                      <w:rFonts w:ascii="Times New Roman" w:hAnsi="Times New Roman"/>
                      <w:b/>
                      <w:bCs/>
                      <w:sz w:val="24"/>
                      <w:szCs w:val="24"/>
                      <w:lang w:val="lv-LV" w:eastAsia="lv-LV"/>
                    </w:rPr>
                  </w:pPr>
                  <w:r w:rsidRPr="00B10CC0">
                    <w:rPr>
                      <w:rFonts w:ascii="Times New Roman" w:hAnsi="Times New Roman"/>
                      <w:b/>
                      <w:bCs/>
                      <w:sz w:val="24"/>
                      <w:szCs w:val="24"/>
                      <w:lang w:val="lv-LV" w:eastAsia="lv-LV"/>
                    </w:rPr>
                    <w:t xml:space="preserve">Izmaksu apjoms gadā </w:t>
                  </w:r>
                  <w:r w:rsidRPr="00B10CC0">
                    <w:rPr>
                      <w:rFonts w:ascii="Times New Roman" w:hAnsi="Times New Roman"/>
                      <w:b/>
                      <w:bCs/>
                      <w:i/>
                      <w:sz w:val="24"/>
                      <w:szCs w:val="24"/>
                      <w:lang w:val="lv-LV" w:eastAsia="lv-LV"/>
                    </w:rPr>
                    <w:t>(euro)</w:t>
                  </w:r>
                </w:p>
              </w:tc>
            </w:tr>
            <w:tr w:rsidR="00B10CC0" w:rsidRPr="00B10CC0" w14:paraId="07161885" w14:textId="77777777" w:rsidTr="00B31D9D">
              <w:trPr>
                <w:jc w:val="center"/>
              </w:trPr>
              <w:tc>
                <w:tcPr>
                  <w:tcW w:w="3089" w:type="dxa"/>
                </w:tcPr>
                <w:p w14:paraId="0632AD26" w14:textId="77777777" w:rsidR="00B10CC0" w:rsidRPr="00B10CC0" w:rsidRDefault="00B10CC0" w:rsidP="00B10CC0">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Tiešās izmaksas</w:t>
                  </w:r>
                </w:p>
              </w:tc>
              <w:tc>
                <w:tcPr>
                  <w:tcW w:w="3038" w:type="dxa"/>
                </w:tcPr>
                <w:p w14:paraId="612943AC" w14:textId="39DAD933" w:rsidR="00B10CC0" w:rsidRPr="00B10CC0" w:rsidRDefault="00B10CC0" w:rsidP="00B10CC0">
                  <w:pPr>
                    <w:pStyle w:val="NormalWeb"/>
                    <w:spacing w:before="0" w:beforeAutospacing="0" w:after="0" w:afterAutospacing="0"/>
                    <w:jc w:val="center"/>
                    <w:rPr>
                      <w:rFonts w:ascii="Times New Roman" w:hAnsi="Times New Roman"/>
                      <w:bCs/>
                      <w:sz w:val="24"/>
                      <w:szCs w:val="24"/>
                      <w:lang w:val="lv-LV" w:eastAsia="lv-LV"/>
                    </w:rPr>
                  </w:pPr>
                  <w:r w:rsidRPr="00B10CC0">
                    <w:rPr>
                      <w:rFonts w:ascii="Times New Roman" w:hAnsi="Times New Roman"/>
                      <w:bCs/>
                      <w:color w:val="000000"/>
                      <w:sz w:val="24"/>
                      <w:szCs w:val="24"/>
                    </w:rPr>
                    <w:t>85</w:t>
                  </w:r>
                  <w:r>
                    <w:rPr>
                      <w:rFonts w:ascii="Times New Roman" w:hAnsi="Times New Roman"/>
                      <w:bCs/>
                      <w:color w:val="000000"/>
                      <w:sz w:val="24"/>
                      <w:szCs w:val="24"/>
                    </w:rPr>
                    <w:t> </w:t>
                  </w:r>
                  <w:r w:rsidR="00586501">
                    <w:rPr>
                      <w:rFonts w:ascii="Times New Roman" w:hAnsi="Times New Roman"/>
                      <w:bCs/>
                      <w:color w:val="000000"/>
                      <w:sz w:val="24"/>
                      <w:szCs w:val="24"/>
                    </w:rPr>
                    <w:t>28</w:t>
                  </w:r>
                  <w:r w:rsidR="007171B2">
                    <w:rPr>
                      <w:rFonts w:ascii="Times New Roman" w:hAnsi="Times New Roman"/>
                      <w:bCs/>
                      <w:color w:val="000000"/>
                      <w:sz w:val="24"/>
                      <w:szCs w:val="24"/>
                    </w:rPr>
                    <w:t>0</w:t>
                  </w:r>
                </w:p>
              </w:tc>
            </w:tr>
            <w:tr w:rsidR="00B10CC0" w:rsidRPr="00B10CC0" w14:paraId="154BB20D" w14:textId="77777777" w:rsidTr="00B31D9D">
              <w:trPr>
                <w:jc w:val="center"/>
              </w:trPr>
              <w:tc>
                <w:tcPr>
                  <w:tcW w:w="3089" w:type="dxa"/>
                </w:tcPr>
                <w:p w14:paraId="75B76388" w14:textId="77777777" w:rsidR="00B10CC0" w:rsidRPr="00B10CC0" w:rsidRDefault="00B10CC0" w:rsidP="00B10CC0">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Netiešās izmaksas</w:t>
                  </w:r>
                </w:p>
              </w:tc>
              <w:tc>
                <w:tcPr>
                  <w:tcW w:w="3038" w:type="dxa"/>
                </w:tcPr>
                <w:p w14:paraId="1772419C" w14:textId="7A758862" w:rsidR="00B10CC0" w:rsidRPr="00B10CC0" w:rsidRDefault="00B10CC0" w:rsidP="00B10CC0">
                  <w:pPr>
                    <w:pStyle w:val="NormalWeb"/>
                    <w:spacing w:before="0" w:beforeAutospacing="0" w:after="0" w:afterAutospacing="0"/>
                    <w:jc w:val="center"/>
                    <w:rPr>
                      <w:rFonts w:ascii="Times New Roman" w:hAnsi="Times New Roman"/>
                      <w:bCs/>
                      <w:sz w:val="24"/>
                      <w:szCs w:val="24"/>
                      <w:lang w:val="lv-LV" w:eastAsia="lv-LV"/>
                    </w:rPr>
                  </w:pPr>
                  <w:r w:rsidRPr="00B10CC0">
                    <w:rPr>
                      <w:rFonts w:ascii="Times New Roman" w:hAnsi="Times New Roman"/>
                      <w:bCs/>
                      <w:sz w:val="24"/>
                      <w:szCs w:val="24"/>
                      <w:lang w:val="lv-LV" w:eastAsia="lv-LV"/>
                    </w:rPr>
                    <w:t>38</w:t>
                  </w:r>
                  <w:r>
                    <w:rPr>
                      <w:rFonts w:ascii="Times New Roman" w:hAnsi="Times New Roman"/>
                      <w:bCs/>
                      <w:sz w:val="24"/>
                      <w:szCs w:val="24"/>
                      <w:lang w:val="lv-LV" w:eastAsia="lv-LV"/>
                    </w:rPr>
                    <w:t> </w:t>
                  </w:r>
                  <w:r w:rsidRPr="00B10CC0">
                    <w:rPr>
                      <w:rFonts w:ascii="Times New Roman" w:hAnsi="Times New Roman"/>
                      <w:bCs/>
                      <w:sz w:val="24"/>
                      <w:szCs w:val="24"/>
                      <w:lang w:val="lv-LV" w:eastAsia="lv-LV"/>
                    </w:rPr>
                    <w:t>860</w:t>
                  </w:r>
                </w:p>
              </w:tc>
            </w:tr>
            <w:tr w:rsidR="00B10CC0" w:rsidRPr="00B10CC0" w14:paraId="54F323C6" w14:textId="77777777" w:rsidTr="00B31D9D">
              <w:trPr>
                <w:jc w:val="center"/>
              </w:trPr>
              <w:tc>
                <w:tcPr>
                  <w:tcW w:w="3089" w:type="dxa"/>
                </w:tcPr>
                <w:p w14:paraId="13FA4EED" w14:textId="77777777" w:rsidR="00B10CC0" w:rsidRPr="00B10CC0" w:rsidRDefault="00B10CC0" w:rsidP="00B10CC0">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Pakalpojuma izmaksas kopā</w:t>
                  </w:r>
                </w:p>
              </w:tc>
              <w:tc>
                <w:tcPr>
                  <w:tcW w:w="3038" w:type="dxa"/>
                </w:tcPr>
                <w:p w14:paraId="04B2A867" w14:textId="44479C0A" w:rsidR="00B10CC0" w:rsidRPr="00B10CC0" w:rsidRDefault="00B10CC0" w:rsidP="00B10CC0">
                  <w:pPr>
                    <w:pStyle w:val="NormalWeb"/>
                    <w:spacing w:before="0" w:beforeAutospacing="0" w:after="0" w:afterAutospacing="0"/>
                    <w:jc w:val="center"/>
                    <w:rPr>
                      <w:rFonts w:ascii="Times New Roman" w:hAnsi="Times New Roman"/>
                      <w:bCs/>
                      <w:sz w:val="24"/>
                      <w:szCs w:val="24"/>
                      <w:lang w:val="lv-LV" w:eastAsia="lv-LV"/>
                    </w:rPr>
                  </w:pPr>
                  <w:r w:rsidRPr="00B10CC0">
                    <w:rPr>
                      <w:rFonts w:ascii="Times New Roman" w:hAnsi="Times New Roman"/>
                      <w:bCs/>
                      <w:sz w:val="24"/>
                      <w:szCs w:val="24"/>
                      <w:lang w:val="lv-LV" w:eastAsia="lv-LV"/>
                    </w:rPr>
                    <w:t>124</w:t>
                  </w:r>
                  <w:r>
                    <w:rPr>
                      <w:rFonts w:ascii="Times New Roman" w:hAnsi="Times New Roman"/>
                      <w:bCs/>
                      <w:sz w:val="24"/>
                      <w:szCs w:val="24"/>
                      <w:lang w:val="lv-LV" w:eastAsia="lv-LV"/>
                    </w:rPr>
                    <w:t> </w:t>
                  </w:r>
                  <w:r w:rsidR="00C928B5">
                    <w:rPr>
                      <w:rFonts w:ascii="Times New Roman" w:hAnsi="Times New Roman"/>
                      <w:bCs/>
                      <w:sz w:val="24"/>
                      <w:szCs w:val="24"/>
                      <w:lang w:val="lv-LV" w:eastAsia="lv-LV"/>
                    </w:rPr>
                    <w:t>140</w:t>
                  </w:r>
                </w:p>
              </w:tc>
            </w:tr>
          </w:tbl>
          <w:p w14:paraId="0EB05127" w14:textId="77777777" w:rsidR="00B10CC0" w:rsidRPr="008963EC" w:rsidRDefault="00B10CC0" w:rsidP="00B10CC0">
            <w:pPr>
              <w:autoSpaceDE w:val="0"/>
              <w:autoSpaceDN w:val="0"/>
              <w:adjustRightInd w:val="0"/>
              <w:rPr>
                <w:bCs/>
                <w:sz w:val="12"/>
              </w:rPr>
            </w:pPr>
          </w:p>
          <w:tbl>
            <w:tblPr>
              <w:tblStyle w:val="TableGrid"/>
              <w:tblW w:w="0" w:type="auto"/>
              <w:jc w:val="center"/>
              <w:tblLook w:val="04A0" w:firstRow="1" w:lastRow="0" w:firstColumn="1" w:lastColumn="0" w:noHBand="0" w:noVBand="1"/>
            </w:tblPr>
            <w:tblGrid>
              <w:gridCol w:w="3364"/>
              <w:gridCol w:w="3365"/>
            </w:tblGrid>
            <w:tr w:rsidR="00B10CC0" w:rsidRPr="00B10CC0" w14:paraId="228C8A9A" w14:textId="77777777" w:rsidTr="00B31D9D">
              <w:trPr>
                <w:jc w:val="center"/>
              </w:trPr>
              <w:tc>
                <w:tcPr>
                  <w:tcW w:w="3364" w:type="dxa"/>
                </w:tcPr>
                <w:p w14:paraId="1D260010" w14:textId="77777777" w:rsidR="00B10CC0" w:rsidRPr="00B10CC0" w:rsidRDefault="00B10CC0" w:rsidP="00B10CC0">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lastRenderedPageBreak/>
                    <w:t xml:space="preserve">Maksas pakalpojumu vienību skaits gadā </w:t>
                  </w:r>
                </w:p>
              </w:tc>
              <w:tc>
                <w:tcPr>
                  <w:tcW w:w="3365" w:type="dxa"/>
                </w:tcPr>
                <w:p w14:paraId="55DD36CF" w14:textId="77777777" w:rsidR="00B10CC0" w:rsidRPr="00B10CC0" w:rsidRDefault="00B10CC0" w:rsidP="00B10CC0">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580</w:t>
                  </w:r>
                </w:p>
              </w:tc>
            </w:tr>
            <w:tr w:rsidR="00B10CC0" w:rsidRPr="00B10CC0" w14:paraId="20CE3180" w14:textId="77777777" w:rsidTr="00B10CC0">
              <w:trPr>
                <w:jc w:val="center"/>
              </w:trPr>
              <w:tc>
                <w:tcPr>
                  <w:tcW w:w="3364" w:type="dxa"/>
                </w:tcPr>
                <w:p w14:paraId="04AE02E7" w14:textId="77777777" w:rsidR="00B10CC0" w:rsidRPr="00B10CC0" w:rsidRDefault="00B10CC0" w:rsidP="00B10CC0">
                  <w:pPr>
                    <w:pStyle w:val="NormalWeb"/>
                    <w:spacing w:before="0" w:beforeAutospacing="0" w:after="0" w:afterAutospacing="0"/>
                    <w:rPr>
                      <w:rFonts w:ascii="Times New Roman" w:hAnsi="Times New Roman"/>
                      <w:b/>
                      <w:bCs/>
                      <w:sz w:val="24"/>
                      <w:szCs w:val="24"/>
                      <w:lang w:val="lv-LV" w:eastAsia="lv-LV"/>
                    </w:rPr>
                  </w:pPr>
                  <w:r w:rsidRPr="00B10CC0">
                    <w:rPr>
                      <w:rFonts w:ascii="Times New Roman" w:hAnsi="Times New Roman"/>
                      <w:b/>
                      <w:bCs/>
                      <w:sz w:val="24"/>
                      <w:szCs w:val="24"/>
                      <w:lang w:val="lv-LV" w:eastAsia="lv-LV"/>
                    </w:rPr>
                    <w:t xml:space="preserve">Maksas pakalpojuma izcenojums </w:t>
                  </w:r>
                  <w:r w:rsidRPr="00B10CC0">
                    <w:rPr>
                      <w:rFonts w:ascii="Times New Roman" w:hAnsi="Times New Roman"/>
                      <w:b/>
                      <w:bCs/>
                      <w:i/>
                      <w:sz w:val="24"/>
                      <w:szCs w:val="24"/>
                      <w:lang w:val="lv-LV" w:eastAsia="lv-LV"/>
                    </w:rPr>
                    <w:t>(euro)</w:t>
                  </w:r>
                </w:p>
              </w:tc>
              <w:tc>
                <w:tcPr>
                  <w:tcW w:w="3365" w:type="dxa"/>
                  <w:shd w:val="clear" w:color="auto" w:fill="auto"/>
                </w:tcPr>
                <w:p w14:paraId="22B1F9F0" w14:textId="0A39FF7B" w:rsidR="00B10CC0" w:rsidRPr="00B10CC0" w:rsidRDefault="00C928B5" w:rsidP="00B10CC0">
                  <w:pPr>
                    <w:pStyle w:val="NormalWeb"/>
                    <w:spacing w:before="0" w:beforeAutospacing="0" w:after="0" w:afterAutospacing="0"/>
                    <w:rPr>
                      <w:rFonts w:ascii="Times New Roman" w:hAnsi="Times New Roman"/>
                      <w:b/>
                      <w:bCs/>
                      <w:sz w:val="24"/>
                      <w:szCs w:val="24"/>
                      <w:lang w:val="lv-LV" w:eastAsia="lv-LV"/>
                    </w:rPr>
                  </w:pPr>
                  <w:r w:rsidRPr="00B10CC0">
                    <w:rPr>
                      <w:rFonts w:ascii="Times New Roman" w:hAnsi="Times New Roman"/>
                      <w:b/>
                      <w:bCs/>
                      <w:sz w:val="24"/>
                      <w:szCs w:val="24"/>
                      <w:lang w:val="lv-LV" w:eastAsia="lv-LV"/>
                    </w:rPr>
                    <w:t>21</w:t>
                  </w:r>
                  <w:r>
                    <w:rPr>
                      <w:rFonts w:ascii="Times New Roman" w:hAnsi="Times New Roman"/>
                      <w:b/>
                      <w:bCs/>
                      <w:sz w:val="24"/>
                      <w:szCs w:val="24"/>
                      <w:lang w:val="lv-LV" w:eastAsia="lv-LV"/>
                    </w:rPr>
                    <w:t>4</w:t>
                  </w:r>
                  <w:r w:rsidR="00B10CC0" w:rsidRPr="00B10CC0">
                    <w:rPr>
                      <w:rFonts w:ascii="Times New Roman" w:hAnsi="Times New Roman"/>
                      <w:b/>
                      <w:bCs/>
                      <w:sz w:val="24"/>
                      <w:szCs w:val="24"/>
                      <w:lang w:val="lv-LV" w:eastAsia="lv-LV"/>
                    </w:rPr>
                    <w:t>,00</w:t>
                  </w:r>
                </w:p>
              </w:tc>
            </w:tr>
          </w:tbl>
          <w:p w14:paraId="64D4E7BC" w14:textId="56CB1061" w:rsidR="00360524" w:rsidRPr="008963EC" w:rsidRDefault="00360524" w:rsidP="00DE43B4">
            <w:pPr>
              <w:shd w:val="clear" w:color="auto" w:fill="FFFFFF"/>
              <w:ind w:firstLine="394"/>
              <w:jc w:val="both"/>
              <w:rPr>
                <w:sz w:val="12"/>
              </w:rPr>
            </w:pPr>
          </w:p>
          <w:p w14:paraId="27E4F193" w14:textId="76D9EAB5" w:rsidR="00DE43B4" w:rsidRDefault="00DE43B4" w:rsidP="00DE43B4">
            <w:pPr>
              <w:shd w:val="clear" w:color="auto" w:fill="FFFFFF"/>
              <w:jc w:val="both"/>
              <w:rPr>
                <w:b/>
              </w:rPr>
            </w:pPr>
            <w:r w:rsidRPr="00DE43B4">
              <w:rPr>
                <w:b/>
              </w:rPr>
              <w:t>Tiešās izmaksas – atvieglotas sertifikāta uzturēšanas prasības</w:t>
            </w:r>
          </w:p>
          <w:p w14:paraId="210E1E83" w14:textId="77777777" w:rsidR="00DE43B4" w:rsidRPr="008963EC" w:rsidRDefault="00DE43B4" w:rsidP="00DE43B4">
            <w:pPr>
              <w:shd w:val="clear" w:color="auto" w:fill="FFFFFF"/>
              <w:ind w:firstLine="394"/>
              <w:jc w:val="both"/>
              <w:rPr>
                <w:sz w:val="12"/>
              </w:rPr>
            </w:pPr>
          </w:p>
          <w:p w14:paraId="15144A81" w14:textId="77777777" w:rsidR="00DE43B4" w:rsidRDefault="00DE43B4" w:rsidP="00DE43B4">
            <w:pPr>
              <w:shd w:val="clear" w:color="auto" w:fill="FFFFFF"/>
              <w:ind w:firstLine="394"/>
              <w:jc w:val="both"/>
            </w:pPr>
            <w:r>
              <w:t>Sertificēto arhitektu skaits, kas ievēros atvieglotas sertifikāta uzturēšanas prasības – 250.</w:t>
            </w:r>
          </w:p>
          <w:p w14:paraId="7AA49D4C" w14:textId="7693A1A6" w:rsidR="000E1DAA" w:rsidRPr="008963EC" w:rsidRDefault="00DE43B4" w:rsidP="00DE43B4">
            <w:pPr>
              <w:shd w:val="clear" w:color="auto" w:fill="FFFFFF"/>
              <w:ind w:firstLine="394"/>
              <w:jc w:val="both"/>
              <w:rPr>
                <w:sz w:val="12"/>
              </w:rPr>
            </w:pPr>
            <w:r>
              <w:t xml:space="preserve">Atvieglotas prasības sertifikāta uzturēšanai atļauts ievērot arhitektiem, kas uztur spēkā saskaņā ar </w:t>
            </w:r>
            <w:r w:rsidR="004E58A2" w:rsidRPr="004E58A2">
              <w:rPr>
                <w:i/>
              </w:rPr>
              <w:t>N</w:t>
            </w:r>
            <w:r w:rsidRPr="004E58A2">
              <w:rPr>
                <w:i/>
              </w:rPr>
              <w:t xml:space="preserve">oteikumu </w:t>
            </w:r>
            <w:r w:rsidR="004E58A2" w:rsidRPr="004E58A2">
              <w:rPr>
                <w:i/>
              </w:rPr>
              <w:t>N</w:t>
            </w:r>
            <w:r w:rsidRPr="004E58A2">
              <w:rPr>
                <w:i/>
              </w:rPr>
              <w:t>r.169</w:t>
            </w:r>
            <w:r>
              <w:t xml:space="preserve"> 6. punktu izveidoto informatīvo piezīmi </w:t>
            </w:r>
            <w:r w:rsidR="004E58A2">
              <w:t>–</w:t>
            </w:r>
            <w:r>
              <w:t xml:space="preserve"> </w:t>
            </w:r>
            <w:bookmarkStart w:id="1" w:name="_Hlk3203902"/>
            <w:r w:rsidRPr="00451F61">
              <w:rPr>
                <w:i/>
              </w:rPr>
              <w:t>Viena un divu dzīvokļu dzīvojamo ēku, atsevišķu dzīvokļu daudzdzīvokļu ēkās atjaunošanas un pārbūves, 1. un 2. grupas ražošanas un lauksaimniecības būvju projektēšana</w:t>
            </w:r>
            <w:bookmarkEnd w:id="1"/>
            <w:r>
              <w:t xml:space="preserve"> – un attiecīgi projektē tikai informatīvajā piezīmē uzskaitītos vai mazākus objektus. Atvieglotas sertifikāta uzturēšanas prasības izpaužas kā samazinātas prasības tālākizglītības un prakses apjomam. Ņemot vērā noteikto prasību vienkāršību, ir nepieciešami mazāki resursi </w:t>
            </w:r>
            <w:r w:rsidR="00C050E7" w:rsidRPr="00C050E7">
              <w:rPr>
                <w:i/>
              </w:rPr>
              <w:t>20% pārbaudei</w:t>
            </w:r>
            <w:r>
              <w:t xml:space="preserve">. Tāpat mazāki resursi nepieciešami arī </w:t>
            </w:r>
            <w:r w:rsidRPr="00C050E7">
              <w:rPr>
                <w:i/>
              </w:rPr>
              <w:t xml:space="preserve">sūdzību </w:t>
            </w:r>
            <w:r w:rsidR="00C050E7" w:rsidRPr="00C050E7">
              <w:rPr>
                <w:i/>
              </w:rPr>
              <w:t>izvērtēšanai</w:t>
            </w:r>
            <w:r>
              <w:t xml:space="preserve">, jo objekti ir nelieli, ir mazāks izskatāmo dokumentu apjoms un mazāka lietu sarežģītība. Attiecībā uz </w:t>
            </w:r>
            <w:r w:rsidRPr="00C050E7">
              <w:rPr>
                <w:i/>
              </w:rPr>
              <w:t xml:space="preserve">1% </w:t>
            </w:r>
            <w:r w:rsidR="00C050E7" w:rsidRPr="00C050E7">
              <w:rPr>
                <w:i/>
              </w:rPr>
              <w:t>pārbaudi</w:t>
            </w:r>
            <w:r>
              <w:t xml:space="preserve"> </w:t>
            </w:r>
            <w:r w:rsidR="00C050E7">
              <w:t>–</w:t>
            </w:r>
            <w:r>
              <w:t xml:space="preserve"> riska faktoru saraksts, pēc kuriem izvēlas būvprojektus </w:t>
            </w:r>
            <w:r w:rsidR="00C050E7" w:rsidRPr="00C050E7">
              <w:rPr>
                <w:i/>
              </w:rPr>
              <w:t>1%</w:t>
            </w:r>
            <w:r w:rsidRPr="00C050E7">
              <w:rPr>
                <w:i/>
              </w:rPr>
              <w:t xml:space="preserve"> pārbaudei</w:t>
            </w:r>
            <w:r>
              <w:t xml:space="preserve">, </w:t>
            </w:r>
            <w:r w:rsidR="00C050E7">
              <w:t xml:space="preserve">ir </w:t>
            </w:r>
            <w:r>
              <w:t xml:space="preserve">izveidots tāds, ka pārbaudāmie projekti lielākoties būs ārpus informatīvās piezīmes objektu kategorijas, kā arī gadījumā, ja tomēr būs </w:t>
            </w:r>
            <w:r w:rsidR="00C050E7">
              <w:t xml:space="preserve">jāveic </w:t>
            </w:r>
            <w:r w:rsidR="00C050E7" w:rsidRPr="00C050E7">
              <w:rPr>
                <w:i/>
              </w:rPr>
              <w:t>1% pārbaude</w:t>
            </w:r>
            <w:r>
              <w:t xml:space="preserve"> kādam no arhitektiem, kas </w:t>
            </w:r>
            <w:r w:rsidR="00C050E7">
              <w:t>uztur</w:t>
            </w:r>
            <w:r>
              <w:t xml:space="preserve"> sertifikāt</w:t>
            </w:r>
            <w:r w:rsidR="00C050E7">
              <w:t>u ar atvieglotām</w:t>
            </w:r>
            <w:r>
              <w:t xml:space="preserve"> uzturēšanas prasības, patērējamo resursu apjoms būs neliels objektu nelielā izmēra un mazāka dokumentu apjoma dēļ.</w:t>
            </w:r>
          </w:p>
          <w:p w14:paraId="629EB95B" w14:textId="43EAAFAD" w:rsidR="00C050E7" w:rsidRPr="00B74E1D" w:rsidRDefault="007171B2" w:rsidP="00C050E7">
            <w:pPr>
              <w:jc w:val="right"/>
              <w:rPr>
                <w:b/>
                <w:i/>
              </w:rPr>
            </w:pPr>
            <w:r>
              <w:rPr>
                <w:i/>
              </w:rPr>
              <w:t>6</w:t>
            </w:r>
            <w:r w:rsidR="00C050E7" w:rsidRPr="00B74E1D">
              <w:rPr>
                <w:b/>
                <w:i/>
              </w:rPr>
              <w:t>.</w:t>
            </w:r>
            <w:r w:rsidR="00C050E7" w:rsidRPr="00B74E1D">
              <w:rPr>
                <w:i/>
                <w:lang w:eastAsia="x-none"/>
              </w:rPr>
              <w:t>tabula</w:t>
            </w:r>
          </w:p>
          <w:p w14:paraId="7E39B74A" w14:textId="3CD7BFB5" w:rsidR="00C050E7" w:rsidRPr="00B74E1D" w:rsidRDefault="00C050E7" w:rsidP="00C050E7">
            <w:pPr>
              <w:jc w:val="center"/>
              <w:rPr>
                <w:b/>
              </w:rPr>
            </w:pPr>
            <w:r>
              <w:rPr>
                <w:b/>
              </w:rPr>
              <w:t xml:space="preserve">Arhitektu ar </w:t>
            </w:r>
            <w:r w:rsidRPr="00DE43B4">
              <w:rPr>
                <w:b/>
              </w:rPr>
              <w:t>atvieglot</w:t>
            </w:r>
            <w:r>
              <w:rPr>
                <w:b/>
              </w:rPr>
              <w:t>u</w:t>
            </w:r>
            <w:r w:rsidRPr="00DE43B4">
              <w:rPr>
                <w:b/>
              </w:rPr>
              <w:t xml:space="preserve"> sertifikāta uzturēšanas prasīb</w:t>
            </w:r>
            <w:r>
              <w:rPr>
                <w:b/>
              </w:rPr>
              <w:t>u</w:t>
            </w:r>
            <w:r w:rsidRPr="00B74E1D">
              <w:rPr>
                <w:b/>
              </w:rPr>
              <w:t xml:space="preserve"> uzraudzības tiešo izmaksu aprēķins </w:t>
            </w:r>
          </w:p>
          <w:tbl>
            <w:tblPr>
              <w:tblW w:w="7568" w:type="dxa"/>
              <w:jc w:val="center"/>
              <w:tblLook w:val="04A0" w:firstRow="1" w:lastRow="0" w:firstColumn="1" w:lastColumn="0" w:noHBand="0" w:noVBand="1"/>
            </w:tblPr>
            <w:tblGrid>
              <w:gridCol w:w="811"/>
              <w:gridCol w:w="1654"/>
              <w:gridCol w:w="1276"/>
              <w:gridCol w:w="1559"/>
              <w:gridCol w:w="993"/>
              <w:gridCol w:w="1275"/>
            </w:tblGrid>
            <w:tr w:rsidR="00641998" w:rsidRPr="009F7729" w14:paraId="25395789" w14:textId="77777777" w:rsidTr="00641998">
              <w:trPr>
                <w:trHeight w:val="682"/>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083E" w14:textId="77777777" w:rsidR="00C050E7" w:rsidRPr="009F7729" w:rsidRDefault="00C050E7" w:rsidP="00C050E7">
                  <w:pPr>
                    <w:jc w:val="center"/>
                    <w:rPr>
                      <w:color w:val="000000"/>
                    </w:rPr>
                  </w:pPr>
                  <w:r w:rsidRPr="009F7729">
                    <w:rPr>
                      <w:color w:val="000000"/>
                    </w:rPr>
                    <w:t>N.p.k.</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76CC102E" w14:textId="77777777" w:rsidR="00C050E7" w:rsidRPr="009F7729" w:rsidRDefault="00C050E7" w:rsidP="00C050E7">
                  <w:pPr>
                    <w:jc w:val="center"/>
                    <w:rPr>
                      <w:color w:val="000000"/>
                    </w:rPr>
                  </w:pPr>
                  <w:r w:rsidRPr="009F7729">
                    <w:rPr>
                      <w:color w:val="000000"/>
                    </w:rPr>
                    <w:t>Pārbaudes Nosaukums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95B6DD" w14:textId="77777777" w:rsidR="00C050E7" w:rsidRPr="009F7729" w:rsidRDefault="00C050E7" w:rsidP="00C050E7">
                  <w:pPr>
                    <w:jc w:val="center"/>
                    <w:rPr>
                      <w:color w:val="000000"/>
                    </w:rPr>
                  </w:pPr>
                  <w:r w:rsidRPr="009F7729">
                    <w:rPr>
                      <w:color w:val="000000"/>
                    </w:rPr>
                    <w:t>gadījumu skaits gadā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950364" w14:textId="77777777" w:rsidR="00C050E7" w:rsidRPr="009F7729" w:rsidRDefault="00C050E7" w:rsidP="00C050E7">
                  <w:pPr>
                    <w:jc w:val="center"/>
                    <w:rPr>
                      <w:color w:val="000000"/>
                    </w:rPr>
                  </w:pPr>
                  <w:r w:rsidRPr="009F7729">
                    <w:rPr>
                      <w:color w:val="000000"/>
                    </w:rPr>
                    <w:t>stundas likme (</w:t>
                  </w:r>
                  <w:r w:rsidRPr="009F7729">
                    <w:rPr>
                      <w:i/>
                      <w:color w:val="000000"/>
                    </w:rPr>
                    <w:t>euro</w:t>
                  </w:r>
                  <w:r w:rsidRPr="009F7729">
                    <w:rPr>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6AFFBA1" w14:textId="77777777" w:rsidR="00C050E7" w:rsidRPr="009F7729" w:rsidRDefault="00C050E7" w:rsidP="00C050E7">
                  <w:pPr>
                    <w:jc w:val="center"/>
                    <w:rPr>
                      <w:color w:val="000000"/>
                    </w:rPr>
                  </w:pPr>
                  <w:r w:rsidRPr="009F7729">
                    <w:rPr>
                      <w:color w:val="000000"/>
                    </w:rPr>
                    <w:t>stundu skaits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552355" w14:textId="77777777" w:rsidR="00C050E7" w:rsidRPr="009F7729" w:rsidRDefault="00C050E7" w:rsidP="00C050E7">
                  <w:pPr>
                    <w:jc w:val="center"/>
                    <w:rPr>
                      <w:color w:val="000000"/>
                    </w:rPr>
                  </w:pPr>
                  <w:r w:rsidRPr="009F7729">
                    <w:rPr>
                      <w:color w:val="000000"/>
                    </w:rPr>
                    <w:t>kopā (</w:t>
                  </w:r>
                  <w:r w:rsidRPr="009F7729">
                    <w:rPr>
                      <w:i/>
                      <w:color w:val="000000"/>
                    </w:rPr>
                    <w:t>euro</w:t>
                  </w:r>
                  <w:r w:rsidRPr="009F7729">
                    <w:rPr>
                      <w:color w:val="000000"/>
                    </w:rPr>
                    <w:t>)</w:t>
                  </w:r>
                </w:p>
              </w:tc>
            </w:tr>
            <w:tr w:rsidR="00641998" w:rsidRPr="009F7729" w14:paraId="53A4D26D" w14:textId="77777777" w:rsidTr="00641998">
              <w:trPr>
                <w:trHeight w:val="3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3DFEC93" w14:textId="77777777" w:rsidR="00C050E7" w:rsidRPr="009F7729" w:rsidRDefault="00C050E7" w:rsidP="00C050E7">
                  <w:pPr>
                    <w:jc w:val="center"/>
                    <w:rPr>
                      <w:color w:val="000000"/>
                    </w:rPr>
                  </w:pPr>
                  <w:r w:rsidRPr="009F7729">
                    <w:rPr>
                      <w:color w:val="000000"/>
                    </w:rPr>
                    <w:t>1</w:t>
                  </w:r>
                </w:p>
              </w:tc>
              <w:tc>
                <w:tcPr>
                  <w:tcW w:w="1654" w:type="dxa"/>
                  <w:tcBorders>
                    <w:top w:val="nil"/>
                    <w:left w:val="nil"/>
                    <w:bottom w:val="single" w:sz="4" w:space="0" w:color="auto"/>
                    <w:right w:val="single" w:sz="4" w:space="0" w:color="auto"/>
                  </w:tcBorders>
                  <w:shd w:val="clear" w:color="auto" w:fill="auto"/>
                  <w:vAlign w:val="center"/>
                  <w:hideMark/>
                </w:tcPr>
                <w:p w14:paraId="60839A05" w14:textId="77777777" w:rsidR="00C050E7" w:rsidRPr="009F7729" w:rsidRDefault="00C050E7" w:rsidP="00C050E7">
                  <w:pPr>
                    <w:jc w:val="center"/>
                    <w:rPr>
                      <w:i/>
                      <w:color w:val="000000"/>
                    </w:rPr>
                  </w:pPr>
                  <w:r w:rsidRPr="009F7729">
                    <w:rPr>
                      <w:i/>
                      <w:color w:val="000000"/>
                    </w:rPr>
                    <w:t>100% pārbaude</w:t>
                  </w:r>
                </w:p>
              </w:tc>
              <w:tc>
                <w:tcPr>
                  <w:tcW w:w="1276" w:type="dxa"/>
                  <w:tcBorders>
                    <w:top w:val="nil"/>
                    <w:left w:val="nil"/>
                    <w:bottom w:val="single" w:sz="4" w:space="0" w:color="auto"/>
                    <w:right w:val="single" w:sz="4" w:space="0" w:color="auto"/>
                  </w:tcBorders>
                  <w:shd w:val="clear" w:color="auto" w:fill="auto"/>
                  <w:vAlign w:val="center"/>
                  <w:hideMark/>
                </w:tcPr>
                <w:p w14:paraId="33B88AC2" w14:textId="77777777" w:rsidR="00C050E7" w:rsidRPr="009F7729" w:rsidRDefault="00C050E7" w:rsidP="00C050E7">
                  <w:pPr>
                    <w:jc w:val="center"/>
                    <w:rPr>
                      <w:color w:val="000000"/>
                    </w:rPr>
                  </w:pPr>
                  <w:r>
                    <w:rPr>
                      <w:color w:val="000000"/>
                    </w:rPr>
                    <w:t>250</w:t>
                  </w:r>
                </w:p>
              </w:tc>
              <w:tc>
                <w:tcPr>
                  <w:tcW w:w="1559" w:type="dxa"/>
                  <w:tcBorders>
                    <w:top w:val="nil"/>
                    <w:left w:val="nil"/>
                    <w:bottom w:val="single" w:sz="4" w:space="0" w:color="auto"/>
                    <w:right w:val="single" w:sz="4" w:space="0" w:color="auto"/>
                  </w:tcBorders>
                  <w:shd w:val="clear" w:color="auto" w:fill="auto"/>
                  <w:vAlign w:val="center"/>
                  <w:hideMark/>
                </w:tcPr>
                <w:p w14:paraId="49AFFF41" w14:textId="67709F1E" w:rsidR="00C050E7" w:rsidRPr="009F7729" w:rsidRDefault="00C050E7" w:rsidP="00C050E7">
                  <w:pPr>
                    <w:jc w:val="center"/>
                    <w:rPr>
                      <w:color w:val="000000"/>
                    </w:rPr>
                  </w:pPr>
                  <w:r w:rsidRPr="009F7729">
                    <w:rPr>
                      <w:color w:val="000000"/>
                    </w:rPr>
                    <w:t>1</w:t>
                  </w:r>
                  <w:r>
                    <w:rPr>
                      <w:color w:val="000000"/>
                    </w:rPr>
                    <w:t>2</w:t>
                  </w:r>
                  <w:r w:rsidR="0064199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7FE04517" w14:textId="77777777" w:rsidR="00C050E7" w:rsidRPr="009F7729" w:rsidRDefault="00C050E7" w:rsidP="00C050E7">
                  <w:pPr>
                    <w:jc w:val="center"/>
                    <w:rPr>
                      <w:color w:val="000000"/>
                    </w:rPr>
                  </w:pPr>
                  <w:r w:rsidRPr="009F7729">
                    <w:rPr>
                      <w:color w:val="000000"/>
                    </w:rPr>
                    <w:t>1</w:t>
                  </w:r>
                </w:p>
              </w:tc>
              <w:tc>
                <w:tcPr>
                  <w:tcW w:w="1275" w:type="dxa"/>
                  <w:tcBorders>
                    <w:top w:val="nil"/>
                    <w:left w:val="nil"/>
                    <w:bottom w:val="single" w:sz="4" w:space="0" w:color="auto"/>
                    <w:right w:val="single" w:sz="4" w:space="0" w:color="auto"/>
                  </w:tcBorders>
                  <w:shd w:val="clear" w:color="auto" w:fill="auto"/>
                  <w:vAlign w:val="center"/>
                  <w:hideMark/>
                </w:tcPr>
                <w:p w14:paraId="59C77372" w14:textId="5759393B" w:rsidR="00C050E7" w:rsidRPr="009F7729" w:rsidRDefault="00C050E7" w:rsidP="00C050E7">
                  <w:pPr>
                    <w:jc w:val="center"/>
                    <w:rPr>
                      <w:color w:val="000000"/>
                    </w:rPr>
                  </w:pPr>
                  <w:r>
                    <w:rPr>
                      <w:color w:val="000000"/>
                    </w:rPr>
                    <w:t>3</w:t>
                  </w:r>
                  <w:r w:rsidR="00641998">
                    <w:rPr>
                      <w:color w:val="000000"/>
                    </w:rPr>
                    <w:t> </w:t>
                  </w:r>
                  <w:r>
                    <w:rPr>
                      <w:color w:val="000000"/>
                    </w:rPr>
                    <w:t>000</w:t>
                  </w:r>
                  <w:r w:rsidR="00641998">
                    <w:rPr>
                      <w:color w:val="000000"/>
                    </w:rPr>
                    <w:t>,00</w:t>
                  </w:r>
                </w:p>
              </w:tc>
            </w:tr>
            <w:tr w:rsidR="00641998" w:rsidRPr="009F7729" w14:paraId="59DAE210" w14:textId="77777777" w:rsidTr="00641998">
              <w:trPr>
                <w:trHeight w:val="3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5297CA8" w14:textId="77777777" w:rsidR="00C050E7" w:rsidRPr="009F7729" w:rsidRDefault="00C050E7" w:rsidP="00C050E7">
                  <w:pPr>
                    <w:jc w:val="center"/>
                    <w:rPr>
                      <w:color w:val="000000"/>
                    </w:rPr>
                  </w:pPr>
                  <w:r w:rsidRPr="009F7729">
                    <w:rPr>
                      <w:color w:val="000000"/>
                    </w:rPr>
                    <w:t>2</w:t>
                  </w:r>
                </w:p>
              </w:tc>
              <w:tc>
                <w:tcPr>
                  <w:tcW w:w="1654" w:type="dxa"/>
                  <w:tcBorders>
                    <w:top w:val="nil"/>
                    <w:left w:val="nil"/>
                    <w:bottom w:val="single" w:sz="4" w:space="0" w:color="auto"/>
                    <w:right w:val="single" w:sz="4" w:space="0" w:color="auto"/>
                  </w:tcBorders>
                  <w:shd w:val="clear" w:color="auto" w:fill="auto"/>
                  <w:vAlign w:val="center"/>
                  <w:hideMark/>
                </w:tcPr>
                <w:p w14:paraId="53A029CC" w14:textId="77777777" w:rsidR="00C050E7" w:rsidRPr="009F7729" w:rsidRDefault="00C050E7" w:rsidP="00C050E7">
                  <w:pPr>
                    <w:jc w:val="center"/>
                    <w:rPr>
                      <w:i/>
                      <w:color w:val="000000"/>
                    </w:rPr>
                  </w:pPr>
                  <w:r w:rsidRPr="009F7729">
                    <w:rPr>
                      <w:i/>
                      <w:color w:val="000000"/>
                    </w:rPr>
                    <w:t>20% pārbaude</w:t>
                  </w:r>
                </w:p>
              </w:tc>
              <w:tc>
                <w:tcPr>
                  <w:tcW w:w="1276" w:type="dxa"/>
                  <w:tcBorders>
                    <w:top w:val="nil"/>
                    <w:left w:val="nil"/>
                    <w:bottom w:val="single" w:sz="4" w:space="0" w:color="auto"/>
                    <w:right w:val="single" w:sz="4" w:space="0" w:color="auto"/>
                  </w:tcBorders>
                  <w:shd w:val="clear" w:color="auto" w:fill="auto"/>
                  <w:vAlign w:val="center"/>
                  <w:hideMark/>
                </w:tcPr>
                <w:p w14:paraId="42705F2F" w14:textId="77777777" w:rsidR="00C050E7" w:rsidRPr="009F7729" w:rsidRDefault="00C050E7" w:rsidP="00C050E7">
                  <w:pPr>
                    <w:jc w:val="center"/>
                    <w:rPr>
                      <w:color w:val="000000"/>
                    </w:rPr>
                  </w:pPr>
                  <w:r>
                    <w:rPr>
                      <w:color w:val="000000"/>
                    </w:rPr>
                    <w:t>50</w:t>
                  </w:r>
                </w:p>
              </w:tc>
              <w:tc>
                <w:tcPr>
                  <w:tcW w:w="1559" w:type="dxa"/>
                  <w:tcBorders>
                    <w:top w:val="nil"/>
                    <w:left w:val="nil"/>
                    <w:bottom w:val="single" w:sz="4" w:space="0" w:color="auto"/>
                    <w:right w:val="single" w:sz="4" w:space="0" w:color="auto"/>
                  </w:tcBorders>
                  <w:shd w:val="clear" w:color="auto" w:fill="auto"/>
                  <w:vAlign w:val="center"/>
                  <w:hideMark/>
                </w:tcPr>
                <w:p w14:paraId="6C007360" w14:textId="3EBB7E38" w:rsidR="00C050E7" w:rsidRPr="009F7729" w:rsidRDefault="00C050E7" w:rsidP="00C050E7">
                  <w:pPr>
                    <w:jc w:val="center"/>
                    <w:rPr>
                      <w:color w:val="000000"/>
                    </w:rPr>
                  </w:pPr>
                  <w:r w:rsidRPr="009F7729">
                    <w:rPr>
                      <w:color w:val="000000"/>
                    </w:rPr>
                    <w:t>40</w:t>
                  </w:r>
                  <w:r w:rsidR="0064199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685719E4" w14:textId="77777777" w:rsidR="00C050E7" w:rsidRPr="009F7729" w:rsidRDefault="00C050E7" w:rsidP="00C050E7">
                  <w:pPr>
                    <w:jc w:val="center"/>
                    <w:rPr>
                      <w:color w:val="000000"/>
                    </w:rPr>
                  </w:pPr>
                  <w:r>
                    <w:rPr>
                      <w:color w:val="000000"/>
                    </w:rPr>
                    <w:t>1</w:t>
                  </w:r>
                </w:p>
              </w:tc>
              <w:tc>
                <w:tcPr>
                  <w:tcW w:w="1275" w:type="dxa"/>
                  <w:tcBorders>
                    <w:top w:val="nil"/>
                    <w:left w:val="nil"/>
                    <w:bottom w:val="single" w:sz="4" w:space="0" w:color="auto"/>
                    <w:right w:val="single" w:sz="4" w:space="0" w:color="auto"/>
                  </w:tcBorders>
                  <w:shd w:val="clear" w:color="auto" w:fill="auto"/>
                  <w:vAlign w:val="center"/>
                  <w:hideMark/>
                </w:tcPr>
                <w:p w14:paraId="70892EF2" w14:textId="14F583A6" w:rsidR="00C050E7" w:rsidRPr="009F7729" w:rsidRDefault="00C050E7" w:rsidP="00C050E7">
                  <w:pPr>
                    <w:jc w:val="center"/>
                    <w:rPr>
                      <w:color w:val="000000"/>
                    </w:rPr>
                  </w:pPr>
                  <w:r>
                    <w:rPr>
                      <w:color w:val="000000"/>
                    </w:rPr>
                    <w:t>2</w:t>
                  </w:r>
                  <w:r w:rsidR="00641998">
                    <w:rPr>
                      <w:color w:val="000000"/>
                    </w:rPr>
                    <w:t> </w:t>
                  </w:r>
                  <w:r>
                    <w:rPr>
                      <w:color w:val="000000"/>
                    </w:rPr>
                    <w:t>000</w:t>
                  </w:r>
                  <w:r w:rsidR="00641998">
                    <w:rPr>
                      <w:color w:val="000000"/>
                    </w:rPr>
                    <w:t>,00</w:t>
                  </w:r>
                </w:p>
              </w:tc>
            </w:tr>
            <w:tr w:rsidR="00641998" w:rsidRPr="009F7729" w14:paraId="722D39D2" w14:textId="77777777" w:rsidTr="00641998">
              <w:trPr>
                <w:trHeight w:val="6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D1F6C3C" w14:textId="77777777" w:rsidR="00C050E7" w:rsidRPr="009F7729" w:rsidRDefault="00C050E7" w:rsidP="00C050E7">
                  <w:pPr>
                    <w:jc w:val="center"/>
                    <w:rPr>
                      <w:color w:val="000000"/>
                    </w:rPr>
                  </w:pPr>
                  <w:r w:rsidRPr="009F7729">
                    <w:rPr>
                      <w:color w:val="000000"/>
                    </w:rPr>
                    <w:t>3</w:t>
                  </w:r>
                </w:p>
              </w:tc>
              <w:tc>
                <w:tcPr>
                  <w:tcW w:w="1654" w:type="dxa"/>
                  <w:tcBorders>
                    <w:top w:val="nil"/>
                    <w:left w:val="nil"/>
                    <w:bottom w:val="single" w:sz="4" w:space="0" w:color="auto"/>
                    <w:right w:val="single" w:sz="4" w:space="0" w:color="auto"/>
                  </w:tcBorders>
                  <w:shd w:val="clear" w:color="auto" w:fill="auto"/>
                  <w:vAlign w:val="center"/>
                  <w:hideMark/>
                </w:tcPr>
                <w:p w14:paraId="79880D44" w14:textId="77777777" w:rsidR="00C050E7" w:rsidRPr="009F7729" w:rsidRDefault="00C050E7" w:rsidP="00C050E7">
                  <w:pPr>
                    <w:jc w:val="center"/>
                    <w:rPr>
                      <w:i/>
                      <w:color w:val="000000"/>
                    </w:rPr>
                  </w:pPr>
                  <w:r w:rsidRPr="009F7729">
                    <w:rPr>
                      <w:i/>
                      <w:color w:val="000000"/>
                    </w:rPr>
                    <w:t>Sūdzību izvērtēšana</w:t>
                  </w:r>
                </w:p>
              </w:tc>
              <w:tc>
                <w:tcPr>
                  <w:tcW w:w="1276" w:type="dxa"/>
                  <w:tcBorders>
                    <w:top w:val="nil"/>
                    <w:left w:val="nil"/>
                    <w:bottom w:val="single" w:sz="4" w:space="0" w:color="auto"/>
                    <w:right w:val="single" w:sz="4" w:space="0" w:color="auto"/>
                  </w:tcBorders>
                  <w:shd w:val="clear" w:color="auto" w:fill="auto"/>
                  <w:vAlign w:val="center"/>
                  <w:hideMark/>
                </w:tcPr>
                <w:p w14:paraId="7371D0E0" w14:textId="77777777" w:rsidR="00C050E7" w:rsidRPr="009F7729" w:rsidRDefault="00C050E7" w:rsidP="00C050E7">
                  <w:pPr>
                    <w:jc w:val="center"/>
                    <w:rPr>
                      <w:color w:val="000000"/>
                    </w:rPr>
                  </w:pPr>
                  <w:r>
                    <w:rPr>
                      <w:color w:val="000000"/>
                    </w:rPr>
                    <w:t>10</w:t>
                  </w:r>
                </w:p>
              </w:tc>
              <w:tc>
                <w:tcPr>
                  <w:tcW w:w="1559" w:type="dxa"/>
                  <w:tcBorders>
                    <w:top w:val="nil"/>
                    <w:left w:val="nil"/>
                    <w:bottom w:val="single" w:sz="4" w:space="0" w:color="auto"/>
                    <w:right w:val="single" w:sz="4" w:space="0" w:color="auto"/>
                  </w:tcBorders>
                  <w:shd w:val="clear" w:color="auto" w:fill="auto"/>
                  <w:vAlign w:val="center"/>
                  <w:hideMark/>
                </w:tcPr>
                <w:p w14:paraId="70672638" w14:textId="61F36BB9" w:rsidR="00C050E7" w:rsidRPr="009F7729" w:rsidRDefault="00C050E7" w:rsidP="00C050E7">
                  <w:pPr>
                    <w:jc w:val="center"/>
                    <w:rPr>
                      <w:color w:val="000000"/>
                    </w:rPr>
                  </w:pPr>
                  <w:r w:rsidRPr="009F7729">
                    <w:rPr>
                      <w:color w:val="000000"/>
                    </w:rPr>
                    <w:t>40</w:t>
                  </w:r>
                  <w:r w:rsidR="0064199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4032347F" w14:textId="77777777" w:rsidR="00C050E7" w:rsidRPr="009F7729" w:rsidRDefault="00C050E7" w:rsidP="00C050E7">
                  <w:pPr>
                    <w:jc w:val="center"/>
                    <w:rPr>
                      <w:color w:val="000000"/>
                    </w:rPr>
                  </w:pPr>
                  <w:r>
                    <w:rPr>
                      <w:color w:val="000000"/>
                    </w:rPr>
                    <w:t>3</w:t>
                  </w:r>
                </w:p>
              </w:tc>
              <w:tc>
                <w:tcPr>
                  <w:tcW w:w="1275" w:type="dxa"/>
                  <w:tcBorders>
                    <w:top w:val="nil"/>
                    <w:left w:val="nil"/>
                    <w:bottom w:val="single" w:sz="4" w:space="0" w:color="auto"/>
                    <w:right w:val="single" w:sz="4" w:space="0" w:color="auto"/>
                  </w:tcBorders>
                  <w:shd w:val="clear" w:color="auto" w:fill="auto"/>
                  <w:vAlign w:val="center"/>
                  <w:hideMark/>
                </w:tcPr>
                <w:p w14:paraId="6114B33E" w14:textId="29C82A68" w:rsidR="00C050E7" w:rsidRPr="009F7729" w:rsidRDefault="00C050E7" w:rsidP="00C050E7">
                  <w:pPr>
                    <w:jc w:val="center"/>
                    <w:rPr>
                      <w:color w:val="000000"/>
                    </w:rPr>
                  </w:pPr>
                  <w:r>
                    <w:rPr>
                      <w:color w:val="000000"/>
                    </w:rPr>
                    <w:t>1</w:t>
                  </w:r>
                  <w:r w:rsidR="00641998">
                    <w:rPr>
                      <w:color w:val="000000"/>
                    </w:rPr>
                    <w:t> </w:t>
                  </w:r>
                  <w:r>
                    <w:rPr>
                      <w:color w:val="000000"/>
                    </w:rPr>
                    <w:t>200</w:t>
                  </w:r>
                  <w:r w:rsidR="00641998">
                    <w:rPr>
                      <w:color w:val="000000"/>
                    </w:rPr>
                    <w:t>,00</w:t>
                  </w:r>
                </w:p>
              </w:tc>
            </w:tr>
            <w:tr w:rsidR="00641998" w:rsidRPr="009F7729" w14:paraId="090479FF" w14:textId="77777777" w:rsidTr="00641998">
              <w:trPr>
                <w:trHeight w:val="6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C10277F" w14:textId="77777777" w:rsidR="00C050E7" w:rsidRPr="009F7729" w:rsidRDefault="00C050E7" w:rsidP="00C050E7">
                  <w:pPr>
                    <w:jc w:val="center"/>
                    <w:rPr>
                      <w:color w:val="000000"/>
                    </w:rPr>
                  </w:pPr>
                  <w:r w:rsidRPr="009F7729">
                    <w:rPr>
                      <w:color w:val="000000"/>
                    </w:rPr>
                    <w:t>4</w:t>
                  </w:r>
                </w:p>
              </w:tc>
              <w:tc>
                <w:tcPr>
                  <w:tcW w:w="1654" w:type="dxa"/>
                  <w:tcBorders>
                    <w:top w:val="nil"/>
                    <w:left w:val="nil"/>
                    <w:bottom w:val="single" w:sz="4" w:space="0" w:color="auto"/>
                    <w:right w:val="single" w:sz="4" w:space="0" w:color="auto"/>
                  </w:tcBorders>
                  <w:shd w:val="clear" w:color="auto" w:fill="auto"/>
                  <w:vAlign w:val="center"/>
                  <w:hideMark/>
                </w:tcPr>
                <w:p w14:paraId="22C816DE" w14:textId="77777777" w:rsidR="00C050E7" w:rsidRPr="009F7729" w:rsidRDefault="00C050E7" w:rsidP="00C050E7">
                  <w:pPr>
                    <w:jc w:val="center"/>
                    <w:rPr>
                      <w:i/>
                      <w:color w:val="000000"/>
                    </w:rPr>
                  </w:pPr>
                  <w:r w:rsidRPr="009F7729">
                    <w:rPr>
                      <w:i/>
                      <w:color w:val="000000"/>
                    </w:rPr>
                    <w:t>1% pārbaude</w:t>
                  </w:r>
                </w:p>
              </w:tc>
              <w:tc>
                <w:tcPr>
                  <w:tcW w:w="1276" w:type="dxa"/>
                  <w:tcBorders>
                    <w:top w:val="nil"/>
                    <w:left w:val="nil"/>
                    <w:bottom w:val="single" w:sz="4" w:space="0" w:color="auto"/>
                    <w:right w:val="single" w:sz="4" w:space="0" w:color="auto"/>
                  </w:tcBorders>
                  <w:shd w:val="clear" w:color="auto" w:fill="auto"/>
                  <w:vAlign w:val="center"/>
                  <w:hideMark/>
                </w:tcPr>
                <w:p w14:paraId="7122136B" w14:textId="77777777" w:rsidR="00C050E7" w:rsidRPr="009F7729" w:rsidRDefault="00C050E7" w:rsidP="00C050E7">
                  <w:pPr>
                    <w:jc w:val="center"/>
                    <w:rPr>
                      <w:color w:val="000000"/>
                    </w:rPr>
                  </w:pPr>
                  <w:r>
                    <w:rPr>
                      <w:color w:val="000000"/>
                    </w:rPr>
                    <w:t>1</w:t>
                  </w:r>
                </w:p>
              </w:tc>
              <w:tc>
                <w:tcPr>
                  <w:tcW w:w="1559" w:type="dxa"/>
                  <w:tcBorders>
                    <w:top w:val="nil"/>
                    <w:left w:val="nil"/>
                    <w:bottom w:val="single" w:sz="4" w:space="0" w:color="auto"/>
                    <w:right w:val="single" w:sz="4" w:space="0" w:color="auto"/>
                  </w:tcBorders>
                  <w:shd w:val="clear" w:color="auto" w:fill="auto"/>
                  <w:vAlign w:val="center"/>
                  <w:hideMark/>
                </w:tcPr>
                <w:p w14:paraId="434FE8BB" w14:textId="5367D604" w:rsidR="00C050E7" w:rsidRPr="009F7729" w:rsidRDefault="00C050E7" w:rsidP="00C050E7">
                  <w:pPr>
                    <w:jc w:val="center"/>
                    <w:rPr>
                      <w:color w:val="000000"/>
                    </w:rPr>
                  </w:pPr>
                  <w:r w:rsidRPr="009F7729">
                    <w:rPr>
                      <w:color w:val="000000"/>
                    </w:rPr>
                    <w:t>40</w:t>
                  </w:r>
                  <w:r w:rsidR="0064199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6BA02752" w14:textId="77777777" w:rsidR="00C050E7" w:rsidRPr="009F7729" w:rsidRDefault="00C050E7" w:rsidP="00C050E7">
                  <w:pPr>
                    <w:jc w:val="center"/>
                    <w:rPr>
                      <w:color w:val="000000"/>
                    </w:rPr>
                  </w:pPr>
                  <w:r>
                    <w:rPr>
                      <w:color w:val="000000"/>
                    </w:rPr>
                    <w:t>16</w:t>
                  </w:r>
                </w:p>
              </w:tc>
              <w:tc>
                <w:tcPr>
                  <w:tcW w:w="1275" w:type="dxa"/>
                  <w:tcBorders>
                    <w:top w:val="nil"/>
                    <w:left w:val="nil"/>
                    <w:bottom w:val="single" w:sz="4" w:space="0" w:color="auto"/>
                    <w:right w:val="single" w:sz="4" w:space="0" w:color="auto"/>
                  </w:tcBorders>
                  <w:shd w:val="clear" w:color="auto" w:fill="auto"/>
                  <w:vAlign w:val="center"/>
                  <w:hideMark/>
                </w:tcPr>
                <w:p w14:paraId="7A116960" w14:textId="176BBA74" w:rsidR="00C050E7" w:rsidRPr="009F7729" w:rsidRDefault="00C050E7" w:rsidP="00C050E7">
                  <w:pPr>
                    <w:jc w:val="center"/>
                    <w:rPr>
                      <w:color w:val="000000"/>
                    </w:rPr>
                  </w:pPr>
                  <w:r>
                    <w:rPr>
                      <w:color w:val="000000"/>
                    </w:rPr>
                    <w:t>640</w:t>
                  </w:r>
                  <w:r w:rsidR="00641998">
                    <w:rPr>
                      <w:color w:val="000000"/>
                    </w:rPr>
                    <w:t>,00</w:t>
                  </w:r>
                </w:p>
              </w:tc>
            </w:tr>
            <w:tr w:rsidR="00641998" w:rsidRPr="009F7729" w14:paraId="16DF45CF" w14:textId="77777777" w:rsidTr="00641998">
              <w:trPr>
                <w:trHeight w:val="744"/>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BC8D154" w14:textId="77777777" w:rsidR="00C050E7" w:rsidRPr="009F7729" w:rsidRDefault="00C050E7" w:rsidP="00C050E7">
                  <w:pPr>
                    <w:jc w:val="center"/>
                    <w:rPr>
                      <w:color w:val="000000"/>
                    </w:rPr>
                  </w:pPr>
                  <w:r w:rsidRPr="009F7729">
                    <w:rPr>
                      <w:color w:val="000000"/>
                    </w:rPr>
                    <w:t>5</w:t>
                  </w:r>
                </w:p>
              </w:tc>
              <w:tc>
                <w:tcPr>
                  <w:tcW w:w="1654" w:type="dxa"/>
                  <w:tcBorders>
                    <w:top w:val="nil"/>
                    <w:left w:val="nil"/>
                    <w:bottom w:val="single" w:sz="4" w:space="0" w:color="auto"/>
                    <w:right w:val="single" w:sz="4" w:space="0" w:color="auto"/>
                  </w:tcBorders>
                  <w:shd w:val="clear" w:color="auto" w:fill="auto"/>
                  <w:vAlign w:val="center"/>
                  <w:hideMark/>
                </w:tcPr>
                <w:p w14:paraId="32134501" w14:textId="77777777" w:rsidR="00C050E7" w:rsidRPr="009F7729" w:rsidRDefault="00C050E7" w:rsidP="00C050E7">
                  <w:pPr>
                    <w:jc w:val="center"/>
                    <w:rPr>
                      <w:color w:val="000000"/>
                    </w:rPr>
                  </w:pPr>
                  <w:r w:rsidRPr="009F7729">
                    <w:rPr>
                      <w:color w:val="000000"/>
                    </w:rPr>
                    <w:t>Juridiskie pakalpojumi</w:t>
                  </w:r>
                </w:p>
              </w:tc>
              <w:tc>
                <w:tcPr>
                  <w:tcW w:w="1276" w:type="dxa"/>
                  <w:tcBorders>
                    <w:top w:val="nil"/>
                    <w:left w:val="nil"/>
                    <w:bottom w:val="single" w:sz="4" w:space="0" w:color="auto"/>
                    <w:right w:val="single" w:sz="4" w:space="0" w:color="auto"/>
                  </w:tcBorders>
                  <w:shd w:val="clear" w:color="auto" w:fill="auto"/>
                  <w:vAlign w:val="center"/>
                  <w:hideMark/>
                </w:tcPr>
                <w:p w14:paraId="284B07C3" w14:textId="77777777" w:rsidR="00C050E7" w:rsidRPr="009F7729" w:rsidRDefault="00C050E7" w:rsidP="00C050E7">
                  <w:pPr>
                    <w:jc w:val="center"/>
                    <w:rPr>
                      <w:color w:val="000000"/>
                    </w:rPr>
                  </w:pPr>
                  <w:r>
                    <w:rPr>
                      <w:color w:val="000000"/>
                    </w:rPr>
                    <w:t>7</w:t>
                  </w:r>
                </w:p>
              </w:tc>
              <w:tc>
                <w:tcPr>
                  <w:tcW w:w="1559" w:type="dxa"/>
                  <w:tcBorders>
                    <w:top w:val="nil"/>
                    <w:left w:val="nil"/>
                    <w:bottom w:val="single" w:sz="4" w:space="0" w:color="auto"/>
                    <w:right w:val="single" w:sz="4" w:space="0" w:color="auto"/>
                  </w:tcBorders>
                  <w:shd w:val="clear" w:color="auto" w:fill="auto"/>
                  <w:vAlign w:val="center"/>
                  <w:hideMark/>
                </w:tcPr>
                <w:p w14:paraId="617599DB" w14:textId="3E995536" w:rsidR="00C050E7" w:rsidRPr="009F7729" w:rsidRDefault="00C050E7" w:rsidP="00C050E7">
                  <w:pPr>
                    <w:jc w:val="center"/>
                    <w:rPr>
                      <w:color w:val="000000"/>
                    </w:rPr>
                  </w:pPr>
                  <w:r w:rsidRPr="009F7729">
                    <w:rPr>
                      <w:color w:val="000000"/>
                    </w:rPr>
                    <w:t>100</w:t>
                  </w:r>
                  <w:r w:rsidR="0064199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779C547A" w14:textId="77777777" w:rsidR="00C050E7" w:rsidRPr="009F7729" w:rsidRDefault="00C050E7" w:rsidP="00C050E7">
                  <w:pPr>
                    <w:jc w:val="center"/>
                    <w:rPr>
                      <w:color w:val="000000"/>
                    </w:rPr>
                  </w:pPr>
                  <w:r>
                    <w:rPr>
                      <w:color w:val="000000"/>
                    </w:rPr>
                    <w:t>2</w:t>
                  </w:r>
                </w:p>
              </w:tc>
              <w:tc>
                <w:tcPr>
                  <w:tcW w:w="1275" w:type="dxa"/>
                  <w:tcBorders>
                    <w:top w:val="nil"/>
                    <w:left w:val="nil"/>
                    <w:bottom w:val="single" w:sz="4" w:space="0" w:color="auto"/>
                    <w:right w:val="single" w:sz="4" w:space="0" w:color="auto"/>
                  </w:tcBorders>
                  <w:shd w:val="clear" w:color="auto" w:fill="auto"/>
                  <w:vAlign w:val="center"/>
                  <w:hideMark/>
                </w:tcPr>
                <w:p w14:paraId="4361B811" w14:textId="1ADCC07F" w:rsidR="00C050E7" w:rsidRPr="009F7729" w:rsidRDefault="00C050E7" w:rsidP="00C050E7">
                  <w:pPr>
                    <w:jc w:val="center"/>
                    <w:rPr>
                      <w:color w:val="000000"/>
                    </w:rPr>
                  </w:pPr>
                  <w:r>
                    <w:rPr>
                      <w:color w:val="000000"/>
                    </w:rPr>
                    <w:t>1</w:t>
                  </w:r>
                  <w:r w:rsidR="00641998">
                    <w:rPr>
                      <w:color w:val="000000"/>
                    </w:rPr>
                    <w:t> </w:t>
                  </w:r>
                  <w:r>
                    <w:rPr>
                      <w:color w:val="000000"/>
                    </w:rPr>
                    <w:t>400</w:t>
                  </w:r>
                  <w:r w:rsidR="00641998">
                    <w:rPr>
                      <w:color w:val="000000"/>
                    </w:rPr>
                    <w:t>,00</w:t>
                  </w:r>
                </w:p>
              </w:tc>
            </w:tr>
            <w:tr w:rsidR="00C050E7" w:rsidRPr="009F7729" w14:paraId="554926C4" w14:textId="77777777" w:rsidTr="00641998">
              <w:trPr>
                <w:trHeight w:val="49"/>
                <w:jc w:val="center"/>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85E3AE" w14:textId="77777777" w:rsidR="00C050E7" w:rsidRPr="009F7729" w:rsidRDefault="00C050E7" w:rsidP="00C050E7">
                  <w:pPr>
                    <w:jc w:val="right"/>
                    <w:rPr>
                      <w:b/>
                      <w:bCs/>
                      <w:color w:val="000000"/>
                    </w:rPr>
                  </w:pPr>
                  <w:r w:rsidRPr="009F7729">
                    <w:rPr>
                      <w:b/>
                      <w:bCs/>
                      <w:color w:val="000000"/>
                    </w:rPr>
                    <w:t>Kopā tiešās izmaksas (</w:t>
                  </w:r>
                  <w:r w:rsidRPr="009F7729">
                    <w:rPr>
                      <w:b/>
                      <w:bCs/>
                      <w:i/>
                      <w:color w:val="000000"/>
                    </w:rPr>
                    <w:t>euro</w:t>
                  </w:r>
                  <w:r w:rsidRPr="009F7729">
                    <w:rPr>
                      <w:b/>
                      <w:bCs/>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417C36A5" w14:textId="21D17F23" w:rsidR="00C050E7" w:rsidRPr="009F7729" w:rsidRDefault="00C050E7" w:rsidP="00C050E7">
                  <w:pPr>
                    <w:jc w:val="center"/>
                    <w:rPr>
                      <w:b/>
                      <w:bCs/>
                      <w:color w:val="000000"/>
                    </w:rPr>
                  </w:pPr>
                  <w:r>
                    <w:rPr>
                      <w:b/>
                      <w:bCs/>
                      <w:color w:val="000000"/>
                    </w:rPr>
                    <w:t>8</w:t>
                  </w:r>
                  <w:r w:rsidR="00641998">
                    <w:rPr>
                      <w:b/>
                      <w:bCs/>
                      <w:color w:val="000000"/>
                    </w:rPr>
                    <w:t> </w:t>
                  </w:r>
                  <w:r>
                    <w:rPr>
                      <w:b/>
                      <w:bCs/>
                      <w:color w:val="000000"/>
                    </w:rPr>
                    <w:t>240</w:t>
                  </w:r>
                  <w:r w:rsidR="00641998">
                    <w:rPr>
                      <w:b/>
                      <w:bCs/>
                      <w:color w:val="000000"/>
                    </w:rPr>
                    <w:t>,00</w:t>
                  </w:r>
                </w:p>
              </w:tc>
            </w:tr>
            <w:tr w:rsidR="00C050E7" w:rsidRPr="009F7729" w14:paraId="328566DA" w14:textId="77777777" w:rsidTr="00641998">
              <w:trPr>
                <w:trHeight w:val="224"/>
                <w:jc w:val="center"/>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610A56" w14:textId="77777777" w:rsidR="00C050E7" w:rsidRPr="009F7729" w:rsidRDefault="00C050E7" w:rsidP="00C050E7">
                  <w:pPr>
                    <w:jc w:val="right"/>
                    <w:rPr>
                      <w:b/>
                      <w:bCs/>
                      <w:color w:val="000000"/>
                    </w:rPr>
                  </w:pPr>
                  <w:r w:rsidRPr="009F7729">
                    <w:rPr>
                      <w:b/>
                      <w:bCs/>
                      <w:color w:val="000000"/>
                    </w:rPr>
                    <w:t xml:space="preserve">Kopā tiešās izmaksas uz 1 </w:t>
                  </w:r>
                  <w:r>
                    <w:rPr>
                      <w:b/>
                      <w:bCs/>
                      <w:color w:val="000000"/>
                    </w:rPr>
                    <w:t>sertificētu arhitektu</w:t>
                  </w:r>
                  <w:r w:rsidRPr="009F7729">
                    <w:rPr>
                      <w:b/>
                      <w:bCs/>
                      <w:color w:val="000000"/>
                    </w:rPr>
                    <w:t xml:space="preserve"> (</w:t>
                  </w:r>
                  <w:r w:rsidRPr="009F7729">
                    <w:rPr>
                      <w:b/>
                      <w:bCs/>
                      <w:i/>
                      <w:color w:val="000000"/>
                    </w:rPr>
                    <w:t>euro</w:t>
                  </w:r>
                  <w:r w:rsidRPr="009F7729">
                    <w:rPr>
                      <w:b/>
                      <w:bCs/>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0FD67CFB" w14:textId="77777777" w:rsidR="00C050E7" w:rsidRPr="009F7729" w:rsidRDefault="00C050E7" w:rsidP="00C050E7">
                  <w:pPr>
                    <w:jc w:val="center"/>
                    <w:rPr>
                      <w:b/>
                      <w:bCs/>
                      <w:color w:val="000000"/>
                    </w:rPr>
                  </w:pPr>
                  <w:r>
                    <w:rPr>
                      <w:b/>
                      <w:bCs/>
                      <w:color w:val="000000"/>
                    </w:rPr>
                    <w:t>33,00</w:t>
                  </w:r>
                </w:p>
              </w:tc>
            </w:tr>
          </w:tbl>
          <w:p w14:paraId="3AE039B9" w14:textId="2D98DFBC" w:rsidR="00DE43B4" w:rsidRDefault="00DE43B4" w:rsidP="00DE43B4">
            <w:pPr>
              <w:shd w:val="clear" w:color="auto" w:fill="FFFFFF"/>
              <w:ind w:firstLine="394"/>
              <w:jc w:val="both"/>
              <w:rPr>
                <w:sz w:val="12"/>
              </w:rPr>
            </w:pPr>
          </w:p>
          <w:p w14:paraId="5CCBEE03" w14:textId="1676C435" w:rsidR="00064DE9" w:rsidRDefault="00064DE9" w:rsidP="00DE43B4">
            <w:pPr>
              <w:shd w:val="clear" w:color="auto" w:fill="FFFFFF"/>
              <w:ind w:firstLine="394"/>
              <w:jc w:val="both"/>
              <w:rPr>
                <w:sz w:val="12"/>
              </w:rPr>
            </w:pPr>
          </w:p>
          <w:p w14:paraId="6551D3EF" w14:textId="0F3C57E3" w:rsidR="00064DE9" w:rsidRDefault="00064DE9" w:rsidP="00DE43B4">
            <w:pPr>
              <w:shd w:val="clear" w:color="auto" w:fill="FFFFFF"/>
              <w:ind w:firstLine="394"/>
              <w:jc w:val="both"/>
              <w:rPr>
                <w:sz w:val="12"/>
              </w:rPr>
            </w:pPr>
          </w:p>
          <w:p w14:paraId="19044DB3" w14:textId="55258246" w:rsidR="00064DE9" w:rsidRDefault="00064DE9" w:rsidP="00DE43B4">
            <w:pPr>
              <w:shd w:val="clear" w:color="auto" w:fill="FFFFFF"/>
              <w:ind w:firstLine="394"/>
              <w:jc w:val="both"/>
              <w:rPr>
                <w:sz w:val="12"/>
              </w:rPr>
            </w:pPr>
          </w:p>
          <w:p w14:paraId="1B03A4C1" w14:textId="75D4341C" w:rsidR="00064DE9" w:rsidRDefault="00064DE9" w:rsidP="00DE43B4">
            <w:pPr>
              <w:shd w:val="clear" w:color="auto" w:fill="FFFFFF"/>
              <w:ind w:firstLine="394"/>
              <w:jc w:val="both"/>
              <w:rPr>
                <w:sz w:val="12"/>
              </w:rPr>
            </w:pPr>
          </w:p>
          <w:p w14:paraId="68E0189F" w14:textId="781D6EBD" w:rsidR="00064DE9" w:rsidRDefault="00064DE9" w:rsidP="00DE43B4">
            <w:pPr>
              <w:shd w:val="clear" w:color="auto" w:fill="FFFFFF"/>
              <w:ind w:firstLine="394"/>
              <w:jc w:val="both"/>
              <w:rPr>
                <w:sz w:val="12"/>
              </w:rPr>
            </w:pPr>
          </w:p>
          <w:p w14:paraId="1C2E46D8" w14:textId="36607B73" w:rsidR="00064DE9" w:rsidRDefault="00064DE9" w:rsidP="00DE43B4">
            <w:pPr>
              <w:shd w:val="clear" w:color="auto" w:fill="FFFFFF"/>
              <w:ind w:firstLine="394"/>
              <w:jc w:val="both"/>
              <w:rPr>
                <w:sz w:val="12"/>
              </w:rPr>
            </w:pPr>
          </w:p>
          <w:p w14:paraId="2E6CC059" w14:textId="1D1BDA72" w:rsidR="00064DE9" w:rsidRDefault="00064DE9" w:rsidP="00DE43B4">
            <w:pPr>
              <w:shd w:val="clear" w:color="auto" w:fill="FFFFFF"/>
              <w:ind w:firstLine="394"/>
              <w:jc w:val="both"/>
              <w:rPr>
                <w:sz w:val="12"/>
              </w:rPr>
            </w:pPr>
          </w:p>
          <w:p w14:paraId="5097FF29" w14:textId="7224A720" w:rsidR="00064DE9" w:rsidRDefault="00064DE9" w:rsidP="00DE43B4">
            <w:pPr>
              <w:shd w:val="clear" w:color="auto" w:fill="FFFFFF"/>
              <w:ind w:firstLine="394"/>
              <w:jc w:val="both"/>
              <w:rPr>
                <w:sz w:val="12"/>
              </w:rPr>
            </w:pPr>
          </w:p>
          <w:p w14:paraId="032C71A9" w14:textId="5B111DC2" w:rsidR="00064DE9" w:rsidRDefault="00064DE9" w:rsidP="00DE43B4">
            <w:pPr>
              <w:shd w:val="clear" w:color="auto" w:fill="FFFFFF"/>
              <w:ind w:firstLine="394"/>
              <w:jc w:val="both"/>
              <w:rPr>
                <w:sz w:val="12"/>
              </w:rPr>
            </w:pPr>
          </w:p>
          <w:p w14:paraId="3AAF929E" w14:textId="7C987A88" w:rsidR="00064DE9" w:rsidRDefault="00064DE9" w:rsidP="00DE43B4">
            <w:pPr>
              <w:shd w:val="clear" w:color="auto" w:fill="FFFFFF"/>
              <w:ind w:firstLine="394"/>
              <w:jc w:val="both"/>
              <w:rPr>
                <w:sz w:val="12"/>
              </w:rPr>
            </w:pPr>
          </w:p>
          <w:p w14:paraId="00A1AA06" w14:textId="550449F9" w:rsidR="00064DE9" w:rsidRDefault="00064DE9" w:rsidP="00DE43B4">
            <w:pPr>
              <w:shd w:val="clear" w:color="auto" w:fill="FFFFFF"/>
              <w:ind w:firstLine="394"/>
              <w:jc w:val="both"/>
              <w:rPr>
                <w:sz w:val="12"/>
              </w:rPr>
            </w:pPr>
          </w:p>
          <w:p w14:paraId="2096AC3A" w14:textId="77777777" w:rsidR="00064DE9" w:rsidRPr="00554FE1" w:rsidRDefault="00064DE9" w:rsidP="00DE43B4">
            <w:pPr>
              <w:shd w:val="clear" w:color="auto" w:fill="FFFFFF"/>
              <w:ind w:firstLine="394"/>
              <w:jc w:val="both"/>
              <w:rPr>
                <w:sz w:val="12"/>
              </w:rPr>
            </w:pPr>
          </w:p>
          <w:p w14:paraId="28D7384E" w14:textId="60290858" w:rsidR="00641998" w:rsidRPr="00B74E1D" w:rsidRDefault="007171B2" w:rsidP="00641998">
            <w:pPr>
              <w:jc w:val="right"/>
              <w:rPr>
                <w:b/>
                <w:i/>
              </w:rPr>
            </w:pPr>
            <w:r>
              <w:rPr>
                <w:i/>
              </w:rPr>
              <w:t>7</w:t>
            </w:r>
            <w:r w:rsidR="00641998" w:rsidRPr="00B74E1D">
              <w:rPr>
                <w:b/>
                <w:i/>
              </w:rPr>
              <w:t>.</w:t>
            </w:r>
            <w:r w:rsidR="00641998" w:rsidRPr="00B74E1D">
              <w:rPr>
                <w:i/>
                <w:lang w:eastAsia="x-none"/>
              </w:rPr>
              <w:t>tabula</w:t>
            </w:r>
          </w:p>
          <w:p w14:paraId="6397D223" w14:textId="7097108D" w:rsidR="00641998" w:rsidRPr="00B74E1D" w:rsidRDefault="00641998" w:rsidP="00641998">
            <w:pPr>
              <w:jc w:val="center"/>
              <w:rPr>
                <w:b/>
              </w:rPr>
            </w:pPr>
            <w:r>
              <w:rPr>
                <w:b/>
              </w:rPr>
              <w:lastRenderedPageBreak/>
              <w:t xml:space="preserve">Arhitektu ar </w:t>
            </w:r>
            <w:r w:rsidRPr="00DE43B4">
              <w:rPr>
                <w:b/>
              </w:rPr>
              <w:t>atvieglot</w:t>
            </w:r>
            <w:r>
              <w:rPr>
                <w:b/>
              </w:rPr>
              <w:t>u</w:t>
            </w:r>
            <w:r w:rsidRPr="00DE43B4">
              <w:rPr>
                <w:b/>
              </w:rPr>
              <w:t xml:space="preserve"> sertifikāta uzturēšanas prasīb</w:t>
            </w:r>
            <w:r>
              <w:rPr>
                <w:b/>
              </w:rPr>
              <w:t>u</w:t>
            </w:r>
            <w:r w:rsidRPr="00B74E1D">
              <w:rPr>
                <w:b/>
              </w:rPr>
              <w:t xml:space="preserve"> uzraudzības izmaksu kopsavilkums </w:t>
            </w:r>
          </w:p>
          <w:p w14:paraId="692FB442" w14:textId="77777777" w:rsidR="00641998" w:rsidRPr="00641998" w:rsidRDefault="00641998" w:rsidP="00641998">
            <w:pPr>
              <w:rPr>
                <w:b/>
              </w:rPr>
            </w:pPr>
          </w:p>
          <w:tbl>
            <w:tblPr>
              <w:tblStyle w:val="TableGrid"/>
              <w:tblW w:w="0" w:type="auto"/>
              <w:jc w:val="center"/>
              <w:tblLook w:val="04A0" w:firstRow="1" w:lastRow="0" w:firstColumn="1" w:lastColumn="0" w:noHBand="0" w:noVBand="1"/>
            </w:tblPr>
            <w:tblGrid>
              <w:gridCol w:w="3089"/>
              <w:gridCol w:w="3038"/>
            </w:tblGrid>
            <w:tr w:rsidR="00641998" w:rsidRPr="00641998" w14:paraId="4E0CDF47" w14:textId="77777777" w:rsidTr="00B31D9D">
              <w:trPr>
                <w:jc w:val="center"/>
              </w:trPr>
              <w:tc>
                <w:tcPr>
                  <w:tcW w:w="3089" w:type="dxa"/>
                </w:tcPr>
                <w:p w14:paraId="27D30F4B" w14:textId="77777777" w:rsidR="00641998" w:rsidRPr="00641998" w:rsidRDefault="00641998" w:rsidP="00641998">
                  <w:pPr>
                    <w:shd w:val="clear" w:color="auto" w:fill="FFFFFF"/>
                    <w:jc w:val="center"/>
                    <w:rPr>
                      <w:b/>
                    </w:rPr>
                  </w:pPr>
                  <w:r w:rsidRPr="00641998">
                    <w:rPr>
                      <w:b/>
                    </w:rPr>
                    <w:t>Rādītājs (izmaksu veids)</w:t>
                  </w:r>
                </w:p>
              </w:tc>
              <w:tc>
                <w:tcPr>
                  <w:tcW w:w="3038" w:type="dxa"/>
                </w:tcPr>
                <w:p w14:paraId="66FE8A4F" w14:textId="77777777" w:rsidR="00641998" w:rsidRPr="00641998" w:rsidRDefault="00641998" w:rsidP="00641998">
                  <w:pPr>
                    <w:shd w:val="clear" w:color="auto" w:fill="FFFFFF"/>
                    <w:jc w:val="center"/>
                    <w:rPr>
                      <w:b/>
                    </w:rPr>
                  </w:pPr>
                  <w:r w:rsidRPr="00641998">
                    <w:rPr>
                      <w:b/>
                    </w:rPr>
                    <w:t>Izmaksu apjoms gadā (</w:t>
                  </w:r>
                  <w:r w:rsidRPr="00641998">
                    <w:rPr>
                      <w:b/>
                      <w:i/>
                    </w:rPr>
                    <w:t>euro</w:t>
                  </w:r>
                  <w:r w:rsidRPr="00641998">
                    <w:rPr>
                      <w:b/>
                    </w:rPr>
                    <w:t>)</w:t>
                  </w:r>
                </w:p>
              </w:tc>
            </w:tr>
            <w:tr w:rsidR="00641998" w:rsidRPr="002A3D55" w14:paraId="11546AC5" w14:textId="77777777" w:rsidTr="00B31D9D">
              <w:trPr>
                <w:jc w:val="center"/>
              </w:trPr>
              <w:tc>
                <w:tcPr>
                  <w:tcW w:w="3089" w:type="dxa"/>
                </w:tcPr>
                <w:p w14:paraId="5EDE73D1" w14:textId="77777777" w:rsidR="00641998" w:rsidRPr="00641998" w:rsidRDefault="00641998" w:rsidP="00641998">
                  <w:pPr>
                    <w:shd w:val="clear" w:color="auto" w:fill="FFFFFF"/>
                  </w:pPr>
                  <w:r w:rsidRPr="00641998">
                    <w:t>Tiešās izmaksas</w:t>
                  </w:r>
                </w:p>
              </w:tc>
              <w:tc>
                <w:tcPr>
                  <w:tcW w:w="3038" w:type="dxa"/>
                </w:tcPr>
                <w:p w14:paraId="170E0EA4" w14:textId="7D0721A0" w:rsidR="00641998" w:rsidRPr="00641998" w:rsidRDefault="00641998" w:rsidP="00641998">
                  <w:pPr>
                    <w:shd w:val="clear" w:color="auto" w:fill="FFFFFF"/>
                    <w:jc w:val="center"/>
                  </w:pPr>
                  <w:r w:rsidRPr="00641998">
                    <w:t>8</w:t>
                  </w:r>
                  <w:r>
                    <w:t> </w:t>
                  </w:r>
                  <w:r w:rsidRPr="00641998">
                    <w:t>240</w:t>
                  </w:r>
                  <w:r>
                    <w:t>,00</w:t>
                  </w:r>
                </w:p>
              </w:tc>
            </w:tr>
            <w:tr w:rsidR="00641998" w:rsidRPr="002A3D55" w14:paraId="4B9D51FB" w14:textId="77777777" w:rsidTr="00B31D9D">
              <w:trPr>
                <w:jc w:val="center"/>
              </w:trPr>
              <w:tc>
                <w:tcPr>
                  <w:tcW w:w="3089" w:type="dxa"/>
                </w:tcPr>
                <w:p w14:paraId="6E90BC17" w14:textId="77777777" w:rsidR="00641998" w:rsidRPr="00641998" w:rsidRDefault="00641998" w:rsidP="00641998">
                  <w:pPr>
                    <w:shd w:val="clear" w:color="auto" w:fill="FFFFFF"/>
                  </w:pPr>
                  <w:r w:rsidRPr="00641998">
                    <w:t>Netiešās izmaksas</w:t>
                  </w:r>
                </w:p>
              </w:tc>
              <w:tc>
                <w:tcPr>
                  <w:tcW w:w="3038" w:type="dxa"/>
                </w:tcPr>
                <w:p w14:paraId="418CA4DC" w14:textId="15A1F502" w:rsidR="00641998" w:rsidRPr="00641998" w:rsidRDefault="00641998" w:rsidP="00641998">
                  <w:pPr>
                    <w:shd w:val="clear" w:color="auto" w:fill="FFFFFF"/>
                    <w:jc w:val="center"/>
                  </w:pPr>
                  <w:r w:rsidRPr="00641998">
                    <w:t>16</w:t>
                  </w:r>
                  <w:r>
                    <w:t> </w:t>
                  </w:r>
                  <w:r w:rsidRPr="00641998">
                    <w:t>750</w:t>
                  </w:r>
                  <w:r>
                    <w:t>,00</w:t>
                  </w:r>
                </w:p>
              </w:tc>
            </w:tr>
            <w:tr w:rsidR="00641998" w:rsidRPr="002A3D55" w14:paraId="64C6DAF4" w14:textId="77777777" w:rsidTr="00B31D9D">
              <w:trPr>
                <w:jc w:val="center"/>
              </w:trPr>
              <w:tc>
                <w:tcPr>
                  <w:tcW w:w="3089" w:type="dxa"/>
                </w:tcPr>
                <w:p w14:paraId="6D5EDDA7" w14:textId="77777777" w:rsidR="00641998" w:rsidRPr="00641998" w:rsidRDefault="00641998" w:rsidP="00641998">
                  <w:pPr>
                    <w:shd w:val="clear" w:color="auto" w:fill="FFFFFF"/>
                  </w:pPr>
                  <w:r w:rsidRPr="00641998">
                    <w:t>Pakalpojuma izmaksas kopā</w:t>
                  </w:r>
                </w:p>
              </w:tc>
              <w:tc>
                <w:tcPr>
                  <w:tcW w:w="3038" w:type="dxa"/>
                </w:tcPr>
                <w:p w14:paraId="6B6A36D8" w14:textId="01410733" w:rsidR="00641998" w:rsidRPr="00641998" w:rsidRDefault="00641998" w:rsidP="00641998">
                  <w:pPr>
                    <w:shd w:val="clear" w:color="auto" w:fill="FFFFFF"/>
                    <w:jc w:val="center"/>
                  </w:pPr>
                  <w:r w:rsidRPr="00641998">
                    <w:t>24</w:t>
                  </w:r>
                  <w:r>
                    <w:t> </w:t>
                  </w:r>
                  <w:r w:rsidRPr="00641998">
                    <w:t>990</w:t>
                  </w:r>
                  <w:r>
                    <w:t>,00</w:t>
                  </w:r>
                </w:p>
              </w:tc>
            </w:tr>
          </w:tbl>
          <w:p w14:paraId="3BCA9E6E" w14:textId="77777777" w:rsidR="00641998" w:rsidRPr="002A3D55" w:rsidRDefault="00641998" w:rsidP="00641998">
            <w:pPr>
              <w:autoSpaceDE w:val="0"/>
              <w:autoSpaceDN w:val="0"/>
              <w:adjustRightInd w:val="0"/>
              <w:rPr>
                <w:bCs/>
              </w:rPr>
            </w:pPr>
          </w:p>
          <w:tbl>
            <w:tblPr>
              <w:tblStyle w:val="TableGrid"/>
              <w:tblW w:w="0" w:type="auto"/>
              <w:jc w:val="center"/>
              <w:tblLook w:val="04A0" w:firstRow="1" w:lastRow="0" w:firstColumn="1" w:lastColumn="0" w:noHBand="0" w:noVBand="1"/>
            </w:tblPr>
            <w:tblGrid>
              <w:gridCol w:w="3364"/>
              <w:gridCol w:w="3365"/>
            </w:tblGrid>
            <w:tr w:rsidR="00641998" w:rsidRPr="00641998" w14:paraId="5E838746" w14:textId="77777777" w:rsidTr="00B31D9D">
              <w:trPr>
                <w:jc w:val="center"/>
              </w:trPr>
              <w:tc>
                <w:tcPr>
                  <w:tcW w:w="3364" w:type="dxa"/>
                </w:tcPr>
                <w:p w14:paraId="672CA8FE" w14:textId="77777777" w:rsidR="00641998" w:rsidRPr="00641998" w:rsidRDefault="00641998" w:rsidP="00641998">
                  <w:pPr>
                    <w:pStyle w:val="NormalWeb"/>
                    <w:spacing w:before="0" w:beforeAutospacing="0" w:after="0" w:afterAutospacing="0"/>
                    <w:rPr>
                      <w:rFonts w:ascii="Times New Roman" w:hAnsi="Times New Roman"/>
                      <w:bCs/>
                      <w:sz w:val="24"/>
                      <w:szCs w:val="24"/>
                      <w:lang w:val="lv-LV" w:eastAsia="lv-LV"/>
                    </w:rPr>
                  </w:pPr>
                  <w:r w:rsidRPr="00641998">
                    <w:rPr>
                      <w:rFonts w:ascii="Times New Roman" w:hAnsi="Times New Roman"/>
                      <w:bCs/>
                      <w:sz w:val="24"/>
                      <w:szCs w:val="24"/>
                      <w:lang w:val="lv-LV" w:eastAsia="lv-LV"/>
                    </w:rPr>
                    <w:t xml:space="preserve">Maksas pakalpojumu vienību skaits gadā </w:t>
                  </w:r>
                </w:p>
              </w:tc>
              <w:tc>
                <w:tcPr>
                  <w:tcW w:w="3365" w:type="dxa"/>
                </w:tcPr>
                <w:p w14:paraId="375BF99B" w14:textId="77777777" w:rsidR="00641998" w:rsidRPr="00641998" w:rsidRDefault="00641998" w:rsidP="00641998">
                  <w:pPr>
                    <w:pStyle w:val="NormalWeb"/>
                    <w:spacing w:before="0" w:beforeAutospacing="0" w:after="0" w:afterAutospacing="0"/>
                    <w:rPr>
                      <w:rFonts w:ascii="Times New Roman" w:hAnsi="Times New Roman"/>
                      <w:bCs/>
                      <w:sz w:val="24"/>
                      <w:szCs w:val="24"/>
                      <w:lang w:val="lv-LV" w:eastAsia="lv-LV"/>
                    </w:rPr>
                  </w:pPr>
                  <w:r w:rsidRPr="00641998">
                    <w:rPr>
                      <w:rFonts w:ascii="Times New Roman" w:hAnsi="Times New Roman"/>
                      <w:bCs/>
                      <w:sz w:val="24"/>
                      <w:szCs w:val="24"/>
                      <w:lang w:val="lv-LV" w:eastAsia="lv-LV"/>
                    </w:rPr>
                    <w:t>250</w:t>
                  </w:r>
                </w:p>
              </w:tc>
            </w:tr>
            <w:tr w:rsidR="00641998" w:rsidRPr="00641998" w14:paraId="71C2C445" w14:textId="77777777" w:rsidTr="00B31D9D">
              <w:trPr>
                <w:jc w:val="center"/>
              </w:trPr>
              <w:tc>
                <w:tcPr>
                  <w:tcW w:w="3364" w:type="dxa"/>
                </w:tcPr>
                <w:p w14:paraId="76E96BB5" w14:textId="77777777" w:rsidR="00641998" w:rsidRPr="00641998" w:rsidRDefault="00641998" w:rsidP="00641998">
                  <w:pPr>
                    <w:pStyle w:val="NormalWeb"/>
                    <w:spacing w:before="0" w:beforeAutospacing="0" w:after="0" w:afterAutospacing="0"/>
                    <w:rPr>
                      <w:rFonts w:ascii="Times New Roman" w:hAnsi="Times New Roman"/>
                      <w:b/>
                      <w:bCs/>
                      <w:sz w:val="24"/>
                      <w:szCs w:val="24"/>
                      <w:lang w:val="lv-LV" w:eastAsia="lv-LV"/>
                    </w:rPr>
                  </w:pPr>
                  <w:r w:rsidRPr="00641998">
                    <w:rPr>
                      <w:rFonts w:ascii="Times New Roman" w:hAnsi="Times New Roman"/>
                      <w:b/>
                      <w:bCs/>
                      <w:sz w:val="24"/>
                      <w:szCs w:val="24"/>
                      <w:lang w:val="lv-LV" w:eastAsia="lv-LV"/>
                    </w:rPr>
                    <w:t xml:space="preserve">Maksas pakalpojuma izcenojums </w:t>
                  </w:r>
                  <w:r w:rsidRPr="00641998">
                    <w:rPr>
                      <w:rFonts w:ascii="Times New Roman" w:hAnsi="Times New Roman"/>
                      <w:b/>
                      <w:bCs/>
                      <w:i/>
                      <w:sz w:val="24"/>
                      <w:szCs w:val="24"/>
                      <w:lang w:val="lv-LV" w:eastAsia="lv-LV"/>
                    </w:rPr>
                    <w:t>(euro)</w:t>
                  </w:r>
                </w:p>
              </w:tc>
              <w:tc>
                <w:tcPr>
                  <w:tcW w:w="3365" w:type="dxa"/>
                </w:tcPr>
                <w:p w14:paraId="73D5F271" w14:textId="77777777" w:rsidR="00641998" w:rsidRPr="00641998" w:rsidRDefault="00641998" w:rsidP="00641998">
                  <w:pPr>
                    <w:pStyle w:val="NormalWeb"/>
                    <w:spacing w:before="0" w:beforeAutospacing="0" w:after="0" w:afterAutospacing="0"/>
                    <w:rPr>
                      <w:rFonts w:ascii="Times New Roman" w:hAnsi="Times New Roman"/>
                      <w:b/>
                      <w:bCs/>
                      <w:sz w:val="24"/>
                      <w:szCs w:val="24"/>
                      <w:lang w:val="lv-LV" w:eastAsia="lv-LV"/>
                    </w:rPr>
                  </w:pPr>
                  <w:r w:rsidRPr="00641998">
                    <w:rPr>
                      <w:rFonts w:ascii="Times New Roman" w:hAnsi="Times New Roman"/>
                      <w:b/>
                      <w:bCs/>
                      <w:sz w:val="24"/>
                      <w:szCs w:val="24"/>
                      <w:lang w:val="lv-LV" w:eastAsia="lv-LV"/>
                    </w:rPr>
                    <w:t>100,00</w:t>
                  </w:r>
                </w:p>
              </w:tc>
            </w:tr>
          </w:tbl>
          <w:p w14:paraId="49BFC608" w14:textId="5D1CFA4B" w:rsidR="00DE43B4" w:rsidRPr="00DE43B4" w:rsidRDefault="00DE43B4" w:rsidP="00DE43B4">
            <w:pPr>
              <w:shd w:val="clear" w:color="auto" w:fill="FFFFFF"/>
              <w:ind w:firstLine="394"/>
              <w:jc w:val="both"/>
            </w:pPr>
          </w:p>
          <w:p w14:paraId="0441C303" w14:textId="4B459480" w:rsidR="000E1DAA" w:rsidRDefault="000E1DAA" w:rsidP="00DE43B4">
            <w:pPr>
              <w:shd w:val="clear" w:color="auto" w:fill="FFFFFF"/>
              <w:ind w:firstLine="394"/>
              <w:jc w:val="both"/>
            </w:pPr>
            <w:r w:rsidRPr="00B74E1D">
              <w:t>No aprēķina izriet, ka</w:t>
            </w:r>
            <w:r>
              <w:t>,</w:t>
            </w:r>
            <w:r w:rsidRPr="00B74E1D">
              <w:t xml:space="preserve"> lai nosegtu izmaksas par </w:t>
            </w:r>
            <w:r>
              <w:t>arhitektu</w:t>
            </w:r>
            <w:r w:rsidRPr="00B74E1D">
              <w:t xml:space="preserve"> uzraudzību, </w:t>
            </w:r>
            <w:r>
              <w:t xml:space="preserve">arhitektiem, kuriem ir </w:t>
            </w:r>
            <w:r w:rsidRPr="00DE43B4">
              <w:rPr>
                <w:b/>
              </w:rPr>
              <w:t>atvieglotas sertifikāta uzturēšanas prasības</w:t>
            </w:r>
            <w:r>
              <w:rPr>
                <w:b/>
              </w:rPr>
              <w:t xml:space="preserve"> </w:t>
            </w:r>
            <w:r w:rsidRPr="000E1DAA">
              <w:t>(250 arhitekti)</w:t>
            </w:r>
            <w:r w:rsidRPr="00B74E1D">
              <w:t xml:space="preserve"> ir jāmaksā</w:t>
            </w:r>
            <w:r>
              <w:t xml:space="preserve"> uzraudzības maksa 100 </w:t>
            </w:r>
            <w:r w:rsidRPr="000E1DAA">
              <w:rPr>
                <w:i/>
              </w:rPr>
              <w:t>euro</w:t>
            </w:r>
            <w:r>
              <w:t xml:space="preserve"> gadā </w:t>
            </w:r>
            <w:r w:rsidR="007171B2">
              <w:t>un</w:t>
            </w:r>
            <w:r>
              <w:t xml:space="preserve"> arhitektiem</w:t>
            </w:r>
            <w:r w:rsidR="007171B2">
              <w:t xml:space="preserve">, kuriem ir </w:t>
            </w:r>
            <w:r w:rsidR="007171B2" w:rsidRPr="007171B2">
              <w:rPr>
                <w:b/>
              </w:rPr>
              <w:t>standarta sertifikāta uzturēšanas prasības</w:t>
            </w:r>
            <w:r>
              <w:t xml:space="preserve"> (580 arhitekti) ir jāmaksā uzraudzības maksa </w:t>
            </w:r>
            <w:r w:rsidR="000C295D">
              <w:t xml:space="preserve">214 </w:t>
            </w:r>
            <w:r w:rsidRPr="000E1DAA">
              <w:rPr>
                <w:i/>
              </w:rPr>
              <w:t>euro</w:t>
            </w:r>
            <w:r>
              <w:t xml:space="preserve"> gadā. Šajā maksā </w:t>
            </w:r>
            <w:r w:rsidRPr="00D16279">
              <w:rPr>
                <w:b/>
              </w:rPr>
              <w:t>nav iekļauta</w:t>
            </w:r>
            <w:r>
              <w:t xml:space="preserve"> gada maksa par Latvijas standartu tiešsaistes lasītavas abonēšanu 30 </w:t>
            </w:r>
            <w:r w:rsidRPr="00941AA5">
              <w:rPr>
                <w:i/>
              </w:rPr>
              <w:t>euro</w:t>
            </w:r>
            <w:r>
              <w:t xml:space="preserve"> apmērā.</w:t>
            </w:r>
          </w:p>
          <w:p w14:paraId="4257AA2B" w14:textId="38281853" w:rsidR="000E1DAA" w:rsidRDefault="000E1DAA" w:rsidP="00DE43B4">
            <w:pPr>
              <w:shd w:val="clear" w:color="auto" w:fill="FFFFFF"/>
              <w:ind w:firstLine="394"/>
              <w:jc w:val="both"/>
            </w:pPr>
          </w:p>
          <w:p w14:paraId="49439076" w14:textId="09F7AA0A" w:rsidR="00C92CB1" w:rsidRPr="00C92CB1" w:rsidRDefault="002873BD" w:rsidP="002655AC">
            <w:pPr>
              <w:shd w:val="clear" w:color="auto" w:fill="FFFFFF"/>
              <w:ind w:firstLine="393"/>
              <w:jc w:val="both"/>
              <w:rPr>
                <w:b/>
              </w:rPr>
            </w:pPr>
            <w:r>
              <w:rPr>
                <w:b/>
              </w:rPr>
              <w:t>Arhitektu</w:t>
            </w:r>
            <w:r w:rsidR="00C92CB1" w:rsidRPr="00C92CB1">
              <w:rPr>
                <w:b/>
              </w:rPr>
              <w:t xml:space="preserve"> uzraudzības izmaksu </w:t>
            </w:r>
            <w:r w:rsidR="00076CC8">
              <w:rPr>
                <w:b/>
              </w:rPr>
              <w:t>pieauguma pamatojums</w:t>
            </w:r>
            <w:r w:rsidR="00C92CB1" w:rsidRPr="00C92CB1">
              <w:rPr>
                <w:b/>
              </w:rPr>
              <w:t>.</w:t>
            </w:r>
          </w:p>
          <w:p w14:paraId="4A1D8472" w14:textId="5C9C6CC4" w:rsidR="00626D11" w:rsidRDefault="005B3A73" w:rsidP="002655AC">
            <w:pPr>
              <w:shd w:val="clear" w:color="auto" w:fill="FFFFFF"/>
              <w:ind w:firstLine="393"/>
              <w:jc w:val="both"/>
            </w:pPr>
            <w:r w:rsidRPr="005B3A73">
              <w:rPr>
                <w:i/>
              </w:rPr>
              <w:t>Spēkā esoš</w:t>
            </w:r>
            <w:r w:rsidR="002873BD">
              <w:rPr>
                <w:i/>
              </w:rPr>
              <w:t>ajā cenrādī</w:t>
            </w:r>
            <w:r>
              <w:t xml:space="preserve"> </w:t>
            </w:r>
            <w:r w:rsidR="002873BD">
              <w:t>arhitektu</w:t>
            </w:r>
            <w:r>
              <w:t xml:space="preserve"> uzraudzības maksa ir </w:t>
            </w:r>
            <w:r w:rsidR="002873BD">
              <w:t>100,00</w:t>
            </w:r>
            <w:r>
              <w:t xml:space="preserve"> </w:t>
            </w:r>
            <w:r w:rsidRPr="00941AA5">
              <w:rPr>
                <w:i/>
              </w:rPr>
              <w:t>euro</w:t>
            </w:r>
            <w:r>
              <w:t xml:space="preserve"> gadā, kas nozīmē, ka</w:t>
            </w:r>
            <w:r w:rsidR="002655AC">
              <w:t xml:space="preserve"> </w:t>
            </w:r>
            <w:r w:rsidR="002873BD">
              <w:t>arhitektiem ar standarta sertifikāta uzturēšanas prasībām</w:t>
            </w:r>
            <w:r>
              <w:t xml:space="preserve"> uzraudzības </w:t>
            </w:r>
            <w:r w:rsidR="002655AC">
              <w:t>maksa</w:t>
            </w:r>
            <w:r>
              <w:t xml:space="preserve"> pieaugs par </w:t>
            </w:r>
            <w:r w:rsidR="002873BD">
              <w:t>115,00</w:t>
            </w:r>
            <w:r>
              <w:t xml:space="preserve"> </w:t>
            </w:r>
            <w:r w:rsidRPr="00941AA5">
              <w:rPr>
                <w:i/>
              </w:rPr>
              <w:t>euro</w:t>
            </w:r>
            <w:r w:rsidR="002655AC">
              <w:t xml:space="preserve">. </w:t>
            </w:r>
            <w:r w:rsidR="00626D11" w:rsidRPr="002655AC">
              <w:rPr>
                <w:i/>
              </w:rPr>
              <w:t>Spēkā esoš</w:t>
            </w:r>
            <w:r w:rsidR="00626D11">
              <w:rPr>
                <w:i/>
              </w:rPr>
              <w:t>ais</w:t>
            </w:r>
            <w:r w:rsidR="00626D11" w:rsidRPr="002655AC">
              <w:rPr>
                <w:i/>
              </w:rPr>
              <w:t xml:space="preserve"> cenrā</w:t>
            </w:r>
            <w:r w:rsidR="00626D11">
              <w:rPr>
                <w:i/>
              </w:rPr>
              <w:t>dis</w:t>
            </w:r>
            <w:r w:rsidR="00626D11">
              <w:t xml:space="preserve"> tika sastādīts balstoties uz </w:t>
            </w:r>
            <w:r w:rsidR="00626D11">
              <w:rPr>
                <w:i/>
              </w:rPr>
              <w:t>LAS</w:t>
            </w:r>
            <w:r w:rsidR="00626D11">
              <w:t xml:space="preserve"> aprēķiniem, kas tika veikti 2014.</w:t>
            </w:r>
            <w:r w:rsidR="005B5D36">
              <w:t xml:space="preserve"> </w:t>
            </w:r>
            <w:r w:rsidR="00626D11">
              <w:t>gadā. Šāds izmaksu pieaugums ir pamatojams ar vispārēju cenu un darbinieku atalgojuma pieaugumu kopš 2014.</w:t>
            </w:r>
            <w:r w:rsidR="005B5D36">
              <w:t xml:space="preserve"> </w:t>
            </w:r>
            <w:r w:rsidR="00626D11">
              <w:t xml:space="preserve">gada, kā arī saskaņā ar </w:t>
            </w:r>
            <w:r w:rsidR="00626D11" w:rsidRPr="00076CC8">
              <w:rPr>
                <w:i/>
              </w:rPr>
              <w:t>Vadlīnijām</w:t>
            </w:r>
            <w:r w:rsidR="00626D11">
              <w:t xml:space="preserve"> ir izvirzītas papildus prasības arhitektu uzraudzībai. </w:t>
            </w:r>
          </w:p>
          <w:p w14:paraId="68CEECB9" w14:textId="43DE2FDD" w:rsidR="00626D11" w:rsidRDefault="00626D11" w:rsidP="00626D11">
            <w:pPr>
              <w:shd w:val="clear" w:color="auto" w:fill="FFFFFF"/>
              <w:ind w:firstLine="393"/>
              <w:jc w:val="both"/>
            </w:pPr>
            <w:r w:rsidRPr="0073105C">
              <w:rPr>
                <w:i/>
              </w:rPr>
              <w:t>Spēkā esošaj</w:t>
            </w:r>
            <w:r>
              <w:rPr>
                <w:i/>
              </w:rPr>
              <w:t>ā</w:t>
            </w:r>
            <w:r w:rsidRPr="0073105C">
              <w:rPr>
                <w:i/>
              </w:rPr>
              <w:t xml:space="preserve"> cenrā</w:t>
            </w:r>
            <w:r>
              <w:rPr>
                <w:i/>
              </w:rPr>
              <w:t>dī</w:t>
            </w:r>
            <w:r>
              <w:t xml:space="preserve"> eksperta atlīdzība ir 28 </w:t>
            </w:r>
            <w:r w:rsidRPr="00941AA5">
              <w:rPr>
                <w:i/>
              </w:rPr>
              <w:t>euro</w:t>
            </w:r>
            <w:r>
              <w:t xml:space="preserve">/stundā, ieskaitot nodokļu maksājumus, bet </w:t>
            </w:r>
            <w:r>
              <w:rPr>
                <w:i/>
              </w:rPr>
              <w:t>LAS</w:t>
            </w:r>
            <w:r>
              <w:t xml:space="preserve"> norāda, ka eksperti kā arhitekti strādā arī citur, nereti par augstāku atlīdzību nekā 28 </w:t>
            </w:r>
            <w:r w:rsidRPr="00941AA5">
              <w:rPr>
                <w:i/>
              </w:rPr>
              <w:t>euro</w:t>
            </w:r>
            <w:r>
              <w:t xml:space="preserve">/stundā, līdz ar to šāda atlīdzība nav konkurētspējīga, lai piesaistītu attiecīgos ekspertus. Ņemot vērā iepriekš minēto </w:t>
            </w:r>
            <w:r>
              <w:rPr>
                <w:i/>
              </w:rPr>
              <w:t>LAS</w:t>
            </w:r>
            <w:r>
              <w:t xml:space="preserve"> norāda, ka 2018. gadā vidējā ekspertu atlīdzība bija 40 </w:t>
            </w:r>
            <w:r w:rsidRPr="00941AA5">
              <w:rPr>
                <w:i/>
              </w:rPr>
              <w:t>euro</w:t>
            </w:r>
            <w:r>
              <w:t xml:space="preserve">/stundā, ieskaitot nodokļu maksājumus. Kā arī, lai pilnvērtīgi veiktu visas uzraudzības darbības saskaņā ar </w:t>
            </w:r>
            <w:r w:rsidRPr="00626D11">
              <w:rPr>
                <w:i/>
              </w:rPr>
              <w:t>Noteikumiem Nr.169</w:t>
            </w:r>
            <w:r>
              <w:t xml:space="preserve">, </w:t>
            </w:r>
            <w:r w:rsidRPr="00626D11">
              <w:rPr>
                <w:i/>
              </w:rPr>
              <w:t>Vadlīnijām</w:t>
            </w:r>
            <w:r>
              <w:t xml:space="preserve"> un noslēgto deleģēšanas līgumu ir nepieciešams patērēt vairāk ekspertu stundas, nekā tika ņemts vērā </w:t>
            </w:r>
            <w:r w:rsidR="00C50D68" w:rsidRPr="00C50D68">
              <w:rPr>
                <w:i/>
              </w:rPr>
              <w:t>S</w:t>
            </w:r>
            <w:r w:rsidRPr="00C50D68">
              <w:rPr>
                <w:i/>
              </w:rPr>
              <w:t>pēkā esošā cenrāža aprēķinā</w:t>
            </w:r>
            <w:r>
              <w:t>.</w:t>
            </w:r>
          </w:p>
          <w:p w14:paraId="0F0B34F4" w14:textId="37BD649D" w:rsidR="009B0A76" w:rsidRDefault="009B0A76" w:rsidP="00256B2C">
            <w:pPr>
              <w:shd w:val="clear" w:color="auto" w:fill="FFFFFF"/>
              <w:ind w:firstLine="394"/>
              <w:jc w:val="both"/>
              <w:rPr>
                <w:b/>
                <w:u w:val="single"/>
              </w:rPr>
            </w:pPr>
          </w:p>
          <w:p w14:paraId="7B06E6BC" w14:textId="60E8A0ED" w:rsidR="000E47E0" w:rsidRPr="00AA2BE2" w:rsidRDefault="00AA2BE2" w:rsidP="008955A3">
            <w:pPr>
              <w:jc w:val="both"/>
              <w:rPr>
                <w:b/>
                <w:u w:val="single"/>
              </w:rPr>
            </w:pPr>
            <w:r w:rsidRPr="00AA2BE2">
              <w:rPr>
                <w:b/>
                <w:u w:val="single"/>
              </w:rPr>
              <w:t xml:space="preserve">3. </w:t>
            </w:r>
            <w:r w:rsidR="008955A3" w:rsidRPr="00AA2BE2">
              <w:rPr>
                <w:b/>
                <w:u w:val="single"/>
              </w:rPr>
              <w:t xml:space="preserve">Atkārtota </w:t>
            </w:r>
            <w:r w:rsidR="000E47E0" w:rsidRPr="00AA2BE2">
              <w:rPr>
                <w:b/>
                <w:u w:val="single"/>
              </w:rPr>
              <w:t xml:space="preserve">patstāvīgās prakses un profesionālās pilnveides </w:t>
            </w:r>
            <w:r w:rsidR="008955A3" w:rsidRPr="00AA2BE2">
              <w:rPr>
                <w:b/>
                <w:u w:val="single"/>
              </w:rPr>
              <w:t>pārbaude</w:t>
            </w:r>
            <w:r w:rsidR="000E47E0" w:rsidRPr="00AA2BE2">
              <w:rPr>
                <w:b/>
                <w:u w:val="single"/>
              </w:rPr>
              <w:t>.</w:t>
            </w:r>
            <w:r w:rsidR="008955A3" w:rsidRPr="00AA2BE2">
              <w:rPr>
                <w:b/>
                <w:u w:val="single"/>
              </w:rPr>
              <w:t xml:space="preserve"> </w:t>
            </w:r>
          </w:p>
          <w:p w14:paraId="5DEA0849" w14:textId="77777777" w:rsidR="000E47E0" w:rsidRDefault="000E47E0" w:rsidP="008955A3">
            <w:pPr>
              <w:jc w:val="both"/>
              <w:rPr>
                <w:b/>
              </w:rPr>
            </w:pPr>
          </w:p>
          <w:p w14:paraId="45B184F4" w14:textId="75943FD4" w:rsidR="008955A3" w:rsidRPr="000E47E0" w:rsidRDefault="00C928B5" w:rsidP="00814949">
            <w:pPr>
              <w:ind w:firstLine="477"/>
              <w:jc w:val="both"/>
            </w:pPr>
            <w:r>
              <w:t xml:space="preserve">Veicot sertificēta arhitekta prakses pārbaudi reizi </w:t>
            </w:r>
            <w:r w:rsidR="005B5D36">
              <w:t xml:space="preserve">piecos </w:t>
            </w:r>
            <w:r>
              <w:t xml:space="preserve">gados, bieži tiek konstatēts, ka prakse un/vai tālākizglītība nav atbilstoša institūcijas izvirzītajām prasībām, līdz ar to </w:t>
            </w:r>
            <w:r w:rsidR="0045462A">
              <w:t xml:space="preserve"> </w:t>
            </w:r>
            <w:r w:rsidR="000E47E0" w:rsidRPr="000E47E0">
              <w:rPr>
                <w:i/>
              </w:rPr>
              <w:t>LAS</w:t>
            </w:r>
            <w:r w:rsidR="000E47E0">
              <w:t xml:space="preserve"> eksperts </w:t>
            </w:r>
            <w:r w:rsidR="000E47E0" w:rsidRPr="000E47E0">
              <w:rPr>
                <w:i/>
              </w:rPr>
              <w:t>20% pārbaudē</w:t>
            </w:r>
            <w:r w:rsidR="000E47E0">
              <w:t xml:space="preserve"> konstatējot, ka</w:t>
            </w:r>
            <w:r w:rsidR="000E47E0" w:rsidRPr="000E47E0">
              <w:t xml:space="preserve"> arhitekts</w:t>
            </w:r>
            <w:r w:rsidR="000E47E0">
              <w:t xml:space="preserve"> nav izpildījis visus nosacījumus</w:t>
            </w:r>
            <w:r w:rsidR="000E47E0" w:rsidRPr="000E47E0">
              <w:t xml:space="preserve">, </w:t>
            </w:r>
            <w:r w:rsidR="0045462A">
              <w:t xml:space="preserve">vispirms </w:t>
            </w:r>
            <w:r w:rsidR="000E47E0">
              <w:t>aicin</w:t>
            </w:r>
            <w:r w:rsidR="00814949">
              <w:t>a arhitektu</w:t>
            </w:r>
            <w:r w:rsidR="000E47E0">
              <w:t xml:space="preserve"> pārbaudīt vai būvspeciālistu reģistrā ir ievadīta pilnīgi visa informācija par arhitekta patstāvīgo praksi un profesionālo pilnveidi.</w:t>
            </w:r>
            <w:r w:rsidR="00814949">
              <w:t xml:space="preserve"> Gadījumā</w:t>
            </w:r>
            <w:r w:rsidR="005B5D36">
              <w:t>,</w:t>
            </w:r>
            <w:r w:rsidR="00814949">
              <w:t xml:space="preserve"> </w:t>
            </w:r>
            <w:r w:rsidR="000E47E0">
              <w:t>ja pēc eksperta uzaicinājuma</w:t>
            </w:r>
            <w:r w:rsidR="00814949">
              <w:t xml:space="preserve"> arhitekts būvspeciālistu reģistrā papildina </w:t>
            </w:r>
            <w:r w:rsidR="008955A3" w:rsidRPr="000E47E0">
              <w:t xml:space="preserve">informācija par vairāk kā </w:t>
            </w:r>
            <w:r w:rsidR="005B5D36">
              <w:t>diviem</w:t>
            </w:r>
            <w:r w:rsidR="005B5D36" w:rsidRPr="000E47E0">
              <w:t xml:space="preserve"> </w:t>
            </w:r>
            <w:r w:rsidR="008955A3" w:rsidRPr="000E47E0">
              <w:t>ierakstiem</w:t>
            </w:r>
            <w:r w:rsidR="00814949">
              <w:t xml:space="preserve">, tiek piemērota atkārtota patstāvīgās prakses un profesionālās </w:t>
            </w:r>
            <w:r w:rsidR="00814949">
              <w:lastRenderedPageBreak/>
              <w:t>pilnveides p</w:t>
            </w:r>
            <w:r w:rsidR="00814949" w:rsidRPr="000E47E0">
              <w:t>ārbaude</w:t>
            </w:r>
            <w:r w:rsidR="00814949">
              <w:t>s maksa</w:t>
            </w:r>
            <w:r w:rsidR="0045462A">
              <w:t xml:space="preserve">, jo pēc </w:t>
            </w:r>
            <w:r w:rsidR="0045462A" w:rsidRPr="00C50D68">
              <w:rPr>
                <w:i/>
              </w:rPr>
              <w:t>LAS</w:t>
            </w:r>
            <w:r w:rsidR="0045462A">
              <w:t xml:space="preserve"> pieredzes daudzos gadījumos ierakstu skaits tiek papildināts būtiski, tādējādi palielinot 20% pārbaudes veikšanai nepieciešamo eksperta darba ieguldījumu gan komunikācijai, gan informācijas analīzei</w:t>
            </w:r>
            <w:r w:rsidR="000E47E0">
              <w:t>.</w:t>
            </w:r>
          </w:p>
          <w:p w14:paraId="15C5B94C" w14:textId="14995181" w:rsidR="008955A3" w:rsidRDefault="008955A3" w:rsidP="00814949">
            <w:pPr>
              <w:ind w:firstLine="477"/>
              <w:jc w:val="both"/>
            </w:pPr>
            <w:r>
              <w:t xml:space="preserve">Nepieciešamais laika ieguldījums atkārtotas patstāvīgās prakses un profesionālās pilnveides pārbaudes gadījumā ir mazāks, nekā pirmajā reizē, jo eksperts analizē tikai papildus iesniegto informāciju. Atkārtotas patstāvīgās prakses un profesionālās pilnveides pārbaudes izcenojumā tiek ievērtētas tikai tiešās izmaksas, ņemot vērā, ka paredzamais gadījumu skaits nav prognozējams, jo būtiski mainās prakses uzraudzības principi, kas ietekmēs gadījumu skaitu, kad nepieciešams atkārtoti pārbaudīt </w:t>
            </w:r>
            <w:r w:rsidR="000E47E0">
              <w:t>patstāvīgo praksi un profesionālo pilnveidi</w:t>
            </w:r>
            <w:r>
              <w:t>, savukārt netiešo izmaksu komponente kopējās atkārtotās pārbaudes izmaksās ir nenozīmīgi niecīga. Netiešās izmaksas ir iekļautas sertifikāta uzturēšanas maksā.</w:t>
            </w:r>
          </w:p>
          <w:p w14:paraId="5D625167" w14:textId="77777777" w:rsidR="008955A3" w:rsidRDefault="008955A3" w:rsidP="008955A3">
            <w:pPr>
              <w:jc w:val="both"/>
            </w:pPr>
          </w:p>
          <w:p w14:paraId="4EE8F9AA" w14:textId="2AB9AE97" w:rsidR="008955A3" w:rsidRPr="00B74E1D" w:rsidRDefault="008955A3" w:rsidP="008955A3">
            <w:pPr>
              <w:jc w:val="right"/>
              <w:rPr>
                <w:b/>
                <w:i/>
              </w:rPr>
            </w:pPr>
            <w:r>
              <w:rPr>
                <w:i/>
              </w:rPr>
              <w:t>8</w:t>
            </w:r>
            <w:r w:rsidRPr="00B74E1D">
              <w:rPr>
                <w:b/>
                <w:i/>
              </w:rPr>
              <w:t>.</w:t>
            </w:r>
            <w:r w:rsidRPr="00B74E1D">
              <w:rPr>
                <w:i/>
                <w:lang w:eastAsia="x-none"/>
              </w:rPr>
              <w:t>tabula</w:t>
            </w:r>
          </w:p>
          <w:p w14:paraId="5ABEC898" w14:textId="069451FB" w:rsidR="008955A3" w:rsidRPr="00B74E1D" w:rsidRDefault="008955A3" w:rsidP="008955A3">
            <w:pPr>
              <w:jc w:val="center"/>
              <w:rPr>
                <w:b/>
              </w:rPr>
            </w:pPr>
            <w:r>
              <w:rPr>
                <w:b/>
              </w:rPr>
              <w:t>Atkārtotas patstāvīgās prakses un profesionālās pilnveides pārbaudes</w:t>
            </w:r>
            <w:r w:rsidRPr="00B74E1D">
              <w:rPr>
                <w:b/>
              </w:rPr>
              <w:t xml:space="preserve"> tiešo izmaksu aprēķins </w:t>
            </w:r>
          </w:p>
          <w:tbl>
            <w:tblPr>
              <w:tblStyle w:val="TableGrid"/>
              <w:tblW w:w="0" w:type="auto"/>
              <w:tblLook w:val="04A0" w:firstRow="1" w:lastRow="0" w:firstColumn="1" w:lastColumn="0" w:noHBand="0" w:noVBand="1"/>
            </w:tblPr>
            <w:tblGrid>
              <w:gridCol w:w="2206"/>
              <w:gridCol w:w="1258"/>
              <w:gridCol w:w="1450"/>
              <w:gridCol w:w="1350"/>
              <w:gridCol w:w="1446"/>
            </w:tblGrid>
            <w:tr w:rsidR="008955A3" w14:paraId="11202D86" w14:textId="77777777" w:rsidTr="008955A3">
              <w:tc>
                <w:tcPr>
                  <w:tcW w:w="2206" w:type="dxa"/>
                  <w:tcBorders>
                    <w:top w:val="single" w:sz="4" w:space="0" w:color="auto"/>
                    <w:left w:val="single" w:sz="4" w:space="0" w:color="auto"/>
                    <w:bottom w:val="single" w:sz="4" w:space="0" w:color="auto"/>
                    <w:right w:val="single" w:sz="4" w:space="0" w:color="auto"/>
                  </w:tcBorders>
                  <w:hideMark/>
                </w:tcPr>
                <w:p w14:paraId="021FE663" w14:textId="77777777" w:rsidR="008955A3" w:rsidRDefault="008955A3" w:rsidP="008955A3">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1258" w:type="dxa"/>
                  <w:tcBorders>
                    <w:top w:val="single" w:sz="4" w:space="0" w:color="auto"/>
                    <w:left w:val="single" w:sz="4" w:space="0" w:color="auto"/>
                    <w:bottom w:val="single" w:sz="4" w:space="0" w:color="auto"/>
                    <w:right w:val="single" w:sz="4" w:space="0" w:color="auto"/>
                  </w:tcBorders>
                </w:tcPr>
                <w:p w14:paraId="1CD6266E" w14:textId="77777777" w:rsidR="008955A3" w:rsidRDefault="008955A3" w:rsidP="008955A3">
                  <w:pPr>
                    <w:autoSpaceDE w:val="0"/>
                    <w:autoSpaceDN w:val="0"/>
                    <w:adjustRightInd w:val="0"/>
                    <w:jc w:val="both"/>
                    <w:rPr>
                      <w:bCs/>
                      <w:lang w:eastAsia="en-US"/>
                    </w:rPr>
                  </w:pPr>
                  <w:r>
                    <w:rPr>
                      <w:bCs/>
                      <w:lang w:eastAsia="en-US"/>
                    </w:rPr>
                    <w:t xml:space="preserve">Skaits </w:t>
                  </w:r>
                </w:p>
                <w:p w14:paraId="5E8D01DC" w14:textId="77777777" w:rsidR="008955A3" w:rsidRDefault="008955A3" w:rsidP="008955A3">
                  <w:pPr>
                    <w:autoSpaceDE w:val="0"/>
                    <w:autoSpaceDN w:val="0"/>
                    <w:adjustRightInd w:val="0"/>
                    <w:jc w:val="both"/>
                    <w:rPr>
                      <w:bCs/>
                      <w:i/>
                      <w:lang w:eastAsia="en-US"/>
                    </w:rPr>
                  </w:pPr>
                </w:p>
                <w:p w14:paraId="628D32BB" w14:textId="77777777" w:rsidR="008955A3" w:rsidRDefault="008955A3" w:rsidP="008955A3">
                  <w:pPr>
                    <w:autoSpaceDE w:val="0"/>
                    <w:autoSpaceDN w:val="0"/>
                    <w:adjustRightInd w:val="0"/>
                    <w:jc w:val="both"/>
                    <w:rPr>
                      <w:bCs/>
                      <w:lang w:eastAsia="en-US"/>
                    </w:rPr>
                  </w:pPr>
                </w:p>
              </w:tc>
              <w:tc>
                <w:tcPr>
                  <w:tcW w:w="1450" w:type="dxa"/>
                  <w:tcBorders>
                    <w:top w:val="single" w:sz="4" w:space="0" w:color="auto"/>
                    <w:left w:val="single" w:sz="4" w:space="0" w:color="auto"/>
                    <w:bottom w:val="single" w:sz="4" w:space="0" w:color="auto"/>
                    <w:right w:val="single" w:sz="4" w:space="0" w:color="auto"/>
                  </w:tcBorders>
                  <w:hideMark/>
                </w:tcPr>
                <w:p w14:paraId="5DE019A8" w14:textId="77777777" w:rsidR="008955A3" w:rsidRDefault="008955A3" w:rsidP="008955A3">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7945272E" w14:textId="77777777" w:rsidR="008955A3" w:rsidRDefault="008955A3" w:rsidP="008955A3">
                  <w:pPr>
                    <w:autoSpaceDE w:val="0"/>
                    <w:autoSpaceDN w:val="0"/>
                    <w:adjustRightInd w:val="0"/>
                    <w:jc w:val="both"/>
                    <w:rPr>
                      <w:bCs/>
                      <w:lang w:eastAsia="en-US"/>
                    </w:rPr>
                  </w:pPr>
                  <w:r>
                    <w:rPr>
                      <w:bCs/>
                      <w:lang w:eastAsia="en-US"/>
                    </w:rPr>
                    <w:t>Laika ieguldījums</w:t>
                  </w:r>
                </w:p>
                <w:p w14:paraId="6CFD1827" w14:textId="77777777" w:rsidR="008955A3" w:rsidRDefault="008955A3" w:rsidP="008955A3">
                  <w:pPr>
                    <w:autoSpaceDE w:val="0"/>
                    <w:autoSpaceDN w:val="0"/>
                    <w:adjustRightInd w:val="0"/>
                    <w:jc w:val="both"/>
                    <w:rPr>
                      <w:bCs/>
                      <w:i/>
                      <w:lang w:eastAsia="en-US"/>
                    </w:rPr>
                  </w:pPr>
                  <w:r>
                    <w:rPr>
                      <w:bCs/>
                      <w:i/>
                      <w:lang w:eastAsia="en-US"/>
                    </w:rPr>
                    <w:t>(h)</w:t>
                  </w:r>
                </w:p>
              </w:tc>
              <w:tc>
                <w:tcPr>
                  <w:tcW w:w="1446" w:type="dxa"/>
                  <w:tcBorders>
                    <w:top w:val="single" w:sz="4" w:space="0" w:color="auto"/>
                    <w:left w:val="single" w:sz="4" w:space="0" w:color="auto"/>
                    <w:bottom w:val="single" w:sz="4" w:space="0" w:color="auto"/>
                    <w:right w:val="single" w:sz="4" w:space="0" w:color="auto"/>
                  </w:tcBorders>
                  <w:hideMark/>
                </w:tcPr>
                <w:p w14:paraId="44948787" w14:textId="77777777" w:rsidR="008955A3" w:rsidRDefault="008955A3" w:rsidP="008955A3">
                  <w:pPr>
                    <w:autoSpaceDE w:val="0"/>
                    <w:autoSpaceDN w:val="0"/>
                    <w:adjustRightInd w:val="0"/>
                    <w:jc w:val="both"/>
                    <w:rPr>
                      <w:bCs/>
                      <w:lang w:eastAsia="en-US"/>
                    </w:rPr>
                  </w:pPr>
                  <w:r>
                    <w:rPr>
                      <w:bCs/>
                      <w:lang w:eastAsia="en-US"/>
                    </w:rPr>
                    <w:t xml:space="preserve">Izmaksu apjoms  </w:t>
                  </w:r>
                  <w:r>
                    <w:rPr>
                      <w:bCs/>
                      <w:i/>
                      <w:lang w:eastAsia="en-US"/>
                    </w:rPr>
                    <w:t>(Euro)</w:t>
                  </w:r>
                </w:p>
              </w:tc>
            </w:tr>
            <w:tr w:rsidR="008955A3" w14:paraId="1B0B414D" w14:textId="77777777" w:rsidTr="008955A3">
              <w:tc>
                <w:tcPr>
                  <w:tcW w:w="2206" w:type="dxa"/>
                  <w:tcBorders>
                    <w:top w:val="single" w:sz="4" w:space="0" w:color="auto"/>
                    <w:left w:val="single" w:sz="4" w:space="0" w:color="auto"/>
                    <w:bottom w:val="single" w:sz="4" w:space="0" w:color="auto"/>
                    <w:right w:val="single" w:sz="4" w:space="0" w:color="auto"/>
                  </w:tcBorders>
                  <w:hideMark/>
                </w:tcPr>
                <w:p w14:paraId="1A7F1B3D" w14:textId="4EE1ED4B" w:rsidR="008955A3" w:rsidRDefault="008955A3" w:rsidP="008955A3">
                  <w:pPr>
                    <w:autoSpaceDE w:val="0"/>
                    <w:autoSpaceDN w:val="0"/>
                    <w:adjustRightInd w:val="0"/>
                    <w:jc w:val="both"/>
                    <w:rPr>
                      <w:bCs/>
                      <w:lang w:eastAsia="en-US"/>
                    </w:rPr>
                  </w:pPr>
                  <w:r>
                    <w:rPr>
                      <w:lang w:eastAsia="en-US"/>
                    </w:rPr>
                    <w:t>Atkārtota patstāvīgās prakses un profesionālās pilnveides pārbaude</w:t>
                  </w:r>
                </w:p>
              </w:tc>
              <w:tc>
                <w:tcPr>
                  <w:tcW w:w="1258" w:type="dxa"/>
                  <w:tcBorders>
                    <w:top w:val="single" w:sz="4" w:space="0" w:color="auto"/>
                    <w:left w:val="single" w:sz="4" w:space="0" w:color="auto"/>
                    <w:bottom w:val="single" w:sz="4" w:space="0" w:color="auto"/>
                    <w:right w:val="single" w:sz="4" w:space="0" w:color="auto"/>
                  </w:tcBorders>
                  <w:hideMark/>
                </w:tcPr>
                <w:p w14:paraId="1944B76C" w14:textId="77777777" w:rsidR="008955A3" w:rsidRDefault="008955A3" w:rsidP="008955A3">
                  <w:pPr>
                    <w:autoSpaceDE w:val="0"/>
                    <w:autoSpaceDN w:val="0"/>
                    <w:adjustRightInd w:val="0"/>
                    <w:jc w:val="both"/>
                    <w:rPr>
                      <w:bCs/>
                      <w:lang w:eastAsia="en-US"/>
                    </w:rPr>
                  </w:pPr>
                  <w:r>
                    <w:rPr>
                      <w:bCs/>
                      <w:lang w:eastAsia="en-US"/>
                    </w:rPr>
                    <w:t>1</w:t>
                  </w:r>
                </w:p>
              </w:tc>
              <w:tc>
                <w:tcPr>
                  <w:tcW w:w="1450" w:type="dxa"/>
                  <w:tcBorders>
                    <w:top w:val="single" w:sz="4" w:space="0" w:color="auto"/>
                    <w:left w:val="single" w:sz="4" w:space="0" w:color="auto"/>
                    <w:bottom w:val="single" w:sz="4" w:space="0" w:color="auto"/>
                    <w:right w:val="single" w:sz="4" w:space="0" w:color="auto"/>
                  </w:tcBorders>
                  <w:hideMark/>
                </w:tcPr>
                <w:p w14:paraId="7C3D6FEA" w14:textId="77777777" w:rsidR="008955A3" w:rsidRDefault="008955A3" w:rsidP="008955A3">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5BFB615D" w14:textId="77777777" w:rsidR="008955A3" w:rsidRDefault="008955A3" w:rsidP="008955A3">
                  <w:pPr>
                    <w:autoSpaceDE w:val="0"/>
                    <w:autoSpaceDN w:val="0"/>
                    <w:adjustRightInd w:val="0"/>
                    <w:jc w:val="both"/>
                    <w:rPr>
                      <w:bCs/>
                      <w:lang w:eastAsia="en-US"/>
                    </w:rPr>
                  </w:pPr>
                  <w:r>
                    <w:rPr>
                      <w:bCs/>
                      <w:lang w:eastAsia="en-US"/>
                    </w:rPr>
                    <w:t>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55D30247" w14:textId="77777777" w:rsidR="008955A3" w:rsidRDefault="008955A3" w:rsidP="008955A3">
                  <w:pPr>
                    <w:autoSpaceDE w:val="0"/>
                    <w:autoSpaceDN w:val="0"/>
                    <w:adjustRightInd w:val="0"/>
                    <w:jc w:val="both"/>
                    <w:rPr>
                      <w:b/>
                      <w:bCs/>
                      <w:u w:val="single"/>
                      <w:lang w:eastAsia="en-US"/>
                    </w:rPr>
                  </w:pPr>
                  <w:r>
                    <w:rPr>
                      <w:b/>
                      <w:bCs/>
                      <w:u w:val="single"/>
                      <w:lang w:eastAsia="en-US"/>
                    </w:rPr>
                    <w:t>40,00</w:t>
                  </w:r>
                </w:p>
              </w:tc>
            </w:tr>
          </w:tbl>
          <w:p w14:paraId="32BBA39B" w14:textId="77777777" w:rsidR="0078705C" w:rsidRPr="008955A3" w:rsidRDefault="0078705C" w:rsidP="00256B2C">
            <w:pPr>
              <w:shd w:val="clear" w:color="auto" w:fill="FFFFFF"/>
              <w:ind w:firstLine="394"/>
              <w:jc w:val="both"/>
              <w:rPr>
                <w:u w:val="single"/>
              </w:rPr>
            </w:pPr>
          </w:p>
          <w:p w14:paraId="5EF7B6CB" w14:textId="686F0EE0" w:rsidR="008955A3" w:rsidRPr="00AA2BE2" w:rsidRDefault="00781BA9" w:rsidP="00DA7DB2">
            <w:pPr>
              <w:shd w:val="clear" w:color="auto" w:fill="FFFFFF"/>
              <w:jc w:val="both"/>
              <w:rPr>
                <w:b/>
                <w:u w:val="single"/>
              </w:rPr>
            </w:pPr>
            <w:r>
              <w:rPr>
                <w:b/>
                <w:u w:val="single"/>
              </w:rPr>
              <w:t>4</w:t>
            </w:r>
            <w:r w:rsidR="00AA2BE2" w:rsidRPr="00AA2BE2">
              <w:rPr>
                <w:b/>
                <w:u w:val="single"/>
              </w:rPr>
              <w:t xml:space="preserve">. </w:t>
            </w:r>
            <w:r w:rsidR="00DA7DB2" w:rsidRPr="00AA2BE2">
              <w:rPr>
                <w:b/>
                <w:u w:val="single"/>
              </w:rPr>
              <w:t>Profesionālās pilnveides pārbaude</w:t>
            </w:r>
          </w:p>
          <w:p w14:paraId="24EC2106" w14:textId="11BBAEC9" w:rsidR="008955A3" w:rsidRPr="008955A3" w:rsidRDefault="008955A3" w:rsidP="00256B2C">
            <w:pPr>
              <w:shd w:val="clear" w:color="auto" w:fill="FFFFFF"/>
              <w:ind w:firstLine="394"/>
              <w:jc w:val="both"/>
              <w:rPr>
                <w:u w:val="single"/>
              </w:rPr>
            </w:pPr>
          </w:p>
          <w:p w14:paraId="682D130F" w14:textId="134C79BE" w:rsidR="008955A3" w:rsidRDefault="00DA7DB2" w:rsidP="00256B2C">
            <w:pPr>
              <w:shd w:val="clear" w:color="auto" w:fill="FFFFFF"/>
              <w:ind w:firstLine="394"/>
              <w:jc w:val="both"/>
            </w:pPr>
            <w:r>
              <w:t xml:space="preserve">Profesionālās pilnveides eksāmena pirmo daļu piemēro gadījumā, ja </w:t>
            </w:r>
            <w:r w:rsidR="00D40F21" w:rsidRPr="00D40F21">
              <w:rPr>
                <w:i/>
              </w:rPr>
              <w:t>LAS</w:t>
            </w:r>
            <w:r>
              <w:t xml:space="preserve"> </w:t>
            </w:r>
            <w:r w:rsidR="00D40F21">
              <w:t xml:space="preserve">noteiktajā </w:t>
            </w:r>
            <w:r>
              <w:t>apjomā nav apgūti formālās sadaļas tālākizglītības pasākumi. Izcenojumā tiek ievērtētas tikai tiešās izmaksas, jo netiešo izmaksu komponente kopējās izmaksās ir nenozīmīgi niecīga. Netiešās izmaksas iekļautas sertifikāta uzturēšanas maksā.</w:t>
            </w:r>
          </w:p>
          <w:p w14:paraId="6B4824A5" w14:textId="77777777" w:rsidR="00DA7DB2" w:rsidRDefault="00DA7DB2" w:rsidP="00256B2C">
            <w:pPr>
              <w:shd w:val="clear" w:color="auto" w:fill="FFFFFF"/>
              <w:ind w:firstLine="394"/>
              <w:jc w:val="both"/>
            </w:pPr>
          </w:p>
          <w:p w14:paraId="3403F20D" w14:textId="517DBD0F" w:rsidR="00DA7DB2" w:rsidRPr="00B74E1D" w:rsidRDefault="00781BA9" w:rsidP="00DA7DB2">
            <w:pPr>
              <w:jc w:val="right"/>
              <w:rPr>
                <w:b/>
                <w:i/>
              </w:rPr>
            </w:pPr>
            <w:r>
              <w:rPr>
                <w:i/>
              </w:rPr>
              <w:t>9</w:t>
            </w:r>
            <w:r w:rsidR="00DA7DB2" w:rsidRPr="00B74E1D">
              <w:rPr>
                <w:b/>
                <w:i/>
              </w:rPr>
              <w:t>.</w:t>
            </w:r>
            <w:r w:rsidR="00DA7DB2" w:rsidRPr="00B74E1D">
              <w:rPr>
                <w:i/>
                <w:lang w:eastAsia="x-none"/>
              </w:rPr>
              <w:t>tabula</w:t>
            </w:r>
          </w:p>
          <w:p w14:paraId="3F49BE87" w14:textId="56041A1D" w:rsidR="00DA7DB2" w:rsidRDefault="00DA7DB2" w:rsidP="00DA7DB2">
            <w:pPr>
              <w:shd w:val="clear" w:color="auto" w:fill="FFFFFF"/>
              <w:ind w:firstLine="394"/>
              <w:jc w:val="both"/>
              <w:rPr>
                <w:u w:val="single"/>
              </w:rPr>
            </w:pPr>
            <w:r>
              <w:rPr>
                <w:b/>
              </w:rPr>
              <w:t>Profesionālās pilnveides pārbaudes 1.</w:t>
            </w:r>
            <w:r w:rsidR="00FB1045">
              <w:rPr>
                <w:b/>
              </w:rPr>
              <w:t xml:space="preserve"> </w:t>
            </w:r>
            <w:r>
              <w:rPr>
                <w:b/>
              </w:rPr>
              <w:t xml:space="preserve">daļas </w:t>
            </w:r>
            <w:r w:rsidRPr="00B74E1D">
              <w:rPr>
                <w:b/>
              </w:rPr>
              <w:t>tiešo izmaksu aprēķins</w:t>
            </w:r>
          </w:p>
          <w:tbl>
            <w:tblPr>
              <w:tblStyle w:val="TableGrid"/>
              <w:tblW w:w="0" w:type="auto"/>
              <w:tblLook w:val="04A0" w:firstRow="1" w:lastRow="0" w:firstColumn="1" w:lastColumn="0" w:noHBand="0" w:noVBand="1"/>
            </w:tblPr>
            <w:tblGrid>
              <w:gridCol w:w="2246"/>
              <w:gridCol w:w="1243"/>
              <w:gridCol w:w="1438"/>
              <w:gridCol w:w="1350"/>
              <w:gridCol w:w="1433"/>
            </w:tblGrid>
            <w:tr w:rsidR="00DA7DB2" w14:paraId="540D3619" w14:textId="77777777" w:rsidTr="00DA7DB2">
              <w:tc>
                <w:tcPr>
                  <w:tcW w:w="2425" w:type="dxa"/>
                  <w:tcBorders>
                    <w:top w:val="single" w:sz="4" w:space="0" w:color="auto"/>
                    <w:left w:val="single" w:sz="4" w:space="0" w:color="auto"/>
                    <w:bottom w:val="single" w:sz="4" w:space="0" w:color="auto"/>
                    <w:right w:val="single" w:sz="4" w:space="0" w:color="auto"/>
                  </w:tcBorders>
                  <w:hideMark/>
                </w:tcPr>
                <w:p w14:paraId="0FEFC96F" w14:textId="77777777" w:rsidR="00DA7DB2" w:rsidRDefault="00DA7DB2" w:rsidP="00DA7DB2">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1350" w:type="dxa"/>
                  <w:tcBorders>
                    <w:top w:val="single" w:sz="4" w:space="0" w:color="auto"/>
                    <w:left w:val="single" w:sz="4" w:space="0" w:color="auto"/>
                    <w:bottom w:val="single" w:sz="4" w:space="0" w:color="auto"/>
                    <w:right w:val="single" w:sz="4" w:space="0" w:color="auto"/>
                  </w:tcBorders>
                </w:tcPr>
                <w:p w14:paraId="7D0F71BA" w14:textId="77777777" w:rsidR="00DA7DB2" w:rsidRDefault="00DA7DB2" w:rsidP="00DA7DB2">
                  <w:pPr>
                    <w:autoSpaceDE w:val="0"/>
                    <w:autoSpaceDN w:val="0"/>
                    <w:adjustRightInd w:val="0"/>
                    <w:jc w:val="both"/>
                    <w:rPr>
                      <w:bCs/>
                      <w:lang w:eastAsia="en-US"/>
                    </w:rPr>
                  </w:pPr>
                  <w:r>
                    <w:rPr>
                      <w:bCs/>
                      <w:lang w:eastAsia="en-US"/>
                    </w:rPr>
                    <w:t xml:space="preserve">Skaits </w:t>
                  </w:r>
                </w:p>
                <w:p w14:paraId="548AD492" w14:textId="77777777" w:rsidR="00DA7DB2" w:rsidRDefault="00DA7DB2" w:rsidP="00DA7DB2">
                  <w:pPr>
                    <w:autoSpaceDE w:val="0"/>
                    <w:autoSpaceDN w:val="0"/>
                    <w:adjustRightInd w:val="0"/>
                    <w:jc w:val="both"/>
                    <w:rPr>
                      <w:bCs/>
                      <w:i/>
                      <w:lang w:eastAsia="en-US"/>
                    </w:rPr>
                  </w:pPr>
                </w:p>
                <w:p w14:paraId="6D09C35F" w14:textId="77777777" w:rsidR="00DA7DB2" w:rsidRDefault="00DA7DB2" w:rsidP="00DA7DB2">
                  <w:pPr>
                    <w:autoSpaceDE w:val="0"/>
                    <w:autoSpaceDN w:val="0"/>
                    <w:adjustRightInd w:val="0"/>
                    <w:jc w:val="both"/>
                    <w:rPr>
                      <w:bCs/>
                      <w:lang w:eastAsia="en-US"/>
                    </w:rPr>
                  </w:pPr>
                </w:p>
              </w:tc>
              <w:tc>
                <w:tcPr>
                  <w:tcW w:w="1530" w:type="dxa"/>
                  <w:tcBorders>
                    <w:top w:val="single" w:sz="4" w:space="0" w:color="auto"/>
                    <w:left w:val="single" w:sz="4" w:space="0" w:color="auto"/>
                    <w:bottom w:val="single" w:sz="4" w:space="0" w:color="auto"/>
                    <w:right w:val="single" w:sz="4" w:space="0" w:color="auto"/>
                  </w:tcBorders>
                  <w:hideMark/>
                </w:tcPr>
                <w:p w14:paraId="2A9907A7" w14:textId="77777777" w:rsidR="00DA7DB2" w:rsidRDefault="00DA7DB2" w:rsidP="00DA7DB2">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4BC75A20" w14:textId="77777777" w:rsidR="00DA7DB2" w:rsidRDefault="00DA7DB2" w:rsidP="00DA7DB2">
                  <w:pPr>
                    <w:autoSpaceDE w:val="0"/>
                    <w:autoSpaceDN w:val="0"/>
                    <w:adjustRightInd w:val="0"/>
                    <w:jc w:val="both"/>
                    <w:rPr>
                      <w:bCs/>
                      <w:lang w:eastAsia="en-US"/>
                    </w:rPr>
                  </w:pPr>
                  <w:r>
                    <w:rPr>
                      <w:bCs/>
                      <w:lang w:eastAsia="en-US"/>
                    </w:rPr>
                    <w:t>Laika ieguldījums</w:t>
                  </w:r>
                </w:p>
                <w:p w14:paraId="39D949E7" w14:textId="77777777" w:rsidR="00DA7DB2" w:rsidRDefault="00DA7DB2" w:rsidP="00DA7DB2">
                  <w:pPr>
                    <w:autoSpaceDE w:val="0"/>
                    <w:autoSpaceDN w:val="0"/>
                    <w:adjustRightInd w:val="0"/>
                    <w:jc w:val="both"/>
                    <w:rPr>
                      <w:bCs/>
                      <w:i/>
                      <w:lang w:eastAsia="en-US"/>
                    </w:rPr>
                  </w:pPr>
                  <w:r>
                    <w:rPr>
                      <w:bCs/>
                      <w:i/>
                      <w:lang w:eastAsia="en-US"/>
                    </w:rPr>
                    <w:t>(h)</w:t>
                  </w:r>
                </w:p>
              </w:tc>
              <w:tc>
                <w:tcPr>
                  <w:tcW w:w="1530" w:type="dxa"/>
                  <w:tcBorders>
                    <w:top w:val="single" w:sz="4" w:space="0" w:color="auto"/>
                    <w:left w:val="single" w:sz="4" w:space="0" w:color="auto"/>
                    <w:bottom w:val="single" w:sz="4" w:space="0" w:color="auto"/>
                    <w:right w:val="single" w:sz="4" w:space="0" w:color="auto"/>
                  </w:tcBorders>
                  <w:hideMark/>
                </w:tcPr>
                <w:p w14:paraId="5FF4F94F" w14:textId="77777777" w:rsidR="00DA7DB2" w:rsidRDefault="00DA7DB2" w:rsidP="00DA7DB2">
                  <w:pPr>
                    <w:autoSpaceDE w:val="0"/>
                    <w:autoSpaceDN w:val="0"/>
                    <w:adjustRightInd w:val="0"/>
                    <w:jc w:val="both"/>
                    <w:rPr>
                      <w:bCs/>
                      <w:lang w:eastAsia="en-US"/>
                    </w:rPr>
                  </w:pPr>
                  <w:r>
                    <w:rPr>
                      <w:bCs/>
                      <w:lang w:eastAsia="en-US"/>
                    </w:rPr>
                    <w:t xml:space="preserve">Izmaksu apjoms  </w:t>
                  </w:r>
                  <w:r>
                    <w:rPr>
                      <w:bCs/>
                      <w:i/>
                      <w:lang w:eastAsia="en-US"/>
                    </w:rPr>
                    <w:t>(Euro)</w:t>
                  </w:r>
                </w:p>
              </w:tc>
            </w:tr>
            <w:tr w:rsidR="00DA7DB2" w14:paraId="377E2A40" w14:textId="77777777" w:rsidTr="00DA7DB2">
              <w:tc>
                <w:tcPr>
                  <w:tcW w:w="2425" w:type="dxa"/>
                  <w:tcBorders>
                    <w:top w:val="single" w:sz="4" w:space="0" w:color="auto"/>
                    <w:left w:val="single" w:sz="4" w:space="0" w:color="auto"/>
                    <w:bottom w:val="single" w:sz="4" w:space="0" w:color="auto"/>
                    <w:right w:val="single" w:sz="4" w:space="0" w:color="auto"/>
                  </w:tcBorders>
                  <w:hideMark/>
                </w:tcPr>
                <w:p w14:paraId="19E1343A" w14:textId="18A40DE6" w:rsidR="00DA7DB2" w:rsidRDefault="00DA7DB2" w:rsidP="00DA7DB2">
                  <w:pPr>
                    <w:autoSpaceDE w:val="0"/>
                    <w:autoSpaceDN w:val="0"/>
                    <w:adjustRightInd w:val="0"/>
                    <w:jc w:val="both"/>
                    <w:rPr>
                      <w:bCs/>
                      <w:lang w:eastAsia="en-US"/>
                    </w:rPr>
                  </w:pPr>
                  <w:r>
                    <w:rPr>
                      <w:lang w:eastAsia="en-US"/>
                    </w:rPr>
                    <w:t>Profesionālās pilnveides pārbaude – 1. daļa</w:t>
                  </w:r>
                </w:p>
              </w:tc>
              <w:tc>
                <w:tcPr>
                  <w:tcW w:w="1350" w:type="dxa"/>
                  <w:tcBorders>
                    <w:top w:val="single" w:sz="4" w:space="0" w:color="auto"/>
                    <w:left w:val="single" w:sz="4" w:space="0" w:color="auto"/>
                    <w:bottom w:val="single" w:sz="4" w:space="0" w:color="auto"/>
                    <w:right w:val="single" w:sz="4" w:space="0" w:color="auto"/>
                  </w:tcBorders>
                  <w:hideMark/>
                </w:tcPr>
                <w:p w14:paraId="6F9D520F" w14:textId="77777777" w:rsidR="00DA7DB2" w:rsidRDefault="00DA7DB2" w:rsidP="00DA7DB2">
                  <w:pPr>
                    <w:autoSpaceDE w:val="0"/>
                    <w:autoSpaceDN w:val="0"/>
                    <w:adjustRightInd w:val="0"/>
                    <w:jc w:val="both"/>
                    <w:rPr>
                      <w:bCs/>
                      <w:lang w:eastAsia="en-US"/>
                    </w:rPr>
                  </w:pPr>
                  <w:r>
                    <w:rPr>
                      <w:bCs/>
                      <w:lang w:eastAsia="en-US"/>
                    </w:rPr>
                    <w:t>1</w:t>
                  </w:r>
                </w:p>
              </w:tc>
              <w:tc>
                <w:tcPr>
                  <w:tcW w:w="1530" w:type="dxa"/>
                  <w:tcBorders>
                    <w:top w:val="single" w:sz="4" w:space="0" w:color="auto"/>
                    <w:left w:val="single" w:sz="4" w:space="0" w:color="auto"/>
                    <w:bottom w:val="single" w:sz="4" w:space="0" w:color="auto"/>
                    <w:right w:val="single" w:sz="4" w:space="0" w:color="auto"/>
                  </w:tcBorders>
                  <w:hideMark/>
                </w:tcPr>
                <w:p w14:paraId="0162041C" w14:textId="77777777" w:rsidR="00DA7DB2" w:rsidRDefault="00DA7DB2" w:rsidP="00DA7DB2">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284466FD" w14:textId="77777777" w:rsidR="00DA7DB2" w:rsidRDefault="00DA7DB2" w:rsidP="00DA7DB2">
                  <w:pPr>
                    <w:autoSpaceDE w:val="0"/>
                    <w:autoSpaceDN w:val="0"/>
                    <w:adjustRightInd w:val="0"/>
                    <w:jc w:val="both"/>
                    <w:rPr>
                      <w:bCs/>
                      <w:lang w:eastAsia="en-US"/>
                    </w:rPr>
                  </w:pPr>
                  <w:r>
                    <w:rPr>
                      <w:bCs/>
                      <w:lang w:eastAsia="en-US"/>
                    </w:rPr>
                    <w:t>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32FAFF5" w14:textId="77777777" w:rsidR="00DA7DB2" w:rsidRDefault="00DA7DB2" w:rsidP="00DA7DB2">
                  <w:pPr>
                    <w:autoSpaceDE w:val="0"/>
                    <w:autoSpaceDN w:val="0"/>
                    <w:adjustRightInd w:val="0"/>
                    <w:jc w:val="both"/>
                    <w:rPr>
                      <w:b/>
                      <w:bCs/>
                      <w:u w:val="single"/>
                      <w:lang w:eastAsia="en-US"/>
                    </w:rPr>
                  </w:pPr>
                  <w:r>
                    <w:rPr>
                      <w:b/>
                      <w:bCs/>
                      <w:u w:val="single"/>
                      <w:lang w:eastAsia="en-US"/>
                    </w:rPr>
                    <w:t>240,00</w:t>
                  </w:r>
                </w:p>
              </w:tc>
            </w:tr>
          </w:tbl>
          <w:p w14:paraId="0A668857" w14:textId="68B5EEBE" w:rsidR="00DA7DB2" w:rsidRDefault="00DA7DB2" w:rsidP="00256B2C">
            <w:pPr>
              <w:shd w:val="clear" w:color="auto" w:fill="FFFFFF"/>
              <w:ind w:firstLine="394"/>
              <w:jc w:val="both"/>
              <w:rPr>
                <w:u w:val="single"/>
              </w:rPr>
            </w:pPr>
          </w:p>
          <w:p w14:paraId="2694E616" w14:textId="068587CA" w:rsidR="00DA7DB2" w:rsidRDefault="00DA7DB2" w:rsidP="00256B2C">
            <w:pPr>
              <w:shd w:val="clear" w:color="auto" w:fill="FFFFFF"/>
              <w:ind w:firstLine="394"/>
              <w:jc w:val="both"/>
            </w:pPr>
            <w:r w:rsidRPr="00DA7DB2">
              <w:t>Profesionālās pilnveides eksāmena otro daļu piemēro gadījumā, ja sertificēšanas institūcijas noteiktajā apjomā nav apgūti neformālās sadaļas</w:t>
            </w:r>
            <w:r w:rsidR="00D40F21">
              <w:t xml:space="preserve"> </w:t>
            </w:r>
            <w:r w:rsidRPr="00DA7DB2">
              <w:t>tālākizglītības pasākumi. Izcenojumā tiek ievērtētas tikai tiešās izmaksas, jo netiešo izmaksu komponente kopējās izmaksās ir nenozīmīgi niecīga, kā arī gadījumu skaits nav prognozējams. Līdz šim ne reizi konkrētais eksāmena veids nav piemērots. Netiešās izmaksas iekļautas sertifikāta uzturēšanas maksā.</w:t>
            </w:r>
          </w:p>
          <w:p w14:paraId="47D17BC6" w14:textId="77777777" w:rsidR="00DA7DB2" w:rsidRPr="00DA7DB2" w:rsidRDefault="00DA7DB2" w:rsidP="00256B2C">
            <w:pPr>
              <w:shd w:val="clear" w:color="auto" w:fill="FFFFFF"/>
              <w:ind w:firstLine="394"/>
              <w:jc w:val="both"/>
            </w:pPr>
          </w:p>
          <w:p w14:paraId="3AD8F5FC" w14:textId="032D044C" w:rsidR="00DA7DB2" w:rsidRPr="00B74E1D" w:rsidRDefault="00DA7DB2" w:rsidP="00DA7DB2">
            <w:pPr>
              <w:jc w:val="right"/>
              <w:rPr>
                <w:b/>
                <w:i/>
              </w:rPr>
            </w:pPr>
            <w:r>
              <w:rPr>
                <w:i/>
              </w:rPr>
              <w:t>1</w:t>
            </w:r>
            <w:r w:rsidR="00781BA9">
              <w:rPr>
                <w:i/>
              </w:rPr>
              <w:t>0</w:t>
            </w:r>
            <w:r w:rsidRPr="00B74E1D">
              <w:rPr>
                <w:b/>
                <w:i/>
              </w:rPr>
              <w:t>.</w:t>
            </w:r>
            <w:r w:rsidRPr="00B74E1D">
              <w:rPr>
                <w:i/>
                <w:lang w:eastAsia="x-none"/>
              </w:rPr>
              <w:t>tabula</w:t>
            </w:r>
          </w:p>
          <w:p w14:paraId="2619BCC1" w14:textId="766AB77A" w:rsidR="00DA7DB2" w:rsidRPr="00DA7DB2" w:rsidRDefault="00DA7DB2" w:rsidP="00256B2C">
            <w:pPr>
              <w:shd w:val="clear" w:color="auto" w:fill="FFFFFF"/>
              <w:ind w:firstLine="394"/>
              <w:jc w:val="both"/>
            </w:pPr>
            <w:r>
              <w:rPr>
                <w:b/>
              </w:rPr>
              <w:t xml:space="preserve">Profesionālās pilnveides pārbaudes </w:t>
            </w:r>
            <w:r w:rsidR="00D11331">
              <w:rPr>
                <w:b/>
              </w:rPr>
              <w:t>2</w:t>
            </w:r>
            <w:r>
              <w:rPr>
                <w:b/>
              </w:rPr>
              <w:t>.</w:t>
            </w:r>
            <w:r w:rsidR="00FB1045">
              <w:rPr>
                <w:b/>
              </w:rPr>
              <w:t xml:space="preserve"> </w:t>
            </w:r>
            <w:r>
              <w:rPr>
                <w:b/>
              </w:rPr>
              <w:t xml:space="preserve">daļas </w:t>
            </w:r>
            <w:r w:rsidRPr="00B74E1D">
              <w:rPr>
                <w:b/>
              </w:rPr>
              <w:t>tiešo izmaksu aprēķins</w:t>
            </w:r>
          </w:p>
          <w:tbl>
            <w:tblPr>
              <w:tblStyle w:val="TableGrid"/>
              <w:tblW w:w="0" w:type="auto"/>
              <w:tblLook w:val="04A0" w:firstRow="1" w:lastRow="0" w:firstColumn="1" w:lastColumn="0" w:noHBand="0" w:noVBand="1"/>
            </w:tblPr>
            <w:tblGrid>
              <w:gridCol w:w="2246"/>
              <w:gridCol w:w="1243"/>
              <w:gridCol w:w="1438"/>
              <w:gridCol w:w="1350"/>
              <w:gridCol w:w="1433"/>
            </w:tblGrid>
            <w:tr w:rsidR="00DA7DB2" w14:paraId="46A37D96" w14:textId="77777777" w:rsidTr="00DA7DB2">
              <w:tc>
                <w:tcPr>
                  <w:tcW w:w="2425" w:type="dxa"/>
                  <w:tcBorders>
                    <w:top w:val="single" w:sz="4" w:space="0" w:color="auto"/>
                    <w:left w:val="single" w:sz="4" w:space="0" w:color="auto"/>
                    <w:bottom w:val="single" w:sz="4" w:space="0" w:color="auto"/>
                    <w:right w:val="single" w:sz="4" w:space="0" w:color="auto"/>
                  </w:tcBorders>
                  <w:hideMark/>
                </w:tcPr>
                <w:p w14:paraId="79E07E82" w14:textId="77777777" w:rsidR="00DA7DB2" w:rsidRDefault="00DA7DB2" w:rsidP="00DA7DB2">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1350" w:type="dxa"/>
                  <w:tcBorders>
                    <w:top w:val="single" w:sz="4" w:space="0" w:color="auto"/>
                    <w:left w:val="single" w:sz="4" w:space="0" w:color="auto"/>
                    <w:bottom w:val="single" w:sz="4" w:space="0" w:color="auto"/>
                    <w:right w:val="single" w:sz="4" w:space="0" w:color="auto"/>
                  </w:tcBorders>
                </w:tcPr>
                <w:p w14:paraId="34624939" w14:textId="77777777" w:rsidR="00DA7DB2" w:rsidRDefault="00DA7DB2" w:rsidP="00DA7DB2">
                  <w:pPr>
                    <w:autoSpaceDE w:val="0"/>
                    <w:autoSpaceDN w:val="0"/>
                    <w:adjustRightInd w:val="0"/>
                    <w:jc w:val="both"/>
                    <w:rPr>
                      <w:bCs/>
                      <w:lang w:eastAsia="en-US"/>
                    </w:rPr>
                  </w:pPr>
                  <w:r>
                    <w:rPr>
                      <w:bCs/>
                      <w:lang w:eastAsia="en-US"/>
                    </w:rPr>
                    <w:t xml:space="preserve">Skaits </w:t>
                  </w:r>
                </w:p>
                <w:p w14:paraId="399FDD42" w14:textId="77777777" w:rsidR="00DA7DB2" w:rsidRDefault="00DA7DB2" w:rsidP="00DA7DB2">
                  <w:pPr>
                    <w:autoSpaceDE w:val="0"/>
                    <w:autoSpaceDN w:val="0"/>
                    <w:adjustRightInd w:val="0"/>
                    <w:jc w:val="both"/>
                    <w:rPr>
                      <w:bCs/>
                      <w:i/>
                      <w:lang w:eastAsia="en-US"/>
                    </w:rPr>
                  </w:pPr>
                </w:p>
                <w:p w14:paraId="44F806BE" w14:textId="77777777" w:rsidR="00DA7DB2" w:rsidRDefault="00DA7DB2" w:rsidP="00DA7DB2">
                  <w:pPr>
                    <w:autoSpaceDE w:val="0"/>
                    <w:autoSpaceDN w:val="0"/>
                    <w:adjustRightInd w:val="0"/>
                    <w:jc w:val="both"/>
                    <w:rPr>
                      <w:bCs/>
                      <w:lang w:eastAsia="en-US"/>
                    </w:rPr>
                  </w:pPr>
                </w:p>
              </w:tc>
              <w:tc>
                <w:tcPr>
                  <w:tcW w:w="1530" w:type="dxa"/>
                  <w:tcBorders>
                    <w:top w:val="single" w:sz="4" w:space="0" w:color="auto"/>
                    <w:left w:val="single" w:sz="4" w:space="0" w:color="auto"/>
                    <w:bottom w:val="single" w:sz="4" w:space="0" w:color="auto"/>
                    <w:right w:val="single" w:sz="4" w:space="0" w:color="auto"/>
                  </w:tcBorders>
                  <w:hideMark/>
                </w:tcPr>
                <w:p w14:paraId="7A2771B9" w14:textId="77777777" w:rsidR="00DA7DB2" w:rsidRDefault="00DA7DB2" w:rsidP="00DA7DB2">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5642CA14" w14:textId="77777777" w:rsidR="00DA7DB2" w:rsidRDefault="00DA7DB2" w:rsidP="00DA7DB2">
                  <w:pPr>
                    <w:autoSpaceDE w:val="0"/>
                    <w:autoSpaceDN w:val="0"/>
                    <w:adjustRightInd w:val="0"/>
                    <w:jc w:val="both"/>
                    <w:rPr>
                      <w:bCs/>
                      <w:lang w:eastAsia="en-US"/>
                    </w:rPr>
                  </w:pPr>
                  <w:r>
                    <w:rPr>
                      <w:bCs/>
                      <w:lang w:eastAsia="en-US"/>
                    </w:rPr>
                    <w:t>Laika ieguldījums</w:t>
                  </w:r>
                </w:p>
                <w:p w14:paraId="5B4F557A" w14:textId="77777777" w:rsidR="00DA7DB2" w:rsidRDefault="00DA7DB2" w:rsidP="00DA7DB2">
                  <w:pPr>
                    <w:autoSpaceDE w:val="0"/>
                    <w:autoSpaceDN w:val="0"/>
                    <w:adjustRightInd w:val="0"/>
                    <w:jc w:val="both"/>
                    <w:rPr>
                      <w:bCs/>
                      <w:i/>
                      <w:lang w:eastAsia="en-US"/>
                    </w:rPr>
                  </w:pPr>
                  <w:r>
                    <w:rPr>
                      <w:bCs/>
                      <w:i/>
                      <w:lang w:eastAsia="en-US"/>
                    </w:rPr>
                    <w:t>(h)</w:t>
                  </w:r>
                </w:p>
              </w:tc>
              <w:tc>
                <w:tcPr>
                  <w:tcW w:w="1530" w:type="dxa"/>
                  <w:tcBorders>
                    <w:top w:val="single" w:sz="4" w:space="0" w:color="auto"/>
                    <w:left w:val="single" w:sz="4" w:space="0" w:color="auto"/>
                    <w:bottom w:val="single" w:sz="4" w:space="0" w:color="auto"/>
                    <w:right w:val="single" w:sz="4" w:space="0" w:color="auto"/>
                  </w:tcBorders>
                  <w:hideMark/>
                </w:tcPr>
                <w:p w14:paraId="0D8F1EF6" w14:textId="77777777" w:rsidR="00DA7DB2" w:rsidRDefault="00DA7DB2" w:rsidP="00DA7DB2">
                  <w:pPr>
                    <w:autoSpaceDE w:val="0"/>
                    <w:autoSpaceDN w:val="0"/>
                    <w:adjustRightInd w:val="0"/>
                    <w:jc w:val="both"/>
                    <w:rPr>
                      <w:bCs/>
                      <w:lang w:eastAsia="en-US"/>
                    </w:rPr>
                  </w:pPr>
                  <w:r>
                    <w:rPr>
                      <w:bCs/>
                      <w:lang w:eastAsia="en-US"/>
                    </w:rPr>
                    <w:t xml:space="preserve">Izmaksu apjoms  </w:t>
                  </w:r>
                  <w:r>
                    <w:rPr>
                      <w:bCs/>
                      <w:i/>
                      <w:lang w:eastAsia="en-US"/>
                    </w:rPr>
                    <w:t>(Euro)</w:t>
                  </w:r>
                </w:p>
              </w:tc>
            </w:tr>
            <w:tr w:rsidR="00DA7DB2" w14:paraId="05DCB13F" w14:textId="77777777" w:rsidTr="00DA7DB2">
              <w:tc>
                <w:tcPr>
                  <w:tcW w:w="2425" w:type="dxa"/>
                  <w:tcBorders>
                    <w:top w:val="single" w:sz="4" w:space="0" w:color="auto"/>
                    <w:left w:val="single" w:sz="4" w:space="0" w:color="auto"/>
                    <w:bottom w:val="single" w:sz="4" w:space="0" w:color="auto"/>
                    <w:right w:val="single" w:sz="4" w:space="0" w:color="auto"/>
                  </w:tcBorders>
                  <w:hideMark/>
                </w:tcPr>
                <w:p w14:paraId="0915C281" w14:textId="54DFDB5A" w:rsidR="00DA7DB2" w:rsidRDefault="00DA7DB2" w:rsidP="00DA7DB2">
                  <w:pPr>
                    <w:autoSpaceDE w:val="0"/>
                    <w:autoSpaceDN w:val="0"/>
                    <w:adjustRightInd w:val="0"/>
                    <w:jc w:val="both"/>
                    <w:rPr>
                      <w:bCs/>
                      <w:lang w:eastAsia="en-US"/>
                    </w:rPr>
                  </w:pPr>
                  <w:r>
                    <w:rPr>
                      <w:lang w:eastAsia="en-US"/>
                    </w:rPr>
                    <w:t>Profesionālās pilnveides pārbaude – 2. daļa</w:t>
                  </w:r>
                </w:p>
              </w:tc>
              <w:tc>
                <w:tcPr>
                  <w:tcW w:w="1350" w:type="dxa"/>
                  <w:tcBorders>
                    <w:top w:val="single" w:sz="4" w:space="0" w:color="auto"/>
                    <w:left w:val="single" w:sz="4" w:space="0" w:color="auto"/>
                    <w:bottom w:val="single" w:sz="4" w:space="0" w:color="auto"/>
                    <w:right w:val="single" w:sz="4" w:space="0" w:color="auto"/>
                  </w:tcBorders>
                  <w:hideMark/>
                </w:tcPr>
                <w:p w14:paraId="22D38EA1" w14:textId="77777777" w:rsidR="00DA7DB2" w:rsidRDefault="00DA7DB2" w:rsidP="00DA7DB2">
                  <w:pPr>
                    <w:autoSpaceDE w:val="0"/>
                    <w:autoSpaceDN w:val="0"/>
                    <w:adjustRightInd w:val="0"/>
                    <w:jc w:val="both"/>
                    <w:rPr>
                      <w:bCs/>
                      <w:lang w:eastAsia="en-US"/>
                    </w:rPr>
                  </w:pPr>
                  <w:r>
                    <w:rPr>
                      <w:bCs/>
                      <w:lang w:eastAsia="en-US"/>
                    </w:rPr>
                    <w:t>1</w:t>
                  </w:r>
                </w:p>
              </w:tc>
              <w:tc>
                <w:tcPr>
                  <w:tcW w:w="1530" w:type="dxa"/>
                  <w:tcBorders>
                    <w:top w:val="single" w:sz="4" w:space="0" w:color="auto"/>
                    <w:left w:val="single" w:sz="4" w:space="0" w:color="auto"/>
                    <w:bottom w:val="single" w:sz="4" w:space="0" w:color="auto"/>
                    <w:right w:val="single" w:sz="4" w:space="0" w:color="auto"/>
                  </w:tcBorders>
                  <w:hideMark/>
                </w:tcPr>
                <w:p w14:paraId="29138012" w14:textId="77777777" w:rsidR="00DA7DB2" w:rsidRDefault="00DA7DB2" w:rsidP="00DA7DB2">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6C24F440" w14:textId="77777777" w:rsidR="00DA7DB2" w:rsidRDefault="00DA7DB2" w:rsidP="00DA7DB2">
                  <w:pPr>
                    <w:autoSpaceDE w:val="0"/>
                    <w:autoSpaceDN w:val="0"/>
                    <w:adjustRightInd w:val="0"/>
                    <w:jc w:val="both"/>
                    <w:rPr>
                      <w:bCs/>
                      <w:lang w:eastAsia="en-US"/>
                    </w:rPr>
                  </w:pPr>
                  <w:r>
                    <w:rPr>
                      <w:bCs/>
                      <w:lang w:eastAsia="en-US"/>
                    </w:rPr>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0BB208D" w14:textId="77777777" w:rsidR="00DA7DB2" w:rsidRDefault="00DA7DB2" w:rsidP="00DA7DB2">
                  <w:pPr>
                    <w:autoSpaceDE w:val="0"/>
                    <w:autoSpaceDN w:val="0"/>
                    <w:adjustRightInd w:val="0"/>
                    <w:jc w:val="both"/>
                    <w:rPr>
                      <w:b/>
                      <w:bCs/>
                      <w:u w:val="single"/>
                      <w:lang w:eastAsia="en-US"/>
                    </w:rPr>
                  </w:pPr>
                  <w:r>
                    <w:rPr>
                      <w:b/>
                      <w:bCs/>
                      <w:u w:val="single"/>
                      <w:lang w:eastAsia="en-US"/>
                    </w:rPr>
                    <w:t>120,00</w:t>
                  </w:r>
                </w:p>
              </w:tc>
            </w:tr>
          </w:tbl>
          <w:p w14:paraId="1C01358D" w14:textId="75702581" w:rsidR="00DA7DB2" w:rsidRDefault="00DA7DB2" w:rsidP="00256B2C">
            <w:pPr>
              <w:shd w:val="clear" w:color="auto" w:fill="FFFFFF"/>
              <w:ind w:firstLine="394"/>
              <w:jc w:val="both"/>
              <w:rPr>
                <w:u w:val="single"/>
              </w:rPr>
            </w:pPr>
          </w:p>
          <w:p w14:paraId="48393AA2" w14:textId="723BBEC9" w:rsidR="00D11331" w:rsidRDefault="00D11331" w:rsidP="00D11331">
            <w:pPr>
              <w:shd w:val="clear" w:color="auto" w:fill="FFFFFF"/>
              <w:ind w:firstLine="394"/>
              <w:jc w:val="both"/>
            </w:pPr>
            <w:r w:rsidRPr="00B74E1D">
              <w:t xml:space="preserve">No aprēķina izriet, ka lai nosegtu </w:t>
            </w:r>
            <w:r>
              <w:rPr>
                <w:bCs/>
                <w:i/>
              </w:rPr>
              <w:t>profesionālās pilnveides pārbaudes eksāmena</w:t>
            </w:r>
            <w:r w:rsidRPr="00B74E1D">
              <w:t xml:space="preserve"> izmaksas </w:t>
            </w:r>
            <w:r>
              <w:t xml:space="preserve">tā cenai ir jābūt </w:t>
            </w:r>
            <w:r w:rsidR="006E1003">
              <w:t>24</w:t>
            </w:r>
            <w:r>
              <w:t xml:space="preserve">0 </w:t>
            </w:r>
            <w:r w:rsidRPr="00941AA5">
              <w:rPr>
                <w:i/>
              </w:rPr>
              <w:t>euro</w:t>
            </w:r>
            <w:r>
              <w:t xml:space="preserve"> par 1.</w:t>
            </w:r>
            <w:r w:rsidR="00FB1045">
              <w:t xml:space="preserve"> </w:t>
            </w:r>
            <w:r>
              <w:t xml:space="preserve">daļu un </w:t>
            </w:r>
            <w:r w:rsidR="006E1003">
              <w:t>12</w:t>
            </w:r>
            <w:r>
              <w:t xml:space="preserve">0 </w:t>
            </w:r>
            <w:r w:rsidRPr="00D9526F">
              <w:rPr>
                <w:i/>
              </w:rPr>
              <w:t>euro</w:t>
            </w:r>
            <w:r>
              <w:t xml:space="preserve"> par 2.daļu no vienas personas par vienu eksāmenu</w:t>
            </w:r>
            <w:r w:rsidRPr="00B74E1D">
              <w:t>.</w:t>
            </w:r>
          </w:p>
          <w:p w14:paraId="6A5BCA69" w14:textId="50A169A9" w:rsidR="00DA7DB2" w:rsidRDefault="00DA7DB2" w:rsidP="00256B2C">
            <w:pPr>
              <w:shd w:val="clear" w:color="auto" w:fill="FFFFFF"/>
              <w:ind w:firstLine="394"/>
              <w:jc w:val="both"/>
              <w:rPr>
                <w:u w:val="single"/>
              </w:rPr>
            </w:pPr>
          </w:p>
          <w:p w14:paraId="5B5F5A53" w14:textId="6209BA56" w:rsidR="00D11331" w:rsidRPr="00AA2BE2" w:rsidRDefault="00781BA9" w:rsidP="00D11331">
            <w:pPr>
              <w:shd w:val="clear" w:color="auto" w:fill="FFFFFF"/>
              <w:jc w:val="both"/>
              <w:rPr>
                <w:b/>
                <w:u w:val="single"/>
              </w:rPr>
            </w:pPr>
            <w:r>
              <w:rPr>
                <w:b/>
                <w:u w:val="single"/>
              </w:rPr>
              <w:t>5</w:t>
            </w:r>
            <w:r w:rsidR="00AA2BE2" w:rsidRPr="00AA2BE2">
              <w:rPr>
                <w:b/>
                <w:u w:val="single"/>
              </w:rPr>
              <w:t xml:space="preserve">. </w:t>
            </w:r>
            <w:r w:rsidR="00D11331" w:rsidRPr="00AA2BE2">
              <w:rPr>
                <w:b/>
                <w:u w:val="single"/>
              </w:rPr>
              <w:t xml:space="preserve">Informatīvās piezīmes piešķiršana ārpus prakses pārbaudes reizi </w:t>
            </w:r>
            <w:r w:rsidR="000C5469">
              <w:rPr>
                <w:b/>
                <w:u w:val="single"/>
              </w:rPr>
              <w:t xml:space="preserve">piecos </w:t>
            </w:r>
            <w:r w:rsidR="00D11331" w:rsidRPr="00AA2BE2">
              <w:rPr>
                <w:b/>
                <w:u w:val="single"/>
              </w:rPr>
              <w:t>gados</w:t>
            </w:r>
          </w:p>
          <w:p w14:paraId="7FDB162C" w14:textId="12EE8CC0" w:rsidR="00D11331" w:rsidRDefault="00D11331" w:rsidP="00256B2C">
            <w:pPr>
              <w:shd w:val="clear" w:color="auto" w:fill="FFFFFF"/>
              <w:ind w:firstLine="394"/>
              <w:jc w:val="both"/>
              <w:rPr>
                <w:u w:val="single"/>
              </w:rPr>
            </w:pPr>
          </w:p>
          <w:p w14:paraId="5AFF6972" w14:textId="674180CA" w:rsidR="00D11331" w:rsidRDefault="00D11331" w:rsidP="00D11331">
            <w:pPr>
              <w:ind w:firstLine="477"/>
              <w:jc w:val="both"/>
            </w:pPr>
            <w:r>
              <w:t xml:space="preserve">Sertificēšanas nolikumā paredzēta informatīvo piezīmju piešķiršana saskaņā ar </w:t>
            </w:r>
            <w:r w:rsidRPr="00D11331">
              <w:rPr>
                <w:i/>
              </w:rPr>
              <w:t>Noteikumu Nr.169</w:t>
            </w:r>
            <w:r>
              <w:t xml:space="preserve">. 6. punktu. Informatīvās piezīmes piešķiršanas sniedz iespēju arhitektam uzturēt sertifikātu ar atvieglotām prasībām un maksāt samazinātu </w:t>
            </w:r>
            <w:r w:rsidR="00D40F21">
              <w:t>uzraudzības</w:t>
            </w:r>
            <w:r>
              <w:t xml:space="preserve"> maksu. </w:t>
            </w:r>
          </w:p>
          <w:p w14:paraId="0C5AB77E" w14:textId="2A3E62CA" w:rsidR="00D11331" w:rsidRDefault="00D11331" w:rsidP="00D11331">
            <w:pPr>
              <w:ind w:firstLine="477"/>
              <w:jc w:val="both"/>
            </w:pPr>
            <w:r>
              <w:t xml:space="preserve">Veicot sertificēta arhitekta prakses pārbaudi reizi </w:t>
            </w:r>
            <w:r w:rsidR="00E50E6D">
              <w:t xml:space="preserve">piecos </w:t>
            </w:r>
            <w:r>
              <w:t>gados, iespējams noteikt viņa atbilstību informatīvās piezīmes piešķiršanas kritērijiem, līdz ar to papildus izmaksas nerodas, savukārt, ja persona vēlas, lai informatīvā piezīme tiktu piešķirta, negaidot kārtējo prakses pārbaudi, nepieciešams veikt darbības, lai noteiktu personas atbilstību izvirzītajiem kritērijiem. Izvērtēšanu veic eksperts, pamatojoties uz būvspeciālistu reģistrā pieejamo informāciju. Izcenojumā tiek ievērtētas tikai tiešās izmaksas, jo netiešo izmaksu komponente kopējās izmaksās ir nenozīmīgi niecīga. Netiešās izmaksas iekļautas sertifikāta uzturēšanas maksā.</w:t>
            </w:r>
          </w:p>
          <w:p w14:paraId="085421E4" w14:textId="77777777" w:rsidR="00D11331" w:rsidRPr="00064DE9" w:rsidRDefault="00D11331" w:rsidP="00D11331">
            <w:pPr>
              <w:shd w:val="clear" w:color="auto" w:fill="FFFFFF"/>
              <w:ind w:firstLine="394"/>
              <w:jc w:val="both"/>
              <w:rPr>
                <w:sz w:val="14"/>
              </w:rPr>
            </w:pPr>
          </w:p>
          <w:p w14:paraId="1EA4D1CA" w14:textId="7BFAABC9" w:rsidR="00D11331" w:rsidRPr="00B74E1D" w:rsidRDefault="00D11331" w:rsidP="00D11331">
            <w:pPr>
              <w:jc w:val="right"/>
              <w:rPr>
                <w:b/>
                <w:i/>
              </w:rPr>
            </w:pPr>
            <w:r>
              <w:rPr>
                <w:i/>
              </w:rPr>
              <w:t>1</w:t>
            </w:r>
            <w:r w:rsidR="00781BA9">
              <w:rPr>
                <w:i/>
              </w:rPr>
              <w:t>1</w:t>
            </w:r>
            <w:r w:rsidRPr="00B74E1D">
              <w:rPr>
                <w:b/>
                <w:i/>
              </w:rPr>
              <w:t>.</w:t>
            </w:r>
            <w:r w:rsidRPr="00B74E1D">
              <w:rPr>
                <w:i/>
                <w:lang w:eastAsia="x-none"/>
              </w:rPr>
              <w:t>tabula</w:t>
            </w:r>
          </w:p>
          <w:p w14:paraId="0F3E1A11" w14:textId="7907E858" w:rsidR="00D11331" w:rsidRDefault="00D11331" w:rsidP="00D11331">
            <w:pPr>
              <w:pStyle w:val="ListParagraph"/>
              <w:jc w:val="center"/>
            </w:pPr>
            <w:r w:rsidRPr="00D11331">
              <w:rPr>
                <w:b/>
              </w:rPr>
              <w:t>Atbilstības novērtēšana</w:t>
            </w:r>
            <w:r>
              <w:rPr>
                <w:b/>
              </w:rPr>
              <w:t>s</w:t>
            </w:r>
            <w:r w:rsidRPr="00D11331">
              <w:rPr>
                <w:b/>
              </w:rPr>
              <w:t xml:space="preserve"> informatīvajai piezīmei noteiktajiem kritērijiem </w:t>
            </w:r>
            <w:r w:rsidRPr="00B74E1D">
              <w:rPr>
                <w:b/>
              </w:rPr>
              <w:t>tiešo izmaksu aprēķins</w:t>
            </w:r>
          </w:p>
          <w:tbl>
            <w:tblPr>
              <w:tblStyle w:val="TableGrid"/>
              <w:tblW w:w="0" w:type="auto"/>
              <w:tblLook w:val="04A0" w:firstRow="1" w:lastRow="0" w:firstColumn="1" w:lastColumn="0" w:noHBand="0" w:noVBand="1"/>
            </w:tblPr>
            <w:tblGrid>
              <w:gridCol w:w="2599"/>
              <w:gridCol w:w="851"/>
              <w:gridCol w:w="1480"/>
              <w:gridCol w:w="1350"/>
              <w:gridCol w:w="1430"/>
            </w:tblGrid>
            <w:tr w:rsidR="00D11331" w14:paraId="76E0010B" w14:textId="77777777" w:rsidTr="00D11331">
              <w:tc>
                <w:tcPr>
                  <w:tcW w:w="2599" w:type="dxa"/>
                  <w:tcBorders>
                    <w:top w:val="single" w:sz="4" w:space="0" w:color="auto"/>
                    <w:left w:val="single" w:sz="4" w:space="0" w:color="auto"/>
                    <w:bottom w:val="single" w:sz="4" w:space="0" w:color="auto"/>
                    <w:right w:val="single" w:sz="4" w:space="0" w:color="auto"/>
                  </w:tcBorders>
                  <w:hideMark/>
                </w:tcPr>
                <w:p w14:paraId="6D56BECC" w14:textId="77777777" w:rsidR="00D11331" w:rsidRDefault="00D11331" w:rsidP="00D11331">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851" w:type="dxa"/>
                  <w:tcBorders>
                    <w:top w:val="single" w:sz="4" w:space="0" w:color="auto"/>
                    <w:left w:val="single" w:sz="4" w:space="0" w:color="auto"/>
                    <w:bottom w:val="single" w:sz="4" w:space="0" w:color="auto"/>
                    <w:right w:val="single" w:sz="4" w:space="0" w:color="auto"/>
                  </w:tcBorders>
                </w:tcPr>
                <w:p w14:paraId="33E2976A" w14:textId="77777777" w:rsidR="00D11331" w:rsidRDefault="00D11331" w:rsidP="00D11331">
                  <w:pPr>
                    <w:autoSpaceDE w:val="0"/>
                    <w:autoSpaceDN w:val="0"/>
                    <w:adjustRightInd w:val="0"/>
                    <w:jc w:val="both"/>
                    <w:rPr>
                      <w:bCs/>
                      <w:lang w:eastAsia="en-US"/>
                    </w:rPr>
                  </w:pPr>
                  <w:r>
                    <w:rPr>
                      <w:bCs/>
                      <w:lang w:eastAsia="en-US"/>
                    </w:rPr>
                    <w:t xml:space="preserve">Skaits </w:t>
                  </w:r>
                </w:p>
                <w:p w14:paraId="16D7885D" w14:textId="77777777" w:rsidR="00D11331" w:rsidRDefault="00D11331" w:rsidP="00D11331">
                  <w:pPr>
                    <w:autoSpaceDE w:val="0"/>
                    <w:autoSpaceDN w:val="0"/>
                    <w:adjustRightInd w:val="0"/>
                    <w:jc w:val="both"/>
                    <w:rPr>
                      <w:bCs/>
                      <w:i/>
                      <w:lang w:eastAsia="en-US"/>
                    </w:rPr>
                  </w:pPr>
                </w:p>
                <w:p w14:paraId="65971CDE" w14:textId="77777777" w:rsidR="00D11331" w:rsidRDefault="00D11331" w:rsidP="00D11331">
                  <w:pPr>
                    <w:autoSpaceDE w:val="0"/>
                    <w:autoSpaceDN w:val="0"/>
                    <w:adjustRightInd w:val="0"/>
                    <w:jc w:val="both"/>
                    <w:rPr>
                      <w:bCs/>
                      <w:lang w:eastAsia="en-US"/>
                    </w:rPr>
                  </w:pPr>
                </w:p>
              </w:tc>
              <w:tc>
                <w:tcPr>
                  <w:tcW w:w="1480" w:type="dxa"/>
                  <w:tcBorders>
                    <w:top w:val="single" w:sz="4" w:space="0" w:color="auto"/>
                    <w:left w:val="single" w:sz="4" w:space="0" w:color="auto"/>
                    <w:bottom w:val="single" w:sz="4" w:space="0" w:color="auto"/>
                    <w:right w:val="single" w:sz="4" w:space="0" w:color="auto"/>
                  </w:tcBorders>
                  <w:hideMark/>
                </w:tcPr>
                <w:p w14:paraId="713B5C9E" w14:textId="77777777" w:rsidR="00D11331" w:rsidRDefault="00D11331" w:rsidP="00D11331">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0D5D0FCA" w14:textId="77777777" w:rsidR="00D11331" w:rsidRDefault="00D11331" w:rsidP="00D11331">
                  <w:pPr>
                    <w:autoSpaceDE w:val="0"/>
                    <w:autoSpaceDN w:val="0"/>
                    <w:adjustRightInd w:val="0"/>
                    <w:jc w:val="both"/>
                    <w:rPr>
                      <w:bCs/>
                      <w:lang w:eastAsia="en-US"/>
                    </w:rPr>
                  </w:pPr>
                  <w:r>
                    <w:rPr>
                      <w:bCs/>
                      <w:lang w:eastAsia="en-US"/>
                    </w:rPr>
                    <w:t>Laika ieguldījums</w:t>
                  </w:r>
                </w:p>
                <w:p w14:paraId="46336B8F" w14:textId="77777777" w:rsidR="00D11331" w:rsidRDefault="00D11331" w:rsidP="00D11331">
                  <w:pPr>
                    <w:autoSpaceDE w:val="0"/>
                    <w:autoSpaceDN w:val="0"/>
                    <w:adjustRightInd w:val="0"/>
                    <w:jc w:val="both"/>
                    <w:rPr>
                      <w:bCs/>
                      <w:i/>
                      <w:lang w:eastAsia="en-US"/>
                    </w:rPr>
                  </w:pPr>
                  <w:r>
                    <w:rPr>
                      <w:bCs/>
                      <w:i/>
                      <w:lang w:eastAsia="en-US"/>
                    </w:rPr>
                    <w:t>(h)</w:t>
                  </w:r>
                </w:p>
              </w:tc>
              <w:tc>
                <w:tcPr>
                  <w:tcW w:w="1430" w:type="dxa"/>
                  <w:tcBorders>
                    <w:top w:val="single" w:sz="4" w:space="0" w:color="auto"/>
                    <w:left w:val="single" w:sz="4" w:space="0" w:color="auto"/>
                    <w:bottom w:val="single" w:sz="4" w:space="0" w:color="auto"/>
                    <w:right w:val="single" w:sz="4" w:space="0" w:color="auto"/>
                  </w:tcBorders>
                  <w:hideMark/>
                </w:tcPr>
                <w:p w14:paraId="3DB2291D" w14:textId="77777777" w:rsidR="00D11331" w:rsidRDefault="00D11331" w:rsidP="00D11331">
                  <w:pPr>
                    <w:autoSpaceDE w:val="0"/>
                    <w:autoSpaceDN w:val="0"/>
                    <w:adjustRightInd w:val="0"/>
                    <w:jc w:val="both"/>
                    <w:rPr>
                      <w:bCs/>
                      <w:lang w:eastAsia="en-US"/>
                    </w:rPr>
                  </w:pPr>
                  <w:r>
                    <w:rPr>
                      <w:bCs/>
                      <w:lang w:eastAsia="en-US"/>
                    </w:rPr>
                    <w:t xml:space="preserve">Izmaksu apjoms  </w:t>
                  </w:r>
                  <w:r>
                    <w:rPr>
                      <w:bCs/>
                      <w:i/>
                      <w:lang w:eastAsia="en-US"/>
                    </w:rPr>
                    <w:t>(Euro)</w:t>
                  </w:r>
                </w:p>
              </w:tc>
            </w:tr>
            <w:tr w:rsidR="00D11331" w14:paraId="396BA298" w14:textId="77777777" w:rsidTr="00D11331">
              <w:tc>
                <w:tcPr>
                  <w:tcW w:w="2599" w:type="dxa"/>
                  <w:tcBorders>
                    <w:top w:val="single" w:sz="4" w:space="0" w:color="auto"/>
                    <w:left w:val="single" w:sz="4" w:space="0" w:color="auto"/>
                    <w:bottom w:val="single" w:sz="4" w:space="0" w:color="auto"/>
                    <w:right w:val="single" w:sz="4" w:space="0" w:color="auto"/>
                  </w:tcBorders>
                  <w:hideMark/>
                </w:tcPr>
                <w:p w14:paraId="0A94F617" w14:textId="77777777" w:rsidR="00D11331" w:rsidRDefault="00D11331" w:rsidP="00D11331">
                  <w:pPr>
                    <w:autoSpaceDE w:val="0"/>
                    <w:autoSpaceDN w:val="0"/>
                    <w:adjustRightInd w:val="0"/>
                    <w:rPr>
                      <w:bCs/>
                      <w:lang w:eastAsia="en-US"/>
                    </w:rPr>
                  </w:pPr>
                  <w:r>
                    <w:rPr>
                      <w:lang w:eastAsia="en-US"/>
                    </w:rPr>
                    <w:t>Atbilstības novērtēšana informatīvajai piezīmei noteiktajiem kritērijiem</w:t>
                  </w:r>
                </w:p>
              </w:tc>
              <w:tc>
                <w:tcPr>
                  <w:tcW w:w="851" w:type="dxa"/>
                  <w:tcBorders>
                    <w:top w:val="single" w:sz="4" w:space="0" w:color="auto"/>
                    <w:left w:val="single" w:sz="4" w:space="0" w:color="auto"/>
                    <w:bottom w:val="single" w:sz="4" w:space="0" w:color="auto"/>
                    <w:right w:val="single" w:sz="4" w:space="0" w:color="auto"/>
                  </w:tcBorders>
                  <w:hideMark/>
                </w:tcPr>
                <w:p w14:paraId="0FB183D6" w14:textId="77777777" w:rsidR="00D11331" w:rsidRDefault="00D11331" w:rsidP="00D11331">
                  <w:pPr>
                    <w:autoSpaceDE w:val="0"/>
                    <w:autoSpaceDN w:val="0"/>
                    <w:adjustRightInd w:val="0"/>
                    <w:jc w:val="both"/>
                    <w:rPr>
                      <w:bCs/>
                      <w:lang w:eastAsia="en-US"/>
                    </w:rPr>
                  </w:pPr>
                  <w:r>
                    <w:rPr>
                      <w:bCs/>
                      <w:lang w:eastAsia="en-US"/>
                    </w:rPr>
                    <w:t>1</w:t>
                  </w:r>
                </w:p>
              </w:tc>
              <w:tc>
                <w:tcPr>
                  <w:tcW w:w="1480" w:type="dxa"/>
                  <w:tcBorders>
                    <w:top w:val="single" w:sz="4" w:space="0" w:color="auto"/>
                    <w:left w:val="single" w:sz="4" w:space="0" w:color="auto"/>
                    <w:bottom w:val="single" w:sz="4" w:space="0" w:color="auto"/>
                    <w:right w:val="single" w:sz="4" w:space="0" w:color="auto"/>
                  </w:tcBorders>
                  <w:hideMark/>
                </w:tcPr>
                <w:p w14:paraId="281B540D" w14:textId="77777777" w:rsidR="00D11331" w:rsidRDefault="00D11331" w:rsidP="00D11331">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3B74501D" w14:textId="77777777" w:rsidR="00D11331" w:rsidRDefault="00D11331" w:rsidP="00D11331">
                  <w:pPr>
                    <w:autoSpaceDE w:val="0"/>
                    <w:autoSpaceDN w:val="0"/>
                    <w:adjustRightInd w:val="0"/>
                    <w:jc w:val="both"/>
                    <w:rPr>
                      <w:bCs/>
                      <w:lang w:eastAsia="en-US"/>
                    </w:rPr>
                  </w:pPr>
                  <w:r>
                    <w:rPr>
                      <w:bCs/>
                      <w:lang w:eastAsia="en-US"/>
                    </w:rPr>
                    <w:t>1</w:t>
                  </w:r>
                </w:p>
              </w:tc>
              <w:tc>
                <w:tcPr>
                  <w:tcW w:w="1430" w:type="dxa"/>
                  <w:tcBorders>
                    <w:top w:val="single" w:sz="4" w:space="0" w:color="auto"/>
                    <w:left w:val="single" w:sz="4" w:space="0" w:color="auto"/>
                    <w:bottom w:val="single" w:sz="4" w:space="0" w:color="auto"/>
                    <w:right w:val="single" w:sz="4" w:space="0" w:color="auto"/>
                  </w:tcBorders>
                  <w:hideMark/>
                </w:tcPr>
                <w:p w14:paraId="783236C2" w14:textId="77777777" w:rsidR="00D11331" w:rsidRDefault="00D11331" w:rsidP="00D11331">
                  <w:pPr>
                    <w:autoSpaceDE w:val="0"/>
                    <w:autoSpaceDN w:val="0"/>
                    <w:adjustRightInd w:val="0"/>
                    <w:jc w:val="both"/>
                    <w:rPr>
                      <w:bCs/>
                      <w:lang w:eastAsia="en-US"/>
                    </w:rPr>
                  </w:pPr>
                  <w:r>
                    <w:rPr>
                      <w:bCs/>
                      <w:lang w:eastAsia="en-US"/>
                    </w:rPr>
                    <w:t>40,00</w:t>
                  </w:r>
                </w:p>
              </w:tc>
            </w:tr>
          </w:tbl>
          <w:p w14:paraId="49439157" w14:textId="2EDDD398" w:rsidR="00626D11" w:rsidRPr="00B74E1D" w:rsidRDefault="00626D11" w:rsidP="00256B2C">
            <w:pPr>
              <w:shd w:val="clear" w:color="auto" w:fill="FFFFFF"/>
              <w:ind w:firstLine="394"/>
              <w:jc w:val="both"/>
            </w:pPr>
          </w:p>
        </w:tc>
      </w:tr>
      <w:tr w:rsidR="00730B3B" w:rsidRPr="00B74E1D" w14:paraId="4943915C" w14:textId="77777777" w:rsidTr="00F615B8">
        <w:tc>
          <w:tcPr>
            <w:tcW w:w="281" w:type="pct"/>
            <w:hideMark/>
          </w:tcPr>
          <w:p w14:paraId="49439159" w14:textId="77777777" w:rsidR="00BD5588" w:rsidRPr="00B74E1D" w:rsidRDefault="00656B5C" w:rsidP="00793205">
            <w:pPr>
              <w:widowControl w:val="0"/>
              <w:jc w:val="center"/>
            </w:pPr>
            <w:r w:rsidRPr="00B74E1D">
              <w:lastRenderedPageBreak/>
              <w:t>3.</w:t>
            </w:r>
          </w:p>
        </w:tc>
        <w:tc>
          <w:tcPr>
            <w:tcW w:w="1263" w:type="pct"/>
            <w:hideMark/>
          </w:tcPr>
          <w:p w14:paraId="4943915A" w14:textId="77777777" w:rsidR="00BD5588" w:rsidRPr="00B74E1D" w:rsidRDefault="00656B5C" w:rsidP="00793205">
            <w:pPr>
              <w:widowControl w:val="0"/>
            </w:pPr>
            <w:r w:rsidRPr="00B74E1D">
              <w:t>Projekta izstrādē iesaistītās institūcijas un publiskas personas kapitālsabiedrības</w:t>
            </w:r>
          </w:p>
        </w:tc>
        <w:tc>
          <w:tcPr>
            <w:tcW w:w="3456" w:type="pct"/>
            <w:hideMark/>
          </w:tcPr>
          <w:p w14:paraId="4943915B" w14:textId="3660A84A" w:rsidR="00161647" w:rsidRPr="00B74E1D" w:rsidRDefault="0051332D" w:rsidP="005A2055">
            <w:pPr>
              <w:widowControl w:val="0"/>
            </w:pPr>
            <w:r>
              <w:rPr>
                <w:bCs/>
              </w:rPr>
              <w:t>Ekonomikas ministrija</w:t>
            </w:r>
            <w:r w:rsidR="006054CA">
              <w:rPr>
                <w:bCs/>
              </w:rPr>
              <w:t>,</w:t>
            </w:r>
            <w:r w:rsidR="00687BFB">
              <w:rPr>
                <w:bCs/>
              </w:rPr>
              <w:t xml:space="preserve"> biedrība “Latvijas Arhitektu savienība”</w:t>
            </w:r>
            <w:r w:rsidR="00781BA9">
              <w:rPr>
                <w:bCs/>
              </w:rPr>
              <w:t>.</w:t>
            </w:r>
          </w:p>
        </w:tc>
      </w:tr>
      <w:tr w:rsidR="00730B3B" w:rsidRPr="00B74E1D" w14:paraId="49439160" w14:textId="77777777" w:rsidTr="00F615B8">
        <w:tc>
          <w:tcPr>
            <w:tcW w:w="281" w:type="pct"/>
            <w:hideMark/>
          </w:tcPr>
          <w:p w14:paraId="4943915D" w14:textId="77777777" w:rsidR="00BD5588" w:rsidRPr="00B74E1D" w:rsidRDefault="00656B5C" w:rsidP="00793205">
            <w:pPr>
              <w:widowControl w:val="0"/>
              <w:jc w:val="center"/>
            </w:pPr>
            <w:r w:rsidRPr="00B74E1D">
              <w:t>4.</w:t>
            </w:r>
          </w:p>
        </w:tc>
        <w:tc>
          <w:tcPr>
            <w:tcW w:w="1263" w:type="pct"/>
            <w:hideMark/>
          </w:tcPr>
          <w:p w14:paraId="4943915E" w14:textId="77777777" w:rsidR="00BD5588" w:rsidRPr="00B74E1D" w:rsidRDefault="00656B5C" w:rsidP="00793205">
            <w:pPr>
              <w:widowControl w:val="0"/>
            </w:pPr>
            <w:r w:rsidRPr="00B74E1D">
              <w:t>Cita informācija</w:t>
            </w:r>
          </w:p>
        </w:tc>
        <w:tc>
          <w:tcPr>
            <w:tcW w:w="3456" w:type="pct"/>
            <w:hideMark/>
          </w:tcPr>
          <w:p w14:paraId="4943915F" w14:textId="77777777" w:rsidR="00BD5588" w:rsidRPr="00B74E1D" w:rsidRDefault="0051332D" w:rsidP="007C4D0D">
            <w:pPr>
              <w:widowControl w:val="0"/>
              <w:ind w:firstLine="108"/>
              <w:jc w:val="both"/>
            </w:pPr>
            <w:r>
              <w:t>Nav.</w:t>
            </w:r>
          </w:p>
        </w:tc>
      </w:tr>
    </w:tbl>
    <w:p w14:paraId="49439161" w14:textId="77777777" w:rsidR="004E4DD9" w:rsidRPr="00D60C4A" w:rsidRDefault="004E4DD9" w:rsidP="00D60C4A">
      <w:pPr>
        <w:pStyle w:val="Title"/>
        <w:spacing w:line="260" w:lineRule="exact"/>
        <w:jc w:val="both"/>
        <w:rPr>
          <w:sz w:val="12"/>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730B3B" w:rsidRPr="00B74E1D" w14:paraId="49439163" w14:textId="77777777" w:rsidTr="00F54498">
        <w:tc>
          <w:tcPr>
            <w:tcW w:w="9244" w:type="dxa"/>
            <w:gridSpan w:val="3"/>
            <w:vAlign w:val="center"/>
            <w:hideMark/>
          </w:tcPr>
          <w:p w14:paraId="49439162" w14:textId="77777777" w:rsidR="00BD5588" w:rsidRPr="00B74E1D" w:rsidRDefault="00656B5C" w:rsidP="00E273A1">
            <w:pPr>
              <w:jc w:val="center"/>
              <w:rPr>
                <w:b/>
                <w:bCs/>
              </w:rPr>
            </w:pPr>
            <w:r w:rsidRPr="00B74E1D">
              <w:rPr>
                <w:b/>
                <w:bCs/>
              </w:rPr>
              <w:lastRenderedPageBreak/>
              <w:t>II. Tiesību akta projekta ietekme uz sabiedrību, tautsaimniecības attīstību un administratīvo slogu</w:t>
            </w:r>
          </w:p>
        </w:tc>
      </w:tr>
      <w:tr w:rsidR="00730B3B" w:rsidRPr="00B74E1D" w14:paraId="4943916A" w14:textId="77777777" w:rsidTr="00F54498">
        <w:tc>
          <w:tcPr>
            <w:tcW w:w="516" w:type="dxa"/>
            <w:hideMark/>
          </w:tcPr>
          <w:p w14:paraId="49439164" w14:textId="77777777" w:rsidR="00BD5588" w:rsidRPr="00B74E1D" w:rsidRDefault="00656B5C" w:rsidP="00E273A1">
            <w:pPr>
              <w:jc w:val="center"/>
            </w:pPr>
            <w:r w:rsidRPr="00B74E1D">
              <w:t>1.</w:t>
            </w:r>
          </w:p>
        </w:tc>
        <w:tc>
          <w:tcPr>
            <w:tcW w:w="2454" w:type="dxa"/>
            <w:hideMark/>
          </w:tcPr>
          <w:p w14:paraId="49439165" w14:textId="77777777" w:rsidR="00BD5588" w:rsidRPr="00B74E1D" w:rsidRDefault="00656B5C" w:rsidP="00E30236">
            <w:r w:rsidRPr="00B74E1D">
              <w:t xml:space="preserve">Sabiedrības </w:t>
            </w:r>
            <w:proofErr w:type="spellStart"/>
            <w:r w:rsidRPr="00B74E1D">
              <w:t>mērķgrupas</w:t>
            </w:r>
            <w:proofErr w:type="spellEnd"/>
            <w:r w:rsidRPr="00B74E1D">
              <w:t>, kuras tiesiskais regulējums ietekmē vai varētu ietekmēt</w:t>
            </w:r>
          </w:p>
        </w:tc>
        <w:tc>
          <w:tcPr>
            <w:tcW w:w="6274" w:type="dxa"/>
            <w:hideMark/>
          </w:tcPr>
          <w:p w14:paraId="49439166" w14:textId="77777777" w:rsidR="0051332D" w:rsidRDefault="0051332D" w:rsidP="0051332D">
            <w:pPr>
              <w:pStyle w:val="naiskr"/>
              <w:spacing w:before="0" w:after="0"/>
              <w:ind w:firstLine="394"/>
              <w:jc w:val="both"/>
            </w:pPr>
            <w:r w:rsidRPr="00B84E2D">
              <w:rPr>
                <w:i/>
              </w:rPr>
              <w:t>Noteikumu projekts</w:t>
            </w:r>
            <w:r w:rsidRPr="00B403F5">
              <w:t xml:space="preserve"> ir attiecināms uz šādām mērķa grupām:</w:t>
            </w:r>
          </w:p>
          <w:p w14:paraId="49439167" w14:textId="36B61D4D" w:rsidR="0051332D" w:rsidRPr="00B403F5" w:rsidRDefault="004F7C2B" w:rsidP="0051332D">
            <w:pPr>
              <w:pStyle w:val="naiskr"/>
              <w:numPr>
                <w:ilvl w:val="0"/>
                <w:numId w:val="23"/>
              </w:numPr>
              <w:spacing w:before="0" w:after="0"/>
              <w:jc w:val="both"/>
            </w:pPr>
            <w:r>
              <w:rPr>
                <w:i/>
              </w:rPr>
              <w:t>Biedrību “Latvijas Arhitektu savienība”</w:t>
            </w:r>
            <w:r w:rsidR="0051332D">
              <w:t>;</w:t>
            </w:r>
          </w:p>
          <w:p w14:paraId="49439168" w14:textId="71B9D6BF" w:rsidR="0051332D" w:rsidRPr="00B403F5" w:rsidRDefault="0051332D" w:rsidP="0051332D">
            <w:pPr>
              <w:pStyle w:val="naiskr"/>
              <w:numPr>
                <w:ilvl w:val="0"/>
                <w:numId w:val="23"/>
              </w:numPr>
              <w:spacing w:before="0" w:after="0"/>
              <w:jc w:val="both"/>
            </w:pPr>
            <w:r w:rsidRPr="00B403F5">
              <w:t>personas, kur</w:t>
            </w:r>
            <w:r w:rsidR="009C68B2">
              <w:t>ā</w:t>
            </w:r>
            <w:r>
              <w:t xml:space="preserve">m ir </w:t>
            </w:r>
            <w:r w:rsidR="004F7C2B">
              <w:t>arhitekta</w:t>
            </w:r>
            <w:r>
              <w:t xml:space="preserve"> sertifikāti</w:t>
            </w:r>
            <w:r w:rsidRPr="00B403F5">
              <w:t>;</w:t>
            </w:r>
          </w:p>
          <w:p w14:paraId="49439169" w14:textId="59034BF7" w:rsidR="00FA3B65" w:rsidRPr="00B74E1D" w:rsidRDefault="00FA0975" w:rsidP="0051332D">
            <w:pPr>
              <w:pStyle w:val="naiskr"/>
              <w:spacing w:before="0" w:after="0"/>
              <w:jc w:val="both"/>
            </w:pPr>
            <w:r>
              <w:t>2019.</w:t>
            </w:r>
            <w:r w:rsidR="00E50E6D">
              <w:t xml:space="preserve"> </w:t>
            </w:r>
            <w:r>
              <w:t>gada 17.</w:t>
            </w:r>
            <w:r w:rsidR="00E50E6D">
              <w:t xml:space="preserve"> </w:t>
            </w:r>
            <w:r>
              <w:t>martā</w:t>
            </w:r>
            <w:r w:rsidRPr="00B74E1D">
              <w:t xml:space="preserve"> ir reģistrēt</w:t>
            </w:r>
            <w:r>
              <w:t>i</w:t>
            </w:r>
            <w:r w:rsidRPr="00B74E1D">
              <w:t xml:space="preserve"> </w:t>
            </w:r>
            <w:r>
              <w:t>817 aktīvi arhitektu sertifikāti</w:t>
            </w:r>
            <w:r w:rsidR="00A87D40">
              <w:t>.</w:t>
            </w:r>
            <w:r w:rsidDel="00FA0975">
              <w:t xml:space="preserve"> </w:t>
            </w:r>
          </w:p>
        </w:tc>
      </w:tr>
      <w:tr w:rsidR="00730B3B" w:rsidRPr="00B74E1D" w14:paraId="49439174" w14:textId="77777777" w:rsidTr="00F54498">
        <w:tc>
          <w:tcPr>
            <w:tcW w:w="516" w:type="dxa"/>
            <w:hideMark/>
          </w:tcPr>
          <w:p w14:paraId="4943916B" w14:textId="77777777" w:rsidR="00BD5588" w:rsidRPr="00B74E1D" w:rsidRDefault="00656B5C" w:rsidP="00E273A1">
            <w:pPr>
              <w:jc w:val="center"/>
            </w:pPr>
            <w:r w:rsidRPr="00B74E1D">
              <w:t>2.</w:t>
            </w:r>
          </w:p>
        </w:tc>
        <w:tc>
          <w:tcPr>
            <w:tcW w:w="2454" w:type="dxa"/>
            <w:hideMark/>
          </w:tcPr>
          <w:p w14:paraId="4943916C" w14:textId="77777777" w:rsidR="00BD5588" w:rsidRPr="00B74E1D" w:rsidRDefault="00656B5C" w:rsidP="00E30236">
            <w:r w:rsidRPr="00B74E1D">
              <w:t>Tiesiskā regulējuma ietekme uz tautsaimniecību un administratīvo slogu</w:t>
            </w:r>
          </w:p>
        </w:tc>
        <w:tc>
          <w:tcPr>
            <w:tcW w:w="6274" w:type="dxa"/>
            <w:hideMark/>
          </w:tcPr>
          <w:p w14:paraId="4943916D" w14:textId="3A39CDAB" w:rsidR="00265082" w:rsidRPr="00DD53AB" w:rsidRDefault="00265082" w:rsidP="00265082">
            <w:pPr>
              <w:ind w:firstLine="403"/>
              <w:jc w:val="both"/>
            </w:pPr>
            <w:r w:rsidRPr="0073105C">
              <w:rPr>
                <w:i/>
              </w:rPr>
              <w:t>Noteikumu projekta</w:t>
            </w:r>
            <w:r w:rsidRPr="00DD53AB">
              <w:t xml:space="preserve"> tiesiskā regulējuma finansiālā ietekme attieksies uz personām, kurām jau ir iegūts</w:t>
            </w:r>
            <w:r w:rsidR="00DD53AB" w:rsidRPr="00DD53AB">
              <w:t xml:space="preserve"> </w:t>
            </w:r>
            <w:r w:rsidR="00026A3E">
              <w:t>arhitekta</w:t>
            </w:r>
            <w:r w:rsidRPr="00DD53AB">
              <w:t xml:space="preserve"> sertifikāts.</w:t>
            </w:r>
          </w:p>
          <w:p w14:paraId="4943916E" w14:textId="3442A0D6" w:rsidR="00265082" w:rsidRPr="00DD53AB" w:rsidRDefault="00265082" w:rsidP="00265082">
            <w:pPr>
              <w:ind w:firstLine="403"/>
              <w:jc w:val="both"/>
            </w:pPr>
            <w:r w:rsidRPr="00DD53AB">
              <w:t xml:space="preserve">Ik gadu plānotais </w:t>
            </w:r>
            <w:r w:rsidR="00026A3E">
              <w:t>arhitektu</w:t>
            </w:r>
            <w:r w:rsidR="00DD53AB" w:rsidRPr="00DD53AB">
              <w:t xml:space="preserve"> </w:t>
            </w:r>
            <w:r w:rsidRPr="00DD53AB">
              <w:t xml:space="preserve">skaits, kam jāveic uzraudzība – </w:t>
            </w:r>
            <w:r w:rsidR="00026A3E">
              <w:t>830</w:t>
            </w:r>
            <w:r w:rsidR="00941AA5">
              <w:t xml:space="preserve"> </w:t>
            </w:r>
            <w:r w:rsidR="00026A3E">
              <w:t>arhitekti</w:t>
            </w:r>
            <w:r w:rsidR="002D20F1">
              <w:t>.</w:t>
            </w:r>
          </w:p>
          <w:p w14:paraId="4943916F" w14:textId="77777777" w:rsidR="00265082" w:rsidRPr="00520FF8" w:rsidRDefault="00265082" w:rsidP="00265082">
            <w:pPr>
              <w:ind w:firstLine="108"/>
              <w:jc w:val="both"/>
              <w:rPr>
                <w:sz w:val="12"/>
              </w:rPr>
            </w:pPr>
          </w:p>
          <w:p w14:paraId="49439170" w14:textId="77777777" w:rsidR="00265082" w:rsidRPr="00DD53AB" w:rsidRDefault="00265082" w:rsidP="00DD53AB">
            <w:pPr>
              <w:jc w:val="both"/>
            </w:pPr>
            <w:r w:rsidRPr="00DD53AB">
              <w:t>Publiskā pakalpojuma aprēķins:</w:t>
            </w:r>
          </w:p>
          <w:p w14:paraId="49439171" w14:textId="435BBA48" w:rsidR="00DD53AB" w:rsidRDefault="00DD53AB" w:rsidP="00026A3E">
            <w:pPr>
              <w:pStyle w:val="ListParagraph"/>
              <w:numPr>
                <w:ilvl w:val="0"/>
                <w:numId w:val="29"/>
              </w:numPr>
              <w:jc w:val="both"/>
            </w:pPr>
            <w:r w:rsidRPr="00DD53AB">
              <w:t xml:space="preserve">“uzraudzības maksa” </w:t>
            </w:r>
            <w:r w:rsidR="00026A3E">
              <w:t>arhite</w:t>
            </w:r>
            <w:r w:rsidR="005D04BE">
              <w:t>k</w:t>
            </w:r>
            <w:r w:rsidR="00026A3E">
              <w:t xml:space="preserve">tiem ar standarta sertifikāta uzturēšanas prasībām </w:t>
            </w:r>
            <w:r w:rsidRPr="00DD53AB">
              <w:t xml:space="preserve">– </w:t>
            </w:r>
            <w:r w:rsidR="00687BFB">
              <w:t>21</w:t>
            </w:r>
            <w:r w:rsidR="0045462A">
              <w:t>4</w:t>
            </w:r>
            <w:r w:rsidR="00687BFB">
              <w:t>,00</w:t>
            </w:r>
            <w:r w:rsidRPr="00DD53AB">
              <w:t xml:space="preserve"> </w:t>
            </w:r>
            <w:r w:rsidRPr="00026A3E">
              <w:rPr>
                <w:i/>
              </w:rPr>
              <w:t>euro</w:t>
            </w:r>
            <w:r w:rsidR="00026A3E" w:rsidRPr="00026A3E">
              <w:rPr>
                <w:i/>
              </w:rPr>
              <w:t xml:space="preserve"> </w:t>
            </w:r>
            <w:r w:rsidR="00026A3E" w:rsidRPr="00026A3E">
              <w:t>gadā</w:t>
            </w:r>
            <w:r w:rsidRPr="00DD53AB">
              <w:t>;</w:t>
            </w:r>
          </w:p>
          <w:p w14:paraId="58487B05" w14:textId="69227BB4" w:rsidR="00026A3E" w:rsidRDefault="00026A3E" w:rsidP="005D04BE">
            <w:pPr>
              <w:pStyle w:val="ListParagraph"/>
              <w:numPr>
                <w:ilvl w:val="0"/>
                <w:numId w:val="29"/>
              </w:numPr>
              <w:jc w:val="both"/>
            </w:pPr>
            <w:r>
              <w:t xml:space="preserve">“uzraudzības maksa” arhitektiem </w:t>
            </w:r>
            <w:r w:rsidR="005D04BE">
              <w:t>ar atvieglotām sertifikāta uzturēšanas prasībām – 100</w:t>
            </w:r>
            <w:r w:rsidR="00687BFB">
              <w:t>,00</w:t>
            </w:r>
            <w:r w:rsidR="005D04BE">
              <w:t xml:space="preserve"> </w:t>
            </w:r>
            <w:r w:rsidR="005D04BE" w:rsidRPr="005D04BE">
              <w:rPr>
                <w:i/>
              </w:rPr>
              <w:t>euro</w:t>
            </w:r>
            <w:r w:rsidR="005D04BE">
              <w:t xml:space="preserve"> gadā;</w:t>
            </w:r>
          </w:p>
          <w:p w14:paraId="49439172" w14:textId="636193E3" w:rsidR="00265082" w:rsidRDefault="00092BEE" w:rsidP="005D04BE">
            <w:pPr>
              <w:pStyle w:val="ListParagraph"/>
              <w:numPr>
                <w:ilvl w:val="0"/>
                <w:numId w:val="29"/>
              </w:numPr>
              <w:jc w:val="both"/>
            </w:pPr>
            <w:r>
              <w:t>“</w:t>
            </w:r>
            <w:r w:rsidR="005C4A7D" w:rsidRPr="005C4A7D">
              <w:t>kompetenču, prasmju un zināšanu līmeņa novērtēšana</w:t>
            </w:r>
            <w:r w:rsidR="005D04BE">
              <w:t>s 1. daļa</w:t>
            </w:r>
            <w:r>
              <w:t>” par vienu eksāmenu viena</w:t>
            </w:r>
            <w:r w:rsidR="00E50E6D">
              <w:t>i</w:t>
            </w:r>
            <w:r>
              <w:t xml:space="preserve"> </w:t>
            </w:r>
            <w:r w:rsidR="00E50E6D">
              <w:t xml:space="preserve">personai </w:t>
            </w:r>
            <w:r>
              <w:t xml:space="preserve">– </w:t>
            </w:r>
            <w:r w:rsidR="005D04BE">
              <w:t>96</w:t>
            </w:r>
            <w:r>
              <w:t>0</w:t>
            </w:r>
            <w:r w:rsidR="00687BFB">
              <w:t>,00</w:t>
            </w:r>
            <w:r>
              <w:t xml:space="preserve"> </w:t>
            </w:r>
            <w:r w:rsidRPr="005D04BE">
              <w:rPr>
                <w:i/>
              </w:rPr>
              <w:t>euro</w:t>
            </w:r>
            <w:r w:rsidR="005D04BE">
              <w:t>;</w:t>
            </w:r>
          </w:p>
          <w:p w14:paraId="0213D396" w14:textId="306439EB" w:rsidR="005D04BE" w:rsidRDefault="005D04BE" w:rsidP="005D04BE">
            <w:pPr>
              <w:pStyle w:val="ListParagraph"/>
              <w:numPr>
                <w:ilvl w:val="0"/>
                <w:numId w:val="29"/>
              </w:numPr>
              <w:jc w:val="both"/>
              <w:rPr>
                <w:i/>
              </w:rPr>
            </w:pPr>
            <w:r>
              <w:t>“</w:t>
            </w:r>
            <w:r w:rsidRPr="005C4A7D">
              <w:t>kompetenču, prasmju un zināšanu līmeņa novērtēšana</w:t>
            </w:r>
            <w:r>
              <w:t>s 2. daļa” par vienu eksāmenu viena</w:t>
            </w:r>
            <w:r w:rsidR="00E50E6D">
              <w:t>i</w:t>
            </w:r>
            <w:r>
              <w:t xml:space="preserve"> </w:t>
            </w:r>
            <w:r w:rsidR="00E50E6D">
              <w:t xml:space="preserve">personai </w:t>
            </w:r>
            <w:r>
              <w:t>– 1600</w:t>
            </w:r>
            <w:r w:rsidR="00687BFB">
              <w:t>,00</w:t>
            </w:r>
            <w:r>
              <w:t xml:space="preserve"> </w:t>
            </w:r>
            <w:r w:rsidRPr="005D04BE">
              <w:rPr>
                <w:i/>
              </w:rPr>
              <w:t>euro;</w:t>
            </w:r>
          </w:p>
          <w:p w14:paraId="461D97CD" w14:textId="22B14D76" w:rsidR="005D04BE" w:rsidRDefault="005D04BE" w:rsidP="005D04BE">
            <w:pPr>
              <w:pStyle w:val="ListParagraph"/>
              <w:numPr>
                <w:ilvl w:val="0"/>
                <w:numId w:val="29"/>
              </w:numPr>
              <w:jc w:val="both"/>
              <w:rPr>
                <w:i/>
              </w:rPr>
            </w:pPr>
            <w:r>
              <w:t>“profesionālās pilnveides pārbaudes 1. daļa” par vienu eksāmenu viena</w:t>
            </w:r>
            <w:r w:rsidR="00813717">
              <w:t>i</w:t>
            </w:r>
            <w:r>
              <w:t xml:space="preserve"> </w:t>
            </w:r>
            <w:r w:rsidR="00813717">
              <w:t>personai</w:t>
            </w:r>
            <w:r>
              <w:t xml:space="preserve">– </w:t>
            </w:r>
            <w:r w:rsidR="00687BFB">
              <w:t>24</w:t>
            </w:r>
            <w:r>
              <w:t>0</w:t>
            </w:r>
            <w:r w:rsidR="00687BFB">
              <w:t>,00</w:t>
            </w:r>
            <w:r>
              <w:t xml:space="preserve"> </w:t>
            </w:r>
            <w:r w:rsidRPr="00941AA5">
              <w:rPr>
                <w:i/>
              </w:rPr>
              <w:t>euro</w:t>
            </w:r>
            <w:r>
              <w:rPr>
                <w:i/>
              </w:rPr>
              <w:t>;</w:t>
            </w:r>
          </w:p>
          <w:p w14:paraId="1D409129" w14:textId="127B1A11" w:rsidR="005D04BE" w:rsidRPr="005D04BE" w:rsidRDefault="005D04BE" w:rsidP="005D04BE">
            <w:pPr>
              <w:pStyle w:val="ListParagraph"/>
              <w:numPr>
                <w:ilvl w:val="0"/>
                <w:numId w:val="29"/>
              </w:numPr>
              <w:jc w:val="both"/>
              <w:rPr>
                <w:i/>
              </w:rPr>
            </w:pPr>
            <w:r>
              <w:t>“profesionālās pilnveides pārbaudes 2. daļa” par vienu eksāmenu viena</w:t>
            </w:r>
            <w:r w:rsidR="00813717">
              <w:t>i</w:t>
            </w:r>
            <w:r>
              <w:t xml:space="preserve"> </w:t>
            </w:r>
            <w:r w:rsidR="00813717">
              <w:t>personai</w:t>
            </w:r>
            <w:r>
              <w:t xml:space="preserve"> – </w:t>
            </w:r>
            <w:r w:rsidR="00687BFB">
              <w:t>12</w:t>
            </w:r>
            <w:r>
              <w:t>0</w:t>
            </w:r>
            <w:r w:rsidR="00687BFB">
              <w:t>,00</w:t>
            </w:r>
            <w:r>
              <w:t xml:space="preserve"> </w:t>
            </w:r>
            <w:r w:rsidRPr="00941AA5">
              <w:rPr>
                <w:i/>
              </w:rPr>
              <w:t>euro</w:t>
            </w:r>
            <w:r>
              <w:rPr>
                <w:i/>
              </w:rPr>
              <w:t>;</w:t>
            </w:r>
          </w:p>
          <w:p w14:paraId="7094F324" w14:textId="01A8F9E4" w:rsidR="005D04BE" w:rsidRPr="005D04BE" w:rsidRDefault="005D04BE" w:rsidP="005D04BE">
            <w:pPr>
              <w:pStyle w:val="ListParagraph"/>
              <w:numPr>
                <w:ilvl w:val="0"/>
                <w:numId w:val="29"/>
              </w:numPr>
              <w:jc w:val="both"/>
              <w:rPr>
                <w:i/>
              </w:rPr>
            </w:pPr>
            <w:r>
              <w:t>“atkārtota patstāvīgās prakses un profesionālās pilnveides pārbaude” par vienu pārbaudi viena</w:t>
            </w:r>
            <w:r w:rsidR="00813717">
              <w:t>i</w:t>
            </w:r>
            <w:r>
              <w:t xml:space="preserve"> </w:t>
            </w:r>
            <w:r w:rsidR="00813717">
              <w:t>personai</w:t>
            </w:r>
            <w:r>
              <w:t xml:space="preserve"> 40</w:t>
            </w:r>
            <w:r w:rsidR="00687BFB">
              <w:t>,00</w:t>
            </w:r>
            <w:r>
              <w:t xml:space="preserve"> euro;</w:t>
            </w:r>
          </w:p>
          <w:p w14:paraId="3537D737" w14:textId="4E8E97A4" w:rsidR="005D04BE" w:rsidRPr="005D04BE" w:rsidRDefault="005D04BE" w:rsidP="005D04BE">
            <w:pPr>
              <w:pStyle w:val="ListParagraph"/>
              <w:numPr>
                <w:ilvl w:val="0"/>
                <w:numId w:val="29"/>
              </w:numPr>
              <w:jc w:val="both"/>
              <w:rPr>
                <w:i/>
              </w:rPr>
            </w:pPr>
            <w:r>
              <w:t>“ārpuskārtas atbilstības novērtēšana informatīvajai piezīmei” par vienu pārbaudi viena</w:t>
            </w:r>
            <w:r w:rsidR="00813717">
              <w:t>i</w:t>
            </w:r>
            <w:r>
              <w:t xml:space="preserve"> </w:t>
            </w:r>
            <w:r w:rsidR="00813717">
              <w:t>personai</w:t>
            </w:r>
            <w:r>
              <w:t xml:space="preserve"> 40</w:t>
            </w:r>
            <w:r w:rsidR="00687BFB">
              <w:t>,00</w:t>
            </w:r>
            <w:r>
              <w:t xml:space="preserve"> </w:t>
            </w:r>
            <w:r w:rsidRPr="005D04BE">
              <w:rPr>
                <w:i/>
              </w:rPr>
              <w:t>euro</w:t>
            </w:r>
            <w:r>
              <w:t>.</w:t>
            </w:r>
          </w:p>
          <w:p w14:paraId="20E903FC" w14:textId="77777777" w:rsidR="005D04BE" w:rsidRPr="00520FF8" w:rsidRDefault="005D04BE" w:rsidP="005D04BE">
            <w:pPr>
              <w:jc w:val="both"/>
              <w:rPr>
                <w:sz w:val="12"/>
              </w:rPr>
            </w:pPr>
          </w:p>
          <w:p w14:paraId="49439173" w14:textId="4D802DCF" w:rsidR="00161647" w:rsidRPr="00B74E1D" w:rsidRDefault="00265082" w:rsidP="00DD53AB">
            <w:pPr>
              <w:jc w:val="both"/>
            </w:pPr>
            <w:r w:rsidRPr="00DD53AB">
              <w:t>Maksas pakalpojumu izcenojumu aprēķiniem tika izmantota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metodika.</w:t>
            </w:r>
          </w:p>
        </w:tc>
      </w:tr>
      <w:tr w:rsidR="00730B3B" w:rsidRPr="00B74E1D" w14:paraId="49439178" w14:textId="77777777" w:rsidTr="00F54498">
        <w:tc>
          <w:tcPr>
            <w:tcW w:w="516" w:type="dxa"/>
            <w:hideMark/>
          </w:tcPr>
          <w:p w14:paraId="49439175" w14:textId="77777777" w:rsidR="00BD5588" w:rsidRPr="00B74E1D" w:rsidRDefault="00656B5C" w:rsidP="00E273A1">
            <w:pPr>
              <w:jc w:val="center"/>
            </w:pPr>
            <w:r w:rsidRPr="00B74E1D">
              <w:t>3.</w:t>
            </w:r>
          </w:p>
        </w:tc>
        <w:tc>
          <w:tcPr>
            <w:tcW w:w="2454" w:type="dxa"/>
            <w:hideMark/>
          </w:tcPr>
          <w:p w14:paraId="49439176" w14:textId="77777777" w:rsidR="00BD5588" w:rsidRPr="00B74E1D" w:rsidRDefault="00656B5C" w:rsidP="00E30236">
            <w:r w:rsidRPr="00B74E1D">
              <w:t>Administratīvo izmaksu monetārs novērtējums</w:t>
            </w:r>
          </w:p>
        </w:tc>
        <w:tc>
          <w:tcPr>
            <w:tcW w:w="6274" w:type="dxa"/>
            <w:hideMark/>
          </w:tcPr>
          <w:p w14:paraId="49439177" w14:textId="43482214" w:rsidR="00BD5588" w:rsidRPr="00B74E1D" w:rsidRDefault="00F25DBB" w:rsidP="00EA3D31">
            <w:pPr>
              <w:ind w:firstLine="108"/>
            </w:pPr>
            <w:r w:rsidRPr="00B74E1D">
              <w:t>Projekts šo jomu neskar</w:t>
            </w:r>
          </w:p>
        </w:tc>
      </w:tr>
      <w:tr w:rsidR="00730B3B" w:rsidRPr="00B74E1D" w14:paraId="4943917C" w14:textId="77777777" w:rsidTr="00F54498">
        <w:tc>
          <w:tcPr>
            <w:tcW w:w="516" w:type="dxa"/>
            <w:hideMark/>
          </w:tcPr>
          <w:p w14:paraId="49439179" w14:textId="77777777" w:rsidR="00BD5588" w:rsidRPr="00B74E1D" w:rsidRDefault="00656B5C" w:rsidP="00E273A1">
            <w:pPr>
              <w:jc w:val="center"/>
            </w:pPr>
            <w:r w:rsidRPr="00B74E1D">
              <w:t>4.</w:t>
            </w:r>
          </w:p>
        </w:tc>
        <w:tc>
          <w:tcPr>
            <w:tcW w:w="2454" w:type="dxa"/>
            <w:hideMark/>
          </w:tcPr>
          <w:p w14:paraId="4943917A" w14:textId="77777777" w:rsidR="00BD5588" w:rsidRPr="00B74E1D" w:rsidRDefault="00656B5C" w:rsidP="00E273A1">
            <w:r w:rsidRPr="00B74E1D">
              <w:t>Atbilstības izmaksu monetārs novērtējums</w:t>
            </w:r>
          </w:p>
        </w:tc>
        <w:tc>
          <w:tcPr>
            <w:tcW w:w="6274" w:type="dxa"/>
            <w:hideMark/>
          </w:tcPr>
          <w:p w14:paraId="4943917B" w14:textId="77777777" w:rsidR="00BD5588" w:rsidRPr="00B74E1D" w:rsidRDefault="00656B5C" w:rsidP="00EA3D31">
            <w:pPr>
              <w:ind w:firstLine="108"/>
            </w:pPr>
            <w:r w:rsidRPr="00B74E1D">
              <w:t>Projekts šo jomu neskar</w:t>
            </w:r>
          </w:p>
        </w:tc>
      </w:tr>
      <w:tr w:rsidR="004E638D" w:rsidRPr="00B74E1D" w14:paraId="49439180" w14:textId="77777777" w:rsidTr="00F54498">
        <w:tc>
          <w:tcPr>
            <w:tcW w:w="516" w:type="dxa"/>
            <w:hideMark/>
          </w:tcPr>
          <w:p w14:paraId="4943917D" w14:textId="77777777" w:rsidR="00BD5588" w:rsidRPr="00B74E1D" w:rsidRDefault="00656B5C" w:rsidP="00E273A1">
            <w:pPr>
              <w:jc w:val="center"/>
              <w:rPr>
                <w:highlight w:val="yellow"/>
              </w:rPr>
            </w:pPr>
            <w:r w:rsidRPr="00B74E1D">
              <w:t>5.</w:t>
            </w:r>
          </w:p>
        </w:tc>
        <w:tc>
          <w:tcPr>
            <w:tcW w:w="2454" w:type="dxa"/>
            <w:hideMark/>
          </w:tcPr>
          <w:p w14:paraId="4943917E" w14:textId="77777777" w:rsidR="00BD5588" w:rsidRPr="00B74E1D" w:rsidRDefault="00656B5C" w:rsidP="00E273A1">
            <w:r w:rsidRPr="00B74E1D">
              <w:t>Cita informācija</w:t>
            </w:r>
          </w:p>
        </w:tc>
        <w:tc>
          <w:tcPr>
            <w:tcW w:w="6274" w:type="dxa"/>
            <w:hideMark/>
          </w:tcPr>
          <w:p w14:paraId="4943917F" w14:textId="77777777" w:rsidR="00161647" w:rsidRPr="00B74E1D" w:rsidRDefault="00656B5C" w:rsidP="00265082">
            <w:pPr>
              <w:ind w:firstLine="108"/>
            </w:pPr>
            <w:r w:rsidRPr="00B74E1D">
              <w:t>Nav</w:t>
            </w:r>
          </w:p>
        </w:tc>
      </w:tr>
    </w:tbl>
    <w:p w14:paraId="49439181" w14:textId="77777777" w:rsidR="004E4DD9" w:rsidRPr="00D60C4A" w:rsidRDefault="004E4DD9" w:rsidP="00E273A1">
      <w:pPr>
        <w:rPr>
          <w:sz w:val="12"/>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730B3B" w:rsidRPr="00B74E1D" w14:paraId="49439183"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B74E1D" w:rsidRDefault="00656B5C" w:rsidP="00113C64">
            <w:pPr>
              <w:ind w:right="-34"/>
              <w:jc w:val="center"/>
              <w:rPr>
                <w:b/>
              </w:rPr>
            </w:pPr>
            <w:r w:rsidRPr="00B74E1D">
              <w:rPr>
                <w:b/>
              </w:rPr>
              <w:t>III. Tiesību akta projekta ietekme uz valsts budžetu un pašvaldību budžetiem</w:t>
            </w:r>
          </w:p>
        </w:tc>
      </w:tr>
      <w:tr w:rsidR="00730B3B" w:rsidRPr="00B74E1D" w14:paraId="49439185"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B74E1D" w:rsidRDefault="00171C87" w:rsidP="00113C64">
            <w:pPr>
              <w:ind w:right="-34"/>
              <w:jc w:val="center"/>
            </w:pPr>
            <w:r w:rsidRPr="00B74E1D">
              <w:t>Projekts šo jomu neskar</w:t>
            </w:r>
          </w:p>
        </w:tc>
      </w:tr>
    </w:tbl>
    <w:p w14:paraId="49439186" w14:textId="65E6F790" w:rsidR="004E4DD9" w:rsidRDefault="004E4DD9" w:rsidP="00D60C4A">
      <w:pPr>
        <w:pStyle w:val="Title"/>
        <w:spacing w:line="260" w:lineRule="exact"/>
        <w:jc w:val="both"/>
        <w:rPr>
          <w:sz w:val="12"/>
          <w:szCs w:val="24"/>
          <w:highlight w:val="yellow"/>
        </w:rPr>
      </w:pPr>
    </w:p>
    <w:p w14:paraId="68B43B6F" w14:textId="6558EF48" w:rsidR="00C369B1" w:rsidRDefault="00C369B1" w:rsidP="00D60C4A">
      <w:pPr>
        <w:pStyle w:val="Title"/>
        <w:spacing w:line="260" w:lineRule="exact"/>
        <w:jc w:val="both"/>
        <w:rPr>
          <w:sz w:val="12"/>
          <w:szCs w:val="24"/>
          <w:highlight w:val="yellow"/>
        </w:rPr>
      </w:pPr>
    </w:p>
    <w:p w14:paraId="1FE094D2" w14:textId="77777777" w:rsidR="00C369B1" w:rsidRDefault="00C369B1" w:rsidP="00D60C4A">
      <w:pPr>
        <w:pStyle w:val="Title"/>
        <w:spacing w:line="260" w:lineRule="exact"/>
        <w:jc w:val="both"/>
        <w:rPr>
          <w:sz w:val="12"/>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1"/>
        <w:gridCol w:w="2543"/>
        <w:gridCol w:w="6379"/>
      </w:tblGrid>
      <w:tr w:rsidR="00C369B1" w:rsidRPr="00B74E1D" w14:paraId="484DE9EC" w14:textId="77777777" w:rsidTr="00D15BA2">
        <w:trPr>
          <w:cantSplit/>
        </w:trPr>
        <w:tc>
          <w:tcPr>
            <w:tcW w:w="9353" w:type="dxa"/>
            <w:gridSpan w:val="3"/>
            <w:vAlign w:val="center"/>
            <w:hideMark/>
          </w:tcPr>
          <w:p w14:paraId="741AEEF4" w14:textId="77777777" w:rsidR="00C369B1" w:rsidRPr="00B74E1D" w:rsidRDefault="00C369B1" w:rsidP="00D15BA2">
            <w:pPr>
              <w:jc w:val="center"/>
              <w:rPr>
                <w:b/>
                <w:bCs/>
              </w:rPr>
            </w:pPr>
            <w:r w:rsidRPr="00B74E1D">
              <w:rPr>
                <w:b/>
                <w:bCs/>
              </w:rPr>
              <w:lastRenderedPageBreak/>
              <w:t>IV. Tiesību akta projekta ietekme uz spēkā esošo tiesību normu sistēmu</w:t>
            </w:r>
          </w:p>
        </w:tc>
      </w:tr>
      <w:tr w:rsidR="00C369B1" w14:paraId="121BDE8B" w14:textId="77777777" w:rsidTr="00D15BA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7013D022" w14:textId="77777777" w:rsidR="00C369B1" w:rsidRPr="00F843A3" w:rsidRDefault="00C369B1" w:rsidP="00D15BA2">
            <w:pPr>
              <w:rPr>
                <w:lang w:eastAsia="ru-RU"/>
              </w:rPr>
            </w:pPr>
            <w:r w:rsidRPr="00F843A3">
              <w:rPr>
                <w:lang w:eastAsia="ru-RU"/>
              </w:rPr>
              <w:t>1.</w:t>
            </w:r>
          </w:p>
        </w:tc>
        <w:tc>
          <w:tcPr>
            <w:tcW w:w="2543" w:type="dxa"/>
            <w:tcBorders>
              <w:top w:val="outset" w:sz="6" w:space="0" w:color="414142"/>
              <w:left w:val="outset" w:sz="6" w:space="0" w:color="414142"/>
              <w:bottom w:val="outset" w:sz="6" w:space="0" w:color="414142"/>
              <w:right w:val="outset" w:sz="6" w:space="0" w:color="414142"/>
            </w:tcBorders>
            <w:hideMark/>
          </w:tcPr>
          <w:p w14:paraId="43249A8B" w14:textId="77777777" w:rsidR="00C369B1" w:rsidRPr="00F843A3" w:rsidRDefault="00C369B1" w:rsidP="00D15BA2">
            <w:pPr>
              <w:rPr>
                <w:lang w:eastAsia="ru-RU"/>
              </w:rPr>
            </w:pPr>
            <w:r w:rsidRPr="00F843A3">
              <w:rPr>
                <w:lang w:eastAsia="ru-RU"/>
              </w:rPr>
              <w:t>Saistītie tiesību aktu projekti</w:t>
            </w:r>
          </w:p>
        </w:tc>
        <w:tc>
          <w:tcPr>
            <w:tcW w:w="6379" w:type="dxa"/>
            <w:tcBorders>
              <w:top w:val="outset" w:sz="6" w:space="0" w:color="414142"/>
              <w:left w:val="outset" w:sz="6" w:space="0" w:color="414142"/>
              <w:bottom w:val="outset" w:sz="6" w:space="0" w:color="414142"/>
              <w:right w:val="outset" w:sz="6" w:space="0" w:color="414142"/>
            </w:tcBorders>
            <w:hideMark/>
          </w:tcPr>
          <w:p w14:paraId="5A588CBC" w14:textId="05D56095" w:rsidR="00C369B1" w:rsidRPr="00C369B1" w:rsidRDefault="00C369B1" w:rsidP="00C369B1">
            <w:pPr>
              <w:shd w:val="clear" w:color="auto" w:fill="FFFFFF"/>
              <w:jc w:val="both"/>
              <w:rPr>
                <w:sz w:val="28"/>
                <w:szCs w:val="28"/>
                <w:lang w:eastAsia="ru-RU"/>
              </w:rPr>
            </w:pPr>
            <w:r>
              <w:t xml:space="preserve">Ņemot vērā, ka noteikumu projektā tiek noteikta jauna maksa biedrības “Latvijas Arhitektu savienība” sertificēšanas maksas pakalpojumiem, līdz ar noteikumu projekta spēkā stāšanās brīdi par spēku zaudējušiem ir jāatzīst Ministru kabineta 2015. gada 7. aprīļa noteikumi Nr. 177 </w:t>
            </w:r>
            <w:r w:rsidRPr="00C369B1">
              <w:rPr>
                <w:i/>
              </w:rPr>
              <w:t>“Biedrības "Latvijas Arhitektu savienība" valsts pārvaldes uzdevuma ietvaros sniegto maksas pakalpojumu cenrādis”</w:t>
            </w:r>
            <w:r>
              <w:t>.</w:t>
            </w:r>
          </w:p>
        </w:tc>
      </w:tr>
      <w:tr w:rsidR="00C369B1" w14:paraId="00CBA090" w14:textId="77777777" w:rsidTr="00D15BA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52353098" w14:textId="77777777" w:rsidR="00C369B1" w:rsidRPr="00F843A3" w:rsidRDefault="00C369B1" w:rsidP="00D15BA2">
            <w:pPr>
              <w:rPr>
                <w:szCs w:val="28"/>
                <w:lang w:eastAsia="ru-RU"/>
              </w:rPr>
            </w:pPr>
            <w:r w:rsidRPr="00F843A3">
              <w:rPr>
                <w:szCs w:val="28"/>
                <w:lang w:eastAsia="ru-RU"/>
              </w:rPr>
              <w:t>2.</w:t>
            </w:r>
          </w:p>
        </w:tc>
        <w:tc>
          <w:tcPr>
            <w:tcW w:w="2543" w:type="dxa"/>
            <w:tcBorders>
              <w:top w:val="outset" w:sz="6" w:space="0" w:color="414142"/>
              <w:left w:val="outset" w:sz="6" w:space="0" w:color="414142"/>
              <w:bottom w:val="outset" w:sz="6" w:space="0" w:color="414142"/>
              <w:right w:val="outset" w:sz="6" w:space="0" w:color="414142"/>
            </w:tcBorders>
            <w:hideMark/>
          </w:tcPr>
          <w:p w14:paraId="5D96169A" w14:textId="77777777" w:rsidR="00C369B1" w:rsidRPr="00F843A3" w:rsidRDefault="00C369B1" w:rsidP="00D15BA2">
            <w:pPr>
              <w:rPr>
                <w:szCs w:val="28"/>
                <w:lang w:eastAsia="ru-RU"/>
              </w:rPr>
            </w:pPr>
            <w:r w:rsidRPr="00F843A3">
              <w:rPr>
                <w:szCs w:val="28"/>
                <w:lang w:eastAsia="ru-RU"/>
              </w:rPr>
              <w:t>Atbildīgā institūcija</w:t>
            </w:r>
          </w:p>
        </w:tc>
        <w:tc>
          <w:tcPr>
            <w:tcW w:w="6379" w:type="dxa"/>
            <w:tcBorders>
              <w:top w:val="outset" w:sz="6" w:space="0" w:color="414142"/>
              <w:left w:val="outset" w:sz="6" w:space="0" w:color="414142"/>
              <w:bottom w:val="outset" w:sz="6" w:space="0" w:color="414142"/>
              <w:right w:val="outset" w:sz="6" w:space="0" w:color="414142"/>
            </w:tcBorders>
            <w:hideMark/>
          </w:tcPr>
          <w:p w14:paraId="61EDF48D" w14:textId="77777777" w:rsidR="00C369B1" w:rsidRPr="00F843A3" w:rsidRDefault="00C369B1" w:rsidP="00D15BA2">
            <w:pPr>
              <w:rPr>
                <w:szCs w:val="28"/>
                <w:lang w:eastAsia="ru-RU"/>
              </w:rPr>
            </w:pPr>
            <w:r w:rsidRPr="00F843A3">
              <w:rPr>
                <w:szCs w:val="28"/>
                <w:lang w:eastAsia="ru-RU"/>
              </w:rPr>
              <w:t>Ekonomikas ministrija</w:t>
            </w:r>
          </w:p>
        </w:tc>
      </w:tr>
      <w:tr w:rsidR="00C369B1" w14:paraId="23DAAA41" w14:textId="77777777" w:rsidTr="00D15BA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1EDB77E6" w14:textId="77777777" w:rsidR="00C369B1" w:rsidRPr="00F843A3" w:rsidRDefault="00C369B1" w:rsidP="00D15BA2">
            <w:pPr>
              <w:rPr>
                <w:szCs w:val="28"/>
                <w:lang w:eastAsia="ru-RU"/>
              </w:rPr>
            </w:pPr>
            <w:r w:rsidRPr="00F843A3">
              <w:rPr>
                <w:szCs w:val="28"/>
                <w:lang w:eastAsia="ru-RU"/>
              </w:rPr>
              <w:t>3.</w:t>
            </w:r>
          </w:p>
        </w:tc>
        <w:tc>
          <w:tcPr>
            <w:tcW w:w="2543" w:type="dxa"/>
            <w:tcBorders>
              <w:top w:val="outset" w:sz="6" w:space="0" w:color="414142"/>
              <w:left w:val="outset" w:sz="6" w:space="0" w:color="414142"/>
              <w:bottom w:val="outset" w:sz="6" w:space="0" w:color="414142"/>
              <w:right w:val="outset" w:sz="6" w:space="0" w:color="414142"/>
            </w:tcBorders>
            <w:hideMark/>
          </w:tcPr>
          <w:p w14:paraId="64938640" w14:textId="77777777" w:rsidR="00C369B1" w:rsidRPr="00F843A3" w:rsidRDefault="00C369B1" w:rsidP="00D15BA2">
            <w:pPr>
              <w:rPr>
                <w:szCs w:val="28"/>
                <w:lang w:eastAsia="ru-RU"/>
              </w:rPr>
            </w:pPr>
            <w:r w:rsidRPr="00F843A3">
              <w:rPr>
                <w:szCs w:val="28"/>
                <w:lang w:eastAsia="ru-RU"/>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0A922679" w14:textId="77777777" w:rsidR="00C369B1" w:rsidRPr="00F843A3" w:rsidRDefault="00C369B1" w:rsidP="00D15BA2">
            <w:pPr>
              <w:spacing w:before="100" w:beforeAutospacing="1" w:after="100" w:afterAutospacing="1" w:line="293" w:lineRule="atLeast"/>
              <w:rPr>
                <w:szCs w:val="28"/>
                <w:lang w:eastAsia="ru-RU"/>
              </w:rPr>
            </w:pPr>
            <w:r w:rsidRPr="00F843A3">
              <w:rPr>
                <w:szCs w:val="28"/>
                <w:lang w:eastAsia="ru-RU"/>
              </w:rPr>
              <w:t>Nav</w:t>
            </w:r>
          </w:p>
        </w:tc>
      </w:tr>
    </w:tbl>
    <w:p w14:paraId="7C877831" w14:textId="77777777" w:rsidR="00C369B1" w:rsidRDefault="00C369B1" w:rsidP="00D60C4A">
      <w:pPr>
        <w:pStyle w:val="Title"/>
        <w:spacing w:line="260" w:lineRule="exact"/>
        <w:jc w:val="both"/>
        <w:rPr>
          <w:sz w:val="12"/>
          <w:szCs w:val="24"/>
          <w:highlight w:val="yellow"/>
        </w:rPr>
      </w:pPr>
    </w:p>
    <w:p w14:paraId="603EB458" w14:textId="77777777" w:rsidR="00C369B1" w:rsidRPr="00D60C4A" w:rsidRDefault="00C369B1" w:rsidP="00D60C4A">
      <w:pPr>
        <w:pStyle w:val="Title"/>
        <w:spacing w:line="260" w:lineRule="exact"/>
        <w:jc w:val="both"/>
        <w:rPr>
          <w:sz w:val="12"/>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67"/>
        <w:gridCol w:w="186"/>
      </w:tblGrid>
      <w:tr w:rsidR="00730B3B" w:rsidRPr="00B74E1D" w14:paraId="49439188" w14:textId="77777777" w:rsidTr="00823F93">
        <w:trPr>
          <w:cantSplit/>
        </w:trPr>
        <w:tc>
          <w:tcPr>
            <w:tcW w:w="9353" w:type="dxa"/>
            <w:gridSpan w:val="2"/>
            <w:vAlign w:val="center"/>
            <w:hideMark/>
          </w:tcPr>
          <w:p w14:paraId="49439187" w14:textId="77777777" w:rsidR="009878D6" w:rsidRPr="00B74E1D" w:rsidRDefault="00656B5C" w:rsidP="00293120">
            <w:pPr>
              <w:jc w:val="center"/>
              <w:rPr>
                <w:b/>
                <w:bCs/>
              </w:rPr>
            </w:pPr>
            <w:r w:rsidRPr="00B74E1D">
              <w:rPr>
                <w:b/>
                <w:bCs/>
              </w:rPr>
              <w:t>IV. Tiesību akta projekta ietekme uz spēkā esošo tiesību normu sistēmu</w:t>
            </w:r>
          </w:p>
        </w:tc>
      </w:tr>
      <w:tr w:rsidR="00823F93" w:rsidRPr="00B74E1D" w14:paraId="566D0211" w14:textId="77777777" w:rsidTr="008355B9">
        <w:trPr>
          <w:gridAfter w:val="1"/>
          <w:wAfter w:w="186" w:type="dxa"/>
        </w:trPr>
        <w:tc>
          <w:tcPr>
            <w:tcW w:w="9167" w:type="dxa"/>
            <w:shd w:val="clear" w:color="auto" w:fill="auto"/>
          </w:tcPr>
          <w:p w14:paraId="070B4544" w14:textId="77777777" w:rsidR="00823F93" w:rsidRPr="00B74E1D" w:rsidRDefault="00823F93" w:rsidP="00386EA8">
            <w:pPr>
              <w:ind w:left="57" w:firstLine="108"/>
              <w:jc w:val="center"/>
            </w:pPr>
            <w:r>
              <w:t>Projekts šo jomu neskar</w:t>
            </w:r>
          </w:p>
        </w:tc>
      </w:tr>
    </w:tbl>
    <w:p w14:paraId="4943919F" w14:textId="77777777" w:rsidR="00161647" w:rsidRDefault="00161647" w:rsidP="00D60C4A">
      <w:pPr>
        <w:pStyle w:val="Title"/>
        <w:spacing w:line="260" w:lineRule="exact"/>
        <w:jc w:val="both"/>
        <w:rPr>
          <w:sz w:val="12"/>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730B3B" w:rsidRPr="00B74E1D" w14:paraId="494391A1" w14:textId="77777777" w:rsidTr="00161647">
        <w:tc>
          <w:tcPr>
            <w:tcW w:w="5000" w:type="pct"/>
            <w:vAlign w:val="center"/>
            <w:hideMark/>
          </w:tcPr>
          <w:p w14:paraId="494391A0" w14:textId="77777777" w:rsidR="009878D6" w:rsidRPr="00B74E1D" w:rsidRDefault="00656B5C" w:rsidP="00293120">
            <w:pPr>
              <w:jc w:val="center"/>
              <w:rPr>
                <w:b/>
                <w:bCs/>
              </w:rPr>
            </w:pPr>
            <w:r w:rsidRPr="00B74E1D">
              <w:rPr>
                <w:b/>
                <w:bCs/>
              </w:rPr>
              <w:t>V. Tiesību akta projekta atbilstība Latvijas Republikas starptautiskajām saistībām</w:t>
            </w:r>
          </w:p>
        </w:tc>
      </w:tr>
      <w:tr w:rsidR="0051332D" w:rsidRPr="00B74E1D" w14:paraId="494391A3" w14:textId="77777777" w:rsidTr="0051332D">
        <w:tc>
          <w:tcPr>
            <w:tcW w:w="5000" w:type="pct"/>
          </w:tcPr>
          <w:p w14:paraId="494391A2" w14:textId="77777777" w:rsidR="0051332D" w:rsidRPr="00B74E1D" w:rsidRDefault="0051332D" w:rsidP="0051332D">
            <w:pPr>
              <w:ind w:left="57" w:firstLine="108"/>
              <w:jc w:val="center"/>
            </w:pPr>
            <w:r>
              <w:t>Proj</w:t>
            </w:r>
            <w:r w:rsidR="00C706EA">
              <w:t>e</w:t>
            </w:r>
            <w:r>
              <w:t>kts šo jomu neskar</w:t>
            </w:r>
          </w:p>
        </w:tc>
      </w:tr>
    </w:tbl>
    <w:p w14:paraId="494391A4" w14:textId="77777777" w:rsidR="00161647" w:rsidRPr="00B74E1D"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B74E1D" w14:paraId="494391A6" w14:textId="77777777" w:rsidTr="0057649F">
        <w:trPr>
          <w:cantSplit/>
        </w:trPr>
        <w:tc>
          <w:tcPr>
            <w:tcW w:w="5000" w:type="pct"/>
            <w:gridSpan w:val="3"/>
            <w:vAlign w:val="center"/>
            <w:hideMark/>
          </w:tcPr>
          <w:p w14:paraId="494391A5" w14:textId="77777777" w:rsidR="00BD5588" w:rsidRPr="00B74E1D" w:rsidRDefault="00656B5C" w:rsidP="00E273A1">
            <w:pPr>
              <w:jc w:val="center"/>
              <w:rPr>
                <w:b/>
                <w:bCs/>
              </w:rPr>
            </w:pPr>
            <w:r w:rsidRPr="00B74E1D">
              <w:rPr>
                <w:b/>
                <w:bCs/>
              </w:rPr>
              <w:t>VI. Sabiedrības līdzdalība un komunikācijas aktivitātes</w:t>
            </w:r>
          </w:p>
        </w:tc>
      </w:tr>
      <w:tr w:rsidR="00730B3B" w:rsidRPr="00B74E1D" w14:paraId="494391AA" w14:textId="77777777" w:rsidTr="00B16445">
        <w:tc>
          <w:tcPr>
            <w:tcW w:w="281" w:type="pct"/>
            <w:hideMark/>
          </w:tcPr>
          <w:p w14:paraId="494391A7" w14:textId="77777777" w:rsidR="00BD5588" w:rsidRPr="00B74E1D" w:rsidRDefault="00656B5C" w:rsidP="00E273A1">
            <w:pPr>
              <w:jc w:val="center"/>
            </w:pPr>
            <w:r w:rsidRPr="00B74E1D">
              <w:t>1.</w:t>
            </w:r>
          </w:p>
        </w:tc>
        <w:tc>
          <w:tcPr>
            <w:tcW w:w="1339" w:type="pct"/>
            <w:hideMark/>
          </w:tcPr>
          <w:p w14:paraId="494391A8" w14:textId="77777777" w:rsidR="00BD5588" w:rsidRPr="00B74E1D" w:rsidRDefault="00656B5C" w:rsidP="00E273A1">
            <w:r w:rsidRPr="00B74E1D">
              <w:t>Plānotās sabiedrības līdzdalības un komunikācijas aktivitātes saistībā ar projektu</w:t>
            </w:r>
          </w:p>
        </w:tc>
        <w:tc>
          <w:tcPr>
            <w:tcW w:w="3380" w:type="pct"/>
          </w:tcPr>
          <w:p w14:paraId="494391A9" w14:textId="77777777" w:rsidR="00161647" w:rsidRPr="00C706EA" w:rsidRDefault="00C706EA" w:rsidP="00C706EA">
            <w:pPr>
              <w:jc w:val="both"/>
            </w:pPr>
            <w:r w:rsidRPr="00C706EA">
              <w:t>Projekts šo jomu neskar.</w:t>
            </w:r>
          </w:p>
        </w:tc>
      </w:tr>
      <w:tr w:rsidR="00730B3B" w:rsidRPr="00B74E1D" w14:paraId="494391AE" w14:textId="77777777" w:rsidTr="00B16445">
        <w:trPr>
          <w:cantSplit/>
        </w:trPr>
        <w:tc>
          <w:tcPr>
            <w:tcW w:w="281" w:type="pct"/>
            <w:hideMark/>
          </w:tcPr>
          <w:p w14:paraId="494391AB" w14:textId="77777777" w:rsidR="00BD5588" w:rsidRPr="00B74E1D" w:rsidRDefault="00656B5C" w:rsidP="00E273A1">
            <w:pPr>
              <w:jc w:val="center"/>
            </w:pPr>
            <w:r w:rsidRPr="00B74E1D">
              <w:t>2.</w:t>
            </w:r>
          </w:p>
        </w:tc>
        <w:tc>
          <w:tcPr>
            <w:tcW w:w="1339" w:type="pct"/>
            <w:hideMark/>
          </w:tcPr>
          <w:p w14:paraId="494391AC" w14:textId="77777777" w:rsidR="00BD5588" w:rsidRPr="00B74E1D" w:rsidRDefault="00656B5C" w:rsidP="00E273A1">
            <w:r w:rsidRPr="00B74E1D">
              <w:t>Sabiedrības līdzdalība projekta izstrādē</w:t>
            </w:r>
          </w:p>
        </w:tc>
        <w:tc>
          <w:tcPr>
            <w:tcW w:w="3380" w:type="pct"/>
          </w:tcPr>
          <w:p w14:paraId="494391AD" w14:textId="28B2A202" w:rsidR="00FB3024" w:rsidRPr="00B74E1D" w:rsidRDefault="00C706EA" w:rsidP="00265082">
            <w:pPr>
              <w:pStyle w:val="naisnod"/>
              <w:spacing w:before="0" w:after="0"/>
              <w:ind w:right="57"/>
              <w:jc w:val="both"/>
              <w:rPr>
                <w:b w:val="0"/>
              </w:rPr>
            </w:pPr>
            <w:r w:rsidRPr="00A7157A">
              <w:rPr>
                <w:b w:val="0"/>
                <w:bCs w:val="0"/>
              </w:rPr>
              <w:t>Noteikumu projekta</w:t>
            </w:r>
            <w:r w:rsidRPr="00B403F5">
              <w:rPr>
                <w:b w:val="0"/>
                <w:bCs w:val="0"/>
              </w:rPr>
              <w:t xml:space="preserve"> izstrādes gaitā ir notikušas konsultācijas </w:t>
            </w:r>
            <w:r>
              <w:rPr>
                <w:b w:val="0"/>
                <w:bCs w:val="0"/>
              </w:rPr>
              <w:t xml:space="preserve">ar </w:t>
            </w:r>
            <w:r w:rsidR="00C22835">
              <w:rPr>
                <w:b w:val="0"/>
                <w:bCs w:val="0"/>
              </w:rPr>
              <w:t>biedrību “Latvijas Arhitektu savienība”.</w:t>
            </w:r>
          </w:p>
        </w:tc>
      </w:tr>
      <w:tr w:rsidR="00730B3B" w:rsidRPr="00B74E1D" w14:paraId="494391B2" w14:textId="77777777" w:rsidTr="00B16445">
        <w:trPr>
          <w:cantSplit/>
        </w:trPr>
        <w:tc>
          <w:tcPr>
            <w:tcW w:w="281" w:type="pct"/>
            <w:hideMark/>
          </w:tcPr>
          <w:p w14:paraId="494391AF" w14:textId="77777777" w:rsidR="00BD5588" w:rsidRPr="00B74E1D" w:rsidRDefault="00656B5C" w:rsidP="00E273A1">
            <w:pPr>
              <w:jc w:val="center"/>
            </w:pPr>
            <w:r w:rsidRPr="00B74E1D">
              <w:t>3.</w:t>
            </w:r>
          </w:p>
        </w:tc>
        <w:tc>
          <w:tcPr>
            <w:tcW w:w="1339" w:type="pct"/>
            <w:hideMark/>
          </w:tcPr>
          <w:p w14:paraId="494391B0" w14:textId="77777777" w:rsidR="00BD5588" w:rsidRPr="00B74E1D" w:rsidRDefault="00656B5C" w:rsidP="00E273A1">
            <w:r w:rsidRPr="00B74E1D">
              <w:t>Sabiedrības līdzdalības rezultāti</w:t>
            </w:r>
          </w:p>
        </w:tc>
        <w:tc>
          <w:tcPr>
            <w:tcW w:w="3380" w:type="pct"/>
          </w:tcPr>
          <w:p w14:paraId="494391B1" w14:textId="59B67CDC" w:rsidR="00251C35" w:rsidRPr="00B74E1D" w:rsidRDefault="00C706EA" w:rsidP="00C706EA">
            <w:pPr>
              <w:jc w:val="both"/>
            </w:pPr>
            <w:r>
              <w:rPr>
                <w:bCs/>
              </w:rPr>
              <w:t>B</w:t>
            </w:r>
            <w:r w:rsidRPr="00B74E1D">
              <w:rPr>
                <w:bCs/>
              </w:rPr>
              <w:t>iedrīb</w:t>
            </w:r>
            <w:r w:rsidR="00C22835">
              <w:rPr>
                <w:bCs/>
              </w:rPr>
              <w:t>as</w:t>
            </w:r>
            <w:r w:rsidRPr="00B74E1D">
              <w:rPr>
                <w:bCs/>
              </w:rPr>
              <w:t xml:space="preserve"> “Latvijas </w:t>
            </w:r>
            <w:r w:rsidR="00C22835">
              <w:rPr>
                <w:bCs/>
              </w:rPr>
              <w:t xml:space="preserve">Arhitektu savienība” </w:t>
            </w:r>
            <w:r w:rsidR="00D60B72">
              <w:rPr>
                <w:bCs/>
              </w:rPr>
              <w:t>i</w:t>
            </w:r>
            <w:r w:rsidR="009C36C3">
              <w:rPr>
                <w:bCs/>
              </w:rPr>
              <w:t xml:space="preserve">zmaksu </w:t>
            </w:r>
            <w:r>
              <w:rPr>
                <w:bCs/>
              </w:rPr>
              <w:t>aprēķini</w:t>
            </w:r>
            <w:r w:rsidR="009C36C3">
              <w:rPr>
                <w:bCs/>
              </w:rPr>
              <w:t xml:space="preserve"> par </w:t>
            </w:r>
            <w:r w:rsidR="00C22835">
              <w:rPr>
                <w:bCs/>
              </w:rPr>
              <w:t>arhitektu</w:t>
            </w:r>
            <w:r w:rsidR="009C36C3">
              <w:rPr>
                <w:bCs/>
              </w:rPr>
              <w:t xml:space="preserve"> uzraudzīb</w:t>
            </w:r>
            <w:r w:rsidR="004F0EF4">
              <w:rPr>
                <w:bCs/>
              </w:rPr>
              <w:t>as</w:t>
            </w:r>
            <w:r w:rsidR="009C36C3">
              <w:rPr>
                <w:bCs/>
              </w:rPr>
              <w:t xml:space="preserve"> un </w:t>
            </w:r>
            <w:r w:rsidR="00C22835" w:rsidRPr="00C22835">
              <w:rPr>
                <w:bCs/>
              </w:rPr>
              <w:t>papildus sertificēšanas maksas pakalpojumu</w:t>
            </w:r>
            <w:r w:rsidR="009C36C3">
              <w:rPr>
                <w:bCs/>
              </w:rPr>
              <w:t xml:space="preserve"> </w:t>
            </w:r>
            <w:r w:rsidR="004F0EF4">
              <w:rPr>
                <w:bCs/>
              </w:rPr>
              <w:t>izmaksām</w:t>
            </w:r>
            <w:r w:rsidR="009C36C3">
              <w:rPr>
                <w:bCs/>
              </w:rPr>
              <w:t>.</w:t>
            </w:r>
          </w:p>
        </w:tc>
      </w:tr>
      <w:tr w:rsidR="00730B3B" w:rsidRPr="00B74E1D" w14:paraId="494391B7" w14:textId="77777777" w:rsidTr="00C706EA">
        <w:trPr>
          <w:cantSplit/>
          <w:trHeight w:val="277"/>
        </w:trPr>
        <w:tc>
          <w:tcPr>
            <w:tcW w:w="281" w:type="pct"/>
            <w:hideMark/>
          </w:tcPr>
          <w:p w14:paraId="494391B3" w14:textId="77777777" w:rsidR="00BD5588" w:rsidRPr="00B74E1D" w:rsidRDefault="00656B5C" w:rsidP="00E273A1">
            <w:pPr>
              <w:jc w:val="center"/>
            </w:pPr>
            <w:r w:rsidRPr="00B74E1D">
              <w:t>4.</w:t>
            </w:r>
          </w:p>
        </w:tc>
        <w:tc>
          <w:tcPr>
            <w:tcW w:w="1339" w:type="pct"/>
            <w:hideMark/>
          </w:tcPr>
          <w:p w14:paraId="494391B4" w14:textId="77777777" w:rsidR="00BD5588" w:rsidRPr="00B74E1D" w:rsidRDefault="00656B5C" w:rsidP="00E273A1">
            <w:r w:rsidRPr="00B74E1D">
              <w:t>Cita informācija</w:t>
            </w:r>
          </w:p>
        </w:tc>
        <w:tc>
          <w:tcPr>
            <w:tcW w:w="3380" w:type="pct"/>
            <w:hideMark/>
          </w:tcPr>
          <w:p w14:paraId="494391B5" w14:textId="02A1CD9B" w:rsidR="00AD4F6E" w:rsidRDefault="00121FCD" w:rsidP="00AD4F6E">
            <w:pPr>
              <w:jc w:val="both"/>
            </w:pPr>
            <w:r>
              <w:t>Saskaņā ar Valsts pārvaldes iekārtas likuma 45.</w:t>
            </w:r>
            <w:r w:rsidR="00935CF7">
              <w:t xml:space="preserve"> </w:t>
            </w:r>
            <w:r>
              <w:t xml:space="preserve">panta piekto daļu informācija par </w:t>
            </w:r>
            <w:r w:rsidRPr="00D84E0C">
              <w:rPr>
                <w:i/>
              </w:rPr>
              <w:t>noslēgtajiem deleģēšanas līgumiem</w:t>
            </w:r>
            <w:r>
              <w:t xml:space="preserve">, kā arī paši deleģēšanas līgumi ir </w:t>
            </w:r>
            <w:r w:rsidR="00F109E4">
              <w:t>jāpublicē Ekonomikas ministrijas mājas lapā internet</w:t>
            </w:r>
            <w:r>
              <w:t>ā</w:t>
            </w:r>
            <w:r>
              <w:rPr>
                <w:rStyle w:val="FootnoteReference"/>
              </w:rPr>
              <w:footnoteReference w:id="1"/>
            </w:r>
            <w:r>
              <w:t>.</w:t>
            </w:r>
          </w:p>
          <w:p w14:paraId="494391B6" w14:textId="5C1ECA7F" w:rsidR="00161647" w:rsidRPr="00B74E1D" w:rsidRDefault="00161647" w:rsidP="00AD4F6E">
            <w:pPr>
              <w:jc w:val="both"/>
            </w:pPr>
          </w:p>
        </w:tc>
      </w:tr>
    </w:tbl>
    <w:p w14:paraId="494391B8" w14:textId="77777777" w:rsidR="00161647" w:rsidRPr="008D7B2C" w:rsidRDefault="00161647" w:rsidP="008D7B2C">
      <w:pPr>
        <w:pStyle w:val="Title"/>
        <w:spacing w:line="260" w:lineRule="exact"/>
        <w:jc w:val="both"/>
        <w:rPr>
          <w:sz w:val="12"/>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B74E1D" w14:paraId="494391BB" w14:textId="77777777" w:rsidTr="0057649F">
        <w:trPr>
          <w:cantSplit/>
          <w:trHeight w:val="669"/>
        </w:trPr>
        <w:tc>
          <w:tcPr>
            <w:tcW w:w="5000" w:type="pct"/>
            <w:gridSpan w:val="3"/>
            <w:vAlign w:val="center"/>
            <w:hideMark/>
          </w:tcPr>
          <w:p w14:paraId="494391B9" w14:textId="77777777" w:rsidR="00D21A8A" w:rsidRPr="00B74E1D" w:rsidRDefault="00656B5C" w:rsidP="00B76031">
            <w:pPr>
              <w:jc w:val="center"/>
              <w:rPr>
                <w:b/>
                <w:bCs/>
              </w:rPr>
            </w:pPr>
            <w:r w:rsidRPr="00B74E1D">
              <w:rPr>
                <w:b/>
                <w:bCs/>
              </w:rPr>
              <w:t>VII. Tiesību akta projekta izpildes nodrošināšan</w:t>
            </w:r>
            <w:r w:rsidR="00B76031" w:rsidRPr="00B74E1D">
              <w:rPr>
                <w:b/>
                <w:bCs/>
              </w:rPr>
              <w:t>a un tās ietekme uz institūcijām</w:t>
            </w:r>
          </w:p>
          <w:p w14:paraId="494391BA" w14:textId="77777777" w:rsidR="00BD5588" w:rsidRPr="00B74E1D" w:rsidRDefault="00BD5588" w:rsidP="00D21A8A"/>
        </w:tc>
      </w:tr>
      <w:tr w:rsidR="00730B3B" w:rsidRPr="00B74E1D" w14:paraId="494391BF" w14:textId="77777777" w:rsidTr="0057649F">
        <w:trPr>
          <w:cantSplit/>
        </w:trPr>
        <w:tc>
          <w:tcPr>
            <w:tcW w:w="281" w:type="pct"/>
            <w:hideMark/>
          </w:tcPr>
          <w:p w14:paraId="494391BC" w14:textId="77777777" w:rsidR="00BD5588" w:rsidRPr="00B74E1D" w:rsidRDefault="00656B5C" w:rsidP="00E273A1">
            <w:pPr>
              <w:jc w:val="center"/>
            </w:pPr>
            <w:r w:rsidRPr="00B74E1D">
              <w:t>1.</w:t>
            </w:r>
          </w:p>
        </w:tc>
        <w:tc>
          <w:tcPr>
            <w:tcW w:w="1339" w:type="pct"/>
            <w:hideMark/>
          </w:tcPr>
          <w:p w14:paraId="494391BD" w14:textId="77777777" w:rsidR="00BD5588" w:rsidRPr="00B74E1D" w:rsidRDefault="00656B5C" w:rsidP="00E273A1">
            <w:r w:rsidRPr="00B74E1D">
              <w:t>Projekta izpildē iesaistītās institūcijas</w:t>
            </w:r>
          </w:p>
        </w:tc>
        <w:tc>
          <w:tcPr>
            <w:tcW w:w="3380" w:type="pct"/>
            <w:hideMark/>
          </w:tcPr>
          <w:p w14:paraId="494391BE" w14:textId="2C1A8E47" w:rsidR="003046D3" w:rsidRPr="00B74E1D" w:rsidRDefault="00C22835" w:rsidP="003046D3">
            <w:pPr>
              <w:jc w:val="both"/>
            </w:pPr>
            <w:r>
              <w:t>Biedrība “Latvijas Arhitektu savienība”</w:t>
            </w:r>
            <w:r w:rsidR="00305144">
              <w:t>.</w:t>
            </w:r>
          </w:p>
        </w:tc>
      </w:tr>
      <w:tr w:rsidR="00730B3B" w:rsidRPr="00B74E1D" w14:paraId="494391C4" w14:textId="77777777" w:rsidTr="004E4DD9">
        <w:tc>
          <w:tcPr>
            <w:tcW w:w="281" w:type="pct"/>
            <w:hideMark/>
          </w:tcPr>
          <w:p w14:paraId="494391C0" w14:textId="77777777" w:rsidR="00BD5588" w:rsidRPr="00B74E1D" w:rsidRDefault="00656B5C" w:rsidP="00E273A1">
            <w:pPr>
              <w:jc w:val="center"/>
            </w:pPr>
            <w:r w:rsidRPr="00B74E1D">
              <w:t>2.</w:t>
            </w:r>
          </w:p>
        </w:tc>
        <w:tc>
          <w:tcPr>
            <w:tcW w:w="1339" w:type="pct"/>
            <w:hideMark/>
          </w:tcPr>
          <w:p w14:paraId="494391C1" w14:textId="77777777" w:rsidR="00BD5588" w:rsidRPr="00B74E1D" w:rsidRDefault="00656B5C" w:rsidP="00E273A1">
            <w:r w:rsidRPr="00B74E1D">
              <w:t>Projekta izpildes ietekme uz pārvaldes funkcijām un institucionālo struktūru.</w:t>
            </w:r>
            <w:r w:rsidRPr="00B74E1D">
              <w:br/>
            </w:r>
            <w:r w:rsidRPr="00B74E1D">
              <w:lastRenderedPageBreak/>
              <w:t>Jaunu institūciju izveide, esošu institūciju likvidācija vai reorganizācija, to ietekme uz institūcijas cilvēkresursiem</w:t>
            </w:r>
          </w:p>
        </w:tc>
        <w:tc>
          <w:tcPr>
            <w:tcW w:w="3380" w:type="pct"/>
            <w:hideMark/>
          </w:tcPr>
          <w:p w14:paraId="494391C3" w14:textId="1334CD29" w:rsidR="00CE664B" w:rsidRPr="00B74E1D" w:rsidRDefault="00C22835" w:rsidP="00553FC7">
            <w:pPr>
              <w:jc w:val="both"/>
            </w:pPr>
            <w:r>
              <w:lastRenderedPageBreak/>
              <w:t>Projekts šo jomu neskar</w:t>
            </w:r>
          </w:p>
        </w:tc>
      </w:tr>
      <w:tr w:rsidR="004E638D" w:rsidRPr="00B74E1D" w14:paraId="494391C8" w14:textId="77777777" w:rsidTr="0057649F">
        <w:trPr>
          <w:cantSplit/>
        </w:trPr>
        <w:tc>
          <w:tcPr>
            <w:tcW w:w="281" w:type="pct"/>
            <w:hideMark/>
          </w:tcPr>
          <w:p w14:paraId="494391C5" w14:textId="77777777" w:rsidR="00BD5588" w:rsidRPr="00B74E1D" w:rsidRDefault="00656B5C" w:rsidP="00E273A1">
            <w:pPr>
              <w:jc w:val="center"/>
              <w:rPr>
                <w:highlight w:val="yellow"/>
              </w:rPr>
            </w:pPr>
            <w:r w:rsidRPr="00B74E1D">
              <w:t>3.</w:t>
            </w:r>
          </w:p>
        </w:tc>
        <w:tc>
          <w:tcPr>
            <w:tcW w:w="1339" w:type="pct"/>
            <w:hideMark/>
          </w:tcPr>
          <w:p w14:paraId="494391C6" w14:textId="77777777" w:rsidR="00BD5588" w:rsidRPr="00B74E1D" w:rsidRDefault="00656B5C" w:rsidP="00E273A1">
            <w:r w:rsidRPr="00B74E1D">
              <w:t>Cita informācija</w:t>
            </w:r>
          </w:p>
        </w:tc>
        <w:tc>
          <w:tcPr>
            <w:tcW w:w="3380" w:type="pct"/>
            <w:hideMark/>
          </w:tcPr>
          <w:p w14:paraId="494391C7" w14:textId="77777777" w:rsidR="00BD5588" w:rsidRPr="00B74E1D" w:rsidRDefault="00656B5C" w:rsidP="00EA3D31">
            <w:pPr>
              <w:ind w:firstLine="108"/>
            </w:pPr>
            <w:r w:rsidRPr="00B74E1D">
              <w:t>Nav</w:t>
            </w:r>
            <w:r w:rsidR="00EA3D31" w:rsidRPr="00B74E1D">
              <w:t>.</w:t>
            </w:r>
          </w:p>
        </w:tc>
      </w:tr>
    </w:tbl>
    <w:p w14:paraId="494391CA" w14:textId="77777777" w:rsidR="006F71EA" w:rsidRDefault="006F71EA" w:rsidP="00D21A8A">
      <w:pPr>
        <w:tabs>
          <w:tab w:val="left" w:pos="6804"/>
        </w:tabs>
        <w:rPr>
          <w:lang w:eastAsia="ru-RU"/>
        </w:rPr>
      </w:pPr>
    </w:p>
    <w:p w14:paraId="494391CB" w14:textId="77777777" w:rsidR="00F615B8" w:rsidRPr="00B74E1D" w:rsidRDefault="00F615B8" w:rsidP="00D21A8A">
      <w:pPr>
        <w:tabs>
          <w:tab w:val="left" w:pos="6804"/>
        </w:tabs>
        <w:rPr>
          <w:lang w:eastAsia="ru-RU"/>
        </w:rPr>
      </w:pPr>
    </w:p>
    <w:p w14:paraId="494391CC" w14:textId="11F1C80C" w:rsidR="00D21A8A" w:rsidRPr="00B74E1D" w:rsidRDefault="006F71EA" w:rsidP="00466C3A">
      <w:pPr>
        <w:tabs>
          <w:tab w:val="left" w:pos="6946"/>
        </w:tabs>
        <w:rPr>
          <w:lang w:eastAsia="ru-RU"/>
        </w:rPr>
      </w:pPr>
      <w:r>
        <w:rPr>
          <w:lang w:eastAsia="ru-RU"/>
        </w:rPr>
        <w:t xml:space="preserve">Ekonomikas ministrs                              </w:t>
      </w:r>
      <w:r w:rsidR="00B16445" w:rsidRPr="00B74E1D">
        <w:rPr>
          <w:lang w:eastAsia="ru-RU"/>
        </w:rPr>
        <w:t xml:space="preserve">                                     </w:t>
      </w:r>
      <w:r w:rsidR="00256B2C">
        <w:rPr>
          <w:lang w:eastAsia="ru-RU"/>
        </w:rPr>
        <w:t xml:space="preserve">     </w:t>
      </w:r>
      <w:r w:rsidR="00B16445" w:rsidRPr="00B74E1D">
        <w:rPr>
          <w:lang w:eastAsia="ru-RU"/>
        </w:rPr>
        <w:t xml:space="preserve">               </w:t>
      </w:r>
      <w:r w:rsidR="00C87146">
        <w:rPr>
          <w:lang w:eastAsia="ru-RU"/>
        </w:rPr>
        <w:t>R</w:t>
      </w:r>
      <w:r w:rsidR="009C36C3">
        <w:rPr>
          <w:lang w:eastAsia="ru-RU"/>
        </w:rPr>
        <w:t>.</w:t>
      </w:r>
      <w:r w:rsidR="00B16445" w:rsidRPr="00B74E1D">
        <w:rPr>
          <w:lang w:eastAsia="ru-RU"/>
        </w:rPr>
        <w:t xml:space="preserve"> </w:t>
      </w:r>
      <w:r w:rsidR="00C87146">
        <w:rPr>
          <w:lang w:eastAsia="ru-RU"/>
        </w:rPr>
        <w:t>Nemiro</w:t>
      </w:r>
    </w:p>
    <w:p w14:paraId="494391CE" w14:textId="77777777" w:rsidR="00F615B8" w:rsidRPr="00B74E1D" w:rsidRDefault="00F615B8" w:rsidP="00D21A8A">
      <w:pPr>
        <w:rPr>
          <w:lang w:eastAsia="ru-RU"/>
        </w:rPr>
      </w:pPr>
    </w:p>
    <w:p w14:paraId="494391CF" w14:textId="77777777" w:rsidR="00D21A8A" w:rsidRPr="00B74E1D" w:rsidRDefault="00656B5C" w:rsidP="00D21A8A">
      <w:pPr>
        <w:rPr>
          <w:lang w:eastAsia="ru-RU"/>
        </w:rPr>
      </w:pPr>
      <w:r w:rsidRPr="00B74E1D">
        <w:rPr>
          <w:lang w:eastAsia="ru-RU"/>
        </w:rPr>
        <w:t xml:space="preserve">Vīza: </w:t>
      </w:r>
    </w:p>
    <w:p w14:paraId="494391D0" w14:textId="77777777" w:rsidR="00D21A8A" w:rsidRPr="00B74E1D" w:rsidRDefault="00656B5C" w:rsidP="00466C3A">
      <w:pPr>
        <w:tabs>
          <w:tab w:val="left" w:pos="7371"/>
        </w:tabs>
        <w:rPr>
          <w:lang w:eastAsia="ru-RU"/>
        </w:rPr>
      </w:pPr>
      <w:r w:rsidRPr="00B74E1D">
        <w:rPr>
          <w:lang w:eastAsia="ru-RU"/>
        </w:rPr>
        <w:t xml:space="preserve">Valsts </w:t>
      </w:r>
      <w:r w:rsidR="00B16445" w:rsidRPr="00B74E1D">
        <w:rPr>
          <w:lang w:eastAsia="ru-RU"/>
        </w:rPr>
        <w:t>sekretār</w:t>
      </w:r>
      <w:r w:rsidR="006F71EA">
        <w:rPr>
          <w:lang w:eastAsia="ru-RU"/>
        </w:rPr>
        <w:t>s</w:t>
      </w:r>
      <w:r w:rsidR="00B16445" w:rsidRPr="00B74E1D">
        <w:rPr>
          <w:lang w:eastAsia="ru-RU"/>
        </w:rPr>
        <w:t xml:space="preserve">                              </w:t>
      </w:r>
      <w:r w:rsidR="006F71EA">
        <w:rPr>
          <w:lang w:eastAsia="ru-RU"/>
        </w:rPr>
        <w:t xml:space="preserve">                        </w:t>
      </w:r>
      <w:r w:rsidR="00B16445" w:rsidRPr="00B74E1D">
        <w:rPr>
          <w:lang w:eastAsia="ru-RU"/>
        </w:rPr>
        <w:t xml:space="preserve">                                            </w:t>
      </w:r>
      <w:r w:rsidR="009C36C3">
        <w:rPr>
          <w:lang w:eastAsia="ru-RU"/>
        </w:rPr>
        <w:t>Ē.</w:t>
      </w:r>
      <w:r w:rsidR="00B16445" w:rsidRPr="00B74E1D">
        <w:rPr>
          <w:lang w:eastAsia="ru-RU"/>
        </w:rPr>
        <w:t xml:space="preserve"> </w:t>
      </w:r>
      <w:r w:rsidR="009C36C3">
        <w:rPr>
          <w:lang w:eastAsia="ru-RU"/>
        </w:rPr>
        <w:t>Eglītis</w:t>
      </w:r>
    </w:p>
    <w:p w14:paraId="494391D1" w14:textId="77777777" w:rsidR="00D21A8A" w:rsidRDefault="00D21A8A" w:rsidP="00D21A8A">
      <w:pPr>
        <w:suppressAutoHyphens/>
        <w:rPr>
          <w:lang w:eastAsia="ru-RU"/>
        </w:rPr>
      </w:pPr>
    </w:p>
    <w:p w14:paraId="494391D2" w14:textId="77777777" w:rsidR="00F615B8" w:rsidRDefault="00F615B8" w:rsidP="00D21A8A">
      <w:pPr>
        <w:suppressAutoHyphens/>
        <w:rPr>
          <w:lang w:eastAsia="ru-RU"/>
        </w:rPr>
      </w:pPr>
    </w:p>
    <w:p w14:paraId="494391D4" w14:textId="77777777" w:rsidR="00F615B8" w:rsidRDefault="00F615B8" w:rsidP="00D21A8A">
      <w:pPr>
        <w:suppressAutoHyphens/>
        <w:rPr>
          <w:lang w:eastAsia="ru-RU"/>
        </w:rPr>
      </w:pPr>
    </w:p>
    <w:p w14:paraId="494391D5" w14:textId="77777777" w:rsidR="00F615B8" w:rsidRDefault="00F615B8" w:rsidP="00D21A8A">
      <w:pPr>
        <w:suppressAutoHyphens/>
        <w:rPr>
          <w:lang w:eastAsia="ru-RU"/>
        </w:rPr>
      </w:pPr>
    </w:p>
    <w:p w14:paraId="494391D6" w14:textId="77777777" w:rsidR="00F615B8" w:rsidRDefault="00F615B8" w:rsidP="00D21A8A">
      <w:pPr>
        <w:suppressAutoHyphens/>
        <w:rPr>
          <w:lang w:eastAsia="ru-RU"/>
        </w:rPr>
      </w:pPr>
    </w:p>
    <w:p w14:paraId="494391D7" w14:textId="77777777" w:rsidR="00F615B8" w:rsidRDefault="00F615B8" w:rsidP="00D21A8A">
      <w:pPr>
        <w:suppressAutoHyphens/>
        <w:rPr>
          <w:lang w:eastAsia="ru-RU"/>
        </w:rPr>
      </w:pPr>
    </w:p>
    <w:p w14:paraId="494391D8" w14:textId="77777777" w:rsidR="005F11BD" w:rsidRPr="00B74E1D" w:rsidRDefault="00265082" w:rsidP="001E1EA0">
      <w:pPr>
        <w:tabs>
          <w:tab w:val="left" w:pos="0"/>
        </w:tabs>
        <w:jc w:val="both"/>
        <w:rPr>
          <w:sz w:val="22"/>
          <w:szCs w:val="22"/>
          <w:lang w:eastAsia="ru-RU"/>
        </w:rPr>
      </w:pPr>
      <w:r>
        <w:rPr>
          <w:sz w:val="22"/>
          <w:szCs w:val="22"/>
          <w:lang w:eastAsia="ru-RU"/>
        </w:rPr>
        <w:t xml:space="preserve">Gusts </w:t>
      </w:r>
      <w:r w:rsidR="009C36C3">
        <w:rPr>
          <w:sz w:val="22"/>
          <w:szCs w:val="22"/>
          <w:lang w:eastAsia="ru-RU"/>
        </w:rPr>
        <w:t>Sproģis</w:t>
      </w:r>
      <w:r w:rsidR="00B16445" w:rsidRPr="00B74E1D">
        <w:rPr>
          <w:sz w:val="22"/>
          <w:szCs w:val="22"/>
          <w:lang w:eastAsia="ru-RU"/>
        </w:rPr>
        <w:t>,</w:t>
      </w:r>
      <w:r w:rsidR="00B10692">
        <w:rPr>
          <w:sz w:val="22"/>
          <w:szCs w:val="22"/>
          <w:lang w:eastAsia="ru-RU"/>
        </w:rPr>
        <w:t xml:space="preserve"> </w:t>
      </w:r>
      <w:r w:rsidR="005F11BD" w:rsidRPr="00B74E1D">
        <w:rPr>
          <w:sz w:val="22"/>
          <w:szCs w:val="22"/>
          <w:lang w:eastAsia="ru-RU"/>
        </w:rPr>
        <w:t>670</w:t>
      </w:r>
      <w:r w:rsidR="009C36C3">
        <w:rPr>
          <w:sz w:val="22"/>
          <w:szCs w:val="22"/>
          <w:lang w:eastAsia="ru-RU"/>
        </w:rPr>
        <w:t>13113</w:t>
      </w:r>
    </w:p>
    <w:p w14:paraId="494391D9" w14:textId="77777777" w:rsidR="005F11BD" w:rsidRPr="00B74E1D" w:rsidRDefault="009C36C3" w:rsidP="001E1EA0">
      <w:pPr>
        <w:tabs>
          <w:tab w:val="left" w:pos="0"/>
        </w:tabs>
        <w:jc w:val="both"/>
        <w:rPr>
          <w:sz w:val="22"/>
          <w:szCs w:val="22"/>
          <w:lang w:eastAsia="ru-RU"/>
        </w:rPr>
      </w:pPr>
      <w:r>
        <w:rPr>
          <w:sz w:val="22"/>
          <w:szCs w:val="22"/>
          <w:lang w:eastAsia="ru-RU"/>
        </w:rPr>
        <w:t>Gusts</w:t>
      </w:r>
      <w:r w:rsidR="005F11BD" w:rsidRPr="00B74E1D">
        <w:rPr>
          <w:sz w:val="22"/>
          <w:szCs w:val="22"/>
          <w:lang w:eastAsia="ru-RU"/>
        </w:rPr>
        <w:t>.</w:t>
      </w:r>
      <w:r>
        <w:rPr>
          <w:sz w:val="22"/>
          <w:szCs w:val="22"/>
          <w:lang w:eastAsia="ru-RU"/>
        </w:rPr>
        <w:t>Sprogis</w:t>
      </w:r>
      <w:r w:rsidR="005F11BD" w:rsidRPr="00B74E1D">
        <w:rPr>
          <w:sz w:val="22"/>
          <w:szCs w:val="22"/>
          <w:lang w:eastAsia="ru-RU"/>
        </w:rPr>
        <w:t>@</w:t>
      </w:r>
      <w:r>
        <w:rPr>
          <w:sz w:val="22"/>
          <w:szCs w:val="22"/>
          <w:lang w:eastAsia="ru-RU"/>
        </w:rPr>
        <w:t>em</w:t>
      </w:r>
      <w:r w:rsidR="005F11BD" w:rsidRPr="00B74E1D">
        <w:rPr>
          <w:sz w:val="22"/>
          <w:szCs w:val="22"/>
          <w:lang w:eastAsia="ru-RU"/>
        </w:rPr>
        <w:t>.gov.lv</w:t>
      </w:r>
    </w:p>
    <w:sectPr w:rsidR="005F11BD" w:rsidRPr="00B74E1D" w:rsidSect="009C36C3">
      <w:headerReference w:type="default"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73DE" w14:textId="77777777" w:rsidR="0054386E" w:rsidRDefault="0054386E">
      <w:r>
        <w:separator/>
      </w:r>
    </w:p>
  </w:endnote>
  <w:endnote w:type="continuationSeparator" w:id="0">
    <w:p w14:paraId="6B54BE23" w14:textId="77777777" w:rsidR="0054386E" w:rsidRDefault="005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7B047B69" w:rsidR="006E1003" w:rsidRPr="009C36C3" w:rsidRDefault="006E1003"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A50B2">
      <w:rPr>
        <w:noProof/>
        <w:sz w:val="20"/>
        <w:szCs w:val="20"/>
      </w:rPr>
      <w:t>EMAnot_090419_LAS_cenr.docx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77777777" w:rsidR="006E1003" w:rsidRDefault="006E1003">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EMAnot_131218_KPI_cenr.docx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84BD" w14:textId="77777777" w:rsidR="0054386E" w:rsidRDefault="0054386E">
      <w:r>
        <w:separator/>
      </w:r>
    </w:p>
  </w:footnote>
  <w:footnote w:type="continuationSeparator" w:id="0">
    <w:p w14:paraId="667B79B8" w14:textId="77777777" w:rsidR="0054386E" w:rsidRDefault="0054386E">
      <w:r>
        <w:continuationSeparator/>
      </w:r>
    </w:p>
  </w:footnote>
  <w:footnote w:id="1">
    <w:p w14:paraId="494391E2" w14:textId="31064522" w:rsidR="006E1003" w:rsidRDefault="006E1003">
      <w:pPr>
        <w:pStyle w:val="FootnoteText"/>
      </w:pPr>
      <w:r>
        <w:rPr>
          <w:rStyle w:val="FootnoteReference"/>
        </w:rPr>
        <w:footnoteRef/>
      </w:r>
      <w:r>
        <w:t xml:space="preserve"> </w:t>
      </w:r>
      <w:bookmarkStart w:id="2" w:name="_Hlk536455591"/>
      <w:r w:rsidRPr="00F109E4">
        <w:t>https://www.em.gov.lv/lv/nozares_politika/buvnieciba/</w:t>
      </w:r>
      <w:r>
        <w:t>buvspecialisti</w:t>
      </w:r>
      <w:r w:rsidRPr="00F109E4">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6116"/>
      <w:docPartObj>
        <w:docPartGallery w:val="Page Numbers (Top of Page)"/>
        <w:docPartUnique/>
      </w:docPartObj>
    </w:sdtPr>
    <w:sdtEndPr>
      <w:rPr>
        <w:noProof/>
      </w:rPr>
    </w:sdtEndPr>
    <w:sdtContent>
      <w:p w14:paraId="494391DE" w14:textId="77777777" w:rsidR="006E1003" w:rsidRDefault="006E1003">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494391DF" w14:textId="77777777" w:rsidR="006E1003" w:rsidRDefault="006E1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7"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8"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1"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2"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5"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7"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8"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9"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0"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2"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4"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5"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7"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28"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17"/>
  </w:num>
  <w:num w:numId="4">
    <w:abstractNumId w:val="24"/>
  </w:num>
  <w:num w:numId="5">
    <w:abstractNumId w:val="10"/>
  </w:num>
  <w:num w:numId="6">
    <w:abstractNumId w:val="16"/>
  </w:num>
  <w:num w:numId="7">
    <w:abstractNumId w:val="3"/>
  </w:num>
  <w:num w:numId="8">
    <w:abstractNumId w:val="1"/>
  </w:num>
  <w:num w:numId="9">
    <w:abstractNumId w:val="23"/>
  </w:num>
  <w:num w:numId="10">
    <w:abstractNumId w:val="11"/>
  </w:num>
  <w:num w:numId="11">
    <w:abstractNumId w:val="21"/>
  </w:num>
  <w:num w:numId="12">
    <w:abstractNumId w:val="14"/>
  </w:num>
  <w:num w:numId="13">
    <w:abstractNumId w:val="18"/>
  </w:num>
  <w:num w:numId="14">
    <w:abstractNumId w:val="0"/>
  </w:num>
  <w:num w:numId="15">
    <w:abstractNumId w:val="28"/>
  </w:num>
  <w:num w:numId="16">
    <w:abstractNumId w:val="25"/>
  </w:num>
  <w:num w:numId="17">
    <w:abstractNumId w:val="20"/>
  </w:num>
  <w:num w:numId="18">
    <w:abstractNumId w:val="4"/>
  </w:num>
  <w:num w:numId="19">
    <w:abstractNumId w:val="5"/>
  </w:num>
  <w:num w:numId="20">
    <w:abstractNumId w:val="13"/>
  </w:num>
  <w:num w:numId="21">
    <w:abstractNumId w:val="12"/>
  </w:num>
  <w:num w:numId="22">
    <w:abstractNumId w:val="8"/>
  </w:num>
  <w:num w:numId="23">
    <w:abstractNumId w:val="26"/>
  </w:num>
  <w:num w:numId="24">
    <w:abstractNumId w:val="7"/>
  </w:num>
  <w:num w:numId="25">
    <w:abstractNumId w:val="19"/>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12352"/>
    <w:rsid w:val="00013E9A"/>
    <w:rsid w:val="00021740"/>
    <w:rsid w:val="000259BE"/>
    <w:rsid w:val="00026A3E"/>
    <w:rsid w:val="00026F27"/>
    <w:rsid w:val="00031364"/>
    <w:rsid w:val="0003391E"/>
    <w:rsid w:val="000347D8"/>
    <w:rsid w:val="000365F0"/>
    <w:rsid w:val="0003749D"/>
    <w:rsid w:val="00037A92"/>
    <w:rsid w:val="0004239D"/>
    <w:rsid w:val="00047406"/>
    <w:rsid w:val="00052657"/>
    <w:rsid w:val="00053C46"/>
    <w:rsid w:val="0005630E"/>
    <w:rsid w:val="00057408"/>
    <w:rsid w:val="00060F24"/>
    <w:rsid w:val="00061012"/>
    <w:rsid w:val="00063446"/>
    <w:rsid w:val="00064AFF"/>
    <w:rsid w:val="00064DE9"/>
    <w:rsid w:val="00066C9C"/>
    <w:rsid w:val="000719FE"/>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A7D26"/>
    <w:rsid w:val="000A7E37"/>
    <w:rsid w:val="000B4DC5"/>
    <w:rsid w:val="000B4EFE"/>
    <w:rsid w:val="000C1448"/>
    <w:rsid w:val="000C295D"/>
    <w:rsid w:val="000C403F"/>
    <w:rsid w:val="000C44E4"/>
    <w:rsid w:val="000C4D2D"/>
    <w:rsid w:val="000C5469"/>
    <w:rsid w:val="000C78E6"/>
    <w:rsid w:val="000D2D9C"/>
    <w:rsid w:val="000D4323"/>
    <w:rsid w:val="000E056E"/>
    <w:rsid w:val="000E1B3E"/>
    <w:rsid w:val="000E1DAA"/>
    <w:rsid w:val="000E47E0"/>
    <w:rsid w:val="000E7589"/>
    <w:rsid w:val="000E7C57"/>
    <w:rsid w:val="000F5102"/>
    <w:rsid w:val="000F5F54"/>
    <w:rsid w:val="00101937"/>
    <w:rsid w:val="00103620"/>
    <w:rsid w:val="00106E39"/>
    <w:rsid w:val="00106F94"/>
    <w:rsid w:val="00111311"/>
    <w:rsid w:val="001114A8"/>
    <w:rsid w:val="00113C64"/>
    <w:rsid w:val="00114640"/>
    <w:rsid w:val="00115D80"/>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4017"/>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50DA"/>
    <w:rsid w:val="001C05E2"/>
    <w:rsid w:val="001C45AC"/>
    <w:rsid w:val="001D000B"/>
    <w:rsid w:val="001D00AA"/>
    <w:rsid w:val="001D1D0E"/>
    <w:rsid w:val="001D4F44"/>
    <w:rsid w:val="001E1344"/>
    <w:rsid w:val="001E1EA0"/>
    <w:rsid w:val="001F0223"/>
    <w:rsid w:val="001F02B7"/>
    <w:rsid w:val="001F2805"/>
    <w:rsid w:val="001F3847"/>
    <w:rsid w:val="001F490F"/>
    <w:rsid w:val="001F5971"/>
    <w:rsid w:val="001F6499"/>
    <w:rsid w:val="0020047F"/>
    <w:rsid w:val="0020255C"/>
    <w:rsid w:val="0020488B"/>
    <w:rsid w:val="0020771F"/>
    <w:rsid w:val="00211BFD"/>
    <w:rsid w:val="002130EC"/>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4A5D"/>
    <w:rsid w:val="00256B2C"/>
    <w:rsid w:val="002574E6"/>
    <w:rsid w:val="00261913"/>
    <w:rsid w:val="00262845"/>
    <w:rsid w:val="00265082"/>
    <w:rsid w:val="002655AC"/>
    <w:rsid w:val="00265679"/>
    <w:rsid w:val="002757BA"/>
    <w:rsid w:val="00281BA3"/>
    <w:rsid w:val="00286F08"/>
    <w:rsid w:val="002873BD"/>
    <w:rsid w:val="00293120"/>
    <w:rsid w:val="002960B7"/>
    <w:rsid w:val="002972A4"/>
    <w:rsid w:val="002A234A"/>
    <w:rsid w:val="002A6382"/>
    <w:rsid w:val="002B05BA"/>
    <w:rsid w:val="002B4723"/>
    <w:rsid w:val="002B4DC4"/>
    <w:rsid w:val="002C0ACD"/>
    <w:rsid w:val="002C527E"/>
    <w:rsid w:val="002C55BD"/>
    <w:rsid w:val="002C56BC"/>
    <w:rsid w:val="002C7259"/>
    <w:rsid w:val="002C78A0"/>
    <w:rsid w:val="002D20F1"/>
    <w:rsid w:val="002D67D8"/>
    <w:rsid w:val="002D7166"/>
    <w:rsid w:val="002E13B4"/>
    <w:rsid w:val="002E264C"/>
    <w:rsid w:val="002E5A95"/>
    <w:rsid w:val="002E7248"/>
    <w:rsid w:val="002F0979"/>
    <w:rsid w:val="002F1D71"/>
    <w:rsid w:val="002F1F46"/>
    <w:rsid w:val="002F4B13"/>
    <w:rsid w:val="002F52E2"/>
    <w:rsid w:val="002F6CDE"/>
    <w:rsid w:val="002F7C2D"/>
    <w:rsid w:val="00301726"/>
    <w:rsid w:val="003046D3"/>
    <w:rsid w:val="00305144"/>
    <w:rsid w:val="00305FDF"/>
    <w:rsid w:val="00306CA0"/>
    <w:rsid w:val="00312498"/>
    <w:rsid w:val="003162A1"/>
    <w:rsid w:val="003173E5"/>
    <w:rsid w:val="003222F8"/>
    <w:rsid w:val="003252AE"/>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70B"/>
    <w:rsid w:val="00360524"/>
    <w:rsid w:val="0036295A"/>
    <w:rsid w:val="00367545"/>
    <w:rsid w:val="00371A18"/>
    <w:rsid w:val="00371A41"/>
    <w:rsid w:val="0037320F"/>
    <w:rsid w:val="0037328C"/>
    <w:rsid w:val="00374554"/>
    <w:rsid w:val="00374CAD"/>
    <w:rsid w:val="00380C19"/>
    <w:rsid w:val="00386EA8"/>
    <w:rsid w:val="00391C66"/>
    <w:rsid w:val="0039261E"/>
    <w:rsid w:val="003A2C7F"/>
    <w:rsid w:val="003A5C5F"/>
    <w:rsid w:val="003A71C2"/>
    <w:rsid w:val="003B044A"/>
    <w:rsid w:val="003B1642"/>
    <w:rsid w:val="003B4B3E"/>
    <w:rsid w:val="003C17DF"/>
    <w:rsid w:val="003C3CD9"/>
    <w:rsid w:val="003C6409"/>
    <w:rsid w:val="003D1F6B"/>
    <w:rsid w:val="003D1F8A"/>
    <w:rsid w:val="003E2AB8"/>
    <w:rsid w:val="003E3107"/>
    <w:rsid w:val="003E51D8"/>
    <w:rsid w:val="003E6879"/>
    <w:rsid w:val="003E71C5"/>
    <w:rsid w:val="003F0979"/>
    <w:rsid w:val="003F5C6E"/>
    <w:rsid w:val="003F6C14"/>
    <w:rsid w:val="00403044"/>
    <w:rsid w:val="00410BB6"/>
    <w:rsid w:val="004160B4"/>
    <w:rsid w:val="00417087"/>
    <w:rsid w:val="00420BDC"/>
    <w:rsid w:val="00422B12"/>
    <w:rsid w:val="004267BF"/>
    <w:rsid w:val="0042698C"/>
    <w:rsid w:val="0042788B"/>
    <w:rsid w:val="00430A57"/>
    <w:rsid w:val="004327C5"/>
    <w:rsid w:val="004330F8"/>
    <w:rsid w:val="00433601"/>
    <w:rsid w:val="00435615"/>
    <w:rsid w:val="004360B2"/>
    <w:rsid w:val="00441AAA"/>
    <w:rsid w:val="0044380E"/>
    <w:rsid w:val="0044587A"/>
    <w:rsid w:val="00445996"/>
    <w:rsid w:val="00445FC9"/>
    <w:rsid w:val="00446DAB"/>
    <w:rsid w:val="00447527"/>
    <w:rsid w:val="00451F61"/>
    <w:rsid w:val="0045462A"/>
    <w:rsid w:val="0045563C"/>
    <w:rsid w:val="00457AF6"/>
    <w:rsid w:val="00462CA0"/>
    <w:rsid w:val="00466C3A"/>
    <w:rsid w:val="00471095"/>
    <w:rsid w:val="00471C87"/>
    <w:rsid w:val="00473ED4"/>
    <w:rsid w:val="00473F9D"/>
    <w:rsid w:val="00480E00"/>
    <w:rsid w:val="00485616"/>
    <w:rsid w:val="00486C08"/>
    <w:rsid w:val="00490E1B"/>
    <w:rsid w:val="00493A83"/>
    <w:rsid w:val="00497D16"/>
    <w:rsid w:val="004A1321"/>
    <w:rsid w:val="004A22A4"/>
    <w:rsid w:val="004A3238"/>
    <w:rsid w:val="004A7DCB"/>
    <w:rsid w:val="004B2D3A"/>
    <w:rsid w:val="004B4668"/>
    <w:rsid w:val="004C48F7"/>
    <w:rsid w:val="004C5DAC"/>
    <w:rsid w:val="004D2FD7"/>
    <w:rsid w:val="004D5914"/>
    <w:rsid w:val="004D6765"/>
    <w:rsid w:val="004E1F8F"/>
    <w:rsid w:val="004E4DD9"/>
    <w:rsid w:val="004E58A2"/>
    <w:rsid w:val="004E638D"/>
    <w:rsid w:val="004F037B"/>
    <w:rsid w:val="004F0EF4"/>
    <w:rsid w:val="004F429E"/>
    <w:rsid w:val="004F5E98"/>
    <w:rsid w:val="004F6E35"/>
    <w:rsid w:val="004F7C2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50F7C"/>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637"/>
    <w:rsid w:val="005D4518"/>
    <w:rsid w:val="005D70DF"/>
    <w:rsid w:val="005D7A3E"/>
    <w:rsid w:val="005F11BD"/>
    <w:rsid w:val="005F1B3A"/>
    <w:rsid w:val="005F1CE1"/>
    <w:rsid w:val="005F2C4A"/>
    <w:rsid w:val="005F3091"/>
    <w:rsid w:val="005F4046"/>
    <w:rsid w:val="005F5F07"/>
    <w:rsid w:val="00602F30"/>
    <w:rsid w:val="00604CFB"/>
    <w:rsid w:val="006054CA"/>
    <w:rsid w:val="006078BE"/>
    <w:rsid w:val="00622380"/>
    <w:rsid w:val="00626D11"/>
    <w:rsid w:val="00630BEE"/>
    <w:rsid w:val="006333B4"/>
    <w:rsid w:val="00637027"/>
    <w:rsid w:val="00641998"/>
    <w:rsid w:val="00644F79"/>
    <w:rsid w:val="00645773"/>
    <w:rsid w:val="006460EE"/>
    <w:rsid w:val="00647229"/>
    <w:rsid w:val="0065011B"/>
    <w:rsid w:val="00653B64"/>
    <w:rsid w:val="006558AA"/>
    <w:rsid w:val="00656B5C"/>
    <w:rsid w:val="00661FAF"/>
    <w:rsid w:val="00662942"/>
    <w:rsid w:val="00662B82"/>
    <w:rsid w:val="0066352D"/>
    <w:rsid w:val="00664C74"/>
    <w:rsid w:val="00664D5F"/>
    <w:rsid w:val="00666600"/>
    <w:rsid w:val="00671596"/>
    <w:rsid w:val="00671944"/>
    <w:rsid w:val="00675275"/>
    <w:rsid w:val="00684FFD"/>
    <w:rsid w:val="006858C4"/>
    <w:rsid w:val="00685BC8"/>
    <w:rsid w:val="00687679"/>
    <w:rsid w:val="00687BFB"/>
    <w:rsid w:val="00690B8E"/>
    <w:rsid w:val="006910CD"/>
    <w:rsid w:val="00691559"/>
    <w:rsid w:val="00694072"/>
    <w:rsid w:val="006959D6"/>
    <w:rsid w:val="00696552"/>
    <w:rsid w:val="006A3533"/>
    <w:rsid w:val="006A5F9D"/>
    <w:rsid w:val="006B19FE"/>
    <w:rsid w:val="006B1C47"/>
    <w:rsid w:val="006C41A9"/>
    <w:rsid w:val="006C63BA"/>
    <w:rsid w:val="006D2EF8"/>
    <w:rsid w:val="006D68C5"/>
    <w:rsid w:val="006D7239"/>
    <w:rsid w:val="006E1003"/>
    <w:rsid w:val="006E2C23"/>
    <w:rsid w:val="006E35D4"/>
    <w:rsid w:val="006E44C9"/>
    <w:rsid w:val="006E7A69"/>
    <w:rsid w:val="006F23A5"/>
    <w:rsid w:val="006F5885"/>
    <w:rsid w:val="006F71EA"/>
    <w:rsid w:val="00703A01"/>
    <w:rsid w:val="00704509"/>
    <w:rsid w:val="007067FA"/>
    <w:rsid w:val="007077D4"/>
    <w:rsid w:val="00712191"/>
    <w:rsid w:val="00715417"/>
    <w:rsid w:val="007171B2"/>
    <w:rsid w:val="007174FD"/>
    <w:rsid w:val="00725349"/>
    <w:rsid w:val="00730A4F"/>
    <w:rsid w:val="00730B3B"/>
    <w:rsid w:val="00730E45"/>
    <w:rsid w:val="0073105C"/>
    <w:rsid w:val="0073346F"/>
    <w:rsid w:val="00736AC1"/>
    <w:rsid w:val="00736BBC"/>
    <w:rsid w:val="007401D3"/>
    <w:rsid w:val="00740602"/>
    <w:rsid w:val="00744246"/>
    <w:rsid w:val="007449A8"/>
    <w:rsid w:val="00746B81"/>
    <w:rsid w:val="007506D1"/>
    <w:rsid w:val="007622D5"/>
    <w:rsid w:val="00764C1C"/>
    <w:rsid w:val="00770594"/>
    <w:rsid w:val="00770AC7"/>
    <w:rsid w:val="00770AFA"/>
    <w:rsid w:val="00774E4C"/>
    <w:rsid w:val="0077698E"/>
    <w:rsid w:val="00781BA9"/>
    <w:rsid w:val="00784BCC"/>
    <w:rsid w:val="007861AF"/>
    <w:rsid w:val="0078705C"/>
    <w:rsid w:val="00787DBB"/>
    <w:rsid w:val="00793205"/>
    <w:rsid w:val="007941FC"/>
    <w:rsid w:val="007A009D"/>
    <w:rsid w:val="007A0521"/>
    <w:rsid w:val="007A0FBA"/>
    <w:rsid w:val="007A17BF"/>
    <w:rsid w:val="007A2E82"/>
    <w:rsid w:val="007A50B2"/>
    <w:rsid w:val="007A5ECA"/>
    <w:rsid w:val="007C0208"/>
    <w:rsid w:val="007C0CCB"/>
    <w:rsid w:val="007C2632"/>
    <w:rsid w:val="007C37B8"/>
    <w:rsid w:val="007C4D0D"/>
    <w:rsid w:val="007D318B"/>
    <w:rsid w:val="007D5CAB"/>
    <w:rsid w:val="007E17D3"/>
    <w:rsid w:val="007E1B0F"/>
    <w:rsid w:val="007E2C4F"/>
    <w:rsid w:val="007E53DC"/>
    <w:rsid w:val="007E64F1"/>
    <w:rsid w:val="007F2330"/>
    <w:rsid w:val="007F2FF9"/>
    <w:rsid w:val="007F42E4"/>
    <w:rsid w:val="007F7FCB"/>
    <w:rsid w:val="008010CA"/>
    <w:rsid w:val="00806754"/>
    <w:rsid w:val="00807D03"/>
    <w:rsid w:val="008118D9"/>
    <w:rsid w:val="00812E43"/>
    <w:rsid w:val="00813717"/>
    <w:rsid w:val="00814949"/>
    <w:rsid w:val="0081518E"/>
    <w:rsid w:val="00820521"/>
    <w:rsid w:val="00823F93"/>
    <w:rsid w:val="00831571"/>
    <w:rsid w:val="008346BC"/>
    <w:rsid w:val="008355B9"/>
    <w:rsid w:val="00835A27"/>
    <w:rsid w:val="00836331"/>
    <w:rsid w:val="008406CB"/>
    <w:rsid w:val="0084238D"/>
    <w:rsid w:val="0085094E"/>
    <w:rsid w:val="00850CAE"/>
    <w:rsid w:val="008518B8"/>
    <w:rsid w:val="0085447F"/>
    <w:rsid w:val="00854BBB"/>
    <w:rsid w:val="00857D89"/>
    <w:rsid w:val="00860FE1"/>
    <w:rsid w:val="008634D3"/>
    <w:rsid w:val="0086369F"/>
    <w:rsid w:val="00864B18"/>
    <w:rsid w:val="008654CD"/>
    <w:rsid w:val="0087080F"/>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3868"/>
    <w:rsid w:val="008B69B2"/>
    <w:rsid w:val="008C11FE"/>
    <w:rsid w:val="008C54F6"/>
    <w:rsid w:val="008C5945"/>
    <w:rsid w:val="008D0205"/>
    <w:rsid w:val="008D1627"/>
    <w:rsid w:val="008D27ED"/>
    <w:rsid w:val="008D586F"/>
    <w:rsid w:val="008D7B2C"/>
    <w:rsid w:val="008E20CA"/>
    <w:rsid w:val="008E37E1"/>
    <w:rsid w:val="008E5D4D"/>
    <w:rsid w:val="008F30BA"/>
    <w:rsid w:val="008F53A4"/>
    <w:rsid w:val="008F597A"/>
    <w:rsid w:val="00905240"/>
    <w:rsid w:val="00906D57"/>
    <w:rsid w:val="009070D2"/>
    <w:rsid w:val="00910521"/>
    <w:rsid w:val="00914C95"/>
    <w:rsid w:val="00917E28"/>
    <w:rsid w:val="00921BD1"/>
    <w:rsid w:val="00922B83"/>
    <w:rsid w:val="009260F3"/>
    <w:rsid w:val="009277E1"/>
    <w:rsid w:val="00933EC4"/>
    <w:rsid w:val="00935024"/>
    <w:rsid w:val="00935CF7"/>
    <w:rsid w:val="0093683F"/>
    <w:rsid w:val="00936952"/>
    <w:rsid w:val="00941371"/>
    <w:rsid w:val="00941AA5"/>
    <w:rsid w:val="00943E24"/>
    <w:rsid w:val="00945599"/>
    <w:rsid w:val="0094647F"/>
    <w:rsid w:val="009468C9"/>
    <w:rsid w:val="009479F9"/>
    <w:rsid w:val="00954956"/>
    <w:rsid w:val="00955D10"/>
    <w:rsid w:val="0095692D"/>
    <w:rsid w:val="00956FC9"/>
    <w:rsid w:val="00960AFA"/>
    <w:rsid w:val="00962AF4"/>
    <w:rsid w:val="00963AD9"/>
    <w:rsid w:val="00967A53"/>
    <w:rsid w:val="009724A0"/>
    <w:rsid w:val="009724A6"/>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44D8"/>
    <w:rsid w:val="009C470C"/>
    <w:rsid w:val="009C61CF"/>
    <w:rsid w:val="009C68B2"/>
    <w:rsid w:val="009C750C"/>
    <w:rsid w:val="009D2FBD"/>
    <w:rsid w:val="009D5BBB"/>
    <w:rsid w:val="009D66C8"/>
    <w:rsid w:val="009D6904"/>
    <w:rsid w:val="009E1678"/>
    <w:rsid w:val="009E396C"/>
    <w:rsid w:val="009E5D5A"/>
    <w:rsid w:val="009F0B72"/>
    <w:rsid w:val="009F30F5"/>
    <w:rsid w:val="009F340F"/>
    <w:rsid w:val="009F45FC"/>
    <w:rsid w:val="009F734F"/>
    <w:rsid w:val="00A00CBC"/>
    <w:rsid w:val="00A120ED"/>
    <w:rsid w:val="00A132D8"/>
    <w:rsid w:val="00A144EA"/>
    <w:rsid w:val="00A15C64"/>
    <w:rsid w:val="00A16C6D"/>
    <w:rsid w:val="00A25225"/>
    <w:rsid w:val="00A257AC"/>
    <w:rsid w:val="00A30EE6"/>
    <w:rsid w:val="00A313A1"/>
    <w:rsid w:val="00A32C5A"/>
    <w:rsid w:val="00A3410C"/>
    <w:rsid w:val="00A43F82"/>
    <w:rsid w:val="00A477A0"/>
    <w:rsid w:val="00A53CB3"/>
    <w:rsid w:val="00A5594D"/>
    <w:rsid w:val="00A56106"/>
    <w:rsid w:val="00A56C56"/>
    <w:rsid w:val="00A57548"/>
    <w:rsid w:val="00A61C1D"/>
    <w:rsid w:val="00A673FC"/>
    <w:rsid w:val="00A70AB3"/>
    <w:rsid w:val="00A7157A"/>
    <w:rsid w:val="00A739A4"/>
    <w:rsid w:val="00A75671"/>
    <w:rsid w:val="00A7594E"/>
    <w:rsid w:val="00A75DAE"/>
    <w:rsid w:val="00A8049D"/>
    <w:rsid w:val="00A823F2"/>
    <w:rsid w:val="00A84BE4"/>
    <w:rsid w:val="00A86CA4"/>
    <w:rsid w:val="00A8798F"/>
    <w:rsid w:val="00A87D40"/>
    <w:rsid w:val="00A929A6"/>
    <w:rsid w:val="00A935AC"/>
    <w:rsid w:val="00A95BEA"/>
    <w:rsid w:val="00A97860"/>
    <w:rsid w:val="00AA18CB"/>
    <w:rsid w:val="00AA2B92"/>
    <w:rsid w:val="00AA2BE2"/>
    <w:rsid w:val="00AA5715"/>
    <w:rsid w:val="00AB7E83"/>
    <w:rsid w:val="00AB7F20"/>
    <w:rsid w:val="00AC0E40"/>
    <w:rsid w:val="00AC144B"/>
    <w:rsid w:val="00AC550B"/>
    <w:rsid w:val="00AD389F"/>
    <w:rsid w:val="00AD49A5"/>
    <w:rsid w:val="00AD4F6E"/>
    <w:rsid w:val="00AD5B4A"/>
    <w:rsid w:val="00AD7B2D"/>
    <w:rsid w:val="00AE2E51"/>
    <w:rsid w:val="00AE4C68"/>
    <w:rsid w:val="00AE7FC1"/>
    <w:rsid w:val="00AF0385"/>
    <w:rsid w:val="00AF05A1"/>
    <w:rsid w:val="00AF17E7"/>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500DE"/>
    <w:rsid w:val="00B55735"/>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925B0"/>
    <w:rsid w:val="00B93515"/>
    <w:rsid w:val="00B94112"/>
    <w:rsid w:val="00B9422A"/>
    <w:rsid w:val="00B96E3C"/>
    <w:rsid w:val="00BB0AE1"/>
    <w:rsid w:val="00BB1412"/>
    <w:rsid w:val="00BB1B72"/>
    <w:rsid w:val="00BB279B"/>
    <w:rsid w:val="00BB7186"/>
    <w:rsid w:val="00BB73D5"/>
    <w:rsid w:val="00BC5121"/>
    <w:rsid w:val="00BC5B05"/>
    <w:rsid w:val="00BC6411"/>
    <w:rsid w:val="00BC6B0E"/>
    <w:rsid w:val="00BD1F3B"/>
    <w:rsid w:val="00BD4E32"/>
    <w:rsid w:val="00BD5588"/>
    <w:rsid w:val="00BD7871"/>
    <w:rsid w:val="00BE601A"/>
    <w:rsid w:val="00BF0DEC"/>
    <w:rsid w:val="00BF29F3"/>
    <w:rsid w:val="00BF4208"/>
    <w:rsid w:val="00BF5C85"/>
    <w:rsid w:val="00C01E9F"/>
    <w:rsid w:val="00C02C98"/>
    <w:rsid w:val="00C04CA1"/>
    <w:rsid w:val="00C050E7"/>
    <w:rsid w:val="00C11F43"/>
    <w:rsid w:val="00C17487"/>
    <w:rsid w:val="00C22835"/>
    <w:rsid w:val="00C24361"/>
    <w:rsid w:val="00C250AC"/>
    <w:rsid w:val="00C2541A"/>
    <w:rsid w:val="00C271AB"/>
    <w:rsid w:val="00C32595"/>
    <w:rsid w:val="00C32F8D"/>
    <w:rsid w:val="00C35CC5"/>
    <w:rsid w:val="00C369B1"/>
    <w:rsid w:val="00C36D50"/>
    <w:rsid w:val="00C46579"/>
    <w:rsid w:val="00C50D47"/>
    <w:rsid w:val="00C50D68"/>
    <w:rsid w:val="00C54801"/>
    <w:rsid w:val="00C60815"/>
    <w:rsid w:val="00C61359"/>
    <w:rsid w:val="00C616BC"/>
    <w:rsid w:val="00C63916"/>
    <w:rsid w:val="00C64B1A"/>
    <w:rsid w:val="00C65604"/>
    <w:rsid w:val="00C65978"/>
    <w:rsid w:val="00C65E26"/>
    <w:rsid w:val="00C706EA"/>
    <w:rsid w:val="00C711EA"/>
    <w:rsid w:val="00C721C7"/>
    <w:rsid w:val="00C7261C"/>
    <w:rsid w:val="00C81749"/>
    <w:rsid w:val="00C82409"/>
    <w:rsid w:val="00C825A6"/>
    <w:rsid w:val="00C842D4"/>
    <w:rsid w:val="00C8600B"/>
    <w:rsid w:val="00C87146"/>
    <w:rsid w:val="00C928B5"/>
    <w:rsid w:val="00C92CB1"/>
    <w:rsid w:val="00C93083"/>
    <w:rsid w:val="00C9438F"/>
    <w:rsid w:val="00C96250"/>
    <w:rsid w:val="00C978B3"/>
    <w:rsid w:val="00CA26AB"/>
    <w:rsid w:val="00CA7328"/>
    <w:rsid w:val="00CB1554"/>
    <w:rsid w:val="00CB452F"/>
    <w:rsid w:val="00CB4C58"/>
    <w:rsid w:val="00CB5BD2"/>
    <w:rsid w:val="00CC0370"/>
    <w:rsid w:val="00CC2EC1"/>
    <w:rsid w:val="00CC598E"/>
    <w:rsid w:val="00CC61BB"/>
    <w:rsid w:val="00CD0804"/>
    <w:rsid w:val="00CE176D"/>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3C16"/>
    <w:rsid w:val="00D442F7"/>
    <w:rsid w:val="00D53CAA"/>
    <w:rsid w:val="00D57365"/>
    <w:rsid w:val="00D60B72"/>
    <w:rsid w:val="00D60C4A"/>
    <w:rsid w:val="00D626CC"/>
    <w:rsid w:val="00D67853"/>
    <w:rsid w:val="00D70DBF"/>
    <w:rsid w:val="00D7172F"/>
    <w:rsid w:val="00D71FD3"/>
    <w:rsid w:val="00D739E1"/>
    <w:rsid w:val="00D76E5C"/>
    <w:rsid w:val="00D8230B"/>
    <w:rsid w:val="00D84D1A"/>
    <w:rsid w:val="00D84DBF"/>
    <w:rsid w:val="00D84E0C"/>
    <w:rsid w:val="00D85216"/>
    <w:rsid w:val="00D86996"/>
    <w:rsid w:val="00D9526F"/>
    <w:rsid w:val="00D96E63"/>
    <w:rsid w:val="00DA1545"/>
    <w:rsid w:val="00DA2BC9"/>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B11"/>
    <w:rsid w:val="00DE6782"/>
    <w:rsid w:val="00DF086B"/>
    <w:rsid w:val="00DF1064"/>
    <w:rsid w:val="00DF16FA"/>
    <w:rsid w:val="00DF2DA5"/>
    <w:rsid w:val="00E03F83"/>
    <w:rsid w:val="00E04291"/>
    <w:rsid w:val="00E063A4"/>
    <w:rsid w:val="00E072D8"/>
    <w:rsid w:val="00E12FC5"/>
    <w:rsid w:val="00E13684"/>
    <w:rsid w:val="00E17384"/>
    <w:rsid w:val="00E226C5"/>
    <w:rsid w:val="00E265D9"/>
    <w:rsid w:val="00E273A1"/>
    <w:rsid w:val="00E27FD5"/>
    <w:rsid w:val="00E30236"/>
    <w:rsid w:val="00E37A50"/>
    <w:rsid w:val="00E37CCB"/>
    <w:rsid w:val="00E40162"/>
    <w:rsid w:val="00E44034"/>
    <w:rsid w:val="00E44472"/>
    <w:rsid w:val="00E44E02"/>
    <w:rsid w:val="00E50E6D"/>
    <w:rsid w:val="00E538DD"/>
    <w:rsid w:val="00E55E6C"/>
    <w:rsid w:val="00E55EBD"/>
    <w:rsid w:val="00E6066C"/>
    <w:rsid w:val="00E647BE"/>
    <w:rsid w:val="00E65509"/>
    <w:rsid w:val="00E65BA1"/>
    <w:rsid w:val="00E67D5B"/>
    <w:rsid w:val="00E744A6"/>
    <w:rsid w:val="00E75142"/>
    <w:rsid w:val="00E75269"/>
    <w:rsid w:val="00E80197"/>
    <w:rsid w:val="00E81071"/>
    <w:rsid w:val="00E8436C"/>
    <w:rsid w:val="00E846F4"/>
    <w:rsid w:val="00E84E77"/>
    <w:rsid w:val="00E9502E"/>
    <w:rsid w:val="00E95CFC"/>
    <w:rsid w:val="00E96134"/>
    <w:rsid w:val="00E961BD"/>
    <w:rsid w:val="00EA0744"/>
    <w:rsid w:val="00EA1F88"/>
    <w:rsid w:val="00EA3D31"/>
    <w:rsid w:val="00EA410A"/>
    <w:rsid w:val="00EA4F58"/>
    <w:rsid w:val="00EA70E5"/>
    <w:rsid w:val="00EB4236"/>
    <w:rsid w:val="00EB796A"/>
    <w:rsid w:val="00EC2439"/>
    <w:rsid w:val="00EC271D"/>
    <w:rsid w:val="00EC27FE"/>
    <w:rsid w:val="00EC74CE"/>
    <w:rsid w:val="00EC78C2"/>
    <w:rsid w:val="00ED2B0A"/>
    <w:rsid w:val="00ED2D7B"/>
    <w:rsid w:val="00ED7E73"/>
    <w:rsid w:val="00EE3CCF"/>
    <w:rsid w:val="00EE5671"/>
    <w:rsid w:val="00EE59E4"/>
    <w:rsid w:val="00EE640D"/>
    <w:rsid w:val="00EE6C56"/>
    <w:rsid w:val="00EF1283"/>
    <w:rsid w:val="00EF1EE3"/>
    <w:rsid w:val="00EF2C74"/>
    <w:rsid w:val="00EF33F2"/>
    <w:rsid w:val="00EF3683"/>
    <w:rsid w:val="00EF6408"/>
    <w:rsid w:val="00F01F2F"/>
    <w:rsid w:val="00F0235A"/>
    <w:rsid w:val="00F05CA2"/>
    <w:rsid w:val="00F109E4"/>
    <w:rsid w:val="00F213DD"/>
    <w:rsid w:val="00F24CC9"/>
    <w:rsid w:val="00F25DBB"/>
    <w:rsid w:val="00F27C71"/>
    <w:rsid w:val="00F27E10"/>
    <w:rsid w:val="00F360B5"/>
    <w:rsid w:val="00F3731A"/>
    <w:rsid w:val="00F43962"/>
    <w:rsid w:val="00F478A2"/>
    <w:rsid w:val="00F502BA"/>
    <w:rsid w:val="00F52FEE"/>
    <w:rsid w:val="00F54498"/>
    <w:rsid w:val="00F544AD"/>
    <w:rsid w:val="00F57DC3"/>
    <w:rsid w:val="00F615B8"/>
    <w:rsid w:val="00F6294C"/>
    <w:rsid w:val="00F66026"/>
    <w:rsid w:val="00F71CA5"/>
    <w:rsid w:val="00F72657"/>
    <w:rsid w:val="00F7595E"/>
    <w:rsid w:val="00F75E3D"/>
    <w:rsid w:val="00F76D43"/>
    <w:rsid w:val="00F7727C"/>
    <w:rsid w:val="00F8173F"/>
    <w:rsid w:val="00F8383A"/>
    <w:rsid w:val="00F843A3"/>
    <w:rsid w:val="00F87404"/>
    <w:rsid w:val="00F90202"/>
    <w:rsid w:val="00F947AC"/>
    <w:rsid w:val="00FA0975"/>
    <w:rsid w:val="00FA124C"/>
    <w:rsid w:val="00FA13C1"/>
    <w:rsid w:val="00FA3B65"/>
    <w:rsid w:val="00FB1045"/>
    <w:rsid w:val="00FB176F"/>
    <w:rsid w:val="00FB3024"/>
    <w:rsid w:val="00FB3168"/>
    <w:rsid w:val="00FC1CAA"/>
    <w:rsid w:val="00FC6C20"/>
    <w:rsid w:val="00FC7129"/>
    <w:rsid w:val="00FD29AD"/>
    <w:rsid w:val="00FD43F6"/>
    <w:rsid w:val="00FE0E49"/>
    <w:rsid w:val="00FE33B5"/>
    <w:rsid w:val="00FE3C00"/>
    <w:rsid w:val="00FE43C1"/>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3DD5-C1D3-4BCC-AA10-1F288E6C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19568</Words>
  <Characters>11155</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30</cp:revision>
  <cp:lastPrinted>2018-11-23T13:06:00Z</cp:lastPrinted>
  <dcterms:created xsi:type="dcterms:W3CDTF">2019-03-20T15:32:00Z</dcterms:created>
  <dcterms:modified xsi:type="dcterms:W3CDTF">2019-04-09T07:20:00Z</dcterms:modified>
</cp:coreProperties>
</file>