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BAAB" w14:textId="77777777" w:rsidR="009A69C6" w:rsidRPr="00C50AD8" w:rsidRDefault="009A69C6" w:rsidP="00B404D4">
      <w:pPr>
        <w:jc w:val="right"/>
        <w:rPr>
          <w:rFonts w:ascii="Times New Roman" w:eastAsia="Times New Roman" w:hAnsi="Times New Roman" w:cs="Times New Roman"/>
          <w:i/>
          <w:sz w:val="28"/>
          <w:szCs w:val="28"/>
          <w:lang w:eastAsia="lv-LV"/>
        </w:rPr>
      </w:pPr>
      <w:r w:rsidRPr="00C50AD8">
        <w:rPr>
          <w:rFonts w:ascii="Times New Roman" w:eastAsia="Times New Roman" w:hAnsi="Times New Roman" w:cs="Times New Roman"/>
          <w:i/>
          <w:sz w:val="28"/>
          <w:szCs w:val="28"/>
          <w:lang w:eastAsia="lv-LV"/>
        </w:rPr>
        <w:t>Projekts</w:t>
      </w:r>
    </w:p>
    <w:p w14:paraId="387111F5" w14:textId="77777777" w:rsidR="009A69C6" w:rsidRPr="00C50AD8" w:rsidRDefault="009A69C6" w:rsidP="009A69C6">
      <w:pPr>
        <w:spacing w:after="0" w:line="240" w:lineRule="auto"/>
        <w:jc w:val="right"/>
        <w:rPr>
          <w:rFonts w:ascii="Times New Roman" w:eastAsia="Times New Roman" w:hAnsi="Times New Roman" w:cs="Times New Roman"/>
          <w:i/>
          <w:sz w:val="28"/>
          <w:szCs w:val="28"/>
          <w:lang w:eastAsia="lv-LV"/>
        </w:rPr>
      </w:pPr>
    </w:p>
    <w:p w14:paraId="64CAA3B1" w14:textId="77777777" w:rsidR="009A69C6" w:rsidRPr="00C50AD8" w:rsidRDefault="009A69C6" w:rsidP="009A69C6">
      <w:pPr>
        <w:spacing w:after="0" w:line="240" w:lineRule="auto"/>
        <w:jc w:val="right"/>
        <w:rPr>
          <w:rFonts w:ascii="Times New Roman" w:eastAsia="Times New Roman" w:hAnsi="Times New Roman" w:cs="Times New Roman"/>
          <w:bCs/>
          <w:i/>
          <w:iCs/>
          <w:sz w:val="28"/>
          <w:szCs w:val="28"/>
          <w:lang w:eastAsia="lv-LV"/>
        </w:rPr>
      </w:pPr>
    </w:p>
    <w:p w14:paraId="4CF6A646" w14:textId="77777777" w:rsidR="009A69C6" w:rsidRPr="00C50AD8" w:rsidRDefault="009A69C6" w:rsidP="009A69C6">
      <w:pPr>
        <w:spacing w:after="0" w:line="240" w:lineRule="auto"/>
        <w:jc w:val="right"/>
        <w:rPr>
          <w:rFonts w:ascii="Times New Roman" w:eastAsia="Times New Roman" w:hAnsi="Times New Roman" w:cs="Times New Roman"/>
          <w:bCs/>
          <w:i/>
          <w:iCs/>
          <w:sz w:val="28"/>
          <w:szCs w:val="28"/>
          <w:lang w:eastAsia="lv-LV"/>
        </w:rPr>
      </w:pPr>
      <w:r w:rsidRPr="00C50AD8">
        <w:rPr>
          <w:rFonts w:ascii="Times New Roman" w:eastAsia="Times New Roman" w:hAnsi="Times New Roman" w:cs="Times New Roman"/>
          <w:bCs/>
          <w:i/>
          <w:iCs/>
          <w:sz w:val="28"/>
          <w:szCs w:val="28"/>
          <w:lang w:eastAsia="lv-LV"/>
        </w:rPr>
        <w:t>(Ministru kabineta</w:t>
      </w:r>
    </w:p>
    <w:p w14:paraId="2D55B7A1" w14:textId="77B2B51A" w:rsidR="009A69C6" w:rsidRPr="00C50AD8" w:rsidRDefault="009A69C6" w:rsidP="009A69C6">
      <w:pPr>
        <w:spacing w:after="0" w:line="240" w:lineRule="auto"/>
        <w:jc w:val="right"/>
        <w:rPr>
          <w:rFonts w:ascii="Times New Roman" w:eastAsia="Times New Roman" w:hAnsi="Times New Roman" w:cs="Times New Roman"/>
          <w:bCs/>
          <w:i/>
          <w:iCs/>
          <w:sz w:val="28"/>
          <w:szCs w:val="28"/>
          <w:lang w:eastAsia="lv-LV"/>
        </w:rPr>
      </w:pPr>
      <w:r w:rsidRPr="00C50AD8">
        <w:rPr>
          <w:rFonts w:ascii="Times New Roman" w:eastAsia="Times New Roman" w:hAnsi="Times New Roman" w:cs="Times New Roman"/>
          <w:bCs/>
          <w:i/>
          <w:iCs/>
          <w:sz w:val="28"/>
          <w:szCs w:val="28"/>
          <w:lang w:eastAsia="lv-LV"/>
        </w:rPr>
        <w:t>201</w:t>
      </w:r>
      <w:r w:rsidR="0056698B">
        <w:rPr>
          <w:rFonts w:ascii="Times New Roman" w:eastAsia="Times New Roman" w:hAnsi="Times New Roman" w:cs="Times New Roman"/>
          <w:bCs/>
          <w:i/>
          <w:iCs/>
          <w:sz w:val="28"/>
          <w:szCs w:val="28"/>
          <w:lang w:eastAsia="lv-LV"/>
        </w:rPr>
        <w:t>9</w:t>
      </w:r>
      <w:r w:rsidRPr="00C50AD8">
        <w:rPr>
          <w:rFonts w:ascii="Times New Roman" w:eastAsia="Times New Roman" w:hAnsi="Times New Roman" w:cs="Times New Roman"/>
          <w:bCs/>
          <w:i/>
          <w:iCs/>
          <w:sz w:val="28"/>
          <w:szCs w:val="28"/>
          <w:lang w:eastAsia="lv-LV"/>
        </w:rPr>
        <w:t>. gada __._______</w:t>
      </w:r>
    </w:p>
    <w:p w14:paraId="4C725A0E" w14:textId="77777777" w:rsidR="009A69C6" w:rsidRPr="00C50AD8" w:rsidRDefault="009A69C6" w:rsidP="009A69C6">
      <w:pPr>
        <w:spacing w:after="0" w:line="240" w:lineRule="auto"/>
        <w:jc w:val="right"/>
        <w:rPr>
          <w:rFonts w:ascii="Times New Roman" w:eastAsia="Times New Roman" w:hAnsi="Times New Roman" w:cs="Times New Roman"/>
          <w:i/>
          <w:sz w:val="28"/>
          <w:szCs w:val="28"/>
          <w:lang w:eastAsia="lv-LV"/>
        </w:rPr>
      </w:pPr>
      <w:r w:rsidRPr="00C50AD8">
        <w:rPr>
          <w:rFonts w:ascii="Times New Roman" w:eastAsia="Times New Roman" w:hAnsi="Times New Roman" w:cs="Times New Roman"/>
          <w:i/>
          <w:sz w:val="28"/>
          <w:szCs w:val="28"/>
          <w:lang w:eastAsia="lv-LV"/>
        </w:rPr>
        <w:t>rīkojums Nr.___)</w:t>
      </w:r>
    </w:p>
    <w:p w14:paraId="59F59843" w14:textId="77777777" w:rsidR="009A69C6" w:rsidRPr="00C50AD8" w:rsidRDefault="009A69C6" w:rsidP="009A69C6">
      <w:pPr>
        <w:spacing w:after="0" w:line="240" w:lineRule="auto"/>
        <w:jc w:val="center"/>
        <w:rPr>
          <w:rFonts w:ascii="Times New Roman" w:eastAsia="Times New Roman" w:hAnsi="Times New Roman" w:cs="Times New Roman"/>
          <w:b/>
          <w:bCs/>
          <w:color w:val="414142"/>
          <w:sz w:val="28"/>
          <w:szCs w:val="28"/>
          <w:lang w:eastAsia="lv-LV"/>
        </w:rPr>
      </w:pPr>
    </w:p>
    <w:p w14:paraId="3DDF1FA0" w14:textId="77777777" w:rsidR="009A69C6" w:rsidRPr="00C50AD8" w:rsidRDefault="009A69C6" w:rsidP="009A69C6">
      <w:pPr>
        <w:spacing w:after="0" w:line="240" w:lineRule="auto"/>
        <w:jc w:val="center"/>
        <w:rPr>
          <w:rFonts w:ascii="Times New Roman" w:eastAsia="Times New Roman" w:hAnsi="Times New Roman" w:cs="Times New Roman"/>
          <w:b/>
          <w:bCs/>
          <w:color w:val="414142"/>
          <w:sz w:val="28"/>
          <w:szCs w:val="28"/>
          <w:lang w:eastAsia="lv-LV"/>
        </w:rPr>
      </w:pPr>
    </w:p>
    <w:p w14:paraId="33CD1C6F" w14:textId="77777777" w:rsidR="009A69C6" w:rsidRPr="00C50AD8" w:rsidRDefault="009A69C6" w:rsidP="009A69C6">
      <w:pPr>
        <w:spacing w:after="0" w:line="240" w:lineRule="auto"/>
        <w:jc w:val="center"/>
        <w:rPr>
          <w:rFonts w:ascii="Times New Roman" w:eastAsia="Times New Roman" w:hAnsi="Times New Roman" w:cs="Times New Roman"/>
          <w:b/>
          <w:bCs/>
          <w:color w:val="414142"/>
          <w:sz w:val="28"/>
          <w:szCs w:val="28"/>
          <w:lang w:eastAsia="lv-LV"/>
        </w:rPr>
      </w:pPr>
    </w:p>
    <w:p w14:paraId="5EC8A9F6"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532D21D3"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0577853B"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553ED949"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6722AFD7"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38C0C1A5"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55D1980E"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r w:rsidRPr="00C50AD8">
        <w:rPr>
          <w:rFonts w:ascii="Times New Roman" w:eastAsia="Times New Roman" w:hAnsi="Times New Roman" w:cs="Times New Roman"/>
          <w:b/>
          <w:bCs/>
          <w:color w:val="000000" w:themeColor="text1"/>
          <w:sz w:val="28"/>
          <w:szCs w:val="28"/>
          <w:lang w:eastAsia="lv-LV"/>
        </w:rPr>
        <w:t>Konceptuāls ziņojums</w:t>
      </w:r>
    </w:p>
    <w:p w14:paraId="64C32501" w14:textId="77777777" w:rsidR="009A69C6" w:rsidRPr="00C50AD8" w:rsidRDefault="009A69C6" w:rsidP="009A69C6">
      <w:pPr>
        <w:spacing w:after="0" w:line="240" w:lineRule="auto"/>
        <w:ind w:firstLine="709"/>
        <w:jc w:val="center"/>
        <w:rPr>
          <w:rFonts w:ascii="Times New Roman" w:eastAsia="Times New Roman" w:hAnsi="Times New Roman" w:cs="Times New Roman"/>
          <w:b/>
          <w:bCs/>
          <w:color w:val="000000" w:themeColor="text1"/>
          <w:sz w:val="28"/>
          <w:szCs w:val="28"/>
          <w:lang w:eastAsia="lv-LV"/>
        </w:rPr>
      </w:pPr>
    </w:p>
    <w:p w14:paraId="2D6F81FD" w14:textId="77777777" w:rsidR="009A69C6" w:rsidRPr="00C50AD8" w:rsidRDefault="009A69C6" w:rsidP="009A69C6">
      <w:pPr>
        <w:spacing w:after="0" w:line="240" w:lineRule="auto"/>
        <w:ind w:firstLine="709"/>
        <w:jc w:val="center"/>
        <w:rPr>
          <w:rFonts w:ascii="Times New Roman" w:eastAsia="Times New Roman" w:hAnsi="Times New Roman" w:cs="Times New Roman"/>
          <w:b/>
          <w:bCs/>
          <w:color w:val="414142"/>
          <w:sz w:val="28"/>
          <w:szCs w:val="28"/>
          <w:lang w:eastAsia="lv-LV"/>
        </w:rPr>
      </w:pPr>
    </w:p>
    <w:p w14:paraId="29DA8C98" w14:textId="77777777" w:rsidR="009A69C6" w:rsidRPr="00C50AD8" w:rsidRDefault="009A69C6" w:rsidP="009A69C6">
      <w:pPr>
        <w:spacing w:after="0" w:line="240" w:lineRule="auto"/>
        <w:jc w:val="center"/>
        <w:rPr>
          <w:rFonts w:ascii="Times New Roman" w:hAnsi="Times New Roman" w:cs="Times New Roman"/>
          <w:b/>
          <w:sz w:val="28"/>
          <w:szCs w:val="28"/>
        </w:rPr>
      </w:pPr>
      <w:r w:rsidRPr="00C50AD8">
        <w:rPr>
          <w:rFonts w:ascii="Times New Roman" w:hAnsi="Times New Roman" w:cs="Times New Roman"/>
          <w:b/>
          <w:sz w:val="28"/>
          <w:szCs w:val="28"/>
        </w:rPr>
        <w:t>Par sad</w:t>
      </w:r>
      <w:r w:rsidR="00CB727E" w:rsidRPr="00C50AD8">
        <w:rPr>
          <w:rFonts w:ascii="Times New Roman" w:hAnsi="Times New Roman" w:cs="Times New Roman"/>
          <w:b/>
          <w:sz w:val="28"/>
          <w:szCs w:val="28"/>
        </w:rPr>
        <w:t xml:space="preserve">arbības ekonomikas nozares pakalpojumu regulējumu </w:t>
      </w:r>
    </w:p>
    <w:p w14:paraId="40507A36" w14:textId="77777777" w:rsidR="009A69C6" w:rsidRPr="00C50AD8" w:rsidRDefault="009A69C6" w:rsidP="009A69C6">
      <w:pPr>
        <w:spacing w:after="0" w:line="240" w:lineRule="auto"/>
        <w:rPr>
          <w:rFonts w:ascii="Times New Roman" w:hAnsi="Times New Roman" w:cs="Times New Roman"/>
          <w:b/>
          <w:sz w:val="28"/>
          <w:szCs w:val="28"/>
        </w:rPr>
      </w:pPr>
      <w:r w:rsidRPr="00C50AD8">
        <w:rPr>
          <w:rFonts w:ascii="Times New Roman" w:hAnsi="Times New Roman" w:cs="Times New Roman"/>
          <w:b/>
          <w:sz w:val="28"/>
          <w:szCs w:val="28"/>
        </w:rPr>
        <w:br w:type="page"/>
      </w:r>
    </w:p>
    <w:p w14:paraId="6A6D3F08" w14:textId="77777777" w:rsidR="009A69C6" w:rsidRPr="00B404D4" w:rsidRDefault="009A69C6" w:rsidP="009A69C6">
      <w:pPr>
        <w:spacing w:after="0" w:line="240" w:lineRule="auto"/>
        <w:jc w:val="center"/>
        <w:rPr>
          <w:rFonts w:ascii="Times New Roman" w:eastAsia="Times New Roman" w:hAnsi="Times New Roman" w:cs="Times New Roman"/>
          <w:b/>
          <w:bCs/>
          <w:sz w:val="24"/>
          <w:szCs w:val="24"/>
          <w:lang w:eastAsia="lv-LV"/>
        </w:rPr>
      </w:pPr>
      <w:r w:rsidRPr="00B404D4">
        <w:rPr>
          <w:rFonts w:ascii="Times New Roman" w:eastAsia="Times New Roman" w:hAnsi="Times New Roman" w:cs="Times New Roman"/>
          <w:b/>
          <w:bCs/>
          <w:sz w:val="24"/>
          <w:szCs w:val="24"/>
          <w:lang w:eastAsia="lv-LV"/>
        </w:rPr>
        <w:lastRenderedPageBreak/>
        <w:t>1. Konceptuālā ziņojuma kopsavilkums</w:t>
      </w:r>
    </w:p>
    <w:p w14:paraId="7C1818CD" w14:textId="77777777" w:rsidR="009A69C6" w:rsidRPr="00B404D4" w:rsidRDefault="009A69C6" w:rsidP="009A69C6">
      <w:pPr>
        <w:spacing w:after="0" w:line="240" w:lineRule="auto"/>
        <w:ind w:firstLine="709"/>
        <w:jc w:val="center"/>
        <w:rPr>
          <w:rFonts w:ascii="Times New Roman" w:eastAsia="Times New Roman" w:hAnsi="Times New Roman" w:cs="Times New Roman"/>
          <w:b/>
          <w:bCs/>
          <w:sz w:val="24"/>
          <w:szCs w:val="24"/>
          <w:lang w:eastAsia="lv-LV"/>
        </w:rPr>
      </w:pPr>
    </w:p>
    <w:p w14:paraId="42E04B96" w14:textId="77777777" w:rsidR="002839BB" w:rsidRPr="00B404D4" w:rsidRDefault="008C63F1" w:rsidP="00716E6D">
      <w:pPr>
        <w:spacing w:after="0" w:line="240" w:lineRule="auto"/>
        <w:ind w:firstLine="709"/>
        <w:jc w:val="both"/>
        <w:rPr>
          <w:rFonts w:ascii="Times New Roman" w:eastAsia="Times New Roman" w:hAnsi="Times New Roman" w:cs="Times New Roman"/>
          <w:sz w:val="24"/>
          <w:szCs w:val="24"/>
          <w:lang w:eastAsia="lv-LV"/>
        </w:rPr>
      </w:pPr>
      <w:r w:rsidRPr="00B404D4">
        <w:rPr>
          <w:rFonts w:ascii="Times New Roman" w:eastAsia="Times New Roman" w:hAnsi="Times New Roman" w:cs="Times New Roman"/>
          <w:sz w:val="24"/>
          <w:szCs w:val="24"/>
          <w:lang w:eastAsia="lv-LV"/>
        </w:rPr>
        <w:t xml:space="preserve">Saskaņā ar Ministru kabineta </w:t>
      </w:r>
      <w:r w:rsidR="004C09D0" w:rsidRPr="00B404D4">
        <w:rPr>
          <w:rFonts w:ascii="Times New Roman" w:eastAsia="Times New Roman" w:hAnsi="Times New Roman" w:cs="Times New Roman"/>
          <w:sz w:val="24"/>
          <w:szCs w:val="24"/>
          <w:lang w:eastAsia="lv-LV"/>
        </w:rPr>
        <w:t xml:space="preserve">2017. gada 14. marta </w:t>
      </w:r>
      <w:r w:rsidRPr="00B404D4">
        <w:rPr>
          <w:rFonts w:ascii="Times New Roman" w:eastAsia="Times New Roman" w:hAnsi="Times New Roman" w:cs="Times New Roman"/>
          <w:sz w:val="24"/>
          <w:szCs w:val="24"/>
          <w:lang w:eastAsia="lv-LV"/>
        </w:rPr>
        <w:t>sēdes protokola Nr.</w:t>
      </w:r>
      <w:r w:rsidR="004C09D0" w:rsidRPr="00B404D4">
        <w:rPr>
          <w:rFonts w:ascii="Times New Roman" w:eastAsia="Times New Roman" w:hAnsi="Times New Roman" w:cs="Times New Roman"/>
          <w:sz w:val="24"/>
          <w:szCs w:val="24"/>
          <w:lang w:eastAsia="lv-LV"/>
        </w:rPr>
        <w:t> </w:t>
      </w:r>
      <w:r w:rsidRPr="00B404D4">
        <w:rPr>
          <w:rFonts w:ascii="Times New Roman" w:eastAsia="Times New Roman" w:hAnsi="Times New Roman" w:cs="Times New Roman"/>
          <w:sz w:val="24"/>
          <w:szCs w:val="24"/>
          <w:lang w:eastAsia="lv-LV"/>
        </w:rPr>
        <w:t xml:space="preserve">12 </w:t>
      </w:r>
      <w:r w:rsidR="00D44471" w:rsidRPr="00B404D4">
        <w:rPr>
          <w:rFonts w:ascii="Times New Roman" w:eastAsia="Times New Roman" w:hAnsi="Times New Roman" w:cs="Times New Roman"/>
          <w:sz w:val="24"/>
          <w:szCs w:val="24"/>
          <w:lang w:eastAsia="lv-LV"/>
        </w:rPr>
        <w:t>9.§</w:t>
      </w:r>
      <w:r w:rsidRPr="00B404D4">
        <w:rPr>
          <w:rFonts w:ascii="Times New Roman" w:eastAsia="Times New Roman" w:hAnsi="Times New Roman" w:cs="Times New Roman"/>
          <w:sz w:val="24"/>
          <w:szCs w:val="24"/>
          <w:lang w:eastAsia="lv-LV"/>
        </w:rPr>
        <w:t xml:space="preserve"> </w:t>
      </w:r>
      <w:r w:rsidR="00D44471" w:rsidRPr="00B404D4">
        <w:rPr>
          <w:rFonts w:ascii="Times New Roman" w:eastAsia="Times New Roman" w:hAnsi="Times New Roman" w:cs="Times New Roman"/>
          <w:sz w:val="24"/>
          <w:szCs w:val="24"/>
          <w:lang w:eastAsia="lv-LV"/>
        </w:rPr>
        <w:t>Likumprojekts "Gr</w:t>
      </w:r>
      <w:r w:rsidRPr="00B404D4">
        <w:rPr>
          <w:rFonts w:ascii="Times New Roman" w:eastAsia="Times New Roman" w:hAnsi="Times New Roman" w:cs="Times New Roman"/>
          <w:sz w:val="24"/>
          <w:szCs w:val="24"/>
          <w:lang w:eastAsia="lv-LV"/>
        </w:rPr>
        <w:t>ozījumi Autopārvadājumu likumā" 4.</w:t>
      </w:r>
      <w:r w:rsidR="004C09D0" w:rsidRPr="00B404D4">
        <w:rPr>
          <w:rFonts w:ascii="Times New Roman" w:eastAsia="Times New Roman" w:hAnsi="Times New Roman" w:cs="Times New Roman"/>
          <w:sz w:val="24"/>
          <w:szCs w:val="24"/>
          <w:lang w:eastAsia="lv-LV"/>
        </w:rPr>
        <w:t> </w:t>
      </w:r>
      <w:r w:rsidRPr="00B404D4">
        <w:rPr>
          <w:rFonts w:ascii="Times New Roman" w:eastAsia="Times New Roman" w:hAnsi="Times New Roman" w:cs="Times New Roman"/>
          <w:sz w:val="24"/>
          <w:szCs w:val="24"/>
          <w:lang w:eastAsia="lv-LV"/>
        </w:rPr>
        <w:t>punktu</w:t>
      </w:r>
      <w:r w:rsidR="00D44471" w:rsidRPr="00B404D4">
        <w:rPr>
          <w:rFonts w:ascii="Times New Roman" w:eastAsia="Times New Roman" w:hAnsi="Times New Roman" w:cs="Times New Roman"/>
          <w:sz w:val="24"/>
          <w:szCs w:val="24"/>
          <w:lang w:eastAsia="lv-LV"/>
        </w:rPr>
        <w:t xml:space="preserve"> Ekonomikas ministrijai </w:t>
      </w:r>
      <w:r w:rsidRPr="00B404D4">
        <w:rPr>
          <w:rFonts w:ascii="Times New Roman" w:eastAsia="Times New Roman" w:hAnsi="Times New Roman" w:cs="Times New Roman"/>
          <w:sz w:val="24"/>
          <w:szCs w:val="24"/>
          <w:lang w:eastAsia="lv-LV"/>
        </w:rPr>
        <w:t xml:space="preserve">uzdots </w:t>
      </w:r>
      <w:r w:rsidR="00D44471" w:rsidRPr="00B404D4">
        <w:rPr>
          <w:rFonts w:ascii="Times New Roman" w:eastAsia="Times New Roman" w:hAnsi="Times New Roman" w:cs="Times New Roman"/>
          <w:sz w:val="24"/>
          <w:szCs w:val="24"/>
          <w:lang w:eastAsia="lv-LV"/>
        </w:rPr>
        <w:t>līdz 2018.</w:t>
      </w:r>
      <w:r w:rsidR="004C09D0" w:rsidRPr="00B404D4">
        <w:rPr>
          <w:rFonts w:ascii="Times New Roman" w:eastAsia="Times New Roman" w:hAnsi="Times New Roman" w:cs="Times New Roman"/>
          <w:sz w:val="24"/>
          <w:szCs w:val="24"/>
          <w:lang w:eastAsia="lv-LV"/>
        </w:rPr>
        <w:t> </w:t>
      </w:r>
      <w:r w:rsidR="00D44471" w:rsidRPr="00B404D4">
        <w:rPr>
          <w:rFonts w:ascii="Times New Roman" w:eastAsia="Times New Roman" w:hAnsi="Times New Roman" w:cs="Times New Roman"/>
          <w:sz w:val="24"/>
          <w:szCs w:val="24"/>
          <w:lang w:eastAsia="lv-LV"/>
        </w:rPr>
        <w:t>gada 31.</w:t>
      </w:r>
      <w:r w:rsidR="004C09D0" w:rsidRPr="00B404D4">
        <w:rPr>
          <w:rFonts w:ascii="Times New Roman" w:eastAsia="Times New Roman" w:hAnsi="Times New Roman" w:cs="Times New Roman"/>
          <w:sz w:val="24"/>
          <w:szCs w:val="24"/>
          <w:lang w:eastAsia="lv-LV"/>
        </w:rPr>
        <w:t> </w:t>
      </w:r>
      <w:r w:rsidR="00D44471" w:rsidRPr="00B404D4">
        <w:rPr>
          <w:rFonts w:ascii="Times New Roman" w:eastAsia="Times New Roman" w:hAnsi="Times New Roman" w:cs="Times New Roman"/>
          <w:sz w:val="24"/>
          <w:szCs w:val="24"/>
          <w:lang w:eastAsia="lv-LV"/>
        </w:rPr>
        <w:t>decembrim izstrādāt un noteiktā kārtībā iesniegt izskatīšanai Ministru kabinetā likumprojektu par sadarbības ekonomikas nozares pakalpojumu regulējumu, paredzot, ka sadarbības ekonomikā pārvadātājs izmanto transporta tīkla platformu, lai veiktu pasažieru komercpārvadājumus ar vieglo automobili, kā arī deleģējumu Ministru kabinetam noteikt kārtību, kādā tiek veikta un uzraudzīta sadarbības ekonomika.</w:t>
      </w:r>
      <w:r w:rsidR="00716E6D" w:rsidRPr="00B404D4">
        <w:rPr>
          <w:rFonts w:ascii="Times New Roman" w:eastAsia="Times New Roman" w:hAnsi="Times New Roman" w:cs="Times New Roman"/>
          <w:sz w:val="24"/>
          <w:szCs w:val="24"/>
          <w:lang w:eastAsia="lv-LV"/>
        </w:rPr>
        <w:t xml:space="preserve"> </w:t>
      </w:r>
    </w:p>
    <w:p w14:paraId="0103349B" w14:textId="138300CF" w:rsidR="002839BB" w:rsidRPr="00B404D4" w:rsidRDefault="003862B5" w:rsidP="00716E6D">
      <w:pPr>
        <w:spacing w:after="0" w:line="240" w:lineRule="auto"/>
        <w:ind w:firstLine="709"/>
        <w:jc w:val="both"/>
        <w:rPr>
          <w:rFonts w:ascii="Times New Roman" w:eastAsia="Times New Roman" w:hAnsi="Times New Roman" w:cs="Times New Roman"/>
          <w:sz w:val="24"/>
          <w:szCs w:val="24"/>
          <w:lang w:eastAsia="lv-LV"/>
        </w:rPr>
      </w:pPr>
      <w:r w:rsidRPr="00B404D4">
        <w:rPr>
          <w:rFonts w:ascii="Times New Roman" w:eastAsia="Times New Roman" w:hAnsi="Times New Roman" w:cs="Times New Roman"/>
          <w:sz w:val="24"/>
          <w:szCs w:val="24"/>
          <w:lang w:eastAsia="lv-LV"/>
        </w:rPr>
        <w:t>Lai izpildītu attiecīgo uzdevumu</w:t>
      </w:r>
      <w:r w:rsidR="00716E6D" w:rsidRPr="00B404D4">
        <w:rPr>
          <w:rFonts w:ascii="Times New Roman" w:eastAsia="Times New Roman" w:hAnsi="Times New Roman" w:cs="Times New Roman"/>
          <w:sz w:val="24"/>
          <w:szCs w:val="24"/>
          <w:lang w:eastAsia="lv-LV"/>
        </w:rPr>
        <w:t>,</w:t>
      </w:r>
      <w:r w:rsidRPr="00B404D4">
        <w:rPr>
          <w:rFonts w:ascii="Times New Roman" w:eastAsia="Times New Roman" w:hAnsi="Times New Roman" w:cs="Times New Roman"/>
          <w:sz w:val="24"/>
          <w:szCs w:val="24"/>
          <w:lang w:eastAsia="lv-LV"/>
        </w:rPr>
        <w:t xml:space="preserve"> Ekonomikas ministrija ir veikusi</w:t>
      </w:r>
      <w:r w:rsidR="001C2C72" w:rsidRPr="00B404D4">
        <w:rPr>
          <w:rFonts w:ascii="Times New Roman" w:eastAsia="Times New Roman" w:hAnsi="Times New Roman" w:cs="Times New Roman"/>
          <w:sz w:val="24"/>
          <w:szCs w:val="24"/>
          <w:lang w:eastAsia="lv-LV"/>
        </w:rPr>
        <w:t xml:space="preserve"> esošās situācijas analīzi</w:t>
      </w:r>
      <w:r w:rsidR="00716E6D" w:rsidRPr="00B404D4">
        <w:rPr>
          <w:rFonts w:ascii="Times New Roman" w:eastAsia="Times New Roman" w:hAnsi="Times New Roman" w:cs="Times New Roman"/>
          <w:sz w:val="24"/>
          <w:szCs w:val="24"/>
          <w:lang w:eastAsia="lv-LV"/>
        </w:rPr>
        <w:t xml:space="preserve">, </w:t>
      </w:r>
      <w:r w:rsidR="00FB554D" w:rsidRPr="00B404D4">
        <w:rPr>
          <w:rFonts w:ascii="Times New Roman" w:eastAsia="Times New Roman" w:hAnsi="Times New Roman" w:cs="Times New Roman"/>
          <w:sz w:val="24"/>
          <w:szCs w:val="24"/>
          <w:lang w:eastAsia="lv-LV"/>
        </w:rPr>
        <w:t xml:space="preserve">izvērtējusi </w:t>
      </w:r>
      <w:r w:rsidR="00716E6D" w:rsidRPr="00B404D4">
        <w:rPr>
          <w:rFonts w:ascii="Times New Roman" w:eastAsia="Times New Roman" w:hAnsi="Times New Roman" w:cs="Times New Roman"/>
          <w:sz w:val="24"/>
          <w:szCs w:val="24"/>
          <w:lang w:eastAsia="lv-LV"/>
        </w:rPr>
        <w:t>pētījumus</w:t>
      </w:r>
      <w:r w:rsidR="002839BB" w:rsidRPr="00B404D4">
        <w:rPr>
          <w:rFonts w:ascii="Times New Roman" w:eastAsia="Times New Roman" w:hAnsi="Times New Roman" w:cs="Times New Roman"/>
          <w:sz w:val="24"/>
          <w:szCs w:val="24"/>
          <w:lang w:eastAsia="lv-LV"/>
        </w:rPr>
        <w:t xml:space="preserve"> un</w:t>
      </w:r>
      <w:r w:rsidR="00716E6D" w:rsidRPr="00B404D4">
        <w:rPr>
          <w:rFonts w:ascii="Times New Roman" w:eastAsia="Times New Roman" w:hAnsi="Times New Roman" w:cs="Times New Roman"/>
          <w:sz w:val="24"/>
          <w:szCs w:val="24"/>
          <w:lang w:eastAsia="lv-LV"/>
        </w:rPr>
        <w:t xml:space="preserve"> citu valstu pieredzi, </w:t>
      </w:r>
      <w:r w:rsidR="00FB554D" w:rsidRPr="00B404D4">
        <w:rPr>
          <w:rFonts w:ascii="Times New Roman" w:eastAsia="Times New Roman" w:hAnsi="Times New Roman" w:cs="Times New Roman"/>
          <w:sz w:val="24"/>
          <w:szCs w:val="24"/>
          <w:lang w:eastAsia="lv-LV"/>
        </w:rPr>
        <w:t xml:space="preserve">kā arī </w:t>
      </w:r>
      <w:r w:rsidR="00716E6D" w:rsidRPr="00B404D4">
        <w:rPr>
          <w:rFonts w:ascii="Times New Roman" w:eastAsia="Times New Roman" w:hAnsi="Times New Roman" w:cs="Times New Roman"/>
          <w:sz w:val="24"/>
          <w:szCs w:val="24"/>
          <w:lang w:eastAsia="lv-LV"/>
        </w:rPr>
        <w:t xml:space="preserve">Eiropas </w:t>
      </w:r>
      <w:r w:rsidR="00B57335">
        <w:rPr>
          <w:rFonts w:ascii="Times New Roman" w:eastAsia="Times New Roman" w:hAnsi="Times New Roman" w:cs="Times New Roman"/>
          <w:sz w:val="24"/>
          <w:szCs w:val="24"/>
          <w:lang w:eastAsia="lv-LV"/>
        </w:rPr>
        <w:t>K</w:t>
      </w:r>
      <w:r w:rsidR="00716E6D" w:rsidRPr="00B404D4">
        <w:rPr>
          <w:rFonts w:ascii="Times New Roman" w:eastAsia="Times New Roman" w:hAnsi="Times New Roman" w:cs="Times New Roman"/>
          <w:sz w:val="24"/>
          <w:szCs w:val="24"/>
          <w:lang w:eastAsia="lv-LV"/>
        </w:rPr>
        <w:t>omisijas priekšlikumus</w:t>
      </w:r>
      <w:r w:rsidR="00FB554D" w:rsidRPr="00B404D4">
        <w:rPr>
          <w:rFonts w:ascii="Times New Roman" w:eastAsia="Times New Roman" w:hAnsi="Times New Roman" w:cs="Times New Roman"/>
          <w:sz w:val="24"/>
          <w:szCs w:val="24"/>
          <w:lang w:eastAsia="lv-LV"/>
        </w:rPr>
        <w:t xml:space="preserve"> sadarbības ekonomikas tiesiskajā regulējumā</w:t>
      </w:r>
      <w:r w:rsidR="00E040E4" w:rsidRPr="00B404D4">
        <w:rPr>
          <w:rFonts w:ascii="Times New Roman" w:eastAsia="Times New Roman" w:hAnsi="Times New Roman" w:cs="Times New Roman"/>
          <w:sz w:val="24"/>
          <w:szCs w:val="24"/>
          <w:lang w:eastAsia="lv-LV"/>
        </w:rPr>
        <w:t xml:space="preserve">. </w:t>
      </w:r>
    </w:p>
    <w:p w14:paraId="04DCA548" w14:textId="49272BA7" w:rsidR="009A69C6" w:rsidRPr="00B404D4" w:rsidRDefault="00B57335" w:rsidP="00641DD1">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r w:rsidR="00050918">
        <w:rPr>
          <w:rFonts w:ascii="Times New Roman" w:eastAsia="Times New Roman" w:hAnsi="Times New Roman" w:cs="Times New Roman"/>
          <w:sz w:val="24"/>
          <w:szCs w:val="24"/>
          <w:lang w:eastAsia="lv-LV"/>
        </w:rPr>
        <w:t xml:space="preserve"> sadarbības ekonomikas specifiku un to, ka katrā nozarē sadarbības ekonomika skar atšķirīgus jautājumus, kā arī  </w:t>
      </w:r>
      <w:r>
        <w:rPr>
          <w:rFonts w:ascii="Times New Roman" w:eastAsia="Times New Roman" w:hAnsi="Times New Roman" w:cs="Times New Roman"/>
          <w:sz w:val="24"/>
          <w:szCs w:val="24"/>
          <w:lang w:eastAsia="lv-LV"/>
        </w:rPr>
        <w:t>E</w:t>
      </w:r>
      <w:r w:rsidR="00806FA6">
        <w:rPr>
          <w:rFonts w:ascii="Times New Roman" w:eastAsia="Times New Roman" w:hAnsi="Times New Roman" w:cs="Times New Roman"/>
          <w:sz w:val="24"/>
          <w:szCs w:val="24"/>
          <w:lang w:eastAsia="lv-LV"/>
        </w:rPr>
        <w:t xml:space="preserve">iropas </w:t>
      </w:r>
      <w:r>
        <w:rPr>
          <w:rFonts w:ascii="Times New Roman" w:eastAsia="Times New Roman" w:hAnsi="Times New Roman" w:cs="Times New Roman"/>
          <w:sz w:val="24"/>
          <w:szCs w:val="24"/>
          <w:lang w:eastAsia="lv-LV"/>
        </w:rPr>
        <w:t>K</w:t>
      </w:r>
      <w:r w:rsidR="00806FA6">
        <w:rPr>
          <w:rFonts w:ascii="Times New Roman" w:eastAsia="Times New Roman" w:hAnsi="Times New Roman" w:cs="Times New Roman"/>
          <w:sz w:val="24"/>
          <w:szCs w:val="24"/>
          <w:lang w:eastAsia="lv-LV"/>
        </w:rPr>
        <w:t>omisijas</w:t>
      </w:r>
      <w:r>
        <w:rPr>
          <w:rFonts w:ascii="Times New Roman" w:eastAsia="Times New Roman" w:hAnsi="Times New Roman" w:cs="Times New Roman"/>
          <w:sz w:val="24"/>
          <w:szCs w:val="24"/>
          <w:lang w:eastAsia="lv-LV"/>
        </w:rPr>
        <w:t xml:space="preserve"> ieteikumus un citu valstu pieredzi, k</w:t>
      </w:r>
      <w:r w:rsidR="002839BB" w:rsidRPr="00B404D4">
        <w:rPr>
          <w:rFonts w:ascii="Times New Roman" w:eastAsia="Times New Roman" w:hAnsi="Times New Roman" w:cs="Times New Roman"/>
          <w:sz w:val="24"/>
          <w:szCs w:val="24"/>
          <w:lang w:eastAsia="lv-LV"/>
        </w:rPr>
        <w:t>onceptuālajā ziņojumā t</w:t>
      </w:r>
      <w:r w:rsidR="00716E6D" w:rsidRPr="00B404D4">
        <w:rPr>
          <w:rFonts w:ascii="Times New Roman" w:eastAsia="Times New Roman" w:hAnsi="Times New Roman" w:cs="Times New Roman"/>
          <w:sz w:val="24"/>
          <w:szCs w:val="24"/>
          <w:lang w:eastAsia="lv-LV"/>
        </w:rPr>
        <w:t>iek piedāvāts neizstrādāt īpašu jaunu vispārēju regulējumu par sadarbības ekonomiku, bet pilnveidot jautājum</w:t>
      </w:r>
      <w:r w:rsidR="006C60E9" w:rsidRPr="00B404D4">
        <w:rPr>
          <w:rFonts w:ascii="Times New Roman" w:eastAsia="Times New Roman" w:hAnsi="Times New Roman" w:cs="Times New Roman"/>
          <w:sz w:val="24"/>
          <w:szCs w:val="24"/>
          <w:lang w:eastAsia="lv-LV"/>
        </w:rPr>
        <w:t>u</w:t>
      </w:r>
      <w:r w:rsidR="00716E6D" w:rsidRPr="00B404D4">
        <w:rPr>
          <w:rFonts w:ascii="Times New Roman" w:eastAsia="Times New Roman" w:hAnsi="Times New Roman" w:cs="Times New Roman"/>
          <w:sz w:val="24"/>
          <w:szCs w:val="24"/>
          <w:lang w:eastAsia="lv-LV"/>
        </w:rPr>
        <w:t xml:space="preserve">s </w:t>
      </w:r>
      <w:r w:rsidR="00402568">
        <w:rPr>
          <w:rFonts w:ascii="Times New Roman" w:eastAsia="Times New Roman" w:hAnsi="Times New Roman" w:cs="Times New Roman"/>
          <w:sz w:val="24"/>
          <w:szCs w:val="24"/>
          <w:lang w:eastAsia="lv-LV"/>
        </w:rPr>
        <w:t>nozaru</w:t>
      </w:r>
      <w:r w:rsidR="00716E6D" w:rsidRPr="00B404D4">
        <w:rPr>
          <w:rFonts w:ascii="Times New Roman" w:eastAsia="Times New Roman" w:hAnsi="Times New Roman" w:cs="Times New Roman"/>
          <w:sz w:val="24"/>
          <w:szCs w:val="24"/>
          <w:lang w:eastAsia="lv-LV"/>
        </w:rPr>
        <w:t xml:space="preserve"> regulējumā. </w:t>
      </w:r>
    </w:p>
    <w:p w14:paraId="5007AD15" w14:textId="77777777" w:rsidR="00FA7FEB" w:rsidRPr="00B404D4" w:rsidRDefault="00FA7FEB" w:rsidP="00A604AF">
      <w:pPr>
        <w:spacing w:after="0" w:line="240" w:lineRule="auto"/>
        <w:jc w:val="both"/>
        <w:rPr>
          <w:rFonts w:ascii="Times New Roman" w:hAnsi="Times New Roman" w:cs="Times New Roman"/>
          <w:sz w:val="24"/>
          <w:szCs w:val="24"/>
        </w:rPr>
      </w:pPr>
    </w:p>
    <w:p w14:paraId="1FBD78C0" w14:textId="77777777" w:rsidR="009A69C6" w:rsidRPr="00B404D4" w:rsidRDefault="009A69C6" w:rsidP="00A604AF">
      <w:pPr>
        <w:spacing w:after="0" w:line="240" w:lineRule="auto"/>
        <w:jc w:val="center"/>
        <w:rPr>
          <w:rFonts w:ascii="Times New Roman" w:eastAsia="Times New Roman" w:hAnsi="Times New Roman" w:cs="Times New Roman"/>
          <w:b/>
          <w:bCs/>
          <w:sz w:val="24"/>
          <w:szCs w:val="24"/>
          <w:lang w:eastAsia="lv-LV"/>
        </w:rPr>
      </w:pPr>
      <w:r w:rsidRPr="00B404D4">
        <w:rPr>
          <w:rFonts w:ascii="Times New Roman" w:eastAsia="Times New Roman" w:hAnsi="Times New Roman" w:cs="Times New Roman"/>
          <w:b/>
          <w:bCs/>
          <w:sz w:val="24"/>
          <w:szCs w:val="24"/>
          <w:lang w:eastAsia="lv-LV"/>
        </w:rPr>
        <w:t>2. Situācijas apraksts</w:t>
      </w:r>
    </w:p>
    <w:p w14:paraId="42CE1D11" w14:textId="77777777" w:rsidR="009D73F0" w:rsidRPr="00B404D4" w:rsidRDefault="009D73F0" w:rsidP="00A604AF">
      <w:pPr>
        <w:spacing w:after="0" w:line="240" w:lineRule="auto"/>
        <w:jc w:val="center"/>
        <w:rPr>
          <w:rFonts w:ascii="Times New Roman" w:eastAsia="Times New Roman" w:hAnsi="Times New Roman" w:cs="Times New Roman"/>
          <w:b/>
          <w:bCs/>
          <w:sz w:val="24"/>
          <w:szCs w:val="24"/>
          <w:lang w:eastAsia="lv-LV"/>
        </w:rPr>
      </w:pPr>
    </w:p>
    <w:p w14:paraId="47E7C261" w14:textId="2E3A0969" w:rsidR="00ED69EE" w:rsidRPr="00B404D4" w:rsidRDefault="00343027" w:rsidP="00ED69EE">
      <w:pPr>
        <w:spacing w:after="0" w:line="240" w:lineRule="auto"/>
        <w:ind w:firstLine="709"/>
        <w:jc w:val="both"/>
        <w:rPr>
          <w:rFonts w:ascii="Times New Roman" w:eastAsia="Times New Roman" w:hAnsi="Times New Roman" w:cs="Times New Roman"/>
          <w:bCs/>
          <w:sz w:val="24"/>
          <w:szCs w:val="24"/>
          <w:lang w:eastAsia="lv-LV"/>
        </w:rPr>
      </w:pPr>
      <w:r w:rsidRPr="00B404D4">
        <w:rPr>
          <w:rFonts w:ascii="Times New Roman" w:eastAsia="Times New Roman" w:hAnsi="Times New Roman" w:cs="Times New Roman"/>
          <w:bCs/>
          <w:sz w:val="24"/>
          <w:szCs w:val="24"/>
          <w:lang w:eastAsia="lv-LV"/>
        </w:rPr>
        <w:t>Arvien biežāk</w:t>
      </w:r>
      <w:r w:rsidR="00C058CB" w:rsidRPr="00B404D4">
        <w:rPr>
          <w:rFonts w:ascii="Times New Roman" w:eastAsia="Times New Roman" w:hAnsi="Times New Roman" w:cs="Times New Roman"/>
          <w:bCs/>
          <w:sz w:val="24"/>
          <w:szCs w:val="24"/>
          <w:lang w:eastAsia="lv-LV"/>
        </w:rPr>
        <w:t xml:space="preserve"> sabiedrībā </w:t>
      </w:r>
      <w:r w:rsidRPr="00B404D4">
        <w:rPr>
          <w:rFonts w:ascii="Times New Roman" w:eastAsia="Times New Roman" w:hAnsi="Times New Roman" w:cs="Times New Roman"/>
          <w:bCs/>
          <w:sz w:val="24"/>
          <w:szCs w:val="24"/>
          <w:lang w:eastAsia="lv-LV"/>
        </w:rPr>
        <w:t xml:space="preserve">tiek </w:t>
      </w:r>
      <w:r w:rsidR="00C058CB" w:rsidRPr="00B404D4">
        <w:rPr>
          <w:rFonts w:ascii="Times New Roman" w:eastAsia="Times New Roman" w:hAnsi="Times New Roman" w:cs="Times New Roman"/>
          <w:bCs/>
          <w:sz w:val="24"/>
          <w:szCs w:val="24"/>
          <w:lang w:eastAsia="lv-LV"/>
        </w:rPr>
        <w:t>diskutēts</w:t>
      </w:r>
      <w:r w:rsidRPr="00B404D4">
        <w:rPr>
          <w:rFonts w:ascii="Times New Roman" w:eastAsia="Times New Roman" w:hAnsi="Times New Roman" w:cs="Times New Roman"/>
          <w:bCs/>
          <w:sz w:val="24"/>
          <w:szCs w:val="24"/>
          <w:lang w:eastAsia="lv-LV"/>
        </w:rPr>
        <w:t xml:space="preserve"> par </w:t>
      </w:r>
      <w:r w:rsidR="00AB74C7" w:rsidRPr="00B404D4">
        <w:rPr>
          <w:rFonts w:ascii="Times New Roman" w:eastAsia="Times New Roman" w:hAnsi="Times New Roman" w:cs="Times New Roman"/>
          <w:bCs/>
          <w:sz w:val="24"/>
          <w:szCs w:val="24"/>
          <w:lang w:eastAsia="lv-LV"/>
        </w:rPr>
        <w:t>sadarbības</w:t>
      </w:r>
      <w:r w:rsidRPr="00B404D4">
        <w:rPr>
          <w:rFonts w:ascii="Times New Roman" w:eastAsia="Times New Roman" w:hAnsi="Times New Roman" w:cs="Times New Roman"/>
          <w:bCs/>
          <w:sz w:val="24"/>
          <w:szCs w:val="24"/>
          <w:lang w:eastAsia="lv-LV"/>
        </w:rPr>
        <w:t xml:space="preserve"> ekonomiku</w:t>
      </w:r>
      <w:r w:rsidR="00AB74C7" w:rsidRPr="00B404D4">
        <w:rPr>
          <w:rFonts w:ascii="Times New Roman" w:eastAsia="Times New Roman" w:hAnsi="Times New Roman" w:cs="Times New Roman"/>
          <w:bCs/>
          <w:sz w:val="24"/>
          <w:szCs w:val="24"/>
          <w:lang w:eastAsia="lv-LV"/>
        </w:rPr>
        <w:t>, kas sniedz jaunas priekšrocības</w:t>
      </w:r>
      <w:r w:rsidR="00BB3251" w:rsidRPr="00B404D4">
        <w:rPr>
          <w:rFonts w:ascii="Times New Roman" w:eastAsia="Times New Roman" w:hAnsi="Times New Roman" w:cs="Times New Roman"/>
          <w:bCs/>
          <w:sz w:val="24"/>
          <w:szCs w:val="24"/>
          <w:lang w:eastAsia="lv-LV"/>
        </w:rPr>
        <w:t xml:space="preserve"> u</w:t>
      </w:r>
      <w:r w:rsidR="004C09D0" w:rsidRPr="00B404D4">
        <w:rPr>
          <w:rFonts w:ascii="Times New Roman" w:eastAsia="Times New Roman" w:hAnsi="Times New Roman" w:cs="Times New Roman"/>
          <w:bCs/>
          <w:sz w:val="24"/>
          <w:szCs w:val="24"/>
          <w:lang w:eastAsia="lv-LV"/>
        </w:rPr>
        <w:t>n</w:t>
      </w:r>
      <w:r w:rsidR="00BB3251" w:rsidRPr="00B404D4">
        <w:rPr>
          <w:rFonts w:ascii="Times New Roman" w:eastAsia="Times New Roman" w:hAnsi="Times New Roman" w:cs="Times New Roman"/>
          <w:bCs/>
          <w:sz w:val="24"/>
          <w:szCs w:val="24"/>
          <w:lang w:eastAsia="lv-LV"/>
        </w:rPr>
        <w:t xml:space="preserve"> izaicinājumus</w:t>
      </w:r>
      <w:r w:rsidR="00AB74C7" w:rsidRPr="00B404D4">
        <w:rPr>
          <w:rFonts w:ascii="Times New Roman" w:eastAsia="Times New Roman" w:hAnsi="Times New Roman" w:cs="Times New Roman"/>
          <w:bCs/>
          <w:sz w:val="24"/>
          <w:szCs w:val="24"/>
          <w:lang w:eastAsia="lv-LV"/>
        </w:rPr>
        <w:t xml:space="preserve"> gan patērētājiem, gan uzņēmējiem.</w:t>
      </w:r>
      <w:r w:rsidRPr="00B404D4">
        <w:rPr>
          <w:rFonts w:ascii="Times New Roman" w:eastAsia="Times New Roman" w:hAnsi="Times New Roman" w:cs="Times New Roman"/>
          <w:bCs/>
          <w:sz w:val="24"/>
          <w:szCs w:val="24"/>
          <w:lang w:eastAsia="lv-LV"/>
        </w:rPr>
        <w:t xml:space="preserve"> </w:t>
      </w:r>
      <w:r w:rsidR="00867718" w:rsidRPr="00B404D4">
        <w:rPr>
          <w:rFonts w:ascii="Times New Roman" w:eastAsia="Times New Roman" w:hAnsi="Times New Roman" w:cs="Times New Roman"/>
          <w:bCs/>
          <w:sz w:val="24"/>
          <w:szCs w:val="24"/>
          <w:lang w:eastAsia="lv-LV"/>
        </w:rPr>
        <w:t xml:space="preserve">Sadarbības ekonomika attiecas uz uzņēmējdarbības modeļiem, kur uzņēmējdarbības aktivitātes atvieglo </w:t>
      </w:r>
      <w:r w:rsidR="001A5C45" w:rsidRPr="00B404D4">
        <w:rPr>
          <w:rFonts w:ascii="Times New Roman" w:eastAsia="Times New Roman" w:hAnsi="Times New Roman" w:cs="Times New Roman"/>
          <w:bCs/>
          <w:sz w:val="24"/>
          <w:szCs w:val="24"/>
          <w:lang w:eastAsia="lv-LV"/>
        </w:rPr>
        <w:t>pakalpojuma koplietošana vai sadarbošanās vairākiem dalībniekiem</w:t>
      </w:r>
      <w:r w:rsidR="00867718" w:rsidRPr="00B404D4">
        <w:rPr>
          <w:rFonts w:ascii="Times New Roman" w:eastAsia="Times New Roman" w:hAnsi="Times New Roman" w:cs="Times New Roman"/>
          <w:bCs/>
          <w:sz w:val="24"/>
          <w:szCs w:val="24"/>
          <w:lang w:eastAsia="lv-LV"/>
        </w:rPr>
        <w:t xml:space="preserve">. </w:t>
      </w:r>
      <w:r w:rsidR="001A5C45" w:rsidRPr="00B404D4">
        <w:rPr>
          <w:rFonts w:ascii="Times New Roman" w:eastAsia="Times New Roman" w:hAnsi="Times New Roman" w:cs="Times New Roman"/>
          <w:bCs/>
          <w:sz w:val="24"/>
          <w:szCs w:val="24"/>
          <w:lang w:eastAsia="lv-LV"/>
        </w:rPr>
        <w:t>Proti, s</w:t>
      </w:r>
      <w:r w:rsidR="00867718" w:rsidRPr="00B404D4">
        <w:rPr>
          <w:rFonts w:ascii="Times New Roman" w:eastAsia="Times New Roman" w:hAnsi="Times New Roman" w:cs="Times New Roman"/>
          <w:bCs/>
          <w:sz w:val="24"/>
          <w:szCs w:val="24"/>
          <w:lang w:eastAsia="lv-LV"/>
        </w:rPr>
        <w:t xml:space="preserve">adarbības ekonomikas pamatā ir trīs dalībnieki: </w:t>
      </w:r>
      <w:r w:rsidR="00867718" w:rsidRPr="00B404D4">
        <w:rPr>
          <w:rFonts w:ascii="Times New Roman" w:eastAsia="Times New Roman" w:hAnsi="Times New Roman" w:cs="Times New Roman"/>
          <w:bCs/>
          <w:sz w:val="24"/>
          <w:szCs w:val="24"/>
          <w:u w:val="single"/>
          <w:lang w:eastAsia="lv-LV"/>
        </w:rPr>
        <w:t>pakalpojumu sniedzējs, lietotājs un starpnieks</w:t>
      </w:r>
      <w:r w:rsidR="00867718" w:rsidRPr="00B404D4">
        <w:rPr>
          <w:rFonts w:ascii="Times New Roman" w:eastAsia="Times New Roman" w:hAnsi="Times New Roman" w:cs="Times New Roman"/>
          <w:bCs/>
          <w:sz w:val="24"/>
          <w:szCs w:val="24"/>
          <w:lang w:eastAsia="lv-LV"/>
        </w:rPr>
        <w:t>, kas, izmantojot tiešsaistes platformas</w:t>
      </w:r>
      <w:r w:rsidR="001A5C45" w:rsidRPr="00B404D4">
        <w:rPr>
          <w:rFonts w:ascii="Times New Roman" w:eastAsia="Times New Roman" w:hAnsi="Times New Roman" w:cs="Times New Roman"/>
          <w:bCs/>
          <w:sz w:val="24"/>
          <w:szCs w:val="24"/>
          <w:lang w:eastAsia="lv-LV"/>
        </w:rPr>
        <w:t>, mobilās lietotnes vai citus risinājumus</w:t>
      </w:r>
      <w:r w:rsidR="00867718" w:rsidRPr="00B404D4">
        <w:rPr>
          <w:rFonts w:ascii="Times New Roman" w:eastAsia="Times New Roman" w:hAnsi="Times New Roman" w:cs="Times New Roman"/>
          <w:bCs/>
          <w:sz w:val="24"/>
          <w:szCs w:val="24"/>
          <w:lang w:eastAsia="lv-LV"/>
        </w:rPr>
        <w:t xml:space="preserve">, savieno pakalpojumu sniedzēju ar lietotāju. </w:t>
      </w:r>
    </w:p>
    <w:p w14:paraId="2184823F" w14:textId="1F44F21D" w:rsidR="008678DF" w:rsidRPr="00B404D4" w:rsidRDefault="008678DF" w:rsidP="008678DF">
      <w:pPr>
        <w:spacing w:after="0" w:line="240" w:lineRule="auto"/>
        <w:ind w:firstLine="709"/>
        <w:jc w:val="both"/>
        <w:rPr>
          <w:rFonts w:ascii="Times New Roman" w:eastAsia="Times New Roman" w:hAnsi="Times New Roman" w:cs="Times New Roman"/>
          <w:bCs/>
          <w:sz w:val="24"/>
          <w:szCs w:val="24"/>
          <w:lang w:eastAsia="lv-LV"/>
        </w:rPr>
      </w:pPr>
      <w:r w:rsidRPr="00B404D4">
        <w:rPr>
          <w:rFonts w:ascii="Times New Roman" w:eastAsia="Times New Roman" w:hAnsi="Times New Roman" w:cs="Times New Roman"/>
          <w:bCs/>
          <w:sz w:val="24"/>
          <w:szCs w:val="24"/>
          <w:lang w:eastAsia="lv-LV"/>
        </w:rPr>
        <w:t>Sadarbības ekonomikas darījumi parasti nav saistīti ar īpašumtiesību maiņu, un tos var veikt gan peļņas, gan bezpeļņas nolūkā.</w:t>
      </w:r>
      <w:r w:rsidRPr="00B404D4">
        <w:rPr>
          <w:rStyle w:val="FootnoteReference"/>
          <w:rFonts w:ascii="Times New Roman" w:eastAsia="Times New Roman" w:hAnsi="Times New Roman" w:cs="Times New Roman"/>
          <w:bCs/>
          <w:sz w:val="24"/>
          <w:szCs w:val="24"/>
          <w:lang w:eastAsia="lv-LV"/>
        </w:rPr>
        <w:footnoteReference w:id="1"/>
      </w:r>
      <w:r w:rsidRPr="00B404D4">
        <w:rPr>
          <w:rFonts w:ascii="Times New Roman" w:eastAsia="Times New Roman" w:hAnsi="Times New Roman" w:cs="Times New Roman"/>
          <w:bCs/>
          <w:sz w:val="24"/>
          <w:szCs w:val="24"/>
          <w:lang w:eastAsia="lv-LV"/>
        </w:rPr>
        <w:t xml:space="preserve"> Eiropas Savienības</w:t>
      </w:r>
      <w:r w:rsidR="00F625C7" w:rsidRPr="00B404D4">
        <w:rPr>
          <w:rFonts w:ascii="Times New Roman" w:eastAsia="Times New Roman" w:hAnsi="Times New Roman" w:cs="Times New Roman"/>
          <w:bCs/>
          <w:sz w:val="24"/>
          <w:szCs w:val="24"/>
          <w:lang w:eastAsia="lv-LV"/>
        </w:rPr>
        <w:t xml:space="preserve"> (turpmāk – ES)</w:t>
      </w:r>
      <w:r w:rsidRPr="00B404D4">
        <w:rPr>
          <w:rFonts w:ascii="Times New Roman" w:eastAsia="Times New Roman" w:hAnsi="Times New Roman" w:cs="Times New Roman"/>
          <w:bCs/>
          <w:sz w:val="24"/>
          <w:szCs w:val="24"/>
          <w:lang w:eastAsia="lv-LV"/>
        </w:rPr>
        <w:t xml:space="preserve"> tiesību aktos nav skaidri noteikts, kurā brīdī </w:t>
      </w:r>
      <w:bookmarkStart w:id="0" w:name="_Hlk519850832"/>
      <w:r w:rsidRPr="00B404D4">
        <w:rPr>
          <w:rFonts w:ascii="Times New Roman" w:eastAsia="Times New Roman" w:hAnsi="Times New Roman" w:cs="Times New Roman"/>
          <w:bCs/>
          <w:sz w:val="24"/>
          <w:szCs w:val="24"/>
          <w:lang w:eastAsia="lv-LV"/>
        </w:rPr>
        <w:t>darījumi, kas tiek veikti starp</w:t>
      </w:r>
      <w:r w:rsidRPr="00B404D4">
        <w:rPr>
          <w:rFonts w:ascii="Times New Roman" w:hAnsi="Times New Roman" w:cs="Times New Roman"/>
          <w:sz w:val="24"/>
          <w:szCs w:val="24"/>
        </w:rPr>
        <w:t xml:space="preserve"> </w:t>
      </w:r>
      <w:bookmarkStart w:id="1" w:name="_Hlk520281484"/>
      <w:r w:rsidRPr="00B404D4">
        <w:rPr>
          <w:rFonts w:ascii="Times New Roman" w:eastAsia="Times New Roman" w:hAnsi="Times New Roman" w:cs="Times New Roman"/>
          <w:bCs/>
          <w:sz w:val="24"/>
          <w:szCs w:val="24"/>
          <w:lang w:eastAsia="lv-LV"/>
        </w:rPr>
        <w:t xml:space="preserve">fiziskām personām </w:t>
      </w:r>
      <w:bookmarkEnd w:id="1"/>
      <w:r w:rsidRPr="00B404D4">
        <w:rPr>
          <w:rFonts w:ascii="Times New Roman" w:eastAsia="Times New Roman" w:hAnsi="Times New Roman" w:cs="Times New Roman"/>
          <w:bCs/>
          <w:sz w:val="24"/>
          <w:szCs w:val="24"/>
          <w:lang w:eastAsia="lv-LV"/>
        </w:rPr>
        <w:t>(</w:t>
      </w:r>
      <w:proofErr w:type="spellStart"/>
      <w:r w:rsidRPr="00B404D4">
        <w:rPr>
          <w:rFonts w:ascii="Times New Roman" w:eastAsia="Times New Roman" w:hAnsi="Times New Roman" w:cs="Times New Roman"/>
          <w:bCs/>
          <w:sz w:val="24"/>
          <w:szCs w:val="24"/>
          <w:lang w:eastAsia="lv-LV"/>
        </w:rPr>
        <w:t>angļ</w:t>
      </w:r>
      <w:proofErr w:type="spellEnd"/>
      <w:r w:rsidRPr="00B404D4">
        <w:rPr>
          <w:rFonts w:ascii="Times New Roman" w:eastAsia="Times New Roman" w:hAnsi="Times New Roman" w:cs="Times New Roman"/>
          <w:bCs/>
          <w:sz w:val="24"/>
          <w:szCs w:val="24"/>
          <w:lang w:eastAsia="lv-LV"/>
        </w:rPr>
        <w:t>.</w:t>
      </w:r>
      <w:r w:rsidR="00A070D8" w:rsidRPr="00B404D4">
        <w:rPr>
          <w:rFonts w:ascii="Times New Roman" w:eastAsia="Times New Roman" w:hAnsi="Times New Roman" w:cs="Times New Roman"/>
          <w:bCs/>
          <w:sz w:val="24"/>
          <w:szCs w:val="24"/>
          <w:lang w:eastAsia="lv-LV"/>
        </w:rPr>
        <w:t xml:space="preserve"> </w:t>
      </w:r>
      <w:r w:rsidRPr="00B404D4">
        <w:rPr>
          <w:rFonts w:ascii="Times New Roman" w:eastAsia="Times New Roman" w:hAnsi="Times New Roman" w:cs="Times New Roman"/>
          <w:bCs/>
          <w:sz w:val="24"/>
          <w:szCs w:val="24"/>
          <w:lang w:eastAsia="lv-LV"/>
        </w:rPr>
        <w:t xml:space="preserve">v.: </w:t>
      </w:r>
      <w:proofErr w:type="spellStart"/>
      <w:r w:rsidRPr="00B404D4">
        <w:rPr>
          <w:rFonts w:ascii="Times New Roman" w:eastAsia="Times New Roman" w:hAnsi="Times New Roman" w:cs="Times New Roman"/>
          <w:bCs/>
          <w:i/>
          <w:sz w:val="24"/>
          <w:szCs w:val="24"/>
          <w:lang w:eastAsia="lv-LV"/>
        </w:rPr>
        <w:t>peer</w:t>
      </w:r>
      <w:proofErr w:type="spellEnd"/>
      <w:r w:rsidRPr="00B404D4">
        <w:rPr>
          <w:rFonts w:ascii="Times New Roman" w:eastAsia="Times New Roman" w:hAnsi="Times New Roman" w:cs="Times New Roman"/>
          <w:bCs/>
          <w:i/>
          <w:sz w:val="24"/>
          <w:szCs w:val="24"/>
          <w:lang w:eastAsia="lv-LV"/>
        </w:rPr>
        <w:t xml:space="preserve"> to </w:t>
      </w:r>
      <w:proofErr w:type="spellStart"/>
      <w:r w:rsidRPr="00B404D4">
        <w:rPr>
          <w:rFonts w:ascii="Times New Roman" w:eastAsia="Times New Roman" w:hAnsi="Times New Roman" w:cs="Times New Roman"/>
          <w:bCs/>
          <w:i/>
          <w:sz w:val="24"/>
          <w:szCs w:val="24"/>
          <w:lang w:eastAsia="lv-LV"/>
        </w:rPr>
        <w:t>peer</w:t>
      </w:r>
      <w:proofErr w:type="spellEnd"/>
      <w:r w:rsidRPr="00B404D4">
        <w:rPr>
          <w:rFonts w:ascii="Times New Roman" w:eastAsia="Times New Roman" w:hAnsi="Times New Roman" w:cs="Times New Roman"/>
          <w:bCs/>
          <w:sz w:val="24"/>
          <w:szCs w:val="24"/>
          <w:lang w:eastAsia="lv-LV"/>
        </w:rPr>
        <w:t xml:space="preserve">) </w:t>
      </w:r>
      <w:bookmarkEnd w:id="0"/>
      <w:r w:rsidRPr="00B404D4">
        <w:rPr>
          <w:rFonts w:ascii="Times New Roman" w:eastAsia="Times New Roman" w:hAnsi="Times New Roman" w:cs="Times New Roman"/>
          <w:bCs/>
          <w:sz w:val="24"/>
          <w:szCs w:val="24"/>
          <w:lang w:eastAsia="lv-LV"/>
        </w:rPr>
        <w:t>identificējami kā profesionāli pakalpojumi. Dalībvalstis izmanto dažādus kritērijus, lai nošķirtu profesionālos pakalpojumus no pakalpojumiem, kas tiek veikti starp fiziskām personām. Eiropas Komisijas ieskatā saprātīgas robežvērtības var būt kā kritērijs un palīdzēt izveidot skaidru regulējumu, kas nāk par labu tiem, kas pakalpojumus sniedz neprofesionālā kārtā.</w:t>
      </w:r>
      <w:r w:rsidRPr="00B404D4">
        <w:rPr>
          <w:rStyle w:val="FootnoteReference"/>
          <w:rFonts w:ascii="Times New Roman" w:eastAsia="Times New Roman" w:hAnsi="Times New Roman" w:cs="Times New Roman"/>
          <w:bCs/>
          <w:sz w:val="24"/>
          <w:szCs w:val="24"/>
          <w:lang w:eastAsia="lv-LV"/>
        </w:rPr>
        <w:footnoteReference w:id="2"/>
      </w:r>
    </w:p>
    <w:p w14:paraId="738573F0" w14:textId="12C1B865" w:rsidR="008678DF" w:rsidRDefault="008678DF" w:rsidP="008678DF">
      <w:pPr>
        <w:spacing w:after="0" w:line="240" w:lineRule="auto"/>
        <w:ind w:firstLine="709"/>
        <w:jc w:val="both"/>
        <w:rPr>
          <w:rFonts w:ascii="Times New Roman" w:eastAsia="Times New Roman" w:hAnsi="Times New Roman" w:cs="Times New Roman"/>
          <w:sz w:val="24"/>
          <w:szCs w:val="24"/>
          <w:lang w:eastAsia="lv-LV"/>
        </w:rPr>
      </w:pPr>
      <w:r w:rsidRPr="00B404D4">
        <w:rPr>
          <w:rFonts w:ascii="Times New Roman" w:eastAsia="Times New Roman" w:hAnsi="Times New Roman" w:cs="Times New Roman"/>
          <w:bCs/>
          <w:sz w:val="24"/>
          <w:szCs w:val="24"/>
          <w:lang w:eastAsia="lv-LV"/>
        </w:rPr>
        <w:t xml:space="preserve">Pēdējo gadu laikā sadarbības ekonomikas uzņēmumi ir radījuši gan milzīgas tirgus vērtības, gan asu konkurenci esošiem tirgus dalībniekiem. Esošie uzņēmumi taksometru, viesnīcu un citās nozarēs, kā arī patērētāju </w:t>
      </w:r>
      <w:r w:rsidR="00E541BC" w:rsidRPr="00B404D4">
        <w:rPr>
          <w:rFonts w:ascii="Times New Roman" w:eastAsia="Times New Roman" w:hAnsi="Times New Roman" w:cs="Times New Roman"/>
          <w:bCs/>
          <w:sz w:val="24"/>
          <w:szCs w:val="24"/>
          <w:lang w:eastAsia="lv-LV"/>
        </w:rPr>
        <w:t xml:space="preserve">tiesību </w:t>
      </w:r>
      <w:r w:rsidRPr="00B404D4">
        <w:rPr>
          <w:rFonts w:ascii="Times New Roman" w:eastAsia="Times New Roman" w:hAnsi="Times New Roman" w:cs="Times New Roman"/>
          <w:bCs/>
          <w:sz w:val="24"/>
          <w:szCs w:val="24"/>
          <w:lang w:eastAsia="lv-LV"/>
        </w:rPr>
        <w:t>aizsardzības pārstāvji un citi aktīvisti ir uzstājuši uz regulējumu, kas ierobežotu vai aizliegtu jaunu sadarbības ekonomikas dalībnieku</w:t>
      </w:r>
      <w:r w:rsidR="003E3E21" w:rsidRPr="00B404D4">
        <w:rPr>
          <w:rFonts w:ascii="Times New Roman" w:eastAsia="Times New Roman" w:hAnsi="Times New Roman" w:cs="Times New Roman"/>
          <w:bCs/>
          <w:sz w:val="24"/>
          <w:szCs w:val="24"/>
          <w:lang w:eastAsia="lv-LV"/>
        </w:rPr>
        <w:t xml:space="preserve"> ienākšanu tirgū</w:t>
      </w:r>
      <w:r w:rsidRPr="00B404D4">
        <w:rPr>
          <w:rFonts w:ascii="Times New Roman" w:eastAsia="Times New Roman" w:hAnsi="Times New Roman" w:cs="Times New Roman"/>
          <w:bCs/>
          <w:sz w:val="24"/>
          <w:szCs w:val="24"/>
          <w:lang w:eastAsia="lv-LV"/>
        </w:rPr>
        <w:t xml:space="preserve">, savukārt sadarbības ekonomikas uzņēmumi ir cīnījušies pret ierobežojumiem, līdz ar to faktiski valdībām ir bijusi izšķiroša loma par </w:t>
      </w:r>
      <w:r w:rsidR="00F15478" w:rsidRPr="00B404D4">
        <w:rPr>
          <w:rFonts w:ascii="Times New Roman" w:eastAsia="Times New Roman" w:hAnsi="Times New Roman" w:cs="Times New Roman"/>
          <w:bCs/>
          <w:sz w:val="24"/>
          <w:szCs w:val="24"/>
          <w:lang w:eastAsia="lv-LV"/>
        </w:rPr>
        <w:t>regulējuma izstrādes nepieciešamību</w:t>
      </w:r>
      <w:r w:rsidR="006D29FC" w:rsidRPr="00B404D4">
        <w:rPr>
          <w:rFonts w:ascii="Times New Roman" w:eastAsia="Times New Roman" w:hAnsi="Times New Roman" w:cs="Times New Roman"/>
          <w:bCs/>
          <w:sz w:val="24"/>
          <w:szCs w:val="24"/>
          <w:lang w:eastAsia="lv-LV"/>
        </w:rPr>
        <w:t>.</w:t>
      </w:r>
      <w:r w:rsidRPr="00B404D4">
        <w:rPr>
          <w:rStyle w:val="FootnoteReference"/>
          <w:rFonts w:ascii="Times New Roman" w:eastAsia="Times New Roman" w:hAnsi="Times New Roman" w:cs="Times New Roman"/>
          <w:bCs/>
          <w:sz w:val="24"/>
          <w:szCs w:val="24"/>
          <w:lang w:eastAsia="lv-LV"/>
        </w:rPr>
        <w:footnoteReference w:id="3"/>
      </w:r>
      <w:r w:rsidRPr="00B404D4">
        <w:rPr>
          <w:rFonts w:ascii="Times New Roman" w:eastAsia="Times New Roman" w:hAnsi="Times New Roman" w:cs="Times New Roman"/>
          <w:bCs/>
          <w:sz w:val="24"/>
          <w:szCs w:val="24"/>
          <w:lang w:eastAsia="lv-LV"/>
        </w:rPr>
        <w:t xml:space="preserve"> </w:t>
      </w:r>
      <w:r w:rsidR="003E3E21" w:rsidRPr="00B404D4">
        <w:rPr>
          <w:rFonts w:ascii="Times New Roman" w:eastAsia="Times New Roman" w:hAnsi="Times New Roman" w:cs="Times New Roman"/>
          <w:bCs/>
          <w:sz w:val="24"/>
          <w:szCs w:val="24"/>
          <w:lang w:eastAsia="lv-LV"/>
        </w:rPr>
        <w:t xml:space="preserve">Sadarbības ekonomikas pētnieki skaidro, ka </w:t>
      </w:r>
      <w:r w:rsidR="003E3E21" w:rsidRPr="00B404D4">
        <w:rPr>
          <w:rFonts w:ascii="Times New Roman" w:eastAsia="Times New Roman" w:hAnsi="Times New Roman" w:cs="Times New Roman"/>
          <w:sz w:val="24"/>
          <w:szCs w:val="24"/>
          <w:lang w:eastAsia="lv-LV"/>
        </w:rPr>
        <w:t>v</w:t>
      </w:r>
      <w:r w:rsidRPr="00B404D4">
        <w:rPr>
          <w:rFonts w:ascii="Times New Roman" w:eastAsia="Times New Roman" w:hAnsi="Times New Roman" w:cs="Times New Roman"/>
          <w:sz w:val="24"/>
          <w:szCs w:val="24"/>
          <w:lang w:eastAsia="lv-LV"/>
        </w:rPr>
        <w:t xml:space="preserve">aldībām vajadzētu būt elastīgām un piemērot subsidiaritātes principu sadarbībai ar </w:t>
      </w:r>
      <w:r w:rsidR="00075F36">
        <w:rPr>
          <w:rFonts w:ascii="Times New Roman" w:eastAsia="Times New Roman" w:hAnsi="Times New Roman" w:cs="Times New Roman"/>
          <w:sz w:val="24"/>
          <w:szCs w:val="24"/>
          <w:lang w:eastAsia="lv-LV"/>
        </w:rPr>
        <w:t>sadarbības</w:t>
      </w:r>
      <w:r w:rsidR="00075F36" w:rsidRPr="00B404D4">
        <w:rPr>
          <w:rFonts w:ascii="Times New Roman" w:eastAsia="Times New Roman" w:hAnsi="Times New Roman" w:cs="Times New Roman"/>
          <w:sz w:val="24"/>
          <w:szCs w:val="24"/>
          <w:lang w:eastAsia="lv-LV"/>
        </w:rPr>
        <w:t xml:space="preserve"> </w:t>
      </w:r>
      <w:r w:rsidRPr="00B404D4">
        <w:rPr>
          <w:rFonts w:ascii="Times New Roman" w:eastAsia="Times New Roman" w:hAnsi="Times New Roman" w:cs="Times New Roman"/>
          <w:sz w:val="24"/>
          <w:szCs w:val="24"/>
          <w:lang w:eastAsia="lv-LV"/>
        </w:rPr>
        <w:t xml:space="preserve">ekonomikas dalībniekiem, lai veicinātu inovācijas un ieguvumus, ko rada </w:t>
      </w:r>
      <w:r w:rsidR="00075F36">
        <w:rPr>
          <w:rFonts w:ascii="Times New Roman" w:eastAsia="Times New Roman" w:hAnsi="Times New Roman" w:cs="Times New Roman"/>
          <w:sz w:val="24"/>
          <w:szCs w:val="24"/>
          <w:lang w:eastAsia="lv-LV"/>
        </w:rPr>
        <w:t>sadarbības</w:t>
      </w:r>
      <w:r w:rsidR="00075F36" w:rsidRPr="00B404D4">
        <w:rPr>
          <w:rFonts w:ascii="Times New Roman" w:eastAsia="Times New Roman" w:hAnsi="Times New Roman" w:cs="Times New Roman"/>
          <w:sz w:val="24"/>
          <w:szCs w:val="24"/>
          <w:lang w:eastAsia="lv-LV"/>
        </w:rPr>
        <w:t xml:space="preserve"> </w:t>
      </w:r>
      <w:r w:rsidRPr="00B404D4">
        <w:rPr>
          <w:rFonts w:ascii="Times New Roman" w:eastAsia="Times New Roman" w:hAnsi="Times New Roman" w:cs="Times New Roman"/>
          <w:sz w:val="24"/>
          <w:szCs w:val="24"/>
          <w:lang w:eastAsia="lv-LV"/>
        </w:rPr>
        <w:t>ekonomika, tomēr neietekmējot tradicionāli regulētas nozares un neradot draudus sabiedrības veselībai vai drošībai.</w:t>
      </w:r>
      <w:r w:rsidRPr="00B404D4">
        <w:rPr>
          <w:rStyle w:val="FootnoteReference"/>
          <w:rFonts w:ascii="Times New Roman" w:eastAsia="Times New Roman" w:hAnsi="Times New Roman" w:cs="Times New Roman"/>
          <w:sz w:val="24"/>
          <w:szCs w:val="24"/>
          <w:lang w:eastAsia="lv-LV"/>
        </w:rPr>
        <w:footnoteReference w:id="4"/>
      </w:r>
      <w:r w:rsidRPr="00B404D4">
        <w:rPr>
          <w:rFonts w:ascii="Times New Roman" w:hAnsi="Times New Roman" w:cs="Times New Roman"/>
          <w:sz w:val="24"/>
          <w:szCs w:val="24"/>
        </w:rPr>
        <w:t xml:space="preserve"> </w:t>
      </w:r>
      <w:r w:rsidRPr="00B404D4">
        <w:rPr>
          <w:rFonts w:ascii="Times New Roman" w:eastAsia="Times New Roman" w:hAnsi="Times New Roman" w:cs="Times New Roman"/>
          <w:sz w:val="24"/>
          <w:szCs w:val="24"/>
          <w:lang w:eastAsia="lv-LV"/>
        </w:rPr>
        <w:t xml:space="preserve">Kad tirgus apstākļi </w:t>
      </w:r>
      <w:r w:rsidRPr="00B404D4">
        <w:rPr>
          <w:rFonts w:ascii="Times New Roman" w:eastAsia="Times New Roman" w:hAnsi="Times New Roman" w:cs="Times New Roman"/>
          <w:sz w:val="24"/>
          <w:szCs w:val="24"/>
          <w:lang w:eastAsia="lv-LV"/>
        </w:rPr>
        <w:lastRenderedPageBreak/>
        <w:t xml:space="preserve">dramatiski mainās vai kad jauna tehnoloģija vai konkurence mazina vajadzību pēc regulējuma </w:t>
      </w:r>
      <w:r w:rsidR="00147288" w:rsidRPr="00B404D4">
        <w:rPr>
          <w:rFonts w:ascii="Times New Roman" w:eastAsia="Times New Roman" w:hAnsi="Times New Roman" w:cs="Times New Roman"/>
          <w:sz w:val="24"/>
          <w:szCs w:val="24"/>
          <w:lang w:eastAsia="lv-LV"/>
        </w:rPr>
        <w:t>–</w:t>
      </w:r>
      <w:r w:rsidRPr="00B404D4">
        <w:rPr>
          <w:rFonts w:ascii="Times New Roman" w:eastAsia="Times New Roman" w:hAnsi="Times New Roman" w:cs="Times New Roman"/>
          <w:sz w:val="24"/>
          <w:szCs w:val="24"/>
          <w:lang w:eastAsia="lv-LV"/>
        </w:rPr>
        <w:t xml:space="preserve"> tad sabiedrībai politika </w:t>
      </w:r>
      <w:r w:rsidR="00FA7FEB" w:rsidRPr="00B404D4">
        <w:rPr>
          <w:rFonts w:ascii="Times New Roman" w:eastAsia="Times New Roman" w:hAnsi="Times New Roman" w:cs="Times New Roman"/>
          <w:sz w:val="24"/>
          <w:szCs w:val="24"/>
          <w:lang w:eastAsia="lv-LV"/>
        </w:rPr>
        <w:t xml:space="preserve">ir </w:t>
      </w:r>
      <w:r w:rsidRPr="00B404D4">
        <w:rPr>
          <w:rFonts w:ascii="Times New Roman" w:eastAsia="Times New Roman" w:hAnsi="Times New Roman" w:cs="Times New Roman"/>
          <w:sz w:val="24"/>
          <w:szCs w:val="24"/>
          <w:lang w:eastAsia="lv-LV"/>
        </w:rPr>
        <w:t>jāattīsta, lai pielāgotos šīm jaunajām situācijām. Pētījumi liecina, ka brīvs tirgus, konkurence un inovācijas nereti risina problēmas labāk nekā regulējums.</w:t>
      </w:r>
      <w:r w:rsidRPr="00B404D4">
        <w:rPr>
          <w:rStyle w:val="FootnoteReference"/>
          <w:rFonts w:ascii="Times New Roman" w:eastAsia="Times New Roman" w:hAnsi="Times New Roman" w:cs="Times New Roman"/>
          <w:sz w:val="24"/>
          <w:szCs w:val="24"/>
          <w:lang w:eastAsia="lv-LV"/>
        </w:rPr>
        <w:footnoteReference w:id="5"/>
      </w:r>
      <w:r w:rsidRPr="00B404D4">
        <w:rPr>
          <w:rFonts w:ascii="Times New Roman" w:eastAsia="Times New Roman" w:hAnsi="Times New Roman" w:cs="Times New Roman"/>
          <w:sz w:val="24"/>
          <w:szCs w:val="24"/>
          <w:lang w:eastAsia="lv-LV"/>
        </w:rPr>
        <w:t xml:space="preserve"> </w:t>
      </w:r>
    </w:p>
    <w:p w14:paraId="19E9B7AE" w14:textId="4C664743" w:rsidR="00B24B28" w:rsidRDefault="00B24B28" w:rsidP="008678DF">
      <w:pPr>
        <w:spacing w:after="0" w:line="240" w:lineRule="auto"/>
        <w:ind w:firstLine="709"/>
        <w:jc w:val="both"/>
        <w:rPr>
          <w:rFonts w:ascii="Times New Roman" w:eastAsia="Times New Roman" w:hAnsi="Times New Roman" w:cs="Times New Roman"/>
          <w:bCs/>
          <w:sz w:val="24"/>
          <w:szCs w:val="24"/>
          <w:lang w:eastAsia="lv-LV"/>
        </w:rPr>
      </w:pPr>
      <w:r w:rsidRPr="00B24B28">
        <w:rPr>
          <w:rFonts w:ascii="Times New Roman" w:eastAsia="Times New Roman" w:hAnsi="Times New Roman" w:cs="Times New Roman"/>
          <w:bCs/>
          <w:sz w:val="24"/>
          <w:szCs w:val="24"/>
          <w:lang w:eastAsia="lv-LV"/>
        </w:rPr>
        <w:t xml:space="preserve">Lai arī </w:t>
      </w:r>
      <w:r w:rsidR="00075F36">
        <w:rPr>
          <w:rFonts w:ascii="Times New Roman" w:eastAsia="Times New Roman" w:hAnsi="Times New Roman" w:cs="Times New Roman"/>
          <w:bCs/>
          <w:sz w:val="24"/>
          <w:szCs w:val="24"/>
          <w:lang w:eastAsia="lv-LV"/>
        </w:rPr>
        <w:t>sadarbības</w:t>
      </w:r>
      <w:r w:rsidR="00075F36" w:rsidRPr="00B24B28">
        <w:rPr>
          <w:rFonts w:ascii="Times New Roman" w:eastAsia="Times New Roman" w:hAnsi="Times New Roman" w:cs="Times New Roman"/>
          <w:bCs/>
          <w:sz w:val="24"/>
          <w:szCs w:val="24"/>
          <w:lang w:eastAsia="lv-LV"/>
        </w:rPr>
        <w:t xml:space="preserve"> </w:t>
      </w:r>
      <w:r w:rsidRPr="00B24B28">
        <w:rPr>
          <w:rFonts w:ascii="Times New Roman" w:eastAsia="Times New Roman" w:hAnsi="Times New Roman" w:cs="Times New Roman"/>
          <w:bCs/>
          <w:sz w:val="24"/>
          <w:szCs w:val="24"/>
          <w:lang w:eastAsia="lv-LV"/>
        </w:rPr>
        <w:t xml:space="preserve">ekonomikas biznesa modeļiem ir daži vienoti raksturojumi, pēc būtības tie ir ļoti atšķirīgi, līdz ar to, nevar izmantot vienotu regulējumu (pieeju) visām </w:t>
      </w:r>
      <w:r w:rsidR="00075F36">
        <w:rPr>
          <w:rFonts w:ascii="Times New Roman" w:eastAsia="Times New Roman" w:hAnsi="Times New Roman" w:cs="Times New Roman"/>
          <w:bCs/>
          <w:sz w:val="24"/>
          <w:szCs w:val="24"/>
          <w:lang w:eastAsia="lv-LV"/>
        </w:rPr>
        <w:t>sadarbības</w:t>
      </w:r>
      <w:r w:rsidR="00075F36" w:rsidRPr="00B24B28">
        <w:rPr>
          <w:rFonts w:ascii="Times New Roman" w:eastAsia="Times New Roman" w:hAnsi="Times New Roman" w:cs="Times New Roman"/>
          <w:bCs/>
          <w:sz w:val="24"/>
          <w:szCs w:val="24"/>
          <w:lang w:eastAsia="lv-LV"/>
        </w:rPr>
        <w:t xml:space="preserve"> </w:t>
      </w:r>
      <w:r w:rsidRPr="00B24B28">
        <w:rPr>
          <w:rFonts w:ascii="Times New Roman" w:eastAsia="Times New Roman" w:hAnsi="Times New Roman" w:cs="Times New Roman"/>
          <w:bCs/>
          <w:sz w:val="24"/>
          <w:szCs w:val="24"/>
          <w:lang w:eastAsia="lv-LV"/>
        </w:rPr>
        <w:t xml:space="preserve">ekonomikas jomām. Kā piemēru var minēt </w:t>
      </w:r>
      <w:r w:rsidR="00907A2A">
        <w:rPr>
          <w:rFonts w:ascii="Times New Roman" w:eastAsia="Times New Roman" w:hAnsi="Times New Roman" w:cs="Times New Roman"/>
          <w:bCs/>
          <w:sz w:val="24"/>
          <w:szCs w:val="24"/>
          <w:lang w:eastAsia="lv-LV"/>
        </w:rPr>
        <w:t xml:space="preserve">vieglo pasažieru </w:t>
      </w:r>
      <w:r w:rsidRPr="00B24B28">
        <w:rPr>
          <w:rFonts w:ascii="Times New Roman" w:eastAsia="Times New Roman" w:hAnsi="Times New Roman" w:cs="Times New Roman"/>
          <w:bCs/>
          <w:sz w:val="24"/>
          <w:szCs w:val="24"/>
          <w:lang w:eastAsia="lv-LV"/>
        </w:rPr>
        <w:t>komercpārvadājumu un telpu</w:t>
      </w:r>
      <w:r w:rsidR="00907A2A">
        <w:rPr>
          <w:rFonts w:ascii="Times New Roman" w:eastAsia="Times New Roman" w:hAnsi="Times New Roman" w:cs="Times New Roman"/>
          <w:bCs/>
          <w:sz w:val="24"/>
          <w:szCs w:val="24"/>
          <w:lang w:eastAsia="lv-LV"/>
        </w:rPr>
        <w:t xml:space="preserve"> </w:t>
      </w:r>
      <w:r w:rsidRPr="00B24B28">
        <w:rPr>
          <w:rFonts w:ascii="Times New Roman" w:eastAsia="Times New Roman" w:hAnsi="Times New Roman" w:cs="Times New Roman"/>
          <w:bCs/>
          <w:sz w:val="24"/>
          <w:szCs w:val="24"/>
          <w:lang w:eastAsia="lv-LV"/>
        </w:rPr>
        <w:t xml:space="preserve">(dzīvokļa, istabas, mājas) izīrēšanas jomas regulējumu. </w:t>
      </w:r>
      <w:r w:rsidR="00907A2A">
        <w:rPr>
          <w:rFonts w:ascii="Times New Roman" w:eastAsia="Times New Roman" w:hAnsi="Times New Roman" w:cs="Times New Roman"/>
          <w:bCs/>
          <w:sz w:val="24"/>
          <w:szCs w:val="24"/>
          <w:lang w:eastAsia="lv-LV"/>
        </w:rPr>
        <w:t>Vieglo pasažieru k</w:t>
      </w:r>
      <w:r w:rsidR="00907A2A" w:rsidRPr="00B24B28">
        <w:rPr>
          <w:rFonts w:ascii="Times New Roman" w:eastAsia="Times New Roman" w:hAnsi="Times New Roman" w:cs="Times New Roman"/>
          <w:bCs/>
          <w:sz w:val="24"/>
          <w:szCs w:val="24"/>
          <w:lang w:eastAsia="lv-LV"/>
        </w:rPr>
        <w:t xml:space="preserve">omercpārvadājumi </w:t>
      </w:r>
      <w:r w:rsidRPr="00B24B28">
        <w:rPr>
          <w:rFonts w:ascii="Times New Roman" w:eastAsia="Times New Roman" w:hAnsi="Times New Roman" w:cs="Times New Roman"/>
          <w:bCs/>
          <w:sz w:val="24"/>
          <w:szCs w:val="24"/>
          <w:lang w:eastAsia="lv-LV"/>
        </w:rPr>
        <w:t>ir licencējama darbība, šīs jomas dalībniekiem ir noteiktas speciālas prasības, savukārt telpu izīrēšanas jomā tādas prasības nav noteiktas.</w:t>
      </w:r>
    </w:p>
    <w:p w14:paraId="61F8631E" w14:textId="18CD20EE" w:rsidR="00B24B28" w:rsidRPr="00B404D4" w:rsidRDefault="00B24B28" w:rsidP="008678DF">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Kā vienu no sadarbības ekonomikas </w:t>
      </w:r>
      <w:r w:rsidRPr="00B24B28">
        <w:rPr>
          <w:rFonts w:ascii="Times New Roman" w:eastAsia="Times New Roman" w:hAnsi="Times New Roman" w:cs="Times New Roman"/>
          <w:bCs/>
          <w:sz w:val="24"/>
          <w:szCs w:val="24"/>
          <w:lang w:eastAsia="lv-LV"/>
        </w:rPr>
        <w:t>priekšrocīb</w:t>
      </w:r>
      <w:r>
        <w:rPr>
          <w:rFonts w:ascii="Times New Roman" w:eastAsia="Times New Roman" w:hAnsi="Times New Roman" w:cs="Times New Roman"/>
          <w:bCs/>
          <w:sz w:val="24"/>
          <w:szCs w:val="24"/>
          <w:lang w:eastAsia="lv-LV"/>
        </w:rPr>
        <w:t>ām</w:t>
      </w:r>
      <w:r w:rsidRPr="00B24B28">
        <w:rPr>
          <w:rFonts w:ascii="Times New Roman" w:eastAsia="Times New Roman" w:hAnsi="Times New Roman" w:cs="Times New Roman"/>
          <w:bCs/>
          <w:sz w:val="24"/>
          <w:szCs w:val="24"/>
          <w:lang w:eastAsia="lv-LV"/>
        </w:rPr>
        <w:t xml:space="preserve"> var minēt darbinieku elastību, proti, personai ir iespēja iegūt papildus ienākumus darbojoties tajā laikā, kad persona vēlas. Sadarbības ekonomikas platformas ir globāls tehnoloģiskais risinājums, kas saved kopā pakalpojuma sniedzēju un saņēmēju, līdz ar to persona var sniegt savus pakalpojumus (piemēram programmēšanas, juridiskos vai kādus citus elektroniskus vai intelektuālus pakalpojumus) arī globāli. Personas</w:t>
      </w:r>
      <w:r w:rsidR="008A6976">
        <w:rPr>
          <w:rFonts w:ascii="Times New Roman" w:eastAsia="Times New Roman" w:hAnsi="Times New Roman" w:cs="Times New Roman"/>
          <w:bCs/>
          <w:sz w:val="24"/>
          <w:szCs w:val="24"/>
          <w:lang w:eastAsia="lv-LV"/>
        </w:rPr>
        <w:t xml:space="preserve"> – </w:t>
      </w:r>
      <w:r w:rsidRPr="00B24B28">
        <w:rPr>
          <w:rFonts w:ascii="Times New Roman" w:eastAsia="Times New Roman" w:hAnsi="Times New Roman" w:cs="Times New Roman"/>
          <w:bCs/>
          <w:sz w:val="24"/>
          <w:szCs w:val="24"/>
          <w:lang w:eastAsia="lv-LV"/>
        </w:rPr>
        <w:t>pakalpojumu</w:t>
      </w:r>
      <w:r w:rsidR="008A6976">
        <w:rPr>
          <w:rFonts w:ascii="Times New Roman" w:eastAsia="Times New Roman" w:hAnsi="Times New Roman" w:cs="Times New Roman"/>
          <w:bCs/>
          <w:sz w:val="24"/>
          <w:szCs w:val="24"/>
          <w:lang w:eastAsia="lv-LV"/>
        </w:rPr>
        <w:t xml:space="preserve"> </w:t>
      </w:r>
      <w:r w:rsidRPr="00B24B28">
        <w:rPr>
          <w:rFonts w:ascii="Times New Roman" w:eastAsia="Times New Roman" w:hAnsi="Times New Roman" w:cs="Times New Roman"/>
          <w:bCs/>
          <w:sz w:val="24"/>
          <w:szCs w:val="24"/>
          <w:lang w:eastAsia="lv-LV"/>
        </w:rPr>
        <w:t xml:space="preserve">sniedzējas, izmantojot sadarbības platformas sniegtās iespējas, var iegūt papildus ienākumu globālā tirgū. </w:t>
      </w:r>
      <w:r>
        <w:rPr>
          <w:rFonts w:ascii="Times New Roman" w:eastAsia="Times New Roman" w:hAnsi="Times New Roman" w:cs="Times New Roman"/>
          <w:bCs/>
          <w:sz w:val="24"/>
          <w:szCs w:val="24"/>
          <w:lang w:eastAsia="lv-LV"/>
        </w:rPr>
        <w:t xml:space="preserve">Tā kā </w:t>
      </w:r>
      <w:r w:rsidRPr="00B24B28">
        <w:rPr>
          <w:rFonts w:ascii="Times New Roman" w:eastAsia="Times New Roman" w:hAnsi="Times New Roman" w:cs="Times New Roman"/>
          <w:bCs/>
          <w:sz w:val="24"/>
          <w:szCs w:val="24"/>
          <w:lang w:eastAsia="lv-LV"/>
        </w:rPr>
        <w:t>sadarbības ekonomikā iesaistīt</w:t>
      </w:r>
      <w:r>
        <w:rPr>
          <w:rFonts w:ascii="Times New Roman" w:eastAsia="Times New Roman" w:hAnsi="Times New Roman" w:cs="Times New Roman"/>
          <w:bCs/>
          <w:sz w:val="24"/>
          <w:szCs w:val="24"/>
          <w:lang w:eastAsia="lv-LV"/>
        </w:rPr>
        <w:t>ās</w:t>
      </w:r>
      <w:r w:rsidRPr="00B24B28">
        <w:rPr>
          <w:rFonts w:ascii="Times New Roman" w:eastAsia="Times New Roman" w:hAnsi="Times New Roman" w:cs="Times New Roman"/>
          <w:bCs/>
          <w:sz w:val="24"/>
          <w:szCs w:val="24"/>
          <w:lang w:eastAsia="lv-LV"/>
        </w:rPr>
        <w:t xml:space="preserve"> person</w:t>
      </w:r>
      <w:r w:rsidR="00D06E80">
        <w:rPr>
          <w:rFonts w:ascii="Times New Roman" w:eastAsia="Times New Roman" w:hAnsi="Times New Roman" w:cs="Times New Roman"/>
          <w:bCs/>
          <w:sz w:val="24"/>
          <w:szCs w:val="24"/>
          <w:lang w:eastAsia="lv-LV"/>
        </w:rPr>
        <w:t>as</w:t>
      </w:r>
      <w:r w:rsidRPr="00B24B2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ir </w:t>
      </w:r>
      <w:proofErr w:type="spellStart"/>
      <w:r>
        <w:rPr>
          <w:rFonts w:ascii="Times New Roman" w:eastAsia="Times New Roman" w:hAnsi="Times New Roman" w:cs="Times New Roman"/>
          <w:bCs/>
          <w:sz w:val="24"/>
          <w:szCs w:val="24"/>
          <w:lang w:eastAsia="lv-LV"/>
        </w:rPr>
        <w:t>pašnodarbinātas</w:t>
      </w:r>
      <w:proofErr w:type="spellEnd"/>
      <w:r w:rsidR="008A6976">
        <w:rPr>
          <w:rFonts w:ascii="Times New Roman" w:eastAsia="Times New Roman" w:hAnsi="Times New Roman" w:cs="Times New Roman"/>
          <w:bCs/>
          <w:sz w:val="24"/>
          <w:szCs w:val="24"/>
          <w:lang w:eastAsia="lv-LV"/>
        </w:rPr>
        <w:t xml:space="preserve"> personas</w:t>
      </w:r>
      <w:r>
        <w:rPr>
          <w:rFonts w:ascii="Times New Roman" w:eastAsia="Times New Roman" w:hAnsi="Times New Roman" w:cs="Times New Roman"/>
          <w:bCs/>
          <w:sz w:val="24"/>
          <w:szCs w:val="24"/>
          <w:lang w:eastAsia="lv-LV"/>
        </w:rPr>
        <w:t xml:space="preserve"> tās atšķirībā no darba ņēmējiem arī pašas atbildīgas par sociāliem maksājumiem, lai veidotu savas</w:t>
      </w:r>
      <w:r w:rsidRPr="00B24B28">
        <w:rPr>
          <w:rFonts w:ascii="Times New Roman" w:eastAsia="Times New Roman" w:hAnsi="Times New Roman" w:cs="Times New Roman"/>
          <w:bCs/>
          <w:sz w:val="24"/>
          <w:szCs w:val="24"/>
          <w:lang w:eastAsia="lv-LV"/>
        </w:rPr>
        <w:t xml:space="preserve"> sociāl</w:t>
      </w:r>
      <w:r w:rsidR="008A6976">
        <w:rPr>
          <w:rFonts w:ascii="Times New Roman" w:eastAsia="Times New Roman" w:hAnsi="Times New Roman" w:cs="Times New Roman"/>
          <w:bCs/>
          <w:sz w:val="24"/>
          <w:szCs w:val="24"/>
          <w:lang w:eastAsia="lv-LV"/>
        </w:rPr>
        <w:t>ās</w:t>
      </w:r>
      <w:r w:rsidRPr="00B24B28">
        <w:rPr>
          <w:rFonts w:ascii="Times New Roman" w:eastAsia="Times New Roman" w:hAnsi="Times New Roman" w:cs="Times New Roman"/>
          <w:bCs/>
          <w:sz w:val="24"/>
          <w:szCs w:val="24"/>
          <w:lang w:eastAsia="lv-LV"/>
        </w:rPr>
        <w:t xml:space="preserve"> garantij</w:t>
      </w:r>
      <w:r>
        <w:rPr>
          <w:rFonts w:ascii="Times New Roman" w:eastAsia="Times New Roman" w:hAnsi="Times New Roman" w:cs="Times New Roman"/>
          <w:bCs/>
          <w:sz w:val="24"/>
          <w:szCs w:val="24"/>
          <w:lang w:eastAsia="lv-LV"/>
        </w:rPr>
        <w:t>as</w:t>
      </w:r>
      <w:r w:rsidRPr="00B24B28">
        <w:rPr>
          <w:rFonts w:ascii="Times New Roman" w:eastAsia="Times New Roman" w:hAnsi="Times New Roman" w:cs="Times New Roman"/>
          <w:bCs/>
          <w:sz w:val="24"/>
          <w:szCs w:val="24"/>
          <w:lang w:eastAsia="lv-LV"/>
        </w:rPr>
        <w:t xml:space="preserve">. Ja persona sadarbības ekonomikas iespējas izmanto savā brīvajā laikā, lai piepelnītos, </w:t>
      </w:r>
      <w:r>
        <w:rPr>
          <w:rFonts w:ascii="Times New Roman" w:eastAsia="Times New Roman" w:hAnsi="Times New Roman" w:cs="Times New Roman"/>
          <w:bCs/>
          <w:sz w:val="24"/>
          <w:szCs w:val="24"/>
          <w:lang w:eastAsia="lv-LV"/>
        </w:rPr>
        <w:t>šis aspekts ir mazāk</w:t>
      </w:r>
      <w:r w:rsidR="002E5F13">
        <w:rPr>
          <w:rFonts w:ascii="Times New Roman" w:eastAsia="Times New Roman" w:hAnsi="Times New Roman" w:cs="Times New Roman"/>
          <w:bCs/>
          <w:sz w:val="24"/>
          <w:szCs w:val="24"/>
          <w:lang w:eastAsia="lv-LV"/>
        </w:rPr>
        <w:t xml:space="preserve"> nozīmīgs</w:t>
      </w:r>
      <w:r w:rsidRPr="00B24B28">
        <w:rPr>
          <w:rFonts w:ascii="Times New Roman" w:eastAsia="Times New Roman" w:hAnsi="Times New Roman" w:cs="Times New Roman"/>
          <w:bCs/>
          <w:sz w:val="24"/>
          <w:szCs w:val="24"/>
          <w:lang w:eastAsia="lv-LV"/>
        </w:rPr>
        <w:t xml:space="preserve"> kā gadījumos, kad persona gūst ienākumus tikai un vienīgi sadarbības ekonomikā un darbojas pilna laika režīmā.</w:t>
      </w:r>
    </w:p>
    <w:p w14:paraId="100A7AD0" w14:textId="77777777" w:rsidR="004079E4" w:rsidRPr="00B404D4" w:rsidRDefault="004079E4" w:rsidP="009B41E1">
      <w:pPr>
        <w:spacing w:after="0" w:line="240" w:lineRule="auto"/>
        <w:ind w:firstLine="709"/>
        <w:jc w:val="both"/>
        <w:rPr>
          <w:rFonts w:ascii="Times New Roman" w:eastAsia="Times New Roman" w:hAnsi="Times New Roman" w:cs="Times New Roman"/>
          <w:bCs/>
          <w:sz w:val="24"/>
          <w:szCs w:val="24"/>
          <w:lang w:eastAsia="lv-LV"/>
        </w:rPr>
      </w:pPr>
    </w:p>
    <w:p w14:paraId="1531ED71" w14:textId="64031E52" w:rsidR="008678DF" w:rsidRPr="00B404D4" w:rsidRDefault="008678DF" w:rsidP="008678DF">
      <w:pPr>
        <w:spacing w:after="0" w:line="240" w:lineRule="auto"/>
        <w:jc w:val="center"/>
        <w:rPr>
          <w:rFonts w:ascii="Times New Roman" w:eastAsia="Times New Roman" w:hAnsi="Times New Roman" w:cs="Times New Roman"/>
          <w:b/>
          <w:bCs/>
          <w:sz w:val="24"/>
          <w:szCs w:val="24"/>
          <w:lang w:eastAsia="lv-LV"/>
        </w:rPr>
      </w:pPr>
      <w:r w:rsidRPr="00B404D4">
        <w:rPr>
          <w:rFonts w:ascii="Times New Roman" w:eastAsia="Times New Roman" w:hAnsi="Times New Roman" w:cs="Times New Roman"/>
          <w:b/>
          <w:bCs/>
          <w:sz w:val="24"/>
          <w:szCs w:val="24"/>
          <w:lang w:eastAsia="lv-LV"/>
        </w:rPr>
        <w:t>2.1.</w:t>
      </w:r>
      <w:r w:rsidR="00762968" w:rsidRPr="00B404D4">
        <w:rPr>
          <w:rFonts w:ascii="Times New Roman" w:hAnsi="Times New Roman" w:cs="Times New Roman"/>
          <w:sz w:val="24"/>
          <w:szCs w:val="24"/>
        </w:rPr>
        <w:t> </w:t>
      </w:r>
      <w:r w:rsidRPr="00B404D4">
        <w:rPr>
          <w:rFonts w:ascii="Times New Roman" w:eastAsia="Times New Roman" w:hAnsi="Times New Roman" w:cs="Times New Roman"/>
          <w:b/>
          <w:bCs/>
          <w:sz w:val="24"/>
          <w:szCs w:val="24"/>
          <w:lang w:eastAsia="lv-LV"/>
        </w:rPr>
        <w:t xml:space="preserve">Sadarbības ekonomika Eiropā un tās attīstības tendences  </w:t>
      </w:r>
    </w:p>
    <w:p w14:paraId="487E352F" w14:textId="77777777" w:rsidR="004079E4" w:rsidRPr="00B404D4" w:rsidRDefault="004079E4" w:rsidP="009B41E1">
      <w:pPr>
        <w:spacing w:after="0" w:line="240" w:lineRule="auto"/>
        <w:ind w:firstLine="709"/>
        <w:jc w:val="both"/>
        <w:rPr>
          <w:rFonts w:ascii="Times New Roman" w:eastAsia="Times New Roman" w:hAnsi="Times New Roman" w:cs="Times New Roman"/>
          <w:bCs/>
          <w:sz w:val="24"/>
          <w:szCs w:val="24"/>
          <w:lang w:eastAsia="lv-LV"/>
        </w:rPr>
      </w:pPr>
    </w:p>
    <w:p w14:paraId="33752969" w14:textId="54200CFC" w:rsidR="00954A24" w:rsidRPr="00B404D4" w:rsidRDefault="00B077E0" w:rsidP="009B41E1">
      <w:pPr>
        <w:spacing w:after="0" w:line="240" w:lineRule="auto"/>
        <w:ind w:firstLine="709"/>
        <w:jc w:val="both"/>
        <w:rPr>
          <w:rFonts w:ascii="Times New Roman" w:eastAsia="Times New Roman" w:hAnsi="Times New Roman" w:cs="Times New Roman"/>
          <w:bCs/>
          <w:sz w:val="24"/>
          <w:szCs w:val="24"/>
          <w:lang w:eastAsia="lv-LV"/>
        </w:rPr>
      </w:pPr>
      <w:r w:rsidRPr="00B404D4">
        <w:rPr>
          <w:rFonts w:ascii="Times New Roman" w:eastAsia="Times New Roman" w:hAnsi="Times New Roman" w:cs="Times New Roman"/>
          <w:bCs/>
          <w:sz w:val="24"/>
          <w:szCs w:val="24"/>
          <w:lang w:eastAsia="lv-LV"/>
        </w:rPr>
        <w:t>Sadarbības ekonomikas izaugsme ir veicinājusi diskusiju par tās potenciālajiem ieguvumiem un izaicinājumiem</w:t>
      </w:r>
      <w:r w:rsidR="009B41E1" w:rsidRPr="00B404D4">
        <w:rPr>
          <w:rFonts w:ascii="Times New Roman" w:eastAsia="Times New Roman" w:hAnsi="Times New Roman" w:cs="Times New Roman"/>
          <w:bCs/>
          <w:sz w:val="24"/>
          <w:szCs w:val="24"/>
          <w:lang w:eastAsia="lv-LV"/>
        </w:rPr>
        <w:t xml:space="preserve"> arī </w:t>
      </w:r>
      <w:r w:rsidR="00F625C7" w:rsidRPr="00B404D4">
        <w:rPr>
          <w:rFonts w:ascii="Times New Roman" w:eastAsia="Times New Roman" w:hAnsi="Times New Roman" w:cs="Times New Roman"/>
          <w:bCs/>
          <w:sz w:val="24"/>
          <w:szCs w:val="24"/>
          <w:lang w:eastAsia="lv-LV"/>
        </w:rPr>
        <w:t>ES</w:t>
      </w:r>
      <w:r w:rsidR="009B41E1" w:rsidRPr="00B404D4">
        <w:rPr>
          <w:rFonts w:ascii="Times New Roman" w:eastAsia="Times New Roman" w:hAnsi="Times New Roman" w:cs="Times New Roman"/>
          <w:bCs/>
          <w:sz w:val="24"/>
          <w:szCs w:val="24"/>
          <w:lang w:eastAsia="lv-LV"/>
        </w:rPr>
        <w:t>. Š</w:t>
      </w:r>
      <w:r w:rsidR="009A5107" w:rsidRPr="00B404D4">
        <w:rPr>
          <w:rFonts w:ascii="Times New Roman" w:eastAsia="Times New Roman" w:hAnsi="Times New Roman" w:cs="Times New Roman"/>
          <w:bCs/>
          <w:sz w:val="24"/>
          <w:szCs w:val="24"/>
          <w:lang w:eastAsia="lv-LV"/>
        </w:rPr>
        <w:t xml:space="preserve">ī iemesla dēļ </w:t>
      </w:r>
      <w:r w:rsidR="006B23AA" w:rsidRPr="00B404D4">
        <w:rPr>
          <w:rFonts w:ascii="Times New Roman" w:eastAsia="Times New Roman" w:hAnsi="Times New Roman" w:cs="Times New Roman"/>
          <w:bCs/>
          <w:sz w:val="24"/>
          <w:szCs w:val="24"/>
          <w:lang w:eastAsia="lv-LV"/>
        </w:rPr>
        <w:t>Eiropas Komisija</w:t>
      </w:r>
      <w:r w:rsidR="009B41E1" w:rsidRPr="00B404D4">
        <w:rPr>
          <w:rFonts w:ascii="Times New Roman" w:eastAsia="Times New Roman" w:hAnsi="Times New Roman" w:cs="Times New Roman"/>
          <w:bCs/>
          <w:sz w:val="24"/>
          <w:szCs w:val="24"/>
          <w:lang w:eastAsia="lv-LV"/>
        </w:rPr>
        <w:t xml:space="preserve"> </w:t>
      </w:r>
      <w:r w:rsidR="006B23AA" w:rsidRPr="00B404D4">
        <w:rPr>
          <w:rFonts w:ascii="Times New Roman" w:eastAsia="Times New Roman" w:hAnsi="Times New Roman" w:cs="Times New Roman"/>
          <w:bCs/>
          <w:sz w:val="24"/>
          <w:szCs w:val="24"/>
          <w:lang w:eastAsia="lv-LV"/>
        </w:rPr>
        <w:t>skaidro sadarbības ekonomikas būtību un sniedz vadlīnijas sadarbības ekonomikas politikas ieviešanā, vēršot uzmanību tam, ka</w:t>
      </w:r>
      <w:r w:rsidR="00986D36" w:rsidRPr="00B404D4">
        <w:rPr>
          <w:rFonts w:ascii="Times New Roman" w:eastAsia="Times New Roman" w:hAnsi="Times New Roman" w:cs="Times New Roman"/>
          <w:bCs/>
          <w:sz w:val="24"/>
          <w:szCs w:val="24"/>
          <w:lang w:eastAsia="lv-LV"/>
        </w:rPr>
        <w:t xml:space="preserve"> šim jauna</w:t>
      </w:r>
      <w:r w:rsidR="009A5107" w:rsidRPr="00B404D4">
        <w:rPr>
          <w:rFonts w:ascii="Times New Roman" w:eastAsia="Times New Roman" w:hAnsi="Times New Roman" w:cs="Times New Roman"/>
          <w:bCs/>
          <w:sz w:val="24"/>
          <w:szCs w:val="24"/>
          <w:lang w:eastAsia="lv-LV"/>
        </w:rPr>
        <w:t>ja</w:t>
      </w:r>
      <w:r w:rsidR="00986D36" w:rsidRPr="00B404D4">
        <w:rPr>
          <w:rFonts w:ascii="Times New Roman" w:eastAsia="Times New Roman" w:hAnsi="Times New Roman" w:cs="Times New Roman"/>
          <w:bCs/>
          <w:sz w:val="24"/>
          <w:szCs w:val="24"/>
          <w:lang w:eastAsia="lv-LV"/>
        </w:rPr>
        <w:t>m uzņēmējdarbības modelim ir nepieciešama</w:t>
      </w:r>
      <w:r w:rsidRPr="00B404D4">
        <w:rPr>
          <w:rFonts w:ascii="Times New Roman" w:eastAsia="Times New Roman" w:hAnsi="Times New Roman" w:cs="Times New Roman"/>
          <w:bCs/>
          <w:sz w:val="24"/>
          <w:szCs w:val="24"/>
          <w:lang w:eastAsia="lv-LV"/>
        </w:rPr>
        <w:t xml:space="preserve"> </w:t>
      </w:r>
      <w:r w:rsidR="00986D36" w:rsidRPr="00B404D4">
        <w:rPr>
          <w:rFonts w:ascii="Times New Roman" w:eastAsia="Times New Roman" w:hAnsi="Times New Roman" w:cs="Times New Roman"/>
          <w:bCs/>
          <w:sz w:val="24"/>
          <w:szCs w:val="24"/>
          <w:lang w:eastAsia="lv-LV"/>
        </w:rPr>
        <w:t>skaidra</w:t>
      </w:r>
      <w:r w:rsidR="00B011D5" w:rsidRPr="00B404D4">
        <w:rPr>
          <w:rFonts w:ascii="Times New Roman" w:eastAsia="Times New Roman" w:hAnsi="Times New Roman" w:cs="Times New Roman"/>
          <w:bCs/>
          <w:sz w:val="24"/>
          <w:szCs w:val="24"/>
          <w:lang w:eastAsia="lv-LV"/>
        </w:rPr>
        <w:t xml:space="preserve"> un līdzsvarota normatīvā vide, vienlaikus norādot, ka elastīgs tiesiskais regulējums veicina augstāku produktivitāti pakalpojumu tirgū, atvieglo jaunu dalībnieku ienākšanu tajā, samazina pakalpojum</w:t>
      </w:r>
      <w:r w:rsidR="009A5107" w:rsidRPr="00B404D4">
        <w:rPr>
          <w:rFonts w:ascii="Times New Roman" w:eastAsia="Times New Roman" w:hAnsi="Times New Roman" w:cs="Times New Roman"/>
          <w:bCs/>
          <w:sz w:val="24"/>
          <w:szCs w:val="24"/>
          <w:lang w:eastAsia="lv-LV"/>
        </w:rPr>
        <w:t>u</w:t>
      </w:r>
      <w:r w:rsidR="00B011D5" w:rsidRPr="00B404D4">
        <w:rPr>
          <w:rFonts w:ascii="Times New Roman" w:eastAsia="Times New Roman" w:hAnsi="Times New Roman" w:cs="Times New Roman"/>
          <w:bCs/>
          <w:sz w:val="24"/>
          <w:szCs w:val="24"/>
          <w:lang w:eastAsia="lv-LV"/>
        </w:rPr>
        <w:t xml:space="preserve"> cenu un nodrošina plašākas izvēles iespējas patērētājiem.</w:t>
      </w:r>
      <w:r w:rsidR="009B41E1" w:rsidRPr="00B404D4">
        <w:rPr>
          <w:rStyle w:val="FootnoteReference"/>
          <w:rFonts w:ascii="Times New Roman" w:eastAsia="Times New Roman" w:hAnsi="Times New Roman" w:cs="Times New Roman"/>
          <w:bCs/>
          <w:sz w:val="24"/>
          <w:szCs w:val="24"/>
          <w:lang w:eastAsia="lv-LV"/>
        </w:rPr>
        <w:t xml:space="preserve"> </w:t>
      </w:r>
      <w:r w:rsidR="00EC6431" w:rsidRPr="00B404D4">
        <w:rPr>
          <w:rFonts w:ascii="Times New Roman" w:eastAsia="Times New Roman" w:hAnsi="Times New Roman" w:cs="Times New Roman"/>
          <w:bCs/>
          <w:sz w:val="24"/>
          <w:szCs w:val="24"/>
          <w:lang w:eastAsia="lv-LV"/>
        </w:rPr>
        <w:t>S</w:t>
      </w:r>
      <w:r w:rsidR="00954A24" w:rsidRPr="00B404D4">
        <w:rPr>
          <w:rFonts w:ascii="Times New Roman" w:eastAsia="Times New Roman" w:hAnsi="Times New Roman" w:cs="Times New Roman"/>
          <w:bCs/>
          <w:sz w:val="24"/>
          <w:szCs w:val="24"/>
          <w:lang w:eastAsia="lv-LV"/>
        </w:rPr>
        <w:t>adarbības ekonomika rada jaunas iespējas patērētājiem un uzņēmējiem</w:t>
      </w:r>
      <w:r w:rsidR="009A5107" w:rsidRPr="00B404D4">
        <w:rPr>
          <w:rFonts w:ascii="Times New Roman" w:eastAsia="Times New Roman" w:hAnsi="Times New Roman" w:cs="Times New Roman"/>
          <w:bCs/>
          <w:sz w:val="24"/>
          <w:szCs w:val="24"/>
          <w:lang w:eastAsia="lv-LV"/>
        </w:rPr>
        <w:t>,</w:t>
      </w:r>
      <w:r w:rsidR="00954A24" w:rsidRPr="00B404D4">
        <w:rPr>
          <w:rFonts w:ascii="Times New Roman" w:eastAsia="Times New Roman" w:hAnsi="Times New Roman" w:cs="Times New Roman"/>
          <w:bCs/>
          <w:sz w:val="24"/>
          <w:szCs w:val="24"/>
          <w:lang w:eastAsia="lv-LV"/>
        </w:rPr>
        <w:t xml:space="preserve"> un tā var sekmēt </w:t>
      </w:r>
      <w:r w:rsidR="00F625C7" w:rsidRPr="00B404D4">
        <w:rPr>
          <w:rFonts w:ascii="Times New Roman" w:eastAsia="Times New Roman" w:hAnsi="Times New Roman" w:cs="Times New Roman"/>
          <w:bCs/>
          <w:sz w:val="24"/>
          <w:szCs w:val="24"/>
          <w:lang w:eastAsia="lv-LV"/>
        </w:rPr>
        <w:t>ES</w:t>
      </w:r>
      <w:r w:rsidR="00EC6431" w:rsidRPr="00B404D4">
        <w:rPr>
          <w:rFonts w:ascii="Times New Roman" w:eastAsia="Times New Roman" w:hAnsi="Times New Roman" w:cs="Times New Roman"/>
          <w:bCs/>
          <w:sz w:val="24"/>
          <w:szCs w:val="24"/>
          <w:lang w:eastAsia="lv-LV"/>
        </w:rPr>
        <w:t xml:space="preserve"> darba tirgus attīstību </w:t>
      </w:r>
      <w:r w:rsidR="00954A24" w:rsidRPr="00B404D4">
        <w:rPr>
          <w:rFonts w:ascii="Times New Roman" w:eastAsia="Times New Roman" w:hAnsi="Times New Roman" w:cs="Times New Roman"/>
          <w:bCs/>
          <w:sz w:val="24"/>
          <w:szCs w:val="24"/>
          <w:lang w:eastAsia="lv-LV"/>
        </w:rPr>
        <w:t>un ekonomisko izaugsmi, ja tā tiek atbalstīta un attīstīta atbildīgā veidā ar at</w:t>
      </w:r>
      <w:r w:rsidR="007E2601" w:rsidRPr="00B404D4">
        <w:rPr>
          <w:rFonts w:ascii="Times New Roman" w:eastAsia="Times New Roman" w:hAnsi="Times New Roman" w:cs="Times New Roman"/>
          <w:bCs/>
          <w:sz w:val="24"/>
          <w:szCs w:val="24"/>
          <w:lang w:eastAsia="lv-LV"/>
        </w:rPr>
        <w:t>bilstošu tiesisko regulējumu. Eiropas Komisijas</w:t>
      </w:r>
      <w:r w:rsidR="00954A24" w:rsidRPr="00B404D4">
        <w:rPr>
          <w:rFonts w:ascii="Times New Roman" w:eastAsia="Times New Roman" w:hAnsi="Times New Roman" w:cs="Times New Roman"/>
          <w:bCs/>
          <w:sz w:val="24"/>
          <w:szCs w:val="24"/>
          <w:lang w:eastAsia="lv-LV"/>
        </w:rPr>
        <w:t xml:space="preserve"> aprēķini liecina, ka sadarbība</w:t>
      </w:r>
      <w:r w:rsidR="007E2601" w:rsidRPr="00B404D4">
        <w:rPr>
          <w:rFonts w:ascii="Times New Roman" w:eastAsia="Times New Roman" w:hAnsi="Times New Roman" w:cs="Times New Roman"/>
          <w:bCs/>
          <w:sz w:val="24"/>
          <w:szCs w:val="24"/>
          <w:lang w:eastAsia="lv-LV"/>
        </w:rPr>
        <w:t xml:space="preserve">s ekonomika varētu papildināt </w:t>
      </w:r>
      <w:r w:rsidR="00F625C7" w:rsidRPr="00B404D4">
        <w:rPr>
          <w:rFonts w:ascii="Times New Roman" w:eastAsia="Times New Roman" w:hAnsi="Times New Roman" w:cs="Times New Roman"/>
          <w:bCs/>
          <w:sz w:val="24"/>
          <w:szCs w:val="24"/>
          <w:lang w:eastAsia="lv-LV"/>
        </w:rPr>
        <w:t>ES</w:t>
      </w:r>
      <w:r w:rsidR="00954A24" w:rsidRPr="00B404D4">
        <w:rPr>
          <w:rFonts w:ascii="Times New Roman" w:eastAsia="Times New Roman" w:hAnsi="Times New Roman" w:cs="Times New Roman"/>
          <w:bCs/>
          <w:sz w:val="24"/>
          <w:szCs w:val="24"/>
          <w:lang w:eastAsia="lv-LV"/>
        </w:rPr>
        <w:t xml:space="preserve"> ekonomiku ar 160 – 572 miljardiem EUR.</w:t>
      </w:r>
      <w:r w:rsidR="009B41E1" w:rsidRPr="00B404D4">
        <w:rPr>
          <w:rStyle w:val="FootnoteReference"/>
          <w:rFonts w:ascii="Times New Roman" w:eastAsia="Times New Roman" w:hAnsi="Times New Roman" w:cs="Times New Roman"/>
          <w:bCs/>
          <w:sz w:val="24"/>
          <w:szCs w:val="24"/>
          <w:lang w:eastAsia="lv-LV"/>
        </w:rPr>
        <w:footnoteReference w:id="6"/>
      </w:r>
      <w:r w:rsidR="0005165E" w:rsidRPr="00B404D4">
        <w:rPr>
          <w:rFonts w:ascii="Times New Roman" w:eastAsia="Times New Roman" w:hAnsi="Times New Roman" w:cs="Times New Roman"/>
          <w:bCs/>
          <w:sz w:val="24"/>
          <w:szCs w:val="24"/>
          <w:lang w:eastAsia="lv-LV"/>
        </w:rPr>
        <w:t xml:space="preserve"> </w:t>
      </w:r>
    </w:p>
    <w:p w14:paraId="22075733" w14:textId="11FFF294" w:rsidR="00BB753B" w:rsidRPr="00B404D4" w:rsidRDefault="009777B9" w:rsidP="009B41E1">
      <w:pPr>
        <w:spacing w:after="0" w:line="240" w:lineRule="auto"/>
        <w:ind w:firstLine="709"/>
        <w:jc w:val="both"/>
        <w:rPr>
          <w:rFonts w:ascii="Times New Roman" w:eastAsia="Times New Roman" w:hAnsi="Times New Roman" w:cs="Times New Roman"/>
          <w:bCs/>
          <w:sz w:val="24"/>
          <w:szCs w:val="24"/>
          <w:lang w:eastAsia="lv-LV"/>
        </w:rPr>
      </w:pPr>
      <w:r w:rsidRPr="00B404D4">
        <w:rPr>
          <w:rFonts w:ascii="Times New Roman" w:eastAsia="Times New Roman" w:hAnsi="Times New Roman" w:cs="Times New Roman"/>
          <w:bCs/>
          <w:sz w:val="24"/>
          <w:szCs w:val="24"/>
          <w:lang w:eastAsia="lv-LV"/>
        </w:rPr>
        <w:t xml:space="preserve">Eiropas Komisijas </w:t>
      </w:r>
      <w:r w:rsidR="00F2093C" w:rsidRPr="00B404D4">
        <w:rPr>
          <w:rFonts w:ascii="Times New Roman" w:eastAsia="Times New Roman" w:hAnsi="Times New Roman" w:cs="Times New Roman"/>
          <w:bCs/>
          <w:sz w:val="24"/>
          <w:szCs w:val="24"/>
          <w:lang w:eastAsia="lv-LV"/>
        </w:rPr>
        <w:t xml:space="preserve">veiktajā </w:t>
      </w:r>
      <w:r w:rsidRPr="00B404D4">
        <w:rPr>
          <w:rFonts w:ascii="Times New Roman" w:eastAsia="Times New Roman" w:hAnsi="Times New Roman" w:cs="Times New Roman"/>
          <w:bCs/>
          <w:sz w:val="24"/>
          <w:szCs w:val="24"/>
          <w:lang w:eastAsia="lv-LV"/>
        </w:rPr>
        <w:t>pētījumā</w:t>
      </w:r>
      <w:r w:rsidRPr="00B404D4">
        <w:rPr>
          <w:rStyle w:val="FootnoteReference"/>
          <w:rFonts w:ascii="Times New Roman" w:eastAsia="Times New Roman" w:hAnsi="Times New Roman" w:cs="Times New Roman"/>
          <w:bCs/>
          <w:sz w:val="24"/>
          <w:szCs w:val="24"/>
          <w:lang w:eastAsia="lv-LV"/>
        </w:rPr>
        <w:footnoteReference w:id="7"/>
      </w:r>
      <w:r w:rsidRPr="00B404D4">
        <w:rPr>
          <w:rFonts w:ascii="Times New Roman" w:eastAsia="Times New Roman" w:hAnsi="Times New Roman" w:cs="Times New Roman"/>
          <w:bCs/>
          <w:sz w:val="24"/>
          <w:szCs w:val="24"/>
          <w:lang w:eastAsia="lv-LV"/>
        </w:rPr>
        <w:t xml:space="preserve"> </w:t>
      </w:r>
      <w:r w:rsidR="00F2093C" w:rsidRPr="00B404D4">
        <w:rPr>
          <w:rFonts w:ascii="Times New Roman" w:eastAsia="Times New Roman" w:hAnsi="Times New Roman" w:cs="Times New Roman"/>
          <w:bCs/>
          <w:sz w:val="24"/>
          <w:szCs w:val="24"/>
          <w:lang w:eastAsia="lv-LV"/>
        </w:rPr>
        <w:t>secināts</w:t>
      </w:r>
      <w:r w:rsidRPr="00B404D4">
        <w:rPr>
          <w:rFonts w:ascii="Times New Roman" w:eastAsia="Times New Roman" w:hAnsi="Times New Roman" w:cs="Times New Roman"/>
          <w:bCs/>
          <w:sz w:val="24"/>
          <w:szCs w:val="24"/>
          <w:lang w:eastAsia="lv-LV"/>
        </w:rPr>
        <w:t xml:space="preserve">, ka ES kopumā ir 651 </w:t>
      </w:r>
      <w:r w:rsidR="00F2093C" w:rsidRPr="00B404D4">
        <w:rPr>
          <w:rFonts w:ascii="Times New Roman" w:eastAsia="Times New Roman" w:hAnsi="Times New Roman" w:cs="Times New Roman"/>
          <w:bCs/>
          <w:sz w:val="24"/>
          <w:szCs w:val="24"/>
          <w:lang w:eastAsia="lv-LV"/>
        </w:rPr>
        <w:t xml:space="preserve">platforma </w:t>
      </w:r>
      <w:r w:rsidRPr="00B404D4">
        <w:rPr>
          <w:rFonts w:ascii="Times New Roman" w:eastAsia="Times New Roman" w:hAnsi="Times New Roman" w:cs="Times New Roman"/>
          <w:bCs/>
          <w:sz w:val="24"/>
          <w:szCs w:val="24"/>
          <w:lang w:eastAsia="lv-LV"/>
        </w:rPr>
        <w:t>dažādās jomās (skat. 1.</w:t>
      </w:r>
      <w:r w:rsidR="00762968" w:rsidRPr="00B404D4">
        <w:rPr>
          <w:rFonts w:ascii="Times New Roman" w:eastAsia="Times New Roman" w:hAnsi="Times New Roman" w:cs="Times New Roman"/>
          <w:bCs/>
          <w:sz w:val="24"/>
          <w:szCs w:val="24"/>
          <w:lang w:eastAsia="lv-LV"/>
        </w:rPr>
        <w:t> </w:t>
      </w:r>
      <w:r w:rsidRPr="00B404D4">
        <w:rPr>
          <w:rFonts w:ascii="Times New Roman" w:eastAsia="Times New Roman" w:hAnsi="Times New Roman" w:cs="Times New Roman"/>
          <w:bCs/>
          <w:sz w:val="24"/>
          <w:szCs w:val="24"/>
          <w:lang w:eastAsia="lv-LV"/>
        </w:rPr>
        <w:t>attēlu.).</w:t>
      </w:r>
      <w:r w:rsidR="009A0664">
        <w:rPr>
          <w:rFonts w:ascii="Times New Roman" w:eastAsia="Times New Roman" w:hAnsi="Times New Roman" w:cs="Times New Roman"/>
          <w:bCs/>
          <w:sz w:val="24"/>
          <w:szCs w:val="24"/>
          <w:lang w:eastAsia="lv-LV"/>
        </w:rPr>
        <w:t xml:space="preserve"> Transporta jomā darbojas tādas platformas kā </w:t>
      </w:r>
      <w:proofErr w:type="spellStart"/>
      <w:r w:rsidR="009A0664">
        <w:rPr>
          <w:rFonts w:ascii="Times New Roman" w:eastAsia="Times New Roman" w:hAnsi="Times New Roman" w:cs="Times New Roman"/>
          <w:bCs/>
          <w:sz w:val="24"/>
          <w:szCs w:val="24"/>
          <w:lang w:eastAsia="lv-LV"/>
        </w:rPr>
        <w:t>BlaBlaC</w:t>
      </w:r>
      <w:r w:rsidR="00E149E9">
        <w:rPr>
          <w:rFonts w:ascii="Times New Roman" w:eastAsia="Times New Roman" w:hAnsi="Times New Roman" w:cs="Times New Roman"/>
          <w:bCs/>
          <w:sz w:val="24"/>
          <w:szCs w:val="24"/>
          <w:lang w:eastAsia="lv-LV"/>
        </w:rPr>
        <w:t>ar</w:t>
      </w:r>
      <w:proofErr w:type="spellEnd"/>
      <w:r w:rsidR="00E149E9">
        <w:rPr>
          <w:rFonts w:ascii="Times New Roman" w:eastAsia="Times New Roman" w:hAnsi="Times New Roman" w:cs="Times New Roman"/>
          <w:bCs/>
          <w:sz w:val="24"/>
          <w:szCs w:val="24"/>
          <w:lang w:eastAsia="lv-LV"/>
        </w:rPr>
        <w:t xml:space="preserve">, </w:t>
      </w:r>
      <w:proofErr w:type="spellStart"/>
      <w:r w:rsidR="00E149E9">
        <w:rPr>
          <w:rFonts w:ascii="Times New Roman" w:eastAsia="Times New Roman" w:hAnsi="Times New Roman" w:cs="Times New Roman"/>
          <w:bCs/>
          <w:sz w:val="24"/>
          <w:szCs w:val="24"/>
          <w:lang w:eastAsia="lv-LV"/>
        </w:rPr>
        <w:t>SnappCar</w:t>
      </w:r>
      <w:proofErr w:type="spellEnd"/>
      <w:r w:rsidR="00E149E9">
        <w:rPr>
          <w:rFonts w:ascii="Times New Roman" w:eastAsia="Times New Roman" w:hAnsi="Times New Roman" w:cs="Times New Roman"/>
          <w:bCs/>
          <w:sz w:val="24"/>
          <w:szCs w:val="24"/>
          <w:lang w:eastAsia="lv-LV"/>
        </w:rPr>
        <w:t xml:space="preserve">, </w:t>
      </w:r>
      <w:proofErr w:type="spellStart"/>
      <w:r w:rsidR="00E149E9">
        <w:rPr>
          <w:rFonts w:ascii="Times New Roman" w:eastAsia="Times New Roman" w:hAnsi="Times New Roman" w:cs="Times New Roman"/>
          <w:bCs/>
          <w:sz w:val="24"/>
          <w:szCs w:val="24"/>
          <w:lang w:eastAsia="lv-LV"/>
        </w:rPr>
        <w:t>Uber</w:t>
      </w:r>
      <w:proofErr w:type="spellEnd"/>
      <w:r w:rsidR="00E149E9">
        <w:rPr>
          <w:rFonts w:ascii="Times New Roman" w:eastAsia="Times New Roman" w:hAnsi="Times New Roman" w:cs="Times New Roman"/>
          <w:bCs/>
          <w:sz w:val="24"/>
          <w:szCs w:val="24"/>
          <w:lang w:eastAsia="lv-LV"/>
        </w:rPr>
        <w:t xml:space="preserve"> un</w:t>
      </w:r>
      <w:r w:rsidR="009A0664">
        <w:rPr>
          <w:rFonts w:ascii="Times New Roman" w:eastAsia="Times New Roman" w:hAnsi="Times New Roman" w:cs="Times New Roman"/>
          <w:bCs/>
          <w:sz w:val="24"/>
          <w:szCs w:val="24"/>
          <w:lang w:eastAsia="lv-LV"/>
        </w:rPr>
        <w:t xml:space="preserve"> </w:t>
      </w:r>
      <w:proofErr w:type="spellStart"/>
      <w:r w:rsidR="00BC551D">
        <w:rPr>
          <w:rFonts w:ascii="Times New Roman" w:eastAsia="Times New Roman" w:hAnsi="Times New Roman" w:cs="Times New Roman"/>
          <w:bCs/>
          <w:sz w:val="24"/>
          <w:szCs w:val="24"/>
          <w:lang w:eastAsia="lv-LV"/>
        </w:rPr>
        <w:t>Taxify</w:t>
      </w:r>
      <w:proofErr w:type="spellEnd"/>
      <w:r w:rsidR="00BC551D">
        <w:rPr>
          <w:rFonts w:ascii="Times New Roman" w:eastAsia="Times New Roman" w:hAnsi="Times New Roman" w:cs="Times New Roman"/>
          <w:bCs/>
          <w:sz w:val="24"/>
          <w:szCs w:val="24"/>
          <w:lang w:eastAsia="lv-LV"/>
        </w:rPr>
        <w:t xml:space="preserve">, </w:t>
      </w:r>
      <w:r w:rsidR="009A0664">
        <w:rPr>
          <w:rFonts w:ascii="Times New Roman" w:eastAsia="Times New Roman" w:hAnsi="Times New Roman" w:cs="Times New Roman"/>
          <w:bCs/>
          <w:sz w:val="24"/>
          <w:szCs w:val="24"/>
          <w:lang w:eastAsia="lv-LV"/>
        </w:rPr>
        <w:t xml:space="preserve">viesu izmitināšanas jomā </w:t>
      </w:r>
      <w:proofErr w:type="spellStart"/>
      <w:r w:rsidR="009A0664">
        <w:rPr>
          <w:rFonts w:ascii="Times New Roman" w:eastAsia="Times New Roman" w:hAnsi="Times New Roman" w:cs="Times New Roman"/>
          <w:bCs/>
          <w:sz w:val="24"/>
          <w:szCs w:val="24"/>
          <w:lang w:eastAsia="lv-LV"/>
        </w:rPr>
        <w:t>Airbnb</w:t>
      </w:r>
      <w:proofErr w:type="spellEnd"/>
      <w:r w:rsidR="009A0664">
        <w:rPr>
          <w:rFonts w:ascii="Times New Roman" w:eastAsia="Times New Roman" w:hAnsi="Times New Roman" w:cs="Times New Roman"/>
          <w:bCs/>
          <w:sz w:val="24"/>
          <w:szCs w:val="24"/>
          <w:lang w:eastAsia="lv-LV"/>
        </w:rPr>
        <w:t xml:space="preserve">, </w:t>
      </w:r>
      <w:proofErr w:type="spellStart"/>
      <w:r w:rsidR="009A0664">
        <w:rPr>
          <w:rFonts w:ascii="Times New Roman" w:eastAsia="Times New Roman" w:hAnsi="Times New Roman" w:cs="Times New Roman"/>
          <w:bCs/>
          <w:sz w:val="24"/>
          <w:szCs w:val="24"/>
          <w:lang w:eastAsia="lv-LV"/>
        </w:rPr>
        <w:t>Vimdu</w:t>
      </w:r>
      <w:proofErr w:type="spellEnd"/>
      <w:r w:rsidR="009A0664">
        <w:rPr>
          <w:rFonts w:ascii="Times New Roman" w:eastAsia="Times New Roman" w:hAnsi="Times New Roman" w:cs="Times New Roman"/>
          <w:bCs/>
          <w:sz w:val="24"/>
          <w:szCs w:val="24"/>
          <w:lang w:eastAsia="lv-LV"/>
        </w:rPr>
        <w:t xml:space="preserve">, </w:t>
      </w:r>
      <w:proofErr w:type="spellStart"/>
      <w:r w:rsidR="009A0664">
        <w:rPr>
          <w:rFonts w:ascii="Times New Roman" w:eastAsia="Times New Roman" w:hAnsi="Times New Roman" w:cs="Times New Roman"/>
          <w:bCs/>
          <w:sz w:val="24"/>
          <w:szCs w:val="24"/>
          <w:lang w:eastAsia="lv-LV"/>
        </w:rPr>
        <w:t>LoveHomeSwap</w:t>
      </w:r>
      <w:proofErr w:type="spellEnd"/>
      <w:r w:rsidR="009A0664">
        <w:rPr>
          <w:rFonts w:ascii="Times New Roman" w:eastAsia="Times New Roman" w:hAnsi="Times New Roman" w:cs="Times New Roman"/>
          <w:bCs/>
          <w:sz w:val="24"/>
          <w:szCs w:val="24"/>
          <w:lang w:eastAsia="lv-LV"/>
        </w:rPr>
        <w:t xml:space="preserve">, </w:t>
      </w:r>
      <w:proofErr w:type="spellStart"/>
      <w:r w:rsidR="009A0664">
        <w:rPr>
          <w:rFonts w:ascii="Times New Roman" w:eastAsia="Times New Roman" w:hAnsi="Times New Roman" w:cs="Times New Roman"/>
          <w:bCs/>
          <w:sz w:val="24"/>
          <w:szCs w:val="24"/>
          <w:lang w:eastAsia="lv-LV"/>
        </w:rPr>
        <w:t>Homeaway</w:t>
      </w:r>
      <w:proofErr w:type="spellEnd"/>
      <w:r w:rsidR="009A0664">
        <w:rPr>
          <w:rFonts w:ascii="Times New Roman" w:eastAsia="Times New Roman" w:hAnsi="Times New Roman" w:cs="Times New Roman"/>
          <w:bCs/>
          <w:sz w:val="24"/>
          <w:szCs w:val="24"/>
          <w:lang w:eastAsia="lv-LV"/>
        </w:rPr>
        <w:t xml:space="preserve">, finanšu sektorā </w:t>
      </w:r>
      <w:proofErr w:type="spellStart"/>
      <w:r w:rsidR="009A0664">
        <w:rPr>
          <w:rFonts w:ascii="Times New Roman" w:eastAsia="Times New Roman" w:hAnsi="Times New Roman" w:cs="Times New Roman"/>
          <w:bCs/>
          <w:sz w:val="24"/>
          <w:szCs w:val="24"/>
          <w:lang w:eastAsia="lv-LV"/>
        </w:rPr>
        <w:t>Prosper</w:t>
      </w:r>
      <w:proofErr w:type="spellEnd"/>
      <w:r w:rsidR="009A0664">
        <w:rPr>
          <w:rFonts w:ascii="Times New Roman" w:eastAsia="Times New Roman" w:hAnsi="Times New Roman" w:cs="Times New Roman"/>
          <w:bCs/>
          <w:sz w:val="24"/>
          <w:szCs w:val="24"/>
          <w:lang w:eastAsia="lv-LV"/>
        </w:rPr>
        <w:t xml:space="preserve">, </w:t>
      </w:r>
      <w:proofErr w:type="spellStart"/>
      <w:r w:rsidR="009A0664">
        <w:rPr>
          <w:rFonts w:ascii="Times New Roman" w:eastAsia="Times New Roman" w:hAnsi="Times New Roman" w:cs="Times New Roman"/>
          <w:bCs/>
          <w:sz w:val="24"/>
          <w:szCs w:val="24"/>
          <w:lang w:eastAsia="lv-LV"/>
        </w:rPr>
        <w:t>Zopa</w:t>
      </w:r>
      <w:proofErr w:type="spellEnd"/>
      <w:r w:rsidR="009A0664">
        <w:rPr>
          <w:rFonts w:ascii="Times New Roman" w:eastAsia="Times New Roman" w:hAnsi="Times New Roman" w:cs="Times New Roman"/>
          <w:bCs/>
          <w:sz w:val="24"/>
          <w:szCs w:val="24"/>
          <w:lang w:eastAsia="lv-LV"/>
        </w:rPr>
        <w:t xml:space="preserve">, Conda.eu, </w:t>
      </w:r>
      <w:proofErr w:type="spellStart"/>
      <w:r w:rsidR="009A0664">
        <w:rPr>
          <w:rFonts w:ascii="Times New Roman" w:eastAsia="Times New Roman" w:hAnsi="Times New Roman" w:cs="Times New Roman"/>
          <w:bCs/>
          <w:sz w:val="24"/>
          <w:szCs w:val="24"/>
          <w:lang w:eastAsia="lv-LV"/>
        </w:rPr>
        <w:t>Anaxago</w:t>
      </w:r>
      <w:proofErr w:type="spellEnd"/>
      <w:r w:rsidR="009A0664">
        <w:rPr>
          <w:rFonts w:ascii="Times New Roman" w:eastAsia="Times New Roman" w:hAnsi="Times New Roman" w:cs="Times New Roman"/>
          <w:bCs/>
          <w:sz w:val="24"/>
          <w:szCs w:val="24"/>
          <w:lang w:eastAsia="lv-LV"/>
        </w:rPr>
        <w:t xml:space="preserve">, </w:t>
      </w:r>
      <w:proofErr w:type="spellStart"/>
      <w:r w:rsidR="009A0664">
        <w:rPr>
          <w:rFonts w:ascii="Times New Roman" w:eastAsia="Times New Roman" w:hAnsi="Times New Roman" w:cs="Times New Roman"/>
          <w:bCs/>
          <w:sz w:val="24"/>
          <w:szCs w:val="24"/>
          <w:lang w:eastAsia="lv-LV"/>
        </w:rPr>
        <w:t>Wiseed</w:t>
      </w:r>
      <w:proofErr w:type="spellEnd"/>
      <w:r w:rsidR="009A0664">
        <w:rPr>
          <w:rFonts w:ascii="Times New Roman" w:eastAsia="Times New Roman" w:hAnsi="Times New Roman" w:cs="Times New Roman"/>
          <w:bCs/>
          <w:sz w:val="24"/>
          <w:szCs w:val="24"/>
          <w:lang w:eastAsia="lv-LV"/>
        </w:rPr>
        <w:t xml:space="preserve"> un </w:t>
      </w:r>
      <w:proofErr w:type="spellStart"/>
      <w:r w:rsidR="009A0664">
        <w:rPr>
          <w:rFonts w:ascii="Times New Roman" w:eastAsia="Times New Roman" w:hAnsi="Times New Roman" w:cs="Times New Roman"/>
          <w:bCs/>
          <w:sz w:val="24"/>
          <w:szCs w:val="24"/>
          <w:lang w:eastAsia="lv-LV"/>
        </w:rPr>
        <w:t>SeedMatch</w:t>
      </w:r>
      <w:proofErr w:type="spellEnd"/>
      <w:r w:rsidR="009A0664">
        <w:rPr>
          <w:rFonts w:ascii="Times New Roman" w:eastAsia="Times New Roman" w:hAnsi="Times New Roman" w:cs="Times New Roman"/>
          <w:bCs/>
          <w:sz w:val="24"/>
          <w:szCs w:val="24"/>
          <w:lang w:eastAsia="lv-LV"/>
        </w:rPr>
        <w:t xml:space="preserve">. </w:t>
      </w:r>
    </w:p>
    <w:p w14:paraId="2823EF1F" w14:textId="059933E9" w:rsidR="0014700E" w:rsidRPr="00B404D4" w:rsidRDefault="0014700E" w:rsidP="009B41E1">
      <w:pPr>
        <w:spacing w:after="0" w:line="240" w:lineRule="auto"/>
        <w:ind w:firstLine="709"/>
        <w:jc w:val="both"/>
        <w:rPr>
          <w:rFonts w:ascii="Times New Roman" w:eastAsia="Times New Roman" w:hAnsi="Times New Roman" w:cs="Times New Roman"/>
          <w:bCs/>
          <w:sz w:val="24"/>
          <w:szCs w:val="24"/>
          <w:lang w:eastAsia="lv-LV"/>
        </w:rPr>
      </w:pPr>
    </w:p>
    <w:p w14:paraId="6169153C" w14:textId="6DC95276" w:rsidR="0014700E" w:rsidRDefault="0014700E" w:rsidP="009B41E1">
      <w:pPr>
        <w:spacing w:after="0" w:line="240" w:lineRule="auto"/>
        <w:ind w:firstLine="709"/>
        <w:jc w:val="both"/>
        <w:rPr>
          <w:rFonts w:ascii="Times New Roman" w:eastAsia="Times New Roman" w:hAnsi="Times New Roman" w:cs="Times New Roman"/>
          <w:bCs/>
          <w:sz w:val="24"/>
          <w:szCs w:val="24"/>
          <w:lang w:eastAsia="lv-LV"/>
        </w:rPr>
      </w:pPr>
    </w:p>
    <w:p w14:paraId="5F6D7DF0" w14:textId="068550CF" w:rsidR="00E54C58" w:rsidRDefault="00E54C58" w:rsidP="009B41E1">
      <w:pPr>
        <w:spacing w:after="0" w:line="240" w:lineRule="auto"/>
        <w:ind w:firstLine="709"/>
        <w:jc w:val="both"/>
        <w:rPr>
          <w:rFonts w:ascii="Times New Roman" w:eastAsia="Times New Roman" w:hAnsi="Times New Roman" w:cs="Times New Roman"/>
          <w:bCs/>
          <w:sz w:val="24"/>
          <w:szCs w:val="24"/>
          <w:lang w:eastAsia="lv-LV"/>
        </w:rPr>
      </w:pPr>
    </w:p>
    <w:p w14:paraId="4379C8E6" w14:textId="071B3837" w:rsidR="00E54C58" w:rsidRDefault="00E54C58" w:rsidP="009B41E1">
      <w:pPr>
        <w:spacing w:after="0" w:line="240" w:lineRule="auto"/>
        <w:ind w:firstLine="709"/>
        <w:jc w:val="both"/>
        <w:rPr>
          <w:rFonts w:ascii="Times New Roman" w:eastAsia="Times New Roman" w:hAnsi="Times New Roman" w:cs="Times New Roman"/>
          <w:bCs/>
          <w:sz w:val="24"/>
          <w:szCs w:val="24"/>
          <w:lang w:eastAsia="lv-LV"/>
        </w:rPr>
      </w:pPr>
    </w:p>
    <w:p w14:paraId="3A4853F2" w14:textId="03C94D13" w:rsidR="00A174D3" w:rsidRDefault="00A174D3" w:rsidP="009B41E1">
      <w:pPr>
        <w:spacing w:after="0" w:line="240" w:lineRule="auto"/>
        <w:ind w:firstLine="709"/>
        <w:jc w:val="both"/>
        <w:rPr>
          <w:rFonts w:ascii="Times New Roman" w:eastAsia="Times New Roman" w:hAnsi="Times New Roman" w:cs="Times New Roman"/>
          <w:bCs/>
          <w:sz w:val="24"/>
          <w:szCs w:val="24"/>
          <w:lang w:eastAsia="lv-LV"/>
        </w:rPr>
      </w:pPr>
    </w:p>
    <w:p w14:paraId="5C9E836E" w14:textId="77777777" w:rsidR="00A174D3" w:rsidRDefault="00A174D3" w:rsidP="009B41E1">
      <w:pPr>
        <w:spacing w:after="0" w:line="240" w:lineRule="auto"/>
        <w:ind w:firstLine="709"/>
        <w:jc w:val="both"/>
        <w:rPr>
          <w:rFonts w:ascii="Times New Roman" w:eastAsia="Times New Roman" w:hAnsi="Times New Roman" w:cs="Times New Roman"/>
          <w:bCs/>
          <w:sz w:val="24"/>
          <w:szCs w:val="24"/>
          <w:lang w:eastAsia="lv-LV"/>
        </w:rPr>
      </w:pPr>
    </w:p>
    <w:p w14:paraId="4A44C770" w14:textId="77777777" w:rsidR="00D76E4C" w:rsidRPr="00B404D4" w:rsidRDefault="00D76E4C" w:rsidP="009B41E1">
      <w:pPr>
        <w:spacing w:after="0" w:line="240" w:lineRule="auto"/>
        <w:ind w:firstLine="709"/>
        <w:jc w:val="both"/>
        <w:rPr>
          <w:rFonts w:ascii="Times New Roman" w:eastAsia="Times New Roman" w:hAnsi="Times New Roman" w:cs="Times New Roman"/>
          <w:bCs/>
          <w:sz w:val="24"/>
          <w:szCs w:val="24"/>
          <w:lang w:eastAsia="lv-LV"/>
        </w:rPr>
      </w:pPr>
    </w:p>
    <w:p w14:paraId="6C9BE464" w14:textId="6B7665D6" w:rsidR="0014700E" w:rsidRPr="004A15BC" w:rsidRDefault="0014700E" w:rsidP="0043685F">
      <w:pPr>
        <w:spacing w:after="0" w:line="240" w:lineRule="auto"/>
        <w:ind w:firstLine="709"/>
        <w:jc w:val="right"/>
        <w:rPr>
          <w:rFonts w:ascii="Times New Roman" w:eastAsia="Times New Roman" w:hAnsi="Times New Roman" w:cs="Times New Roman"/>
          <w:bCs/>
          <w:sz w:val="24"/>
          <w:szCs w:val="24"/>
          <w:lang w:eastAsia="lv-LV"/>
        </w:rPr>
      </w:pPr>
      <w:r w:rsidRPr="004A15BC">
        <w:rPr>
          <w:rFonts w:ascii="Times New Roman" w:eastAsia="Times New Roman" w:hAnsi="Times New Roman" w:cs="Times New Roman"/>
          <w:bCs/>
          <w:sz w:val="24"/>
          <w:szCs w:val="24"/>
          <w:lang w:eastAsia="lv-LV"/>
        </w:rPr>
        <w:lastRenderedPageBreak/>
        <w:t>Attēls Nr.1</w:t>
      </w:r>
      <w:r w:rsidR="00863A6C" w:rsidRPr="004A15BC">
        <w:rPr>
          <w:rFonts w:ascii="Times New Roman" w:eastAsia="Times New Roman" w:hAnsi="Times New Roman" w:cs="Times New Roman"/>
          <w:bCs/>
          <w:sz w:val="24"/>
          <w:szCs w:val="24"/>
          <w:lang w:eastAsia="lv-LV"/>
        </w:rPr>
        <w:t xml:space="preserve"> </w:t>
      </w:r>
      <w:r w:rsidR="00E6137F" w:rsidRPr="004A15BC">
        <w:rPr>
          <w:rFonts w:ascii="Times New Roman" w:eastAsia="Times New Roman" w:hAnsi="Times New Roman" w:cs="Times New Roman"/>
          <w:bCs/>
          <w:sz w:val="24"/>
          <w:szCs w:val="24"/>
          <w:lang w:eastAsia="lv-LV"/>
        </w:rPr>
        <w:t>Sadarbības platformas ES</w:t>
      </w:r>
    </w:p>
    <w:p w14:paraId="216F38F5" w14:textId="4405440C" w:rsidR="009777B9" w:rsidRPr="00C50AD8" w:rsidRDefault="009777B9" w:rsidP="009777B9">
      <w:pPr>
        <w:spacing w:after="0" w:line="240" w:lineRule="auto"/>
        <w:jc w:val="center"/>
        <w:rPr>
          <w:rFonts w:ascii="Times New Roman" w:eastAsia="Times New Roman" w:hAnsi="Times New Roman" w:cs="Times New Roman"/>
          <w:bCs/>
          <w:sz w:val="28"/>
          <w:szCs w:val="28"/>
          <w:lang w:eastAsia="lv-LV"/>
        </w:rPr>
      </w:pPr>
      <w:r w:rsidRPr="004A15BC">
        <w:rPr>
          <w:rFonts w:ascii="Times New Roman" w:hAnsi="Times New Roman" w:cs="Times New Roman"/>
          <w:noProof/>
          <w:lang w:eastAsia="lv-LV"/>
        </w:rPr>
        <w:drawing>
          <wp:inline distT="0" distB="0" distL="0" distR="0" wp14:anchorId="191057E1" wp14:editId="3FF821F5">
            <wp:extent cx="4476750" cy="2235200"/>
            <wp:effectExtent l="0" t="0" r="0" b="12700"/>
            <wp:docPr id="1" name="Chart 1">
              <a:extLst xmlns:a="http://schemas.openxmlformats.org/drawingml/2006/main">
                <a:ext uri="{FF2B5EF4-FFF2-40B4-BE49-F238E27FC236}">
                  <a16:creationId xmlns:a16="http://schemas.microsoft.com/office/drawing/2014/main" id="{9EF708BB-D1AD-4385-8814-675E1BDEF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0E760B" w14:textId="572207E9" w:rsidR="00BB753B" w:rsidRPr="00C50AD8" w:rsidRDefault="0014700E" w:rsidP="004A15BC">
      <w:pPr>
        <w:spacing w:after="0" w:line="240" w:lineRule="auto"/>
        <w:ind w:left="2160" w:firstLine="720"/>
        <w:rPr>
          <w:rFonts w:ascii="Times New Roman" w:eastAsia="Times New Roman" w:hAnsi="Times New Roman" w:cs="Times New Roman"/>
          <w:bCs/>
          <w:sz w:val="28"/>
          <w:szCs w:val="28"/>
          <w:lang w:eastAsia="lv-LV"/>
        </w:rPr>
      </w:pPr>
      <w:bookmarkStart w:id="4" w:name="_Hlk523067527"/>
      <w:r w:rsidRPr="004A15BC">
        <w:rPr>
          <w:rFonts w:ascii="Times New Roman" w:eastAsia="Times New Roman" w:hAnsi="Times New Roman" w:cs="Times New Roman"/>
          <w:bCs/>
          <w:i/>
          <w:sz w:val="20"/>
          <w:szCs w:val="20"/>
          <w:lang w:eastAsia="lv-LV"/>
        </w:rPr>
        <w:t>Avots: Eiropas Komisijas pētījums, 2018</w:t>
      </w:r>
      <w:bookmarkEnd w:id="4"/>
      <w:r w:rsidRPr="0043685F">
        <w:rPr>
          <w:rFonts w:ascii="Times New Roman" w:eastAsia="Times New Roman" w:hAnsi="Times New Roman" w:cs="Times New Roman"/>
          <w:bCs/>
          <w:i/>
          <w:sz w:val="24"/>
          <w:szCs w:val="24"/>
          <w:lang w:eastAsia="lv-LV"/>
        </w:rPr>
        <w:t xml:space="preserve"> </w:t>
      </w:r>
      <w:r w:rsidR="009777B9" w:rsidRPr="00C50AD8">
        <w:rPr>
          <w:rStyle w:val="FootnoteReference"/>
          <w:rFonts w:ascii="Times New Roman" w:eastAsia="Times New Roman" w:hAnsi="Times New Roman" w:cs="Times New Roman"/>
          <w:bCs/>
          <w:sz w:val="28"/>
          <w:szCs w:val="28"/>
          <w:lang w:eastAsia="lv-LV"/>
        </w:rPr>
        <w:footnoteReference w:id="8"/>
      </w:r>
    </w:p>
    <w:p w14:paraId="293DBB2D" w14:textId="4042797A" w:rsidR="009777B9" w:rsidRPr="00C50AD8" w:rsidRDefault="009777B9" w:rsidP="009B41E1">
      <w:pPr>
        <w:spacing w:after="0" w:line="240" w:lineRule="auto"/>
        <w:ind w:firstLine="709"/>
        <w:jc w:val="both"/>
        <w:rPr>
          <w:rFonts w:ascii="Times New Roman" w:eastAsia="Times New Roman" w:hAnsi="Times New Roman" w:cs="Times New Roman"/>
          <w:bCs/>
          <w:sz w:val="28"/>
          <w:szCs w:val="28"/>
          <w:lang w:eastAsia="lv-LV"/>
        </w:rPr>
      </w:pPr>
    </w:p>
    <w:p w14:paraId="513B05C6" w14:textId="6207A0E4" w:rsidR="009777B9" w:rsidRDefault="00226F64" w:rsidP="009B41E1">
      <w:pPr>
        <w:spacing w:after="0" w:line="240" w:lineRule="auto"/>
        <w:ind w:firstLine="709"/>
        <w:jc w:val="both"/>
        <w:rPr>
          <w:rFonts w:ascii="Times New Roman" w:eastAsia="Times New Roman" w:hAnsi="Times New Roman" w:cs="Times New Roman"/>
          <w:bCs/>
          <w:sz w:val="24"/>
          <w:szCs w:val="24"/>
          <w:lang w:eastAsia="lv-LV"/>
        </w:rPr>
      </w:pPr>
      <w:r w:rsidRPr="004F3C8A">
        <w:rPr>
          <w:rFonts w:ascii="Times New Roman" w:eastAsia="Times New Roman" w:hAnsi="Times New Roman" w:cs="Times New Roman"/>
          <w:bCs/>
          <w:sz w:val="24"/>
          <w:szCs w:val="24"/>
          <w:lang w:eastAsia="lv-LV"/>
        </w:rPr>
        <w:t>Vērtējot sadarbības platformu darbību ES reģionālajā līmenī, var secināt, ka v</w:t>
      </w:r>
      <w:r w:rsidR="009777B9" w:rsidRPr="004F3C8A">
        <w:rPr>
          <w:rFonts w:ascii="Times New Roman" w:eastAsia="Times New Roman" w:hAnsi="Times New Roman" w:cs="Times New Roman"/>
          <w:bCs/>
          <w:sz w:val="24"/>
          <w:szCs w:val="24"/>
          <w:lang w:eastAsia="lv-LV"/>
        </w:rPr>
        <w:t>isvairāk sadarbības platformu ir Francijā</w:t>
      </w:r>
      <w:r w:rsidRPr="004F3C8A">
        <w:rPr>
          <w:rFonts w:ascii="Times New Roman" w:eastAsia="Times New Roman" w:hAnsi="Times New Roman" w:cs="Times New Roman"/>
          <w:bCs/>
          <w:sz w:val="24"/>
          <w:szCs w:val="24"/>
          <w:lang w:eastAsia="lv-LV"/>
        </w:rPr>
        <w:t xml:space="preserve">, </w:t>
      </w:r>
      <w:r w:rsidR="00FC1D6C" w:rsidRPr="004F3C8A">
        <w:rPr>
          <w:rFonts w:ascii="Times New Roman" w:eastAsia="Times New Roman" w:hAnsi="Times New Roman" w:cs="Times New Roman"/>
          <w:bCs/>
          <w:sz w:val="24"/>
          <w:szCs w:val="24"/>
          <w:lang w:eastAsia="lv-LV"/>
        </w:rPr>
        <w:t xml:space="preserve">Lielbritānijā un Spānijā, </w:t>
      </w:r>
      <w:r w:rsidRPr="004F3C8A">
        <w:rPr>
          <w:rFonts w:ascii="Times New Roman" w:eastAsia="Times New Roman" w:hAnsi="Times New Roman" w:cs="Times New Roman"/>
          <w:bCs/>
          <w:sz w:val="24"/>
          <w:szCs w:val="24"/>
          <w:lang w:eastAsia="lv-LV"/>
        </w:rPr>
        <w:t xml:space="preserve">savukārt </w:t>
      </w:r>
      <w:r w:rsidR="009777B9" w:rsidRPr="004F3C8A">
        <w:rPr>
          <w:rFonts w:ascii="Times New Roman" w:eastAsia="Times New Roman" w:hAnsi="Times New Roman" w:cs="Times New Roman"/>
          <w:bCs/>
          <w:sz w:val="24"/>
          <w:szCs w:val="24"/>
          <w:lang w:eastAsia="lv-LV"/>
        </w:rPr>
        <w:t xml:space="preserve"> Latvijā</w:t>
      </w:r>
      <w:r w:rsidRPr="004F3C8A">
        <w:rPr>
          <w:rFonts w:ascii="Times New Roman" w:eastAsia="Times New Roman" w:hAnsi="Times New Roman" w:cs="Times New Roman"/>
          <w:bCs/>
          <w:sz w:val="24"/>
          <w:szCs w:val="24"/>
          <w:lang w:eastAsia="lv-LV"/>
        </w:rPr>
        <w:t xml:space="preserve"> ir salīdzinoši neliels </w:t>
      </w:r>
      <w:r w:rsidR="009777B9" w:rsidRPr="004F3C8A">
        <w:rPr>
          <w:rFonts w:ascii="Times New Roman" w:eastAsia="Times New Roman" w:hAnsi="Times New Roman" w:cs="Times New Roman"/>
          <w:bCs/>
          <w:sz w:val="24"/>
          <w:szCs w:val="24"/>
          <w:lang w:eastAsia="lv-LV"/>
        </w:rPr>
        <w:t xml:space="preserve"> sadarbības platformu skaits (skat 2.</w:t>
      </w:r>
      <w:r w:rsidR="00762968" w:rsidRPr="004F3C8A">
        <w:rPr>
          <w:rFonts w:ascii="Times New Roman" w:eastAsia="Times New Roman" w:hAnsi="Times New Roman" w:cs="Times New Roman"/>
          <w:bCs/>
          <w:sz w:val="24"/>
          <w:szCs w:val="24"/>
          <w:lang w:eastAsia="lv-LV"/>
        </w:rPr>
        <w:t> </w:t>
      </w:r>
      <w:r w:rsidR="009777B9" w:rsidRPr="004F3C8A">
        <w:rPr>
          <w:rFonts w:ascii="Times New Roman" w:eastAsia="Times New Roman" w:hAnsi="Times New Roman" w:cs="Times New Roman"/>
          <w:bCs/>
          <w:sz w:val="24"/>
          <w:szCs w:val="24"/>
          <w:lang w:eastAsia="lv-LV"/>
        </w:rPr>
        <w:t>attēlu).</w:t>
      </w:r>
    </w:p>
    <w:p w14:paraId="59B42C62" w14:textId="77777777" w:rsidR="00DA5875" w:rsidRPr="004F3C8A" w:rsidRDefault="00DA5875" w:rsidP="009B41E1">
      <w:pPr>
        <w:spacing w:after="0" w:line="240" w:lineRule="auto"/>
        <w:ind w:firstLine="709"/>
        <w:jc w:val="both"/>
        <w:rPr>
          <w:rFonts w:ascii="Times New Roman" w:eastAsia="Times New Roman" w:hAnsi="Times New Roman" w:cs="Times New Roman"/>
          <w:bCs/>
          <w:sz w:val="24"/>
          <w:szCs w:val="24"/>
          <w:lang w:eastAsia="lv-LV"/>
        </w:rPr>
      </w:pPr>
    </w:p>
    <w:p w14:paraId="31DF6AE5" w14:textId="6F3B62F9" w:rsidR="0043685F" w:rsidRDefault="0043685F" w:rsidP="009B41E1">
      <w:pPr>
        <w:spacing w:after="0" w:line="240" w:lineRule="auto"/>
        <w:ind w:firstLine="709"/>
        <w:jc w:val="both"/>
        <w:rPr>
          <w:rFonts w:ascii="Times New Roman" w:eastAsia="Times New Roman" w:hAnsi="Times New Roman" w:cs="Times New Roman"/>
          <w:bCs/>
          <w:sz w:val="28"/>
          <w:szCs w:val="28"/>
          <w:lang w:eastAsia="lv-LV"/>
        </w:rPr>
      </w:pPr>
    </w:p>
    <w:p w14:paraId="0C98831E" w14:textId="51EAD151" w:rsidR="00021291" w:rsidRDefault="00021291" w:rsidP="008F1F02">
      <w:pPr>
        <w:spacing w:after="0" w:line="240" w:lineRule="auto"/>
        <w:jc w:val="both"/>
        <w:rPr>
          <w:rFonts w:ascii="Times New Roman" w:eastAsia="Times New Roman" w:hAnsi="Times New Roman" w:cs="Times New Roman"/>
          <w:bCs/>
          <w:sz w:val="28"/>
          <w:szCs w:val="28"/>
          <w:lang w:eastAsia="lv-LV"/>
        </w:rPr>
      </w:pPr>
    </w:p>
    <w:p w14:paraId="386CEBD7" w14:textId="77777777" w:rsidR="00021291" w:rsidRDefault="00021291" w:rsidP="009B41E1">
      <w:pPr>
        <w:spacing w:after="0" w:line="240" w:lineRule="auto"/>
        <w:ind w:firstLine="709"/>
        <w:jc w:val="both"/>
        <w:rPr>
          <w:rFonts w:ascii="Times New Roman" w:eastAsia="Times New Roman" w:hAnsi="Times New Roman" w:cs="Times New Roman"/>
          <w:bCs/>
          <w:sz w:val="28"/>
          <w:szCs w:val="28"/>
          <w:lang w:eastAsia="lv-LV"/>
        </w:rPr>
      </w:pPr>
    </w:p>
    <w:p w14:paraId="28703DE9" w14:textId="65D35BC8" w:rsidR="0043685F" w:rsidRPr="00DA5875" w:rsidRDefault="0043685F" w:rsidP="0043685F">
      <w:pPr>
        <w:spacing w:after="0" w:line="240" w:lineRule="auto"/>
        <w:ind w:firstLine="709"/>
        <w:jc w:val="right"/>
        <w:rPr>
          <w:rFonts w:ascii="Times New Roman" w:eastAsia="Times New Roman" w:hAnsi="Times New Roman" w:cs="Times New Roman"/>
          <w:bCs/>
          <w:sz w:val="24"/>
          <w:szCs w:val="24"/>
          <w:lang w:eastAsia="lv-LV"/>
        </w:rPr>
      </w:pPr>
      <w:r w:rsidRPr="00DA5875">
        <w:rPr>
          <w:rFonts w:ascii="Times New Roman" w:eastAsia="Times New Roman" w:hAnsi="Times New Roman" w:cs="Times New Roman"/>
          <w:bCs/>
          <w:sz w:val="24"/>
          <w:szCs w:val="24"/>
          <w:lang w:eastAsia="lv-LV"/>
        </w:rPr>
        <w:t>Attēls Nr.2</w:t>
      </w:r>
      <w:r w:rsidR="00E6137F" w:rsidRPr="00DA5875">
        <w:rPr>
          <w:rFonts w:ascii="Times New Roman" w:eastAsia="Times New Roman" w:hAnsi="Times New Roman" w:cs="Times New Roman"/>
          <w:bCs/>
          <w:sz w:val="24"/>
          <w:szCs w:val="24"/>
          <w:lang w:eastAsia="lv-LV"/>
        </w:rPr>
        <w:t xml:space="preserve"> Sadarbības platformas ES dalībvalstīs </w:t>
      </w:r>
    </w:p>
    <w:p w14:paraId="56A8F63A" w14:textId="690C793C" w:rsidR="005175D1" w:rsidRPr="00DA5875" w:rsidRDefault="005175D1" w:rsidP="009B41E1">
      <w:pPr>
        <w:spacing w:after="0" w:line="240" w:lineRule="auto"/>
        <w:ind w:firstLine="709"/>
        <w:jc w:val="both"/>
        <w:rPr>
          <w:rFonts w:ascii="Times New Roman" w:eastAsia="Times New Roman" w:hAnsi="Times New Roman" w:cs="Times New Roman"/>
          <w:bCs/>
          <w:sz w:val="24"/>
          <w:szCs w:val="24"/>
          <w:lang w:eastAsia="lv-LV"/>
        </w:rPr>
      </w:pPr>
    </w:p>
    <w:p w14:paraId="31170E3A" w14:textId="5F3E123E" w:rsidR="009777B9" w:rsidRPr="00C50AD8" w:rsidRDefault="009777B9" w:rsidP="009777B9">
      <w:pPr>
        <w:spacing w:after="0" w:line="240" w:lineRule="auto"/>
        <w:jc w:val="center"/>
        <w:rPr>
          <w:rFonts w:ascii="Times New Roman" w:eastAsia="Times New Roman" w:hAnsi="Times New Roman" w:cs="Times New Roman"/>
          <w:bCs/>
          <w:sz w:val="28"/>
          <w:szCs w:val="28"/>
          <w:lang w:eastAsia="lv-LV"/>
        </w:rPr>
      </w:pPr>
      <w:r w:rsidRPr="00C50AD8">
        <w:rPr>
          <w:rFonts w:ascii="Times New Roman" w:hAnsi="Times New Roman" w:cs="Times New Roman"/>
          <w:noProof/>
          <w:sz w:val="28"/>
          <w:szCs w:val="28"/>
          <w:lang w:eastAsia="lv-LV"/>
        </w:rPr>
        <w:drawing>
          <wp:inline distT="0" distB="0" distL="0" distR="0" wp14:anchorId="6B4EC85C" wp14:editId="75264CF9">
            <wp:extent cx="5676405" cy="3129148"/>
            <wp:effectExtent l="0" t="0" r="635" b="14605"/>
            <wp:docPr id="2" name="Chart 2">
              <a:extLst xmlns:a="http://schemas.openxmlformats.org/drawingml/2006/main">
                <a:ext uri="{FF2B5EF4-FFF2-40B4-BE49-F238E27FC236}">
                  <a16:creationId xmlns:a16="http://schemas.microsoft.com/office/drawing/2014/main" id="{BD105E17-605E-4D83-8343-465A9C158E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543D4C" w14:textId="678F6E4B" w:rsidR="009777B9" w:rsidRPr="00DA5875" w:rsidRDefault="0043685F" w:rsidP="009777B9">
      <w:pPr>
        <w:spacing w:after="0" w:line="240" w:lineRule="auto"/>
        <w:ind w:firstLine="709"/>
        <w:jc w:val="center"/>
        <w:rPr>
          <w:rFonts w:ascii="Times New Roman" w:eastAsia="Times New Roman" w:hAnsi="Times New Roman" w:cs="Times New Roman"/>
          <w:bCs/>
          <w:sz w:val="20"/>
          <w:szCs w:val="20"/>
          <w:lang w:eastAsia="lv-LV"/>
        </w:rPr>
      </w:pPr>
      <w:r w:rsidRPr="00DA5875">
        <w:rPr>
          <w:rFonts w:ascii="Times New Roman" w:eastAsia="Times New Roman" w:hAnsi="Times New Roman" w:cs="Times New Roman"/>
          <w:bCs/>
          <w:i/>
          <w:sz w:val="20"/>
          <w:szCs w:val="20"/>
          <w:lang w:eastAsia="lv-LV"/>
        </w:rPr>
        <w:t xml:space="preserve">Avots: Eiropas Komisijas pētījums, 2018 </w:t>
      </w:r>
      <w:r w:rsidR="009777B9" w:rsidRPr="00DA5875">
        <w:rPr>
          <w:rStyle w:val="FootnoteReference"/>
          <w:rFonts w:ascii="Times New Roman" w:eastAsia="Times New Roman" w:hAnsi="Times New Roman" w:cs="Times New Roman"/>
          <w:bCs/>
          <w:sz w:val="20"/>
          <w:szCs w:val="20"/>
          <w:lang w:eastAsia="lv-LV"/>
        </w:rPr>
        <w:footnoteReference w:id="9"/>
      </w:r>
    </w:p>
    <w:p w14:paraId="27CC325C" w14:textId="5FB4C265" w:rsidR="009777B9" w:rsidRPr="00C50AD8" w:rsidRDefault="009777B9" w:rsidP="009B41E1">
      <w:pPr>
        <w:spacing w:after="0" w:line="240" w:lineRule="auto"/>
        <w:ind w:firstLine="709"/>
        <w:jc w:val="both"/>
        <w:rPr>
          <w:rFonts w:ascii="Times New Roman" w:eastAsia="Times New Roman" w:hAnsi="Times New Roman" w:cs="Times New Roman"/>
          <w:bCs/>
          <w:sz w:val="28"/>
          <w:szCs w:val="28"/>
          <w:lang w:eastAsia="lv-LV"/>
        </w:rPr>
      </w:pPr>
    </w:p>
    <w:p w14:paraId="349287C4" w14:textId="0FCCD8C3" w:rsidR="009777B9" w:rsidRPr="00DA5875" w:rsidRDefault="0043685F" w:rsidP="009B41E1">
      <w:pPr>
        <w:spacing w:after="0" w:line="240" w:lineRule="auto"/>
        <w:ind w:firstLine="709"/>
        <w:jc w:val="both"/>
        <w:rPr>
          <w:rFonts w:ascii="Times New Roman" w:eastAsia="Times New Roman" w:hAnsi="Times New Roman" w:cs="Times New Roman"/>
          <w:bCs/>
          <w:sz w:val="24"/>
          <w:szCs w:val="24"/>
          <w:lang w:eastAsia="lv-LV"/>
        </w:rPr>
      </w:pPr>
      <w:r w:rsidRPr="00DA5875">
        <w:rPr>
          <w:rFonts w:ascii="Times New Roman" w:eastAsia="Times New Roman" w:hAnsi="Times New Roman" w:cs="Times New Roman"/>
          <w:bCs/>
          <w:sz w:val="24"/>
          <w:szCs w:val="24"/>
          <w:lang w:eastAsia="lv-LV"/>
        </w:rPr>
        <w:lastRenderedPageBreak/>
        <w:t xml:space="preserve">Analizējot nodarbinātības apjomus sadarbības platformās, </w:t>
      </w:r>
      <w:r w:rsidR="006062E8" w:rsidRPr="00DA5875">
        <w:rPr>
          <w:rFonts w:ascii="Times New Roman" w:eastAsia="Times New Roman" w:hAnsi="Times New Roman" w:cs="Times New Roman"/>
          <w:bCs/>
          <w:sz w:val="24"/>
          <w:szCs w:val="24"/>
          <w:lang w:eastAsia="lv-LV"/>
        </w:rPr>
        <w:t>secināms,</w:t>
      </w:r>
      <w:r w:rsidRPr="00DA5875">
        <w:rPr>
          <w:rFonts w:ascii="Times New Roman" w:eastAsia="Times New Roman" w:hAnsi="Times New Roman" w:cs="Times New Roman"/>
          <w:bCs/>
          <w:sz w:val="24"/>
          <w:szCs w:val="24"/>
          <w:lang w:eastAsia="lv-LV"/>
        </w:rPr>
        <w:t xml:space="preserve"> ka </w:t>
      </w:r>
      <w:r w:rsidR="009777B9" w:rsidRPr="00DA5875">
        <w:rPr>
          <w:rFonts w:ascii="Times New Roman" w:eastAsia="Times New Roman" w:hAnsi="Times New Roman" w:cs="Times New Roman"/>
          <w:bCs/>
          <w:sz w:val="24"/>
          <w:szCs w:val="24"/>
          <w:lang w:eastAsia="lv-LV"/>
        </w:rPr>
        <w:t xml:space="preserve">Francijā ir </w:t>
      </w:r>
      <w:r w:rsidR="006062E8" w:rsidRPr="00DA5875">
        <w:rPr>
          <w:rFonts w:ascii="Times New Roman" w:eastAsia="Times New Roman" w:hAnsi="Times New Roman" w:cs="Times New Roman"/>
          <w:bCs/>
          <w:sz w:val="24"/>
          <w:szCs w:val="24"/>
          <w:lang w:eastAsia="lv-LV"/>
        </w:rPr>
        <w:t xml:space="preserve">arī </w:t>
      </w:r>
      <w:r w:rsidR="009777B9" w:rsidRPr="00DA5875">
        <w:rPr>
          <w:rFonts w:ascii="Times New Roman" w:eastAsia="Times New Roman" w:hAnsi="Times New Roman" w:cs="Times New Roman"/>
          <w:bCs/>
          <w:sz w:val="24"/>
          <w:szCs w:val="24"/>
          <w:lang w:eastAsia="lv-LV"/>
        </w:rPr>
        <w:t>visvairāk nodarbināto sadarbības platformu ietvaros</w:t>
      </w:r>
      <w:r w:rsidR="006062E8" w:rsidRPr="00DA5875">
        <w:rPr>
          <w:rFonts w:ascii="Times New Roman" w:eastAsia="Times New Roman" w:hAnsi="Times New Roman" w:cs="Times New Roman"/>
          <w:bCs/>
          <w:sz w:val="24"/>
          <w:szCs w:val="24"/>
          <w:lang w:eastAsia="lv-LV"/>
        </w:rPr>
        <w:t>, t.i. vairāk nekā 70 000, savukārt</w:t>
      </w:r>
      <w:r w:rsidR="009777B9" w:rsidRPr="00DA5875">
        <w:rPr>
          <w:rFonts w:ascii="Times New Roman" w:eastAsia="Times New Roman" w:hAnsi="Times New Roman" w:cs="Times New Roman"/>
          <w:bCs/>
          <w:sz w:val="24"/>
          <w:szCs w:val="24"/>
          <w:lang w:eastAsia="lv-LV"/>
        </w:rPr>
        <w:t xml:space="preserve"> Latvijā sadarbības platformās iesaistīti </w:t>
      </w:r>
      <w:r w:rsidR="006062E8" w:rsidRPr="00DA5875">
        <w:rPr>
          <w:rFonts w:ascii="Times New Roman" w:eastAsia="Times New Roman" w:hAnsi="Times New Roman" w:cs="Times New Roman"/>
          <w:bCs/>
          <w:sz w:val="24"/>
          <w:szCs w:val="24"/>
          <w:lang w:eastAsia="lv-LV"/>
        </w:rPr>
        <w:t xml:space="preserve">tikai </w:t>
      </w:r>
      <w:r w:rsidR="009777B9" w:rsidRPr="00DA5875">
        <w:rPr>
          <w:rFonts w:ascii="Times New Roman" w:eastAsia="Times New Roman" w:hAnsi="Times New Roman" w:cs="Times New Roman"/>
          <w:bCs/>
          <w:sz w:val="24"/>
          <w:szCs w:val="24"/>
          <w:lang w:eastAsia="lv-LV"/>
        </w:rPr>
        <w:t>vairāk kā 3000 nodarbināto (skat.</w:t>
      </w:r>
      <w:r w:rsidR="00762968" w:rsidRPr="00DA5875">
        <w:rPr>
          <w:rFonts w:ascii="Times New Roman" w:eastAsia="Times New Roman" w:hAnsi="Times New Roman" w:cs="Times New Roman"/>
          <w:bCs/>
          <w:sz w:val="24"/>
          <w:szCs w:val="24"/>
          <w:lang w:eastAsia="lv-LV"/>
        </w:rPr>
        <w:t> </w:t>
      </w:r>
      <w:r w:rsidR="009777B9" w:rsidRPr="00DA5875">
        <w:rPr>
          <w:rFonts w:ascii="Times New Roman" w:eastAsia="Times New Roman" w:hAnsi="Times New Roman" w:cs="Times New Roman"/>
          <w:bCs/>
          <w:sz w:val="24"/>
          <w:szCs w:val="24"/>
          <w:lang w:eastAsia="lv-LV"/>
        </w:rPr>
        <w:t>3.attēlu).</w:t>
      </w:r>
    </w:p>
    <w:p w14:paraId="238EEAF3" w14:textId="77777777" w:rsidR="006062E8" w:rsidRDefault="006062E8" w:rsidP="009B41E1">
      <w:pPr>
        <w:spacing w:after="0" w:line="240" w:lineRule="auto"/>
        <w:ind w:firstLine="709"/>
        <w:jc w:val="both"/>
        <w:rPr>
          <w:rFonts w:ascii="Times New Roman" w:eastAsia="Times New Roman" w:hAnsi="Times New Roman" w:cs="Times New Roman"/>
          <w:bCs/>
          <w:sz w:val="28"/>
          <w:szCs w:val="28"/>
          <w:lang w:eastAsia="lv-LV"/>
        </w:rPr>
      </w:pPr>
    </w:p>
    <w:p w14:paraId="40A47B52" w14:textId="049F7300" w:rsidR="006062E8" w:rsidRDefault="006062E8" w:rsidP="00E6137F">
      <w:pPr>
        <w:spacing w:after="0" w:line="240" w:lineRule="auto"/>
        <w:ind w:firstLine="709"/>
        <w:jc w:val="right"/>
        <w:rPr>
          <w:rFonts w:ascii="Times New Roman" w:eastAsia="Times New Roman" w:hAnsi="Times New Roman" w:cs="Times New Roman"/>
          <w:bCs/>
          <w:sz w:val="24"/>
          <w:szCs w:val="24"/>
          <w:lang w:eastAsia="lv-LV"/>
        </w:rPr>
      </w:pPr>
      <w:r w:rsidRPr="0050700D">
        <w:rPr>
          <w:rFonts w:ascii="Times New Roman" w:eastAsia="Times New Roman" w:hAnsi="Times New Roman" w:cs="Times New Roman"/>
          <w:bCs/>
          <w:sz w:val="24"/>
          <w:szCs w:val="24"/>
          <w:lang w:eastAsia="lv-LV"/>
        </w:rPr>
        <w:t>Attēls Nr.3</w:t>
      </w:r>
      <w:r w:rsidR="00E6137F" w:rsidRPr="0050700D">
        <w:rPr>
          <w:rFonts w:ascii="Times New Roman" w:eastAsia="Times New Roman" w:hAnsi="Times New Roman" w:cs="Times New Roman"/>
          <w:bCs/>
          <w:sz w:val="24"/>
          <w:szCs w:val="24"/>
          <w:lang w:eastAsia="lv-LV"/>
        </w:rPr>
        <w:t xml:space="preserve"> Nodarbināto skaits sadarbības platformās ES dalībvalstīs</w:t>
      </w:r>
    </w:p>
    <w:p w14:paraId="740B7B26" w14:textId="77777777" w:rsidR="0050700D" w:rsidRPr="0050700D" w:rsidRDefault="0050700D" w:rsidP="00E6137F">
      <w:pPr>
        <w:spacing w:after="0" w:line="240" w:lineRule="auto"/>
        <w:ind w:firstLine="709"/>
        <w:jc w:val="right"/>
        <w:rPr>
          <w:rFonts w:ascii="Times New Roman" w:eastAsia="Times New Roman" w:hAnsi="Times New Roman" w:cs="Times New Roman"/>
          <w:bCs/>
          <w:sz w:val="24"/>
          <w:szCs w:val="24"/>
          <w:lang w:eastAsia="lv-LV"/>
        </w:rPr>
      </w:pPr>
    </w:p>
    <w:p w14:paraId="56583D12" w14:textId="29F38385" w:rsidR="009777B9" w:rsidRPr="00C50AD8" w:rsidRDefault="009777B9" w:rsidP="009777B9">
      <w:pPr>
        <w:spacing w:after="0" w:line="240" w:lineRule="auto"/>
        <w:jc w:val="center"/>
        <w:rPr>
          <w:rFonts w:ascii="Times New Roman" w:eastAsia="Times New Roman" w:hAnsi="Times New Roman" w:cs="Times New Roman"/>
          <w:bCs/>
          <w:sz w:val="28"/>
          <w:szCs w:val="28"/>
          <w:lang w:eastAsia="lv-LV"/>
        </w:rPr>
      </w:pPr>
      <w:r w:rsidRPr="00C50AD8">
        <w:rPr>
          <w:rFonts w:ascii="Times New Roman" w:hAnsi="Times New Roman" w:cs="Times New Roman"/>
          <w:noProof/>
          <w:sz w:val="28"/>
          <w:szCs w:val="28"/>
          <w:lang w:eastAsia="lv-LV"/>
        </w:rPr>
        <w:drawing>
          <wp:inline distT="0" distB="0" distL="0" distR="0" wp14:anchorId="052EAC12" wp14:editId="6D1B2CD0">
            <wp:extent cx="5533901" cy="2867891"/>
            <wp:effectExtent l="0" t="0" r="10160" b="8890"/>
            <wp:docPr id="3" name="Chart 3">
              <a:extLst xmlns:a="http://schemas.openxmlformats.org/drawingml/2006/main">
                <a:ext uri="{FF2B5EF4-FFF2-40B4-BE49-F238E27FC236}">
                  <a16:creationId xmlns:a16="http://schemas.microsoft.com/office/drawing/2014/main" id="{AD4F22D1-C54F-4C2C-9C12-4267390393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32D04A" w14:textId="123B5D65" w:rsidR="009777B9" w:rsidRPr="0050700D" w:rsidRDefault="009170EB" w:rsidP="009777B9">
      <w:pPr>
        <w:spacing w:after="0" w:line="240" w:lineRule="auto"/>
        <w:ind w:firstLine="709"/>
        <w:jc w:val="center"/>
        <w:rPr>
          <w:rFonts w:ascii="Times New Roman" w:eastAsia="Times New Roman" w:hAnsi="Times New Roman" w:cs="Times New Roman"/>
          <w:bCs/>
          <w:sz w:val="20"/>
          <w:szCs w:val="20"/>
          <w:lang w:eastAsia="lv-LV"/>
        </w:rPr>
      </w:pPr>
      <w:bookmarkStart w:id="5" w:name="_Hlk523069578"/>
      <w:r w:rsidRPr="0050700D">
        <w:rPr>
          <w:rFonts w:ascii="Times New Roman" w:eastAsia="Times New Roman" w:hAnsi="Times New Roman" w:cs="Times New Roman"/>
          <w:bCs/>
          <w:i/>
          <w:sz w:val="20"/>
          <w:szCs w:val="20"/>
          <w:lang w:eastAsia="lv-LV"/>
        </w:rPr>
        <w:t xml:space="preserve">Avots: Eiropas Komisijas pētījums, 2018 </w:t>
      </w:r>
      <w:bookmarkEnd w:id="5"/>
      <w:r w:rsidR="009777B9" w:rsidRPr="0050700D">
        <w:rPr>
          <w:rStyle w:val="FootnoteReference"/>
          <w:rFonts w:ascii="Times New Roman" w:eastAsia="Times New Roman" w:hAnsi="Times New Roman" w:cs="Times New Roman"/>
          <w:bCs/>
          <w:sz w:val="20"/>
          <w:szCs w:val="20"/>
          <w:lang w:eastAsia="lv-LV"/>
        </w:rPr>
        <w:footnoteReference w:id="10"/>
      </w:r>
    </w:p>
    <w:p w14:paraId="7E094C32" w14:textId="77777777" w:rsidR="009777B9" w:rsidRPr="00C50AD8" w:rsidRDefault="009777B9" w:rsidP="009777B9">
      <w:pPr>
        <w:spacing w:after="0" w:line="240" w:lineRule="auto"/>
        <w:jc w:val="center"/>
        <w:rPr>
          <w:rFonts w:ascii="Times New Roman" w:eastAsia="Times New Roman" w:hAnsi="Times New Roman" w:cs="Times New Roman"/>
          <w:bCs/>
          <w:sz w:val="28"/>
          <w:szCs w:val="28"/>
          <w:lang w:eastAsia="lv-LV"/>
        </w:rPr>
      </w:pPr>
    </w:p>
    <w:p w14:paraId="0A4A3F00" w14:textId="704218EB" w:rsidR="00403CA5" w:rsidRPr="00F2360A" w:rsidRDefault="00403CA5" w:rsidP="009B41E1">
      <w:pPr>
        <w:spacing w:after="0" w:line="240" w:lineRule="auto"/>
        <w:ind w:firstLine="709"/>
        <w:jc w:val="both"/>
        <w:rPr>
          <w:rFonts w:ascii="Times New Roman" w:eastAsia="Times New Roman" w:hAnsi="Times New Roman" w:cs="Times New Roman"/>
          <w:bCs/>
          <w:sz w:val="24"/>
          <w:szCs w:val="24"/>
          <w:lang w:eastAsia="lv-LV"/>
        </w:rPr>
      </w:pPr>
      <w:r w:rsidRPr="00F2360A">
        <w:rPr>
          <w:rFonts w:ascii="Times New Roman" w:eastAsia="Times New Roman" w:hAnsi="Times New Roman" w:cs="Times New Roman"/>
          <w:bCs/>
          <w:sz w:val="24"/>
          <w:szCs w:val="24"/>
          <w:lang w:eastAsia="lv-LV"/>
        </w:rPr>
        <w:t>Arī lielākie ienākumi no sadarbības platformām tiek gūti Francijā</w:t>
      </w:r>
      <w:r w:rsidR="009170EB" w:rsidRPr="00F2360A">
        <w:rPr>
          <w:rFonts w:ascii="Times New Roman" w:eastAsia="Times New Roman" w:hAnsi="Times New Roman" w:cs="Times New Roman"/>
          <w:bCs/>
          <w:sz w:val="24"/>
          <w:szCs w:val="24"/>
          <w:lang w:eastAsia="lv-LV"/>
        </w:rPr>
        <w:t xml:space="preserve"> un Lielbritānijā, attiecīgi Latvijā tie ir salīdzinoši nelieli</w:t>
      </w:r>
      <w:r w:rsidR="006638DE" w:rsidRPr="00F2360A">
        <w:rPr>
          <w:rFonts w:ascii="Times New Roman" w:eastAsia="Times New Roman" w:hAnsi="Times New Roman" w:cs="Times New Roman"/>
          <w:bCs/>
          <w:sz w:val="24"/>
          <w:szCs w:val="24"/>
          <w:lang w:eastAsia="lv-LV"/>
        </w:rPr>
        <w:t xml:space="preserve">, aptuveni </w:t>
      </w:r>
      <w:r w:rsidR="00ED5B33" w:rsidRPr="00F2360A">
        <w:rPr>
          <w:rFonts w:ascii="Times New Roman" w:eastAsia="Times New Roman" w:hAnsi="Times New Roman" w:cs="Times New Roman"/>
          <w:bCs/>
          <w:sz w:val="24"/>
          <w:szCs w:val="24"/>
          <w:lang w:eastAsia="lv-LV"/>
        </w:rPr>
        <w:t>157,7milj. EUR,</w:t>
      </w:r>
      <w:r w:rsidR="009170EB" w:rsidRPr="00F2360A">
        <w:rPr>
          <w:rFonts w:ascii="Times New Roman" w:eastAsia="Times New Roman" w:hAnsi="Times New Roman" w:cs="Times New Roman"/>
          <w:bCs/>
          <w:sz w:val="24"/>
          <w:szCs w:val="24"/>
          <w:lang w:eastAsia="lv-LV"/>
        </w:rPr>
        <w:t xml:space="preserve"> kas līdzvērtīgi tādām valstīm kā Īrijai, Somijai.</w:t>
      </w:r>
      <w:r w:rsidRPr="00F2360A">
        <w:rPr>
          <w:rFonts w:ascii="Times New Roman" w:eastAsia="Times New Roman" w:hAnsi="Times New Roman" w:cs="Times New Roman"/>
          <w:bCs/>
          <w:sz w:val="24"/>
          <w:szCs w:val="24"/>
          <w:lang w:eastAsia="lv-LV"/>
        </w:rPr>
        <w:t xml:space="preserve"> (skat.</w:t>
      </w:r>
      <w:r w:rsidR="00B2392C" w:rsidRPr="00F2360A">
        <w:rPr>
          <w:rFonts w:ascii="Times New Roman" w:eastAsia="Times New Roman" w:hAnsi="Times New Roman" w:cs="Times New Roman"/>
          <w:bCs/>
          <w:sz w:val="24"/>
          <w:szCs w:val="24"/>
          <w:lang w:eastAsia="lv-LV"/>
        </w:rPr>
        <w:t xml:space="preserve"> </w:t>
      </w:r>
      <w:r w:rsidRPr="00F2360A">
        <w:rPr>
          <w:rFonts w:ascii="Times New Roman" w:eastAsia="Times New Roman" w:hAnsi="Times New Roman" w:cs="Times New Roman"/>
          <w:bCs/>
          <w:sz w:val="24"/>
          <w:szCs w:val="24"/>
          <w:lang w:eastAsia="lv-LV"/>
        </w:rPr>
        <w:t>4.</w:t>
      </w:r>
      <w:r w:rsidR="005D4FA7" w:rsidRPr="00F2360A">
        <w:rPr>
          <w:rFonts w:ascii="Times New Roman" w:eastAsia="Times New Roman" w:hAnsi="Times New Roman" w:cs="Times New Roman"/>
          <w:bCs/>
          <w:sz w:val="24"/>
          <w:szCs w:val="24"/>
          <w:lang w:eastAsia="lv-LV"/>
        </w:rPr>
        <w:t> </w:t>
      </w:r>
      <w:r w:rsidRPr="00F2360A">
        <w:rPr>
          <w:rFonts w:ascii="Times New Roman" w:eastAsia="Times New Roman" w:hAnsi="Times New Roman" w:cs="Times New Roman"/>
          <w:bCs/>
          <w:sz w:val="24"/>
          <w:szCs w:val="24"/>
          <w:lang w:eastAsia="lv-LV"/>
        </w:rPr>
        <w:t>attēlu).</w:t>
      </w:r>
    </w:p>
    <w:p w14:paraId="20E826BF" w14:textId="77777777" w:rsidR="00954BB4" w:rsidRPr="00F2360A" w:rsidRDefault="00954BB4" w:rsidP="009B41E1">
      <w:pPr>
        <w:spacing w:after="0" w:line="240" w:lineRule="auto"/>
        <w:ind w:firstLine="709"/>
        <w:jc w:val="both"/>
        <w:rPr>
          <w:rFonts w:ascii="Times New Roman" w:eastAsia="Times New Roman" w:hAnsi="Times New Roman" w:cs="Times New Roman"/>
          <w:bCs/>
          <w:sz w:val="24"/>
          <w:szCs w:val="24"/>
          <w:lang w:eastAsia="lv-LV"/>
        </w:rPr>
      </w:pPr>
    </w:p>
    <w:p w14:paraId="32C2EE60" w14:textId="265C50C3" w:rsidR="00270A1B" w:rsidRPr="00F2360A" w:rsidRDefault="00270A1B" w:rsidP="009E08B8">
      <w:pPr>
        <w:spacing w:after="0" w:line="240" w:lineRule="auto"/>
        <w:ind w:firstLine="709"/>
        <w:jc w:val="right"/>
        <w:rPr>
          <w:rFonts w:ascii="Times New Roman" w:eastAsia="Times New Roman" w:hAnsi="Times New Roman" w:cs="Times New Roman"/>
          <w:bCs/>
          <w:sz w:val="24"/>
          <w:szCs w:val="24"/>
          <w:lang w:eastAsia="lv-LV"/>
        </w:rPr>
      </w:pPr>
      <w:r w:rsidRPr="00F2360A">
        <w:rPr>
          <w:rFonts w:ascii="Times New Roman" w:eastAsia="Times New Roman" w:hAnsi="Times New Roman" w:cs="Times New Roman"/>
          <w:bCs/>
          <w:sz w:val="24"/>
          <w:szCs w:val="24"/>
          <w:lang w:eastAsia="lv-LV"/>
        </w:rPr>
        <w:t xml:space="preserve">Attēls Nr.4 </w:t>
      </w:r>
      <w:r w:rsidR="00954BB4" w:rsidRPr="00F2360A">
        <w:rPr>
          <w:rFonts w:ascii="Times New Roman" w:eastAsia="Times New Roman" w:hAnsi="Times New Roman" w:cs="Times New Roman"/>
          <w:bCs/>
          <w:sz w:val="24"/>
          <w:szCs w:val="24"/>
          <w:lang w:eastAsia="lv-LV"/>
        </w:rPr>
        <w:t>Sadarbības platformu ienākumi ES dalībvalstīs</w:t>
      </w:r>
      <w:r w:rsidR="009E08B8" w:rsidRPr="00F2360A">
        <w:rPr>
          <w:rFonts w:ascii="Times New Roman" w:eastAsia="Times New Roman" w:hAnsi="Times New Roman" w:cs="Times New Roman"/>
          <w:bCs/>
          <w:sz w:val="24"/>
          <w:szCs w:val="24"/>
          <w:lang w:eastAsia="lv-LV"/>
        </w:rPr>
        <w:t>, milj. EUR</w:t>
      </w:r>
      <w:r w:rsidR="00954BB4" w:rsidRPr="00F2360A">
        <w:rPr>
          <w:rFonts w:ascii="Times New Roman" w:eastAsia="Times New Roman" w:hAnsi="Times New Roman" w:cs="Times New Roman"/>
          <w:bCs/>
          <w:sz w:val="24"/>
          <w:szCs w:val="24"/>
          <w:lang w:eastAsia="lv-LV"/>
        </w:rPr>
        <w:t xml:space="preserve"> </w:t>
      </w:r>
    </w:p>
    <w:p w14:paraId="5AC5EA15" w14:textId="77777777" w:rsidR="00403CA5" w:rsidRPr="00C50AD8" w:rsidRDefault="00403CA5" w:rsidP="009B41E1">
      <w:pPr>
        <w:spacing w:after="0" w:line="240" w:lineRule="auto"/>
        <w:ind w:firstLine="709"/>
        <w:jc w:val="both"/>
        <w:rPr>
          <w:rFonts w:ascii="Times New Roman" w:eastAsia="Times New Roman" w:hAnsi="Times New Roman" w:cs="Times New Roman"/>
          <w:bCs/>
          <w:sz w:val="28"/>
          <w:szCs w:val="28"/>
          <w:lang w:eastAsia="lv-LV"/>
        </w:rPr>
      </w:pPr>
    </w:p>
    <w:p w14:paraId="36C93BBE" w14:textId="52DE02CF" w:rsidR="00403CA5" w:rsidRPr="00C50AD8" w:rsidRDefault="00403CA5" w:rsidP="00403CA5">
      <w:pPr>
        <w:spacing w:after="0" w:line="240" w:lineRule="auto"/>
        <w:jc w:val="center"/>
        <w:rPr>
          <w:rFonts w:ascii="Times New Roman" w:eastAsia="Times New Roman" w:hAnsi="Times New Roman" w:cs="Times New Roman"/>
          <w:bCs/>
          <w:sz w:val="28"/>
          <w:szCs w:val="28"/>
          <w:lang w:eastAsia="lv-LV"/>
        </w:rPr>
      </w:pPr>
      <w:r w:rsidRPr="00C50AD8">
        <w:rPr>
          <w:rFonts w:ascii="Times New Roman" w:hAnsi="Times New Roman" w:cs="Times New Roman"/>
          <w:noProof/>
          <w:sz w:val="28"/>
          <w:szCs w:val="28"/>
          <w:lang w:eastAsia="lv-LV"/>
        </w:rPr>
        <w:drawing>
          <wp:inline distT="0" distB="0" distL="0" distR="0" wp14:anchorId="2A1E9C1D" wp14:editId="305ED15D">
            <wp:extent cx="5581402" cy="2832265"/>
            <wp:effectExtent l="0" t="0" r="635" b="6350"/>
            <wp:docPr id="4" name="Chart 4">
              <a:extLst xmlns:a="http://schemas.openxmlformats.org/drawingml/2006/main">
                <a:ext uri="{FF2B5EF4-FFF2-40B4-BE49-F238E27FC236}">
                  <a16:creationId xmlns:a16="http://schemas.microsoft.com/office/drawing/2014/main" id="{FB9D0D09-08E8-4332-9784-94BC4B16F5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B247AB" w14:textId="15A45378" w:rsidR="00403CA5" w:rsidRPr="00E457A3" w:rsidRDefault="009E08B8" w:rsidP="00B948B2">
      <w:pPr>
        <w:spacing w:after="0" w:line="240" w:lineRule="auto"/>
        <w:jc w:val="center"/>
        <w:rPr>
          <w:rFonts w:ascii="Times New Roman" w:eastAsia="Times New Roman" w:hAnsi="Times New Roman" w:cs="Times New Roman"/>
          <w:bCs/>
          <w:sz w:val="20"/>
          <w:szCs w:val="20"/>
          <w:lang w:eastAsia="lv-LV"/>
        </w:rPr>
      </w:pPr>
      <w:r w:rsidRPr="00E457A3">
        <w:rPr>
          <w:rFonts w:ascii="Times New Roman" w:eastAsia="Times New Roman" w:hAnsi="Times New Roman" w:cs="Times New Roman"/>
          <w:bCs/>
          <w:i/>
          <w:sz w:val="20"/>
          <w:szCs w:val="20"/>
          <w:lang w:eastAsia="lv-LV"/>
        </w:rPr>
        <w:t>Avots: Eiropas Komisijas pētījums, 2018</w:t>
      </w:r>
      <w:r w:rsidRPr="00E457A3">
        <w:rPr>
          <w:rStyle w:val="FootnoteReference"/>
          <w:rFonts w:ascii="Times New Roman" w:eastAsia="Times New Roman" w:hAnsi="Times New Roman" w:cs="Times New Roman"/>
          <w:bCs/>
          <w:i/>
          <w:sz w:val="20"/>
          <w:szCs w:val="20"/>
          <w:lang w:eastAsia="lv-LV"/>
        </w:rPr>
        <w:footnoteReference w:id="11"/>
      </w:r>
    </w:p>
    <w:p w14:paraId="36E97CBD" w14:textId="77777777" w:rsidR="00B01FF7" w:rsidRDefault="00B01FF7" w:rsidP="009B41E1">
      <w:pPr>
        <w:spacing w:after="0" w:line="240" w:lineRule="auto"/>
        <w:ind w:firstLine="709"/>
        <w:jc w:val="both"/>
        <w:rPr>
          <w:rFonts w:ascii="Times New Roman" w:eastAsia="Times New Roman" w:hAnsi="Times New Roman" w:cs="Times New Roman"/>
          <w:bCs/>
          <w:sz w:val="28"/>
          <w:szCs w:val="28"/>
          <w:lang w:eastAsia="lv-LV"/>
        </w:rPr>
      </w:pPr>
    </w:p>
    <w:p w14:paraId="14D4F6B2" w14:textId="74E21560" w:rsidR="00B01FF7" w:rsidRPr="00E16675" w:rsidRDefault="00B01FF7" w:rsidP="005F7E13">
      <w:pPr>
        <w:spacing w:after="0" w:line="240" w:lineRule="auto"/>
        <w:ind w:firstLine="709"/>
        <w:jc w:val="center"/>
        <w:rPr>
          <w:rFonts w:ascii="Times New Roman" w:eastAsia="Times New Roman" w:hAnsi="Times New Roman" w:cs="Times New Roman"/>
          <w:b/>
          <w:bCs/>
          <w:sz w:val="24"/>
          <w:szCs w:val="24"/>
          <w:lang w:eastAsia="lv-LV"/>
        </w:rPr>
      </w:pPr>
      <w:r w:rsidRPr="00E16675">
        <w:rPr>
          <w:rFonts w:ascii="Times New Roman" w:eastAsia="Times New Roman" w:hAnsi="Times New Roman" w:cs="Times New Roman"/>
          <w:b/>
          <w:bCs/>
          <w:sz w:val="24"/>
          <w:szCs w:val="24"/>
          <w:lang w:eastAsia="lv-LV"/>
        </w:rPr>
        <w:t xml:space="preserve">2.2. Eiropas Komisijas </w:t>
      </w:r>
      <w:r w:rsidR="005F7E13" w:rsidRPr="00E16675">
        <w:rPr>
          <w:rFonts w:ascii="Times New Roman" w:eastAsia="Times New Roman" w:hAnsi="Times New Roman" w:cs="Times New Roman"/>
          <w:b/>
          <w:bCs/>
          <w:sz w:val="24"/>
          <w:szCs w:val="24"/>
          <w:lang w:eastAsia="lv-LV"/>
        </w:rPr>
        <w:t>rekomendācijas sadarbības ekonomikas regulējumam</w:t>
      </w:r>
    </w:p>
    <w:p w14:paraId="2BE506A0" w14:textId="77777777" w:rsidR="005F7E13" w:rsidRDefault="005F7E13" w:rsidP="009B41E1">
      <w:pPr>
        <w:spacing w:after="0" w:line="240" w:lineRule="auto"/>
        <w:ind w:firstLine="709"/>
        <w:jc w:val="both"/>
        <w:rPr>
          <w:rFonts w:ascii="Times New Roman" w:eastAsia="Times New Roman" w:hAnsi="Times New Roman" w:cs="Times New Roman"/>
          <w:bCs/>
          <w:sz w:val="28"/>
          <w:szCs w:val="28"/>
          <w:lang w:eastAsia="lv-LV"/>
        </w:rPr>
      </w:pPr>
    </w:p>
    <w:p w14:paraId="2BB3783C" w14:textId="50FA566C" w:rsidR="00984C73" w:rsidRPr="00C60CA7" w:rsidRDefault="00760971" w:rsidP="009B41E1">
      <w:pPr>
        <w:spacing w:after="0" w:line="240" w:lineRule="auto"/>
        <w:ind w:firstLine="709"/>
        <w:jc w:val="both"/>
        <w:rPr>
          <w:rFonts w:ascii="Times New Roman" w:eastAsia="Times New Roman" w:hAnsi="Times New Roman" w:cs="Times New Roman"/>
          <w:bCs/>
          <w:sz w:val="24"/>
          <w:szCs w:val="24"/>
          <w:lang w:eastAsia="lv-LV"/>
        </w:rPr>
      </w:pPr>
      <w:r w:rsidRPr="00C60CA7">
        <w:rPr>
          <w:rFonts w:ascii="Times New Roman" w:eastAsia="Times New Roman" w:hAnsi="Times New Roman" w:cs="Times New Roman"/>
          <w:bCs/>
          <w:sz w:val="24"/>
          <w:szCs w:val="24"/>
          <w:lang w:eastAsia="lv-LV"/>
        </w:rPr>
        <w:t>Eiropas Komisija</w:t>
      </w:r>
      <w:r w:rsidR="009B41E1" w:rsidRPr="00C60CA7">
        <w:rPr>
          <w:rFonts w:ascii="Times New Roman" w:eastAsia="Times New Roman" w:hAnsi="Times New Roman" w:cs="Times New Roman"/>
          <w:bCs/>
          <w:sz w:val="24"/>
          <w:szCs w:val="24"/>
          <w:lang w:eastAsia="lv-LV"/>
        </w:rPr>
        <w:t xml:space="preserve">s </w:t>
      </w:r>
      <w:r w:rsidR="006659F9" w:rsidRPr="00C60CA7">
        <w:rPr>
          <w:rFonts w:ascii="Times New Roman" w:eastAsia="Times New Roman" w:hAnsi="Times New Roman" w:cs="Times New Roman"/>
          <w:bCs/>
          <w:sz w:val="24"/>
          <w:szCs w:val="24"/>
          <w:lang w:eastAsia="lv-LV"/>
        </w:rPr>
        <w:t xml:space="preserve">norāda, ka </w:t>
      </w:r>
      <w:r w:rsidRPr="00827C03">
        <w:rPr>
          <w:rFonts w:ascii="Times New Roman" w:eastAsia="Times New Roman" w:hAnsi="Times New Roman" w:cs="Times New Roman"/>
          <w:b/>
          <w:bCs/>
          <w:sz w:val="24"/>
          <w:szCs w:val="24"/>
          <w:u w:val="single"/>
          <w:lang w:eastAsia="lv-LV"/>
        </w:rPr>
        <w:t>galv</w:t>
      </w:r>
      <w:r w:rsidR="00324A9B" w:rsidRPr="00827C03">
        <w:rPr>
          <w:rFonts w:ascii="Times New Roman" w:eastAsia="Times New Roman" w:hAnsi="Times New Roman" w:cs="Times New Roman"/>
          <w:b/>
          <w:bCs/>
          <w:sz w:val="24"/>
          <w:szCs w:val="24"/>
          <w:u w:val="single"/>
          <w:lang w:eastAsia="lv-LV"/>
        </w:rPr>
        <w:t xml:space="preserve">enie risināmie jautājumi </w:t>
      </w:r>
      <w:r w:rsidR="005A56E7" w:rsidRPr="00827C03">
        <w:rPr>
          <w:rFonts w:ascii="Times New Roman" w:eastAsia="Times New Roman" w:hAnsi="Times New Roman" w:cs="Times New Roman"/>
          <w:b/>
          <w:bCs/>
          <w:sz w:val="24"/>
          <w:szCs w:val="24"/>
          <w:u w:val="single"/>
          <w:lang w:eastAsia="lv-LV"/>
        </w:rPr>
        <w:t xml:space="preserve">sadarbības ekonomikā </w:t>
      </w:r>
      <w:r w:rsidR="009B41E1" w:rsidRPr="00827C03">
        <w:rPr>
          <w:rFonts w:ascii="Times New Roman" w:eastAsia="Times New Roman" w:hAnsi="Times New Roman" w:cs="Times New Roman"/>
          <w:b/>
          <w:bCs/>
          <w:sz w:val="24"/>
          <w:szCs w:val="24"/>
          <w:u w:val="single"/>
          <w:lang w:eastAsia="lv-LV"/>
        </w:rPr>
        <w:t>ir</w:t>
      </w:r>
      <w:r w:rsidR="00324A9B" w:rsidRPr="00827C03">
        <w:rPr>
          <w:rFonts w:ascii="Times New Roman" w:eastAsia="Times New Roman" w:hAnsi="Times New Roman" w:cs="Times New Roman"/>
          <w:b/>
          <w:bCs/>
          <w:sz w:val="24"/>
          <w:szCs w:val="24"/>
          <w:u w:val="single"/>
          <w:lang w:eastAsia="lv-LV"/>
        </w:rPr>
        <w:t xml:space="preserve"> </w:t>
      </w:r>
      <w:bookmarkStart w:id="7" w:name="_Hlk520282986"/>
      <w:r w:rsidRPr="00827C03">
        <w:rPr>
          <w:rFonts w:ascii="Times New Roman" w:eastAsia="Times New Roman" w:hAnsi="Times New Roman" w:cs="Times New Roman"/>
          <w:b/>
          <w:bCs/>
          <w:sz w:val="24"/>
          <w:szCs w:val="24"/>
          <w:u w:val="single"/>
          <w:lang w:eastAsia="lv-LV"/>
        </w:rPr>
        <w:t>piekļuv</w:t>
      </w:r>
      <w:r w:rsidR="008C0A69" w:rsidRPr="00827C03">
        <w:rPr>
          <w:rFonts w:ascii="Times New Roman" w:eastAsia="Times New Roman" w:hAnsi="Times New Roman" w:cs="Times New Roman"/>
          <w:b/>
          <w:bCs/>
          <w:sz w:val="24"/>
          <w:szCs w:val="24"/>
          <w:u w:val="single"/>
          <w:lang w:eastAsia="lv-LV"/>
        </w:rPr>
        <w:t xml:space="preserve">e </w:t>
      </w:r>
      <w:r w:rsidR="00324A9B" w:rsidRPr="00827C03">
        <w:rPr>
          <w:rFonts w:ascii="Times New Roman" w:eastAsia="Times New Roman" w:hAnsi="Times New Roman" w:cs="Times New Roman"/>
          <w:b/>
          <w:bCs/>
          <w:sz w:val="24"/>
          <w:szCs w:val="24"/>
          <w:u w:val="single"/>
          <w:lang w:eastAsia="lv-LV"/>
        </w:rPr>
        <w:t xml:space="preserve">tirgum, atbildības sadalījums, patērētāju aizsardzība, </w:t>
      </w:r>
      <w:r w:rsidR="005A56E7" w:rsidRPr="00827C03">
        <w:rPr>
          <w:rFonts w:ascii="Times New Roman" w:eastAsia="Times New Roman" w:hAnsi="Times New Roman" w:cs="Times New Roman"/>
          <w:b/>
          <w:bCs/>
          <w:sz w:val="24"/>
          <w:szCs w:val="24"/>
          <w:u w:val="single"/>
          <w:lang w:eastAsia="lv-LV"/>
        </w:rPr>
        <w:t>nodarbinātība un nodokļu nomaksa</w:t>
      </w:r>
      <w:bookmarkEnd w:id="7"/>
      <w:r w:rsidR="005A56E7" w:rsidRPr="00C60CA7">
        <w:rPr>
          <w:rFonts w:ascii="Times New Roman" w:eastAsia="Times New Roman" w:hAnsi="Times New Roman" w:cs="Times New Roman"/>
          <w:bCs/>
          <w:sz w:val="24"/>
          <w:szCs w:val="24"/>
          <w:lang w:eastAsia="lv-LV"/>
        </w:rPr>
        <w:t>.</w:t>
      </w:r>
      <w:r w:rsidR="009B41E1" w:rsidRPr="00C60CA7">
        <w:rPr>
          <w:rStyle w:val="FootnoteReference"/>
          <w:rFonts w:ascii="Times New Roman" w:eastAsia="Times New Roman" w:hAnsi="Times New Roman" w:cs="Times New Roman"/>
          <w:bCs/>
          <w:sz w:val="24"/>
          <w:szCs w:val="24"/>
          <w:lang w:eastAsia="lv-LV"/>
        </w:rPr>
        <w:footnoteReference w:id="12"/>
      </w:r>
      <w:r w:rsidR="005A56E7" w:rsidRPr="00C60CA7">
        <w:rPr>
          <w:rFonts w:ascii="Times New Roman" w:eastAsia="Times New Roman" w:hAnsi="Times New Roman" w:cs="Times New Roman"/>
          <w:bCs/>
          <w:sz w:val="24"/>
          <w:szCs w:val="24"/>
          <w:lang w:eastAsia="lv-LV"/>
        </w:rPr>
        <w:t xml:space="preserve"> </w:t>
      </w:r>
      <w:r w:rsidR="00F712C1" w:rsidRPr="00C60CA7">
        <w:rPr>
          <w:rFonts w:ascii="Times New Roman" w:eastAsia="Times New Roman" w:hAnsi="Times New Roman" w:cs="Times New Roman"/>
          <w:bCs/>
          <w:sz w:val="24"/>
          <w:szCs w:val="24"/>
          <w:lang w:eastAsia="lv-LV"/>
        </w:rPr>
        <w:t>Eiropas Komisijas</w:t>
      </w:r>
      <w:r w:rsidR="005A56E7" w:rsidRPr="00C60CA7">
        <w:rPr>
          <w:rFonts w:ascii="Times New Roman" w:eastAsia="Times New Roman" w:hAnsi="Times New Roman" w:cs="Times New Roman"/>
          <w:bCs/>
          <w:sz w:val="24"/>
          <w:szCs w:val="24"/>
          <w:lang w:eastAsia="lv-LV"/>
        </w:rPr>
        <w:t xml:space="preserve"> </w:t>
      </w:r>
      <w:r w:rsidR="009B41E1" w:rsidRPr="00C60CA7">
        <w:rPr>
          <w:rFonts w:ascii="Times New Roman" w:eastAsia="Times New Roman" w:hAnsi="Times New Roman" w:cs="Times New Roman"/>
          <w:bCs/>
          <w:sz w:val="24"/>
          <w:szCs w:val="24"/>
          <w:lang w:eastAsia="lv-LV"/>
        </w:rPr>
        <w:t>ieskatā</w:t>
      </w:r>
      <w:r w:rsidR="00984C73" w:rsidRPr="00C60CA7">
        <w:rPr>
          <w:rFonts w:ascii="Times New Roman" w:eastAsia="Times New Roman" w:hAnsi="Times New Roman" w:cs="Times New Roman"/>
          <w:bCs/>
          <w:sz w:val="24"/>
          <w:szCs w:val="24"/>
          <w:lang w:eastAsia="lv-LV"/>
        </w:rPr>
        <w:t xml:space="preserve">, gan iestādēm, gan tirgus dalībniekiem jārod atbilde: vai (un, ja jā, tad kādā mērā) saskaņā ar esošajiem </w:t>
      </w:r>
      <w:r w:rsidR="00F625C7" w:rsidRPr="00C60CA7">
        <w:rPr>
          <w:rFonts w:ascii="Times New Roman" w:eastAsia="Times New Roman" w:hAnsi="Times New Roman" w:cs="Times New Roman"/>
          <w:bCs/>
          <w:sz w:val="24"/>
          <w:szCs w:val="24"/>
          <w:lang w:eastAsia="lv-LV"/>
        </w:rPr>
        <w:t>ES</w:t>
      </w:r>
      <w:r w:rsidR="00984C73" w:rsidRPr="00C60CA7">
        <w:rPr>
          <w:rFonts w:ascii="Times New Roman" w:eastAsia="Times New Roman" w:hAnsi="Times New Roman" w:cs="Times New Roman"/>
          <w:bCs/>
          <w:sz w:val="24"/>
          <w:szCs w:val="24"/>
          <w:lang w:eastAsia="lv-LV"/>
        </w:rPr>
        <w:t xml:space="preserve"> tiesību aktiem uz sadarbības ekonomiku var attiecināt nosacījumus par piekļuvi tirgum (tas attiecas uz uzņēmējdarbības atļaujām, licencēšanu, kvalitātes standart</w:t>
      </w:r>
      <w:r w:rsidR="005A56E7" w:rsidRPr="00C60CA7">
        <w:rPr>
          <w:rFonts w:ascii="Times New Roman" w:eastAsia="Times New Roman" w:hAnsi="Times New Roman" w:cs="Times New Roman"/>
          <w:bCs/>
          <w:sz w:val="24"/>
          <w:szCs w:val="24"/>
          <w:lang w:eastAsia="lv-LV"/>
        </w:rPr>
        <w:t xml:space="preserve">iem un citiem pienākumiem). </w:t>
      </w:r>
      <w:r w:rsidR="006659F9" w:rsidRPr="00C60CA7">
        <w:rPr>
          <w:rFonts w:ascii="Times New Roman" w:eastAsia="Times New Roman" w:hAnsi="Times New Roman" w:cs="Times New Roman"/>
          <w:bCs/>
          <w:sz w:val="24"/>
          <w:szCs w:val="24"/>
          <w:lang w:eastAsia="lv-LV"/>
        </w:rPr>
        <w:t xml:space="preserve">Pēc </w:t>
      </w:r>
      <w:r w:rsidR="005A56E7" w:rsidRPr="00C60CA7">
        <w:rPr>
          <w:rFonts w:ascii="Times New Roman" w:eastAsia="Times New Roman" w:hAnsi="Times New Roman" w:cs="Times New Roman"/>
          <w:bCs/>
          <w:sz w:val="24"/>
          <w:szCs w:val="24"/>
          <w:lang w:eastAsia="lv-LV"/>
        </w:rPr>
        <w:t xml:space="preserve">Eiropas Komisijas </w:t>
      </w:r>
      <w:r w:rsidR="006659F9" w:rsidRPr="00C60CA7">
        <w:rPr>
          <w:rFonts w:ascii="Times New Roman" w:eastAsia="Times New Roman" w:hAnsi="Times New Roman" w:cs="Times New Roman"/>
          <w:bCs/>
          <w:sz w:val="24"/>
          <w:szCs w:val="24"/>
          <w:lang w:eastAsia="lv-LV"/>
        </w:rPr>
        <w:t xml:space="preserve">domām </w:t>
      </w:r>
      <w:r w:rsidR="00984C73" w:rsidRPr="00C60CA7">
        <w:rPr>
          <w:rFonts w:ascii="Times New Roman" w:eastAsia="Times New Roman" w:hAnsi="Times New Roman" w:cs="Times New Roman"/>
          <w:bCs/>
          <w:sz w:val="24"/>
          <w:szCs w:val="24"/>
          <w:lang w:eastAsia="lv-LV"/>
        </w:rPr>
        <w:t xml:space="preserve">prasībām jābūt </w:t>
      </w:r>
      <w:r w:rsidR="00F712C1" w:rsidRPr="00C60CA7">
        <w:rPr>
          <w:rFonts w:ascii="Times New Roman" w:eastAsia="Times New Roman" w:hAnsi="Times New Roman" w:cs="Times New Roman"/>
          <w:bCs/>
          <w:sz w:val="24"/>
          <w:szCs w:val="24"/>
          <w:lang w:eastAsia="lv-LV"/>
        </w:rPr>
        <w:t>pamatotām</w:t>
      </w:r>
      <w:r w:rsidR="00984C73" w:rsidRPr="00C60CA7">
        <w:rPr>
          <w:rFonts w:ascii="Times New Roman" w:eastAsia="Times New Roman" w:hAnsi="Times New Roman" w:cs="Times New Roman"/>
          <w:bCs/>
          <w:sz w:val="24"/>
          <w:szCs w:val="24"/>
          <w:lang w:eastAsia="lv-LV"/>
        </w:rPr>
        <w:t xml:space="preserve"> un samērīgām. Izvērtējot regulējuma samērīgumu sadarbības ekonomikai, nacionālajām iestādēm ir jāņem vērā sadarbības ekonomikas uzņēmējdarbības modeļu specifika. Vienlai</w:t>
      </w:r>
      <w:r w:rsidR="007F4968" w:rsidRPr="00C60CA7">
        <w:rPr>
          <w:rFonts w:ascii="Times New Roman" w:eastAsia="Times New Roman" w:hAnsi="Times New Roman" w:cs="Times New Roman"/>
          <w:bCs/>
          <w:sz w:val="24"/>
          <w:szCs w:val="24"/>
          <w:lang w:eastAsia="lv-LV"/>
        </w:rPr>
        <w:t>kus</w:t>
      </w:r>
      <w:r w:rsidR="00984C73" w:rsidRPr="00C60CA7">
        <w:rPr>
          <w:rFonts w:ascii="Times New Roman" w:eastAsia="Times New Roman" w:hAnsi="Times New Roman" w:cs="Times New Roman"/>
          <w:bCs/>
          <w:sz w:val="24"/>
          <w:szCs w:val="24"/>
          <w:lang w:eastAsia="lv-LV"/>
        </w:rPr>
        <w:t xml:space="preserve">, </w:t>
      </w:r>
      <w:r w:rsidR="007F4968" w:rsidRPr="00C60CA7">
        <w:rPr>
          <w:rFonts w:ascii="Times New Roman" w:eastAsia="Times New Roman" w:hAnsi="Times New Roman" w:cs="Times New Roman"/>
          <w:bCs/>
          <w:sz w:val="24"/>
          <w:szCs w:val="24"/>
          <w:lang w:eastAsia="lv-LV"/>
        </w:rPr>
        <w:t xml:space="preserve">Eiropas Komisija vērš uzmanību, ka </w:t>
      </w:r>
      <w:r w:rsidR="00984C73" w:rsidRPr="00C60CA7">
        <w:rPr>
          <w:rFonts w:ascii="Times New Roman" w:eastAsia="Times New Roman" w:hAnsi="Times New Roman" w:cs="Times New Roman"/>
          <w:bCs/>
          <w:sz w:val="24"/>
          <w:szCs w:val="24"/>
          <w:lang w:eastAsia="lv-LV"/>
        </w:rPr>
        <w:t>sadarbības ekonomikas parādīšanās paver izdevību politikas veidotājiem izvērtēt, vai regulējums vēl joprojām ir aktuāls arī uz tradicionālo ekonomiku.</w:t>
      </w:r>
    </w:p>
    <w:p w14:paraId="696C411B" w14:textId="66DF8266" w:rsidR="005B496E" w:rsidRPr="00C60CA7" w:rsidRDefault="005B496E" w:rsidP="00760971">
      <w:pPr>
        <w:spacing w:after="0" w:line="240" w:lineRule="auto"/>
        <w:ind w:firstLine="709"/>
        <w:jc w:val="both"/>
        <w:rPr>
          <w:rFonts w:ascii="Times New Roman" w:eastAsia="Times New Roman" w:hAnsi="Times New Roman" w:cs="Times New Roman"/>
          <w:bCs/>
          <w:sz w:val="24"/>
          <w:szCs w:val="24"/>
          <w:lang w:eastAsia="lv-LV"/>
        </w:rPr>
      </w:pPr>
      <w:r w:rsidRPr="00C60CA7">
        <w:rPr>
          <w:rFonts w:ascii="Times New Roman" w:eastAsia="Times New Roman" w:hAnsi="Times New Roman" w:cs="Times New Roman"/>
          <w:bCs/>
          <w:sz w:val="24"/>
          <w:szCs w:val="24"/>
          <w:lang w:eastAsia="lv-LV"/>
        </w:rPr>
        <w:t>Eiropas Komisija atzīst</w:t>
      </w:r>
      <w:r w:rsidR="001E3AB4" w:rsidRPr="00C60CA7">
        <w:rPr>
          <w:rFonts w:ascii="Times New Roman" w:eastAsia="Times New Roman" w:hAnsi="Times New Roman" w:cs="Times New Roman"/>
          <w:bCs/>
          <w:sz w:val="24"/>
          <w:szCs w:val="24"/>
          <w:lang w:eastAsia="lv-LV"/>
        </w:rPr>
        <w:t xml:space="preserve">, ka </w:t>
      </w:r>
      <w:r w:rsidRPr="00C60CA7">
        <w:rPr>
          <w:rFonts w:ascii="Times New Roman" w:eastAsia="Times New Roman" w:hAnsi="Times New Roman" w:cs="Times New Roman"/>
          <w:bCs/>
          <w:sz w:val="24"/>
          <w:szCs w:val="24"/>
          <w:lang w:eastAsia="lv-LV"/>
        </w:rPr>
        <w:t>dalībvalstis nevar uzlikt par pienākumu sadarbības platformām uzraudzīt tirgu. Dalībvalstis nedrīkstētu noteikt aktīvu pienākumu starpniekiem meklēt faktus vai apstākļus, kuri norāda uz informācijas prettiesisko raksturu. Līdz ar to Eiropas Komisijas aicina dalībvalstis iedrošināt sadarbības platformas brīvprātīgi cīnīties pret nelegālu satura ievietošanu tiešsaistē un veicināt vispārēju uzticību platformai, palīdzot nodrošināt kvalitatīvu pakalpojumu piedāvājumu.</w:t>
      </w:r>
    </w:p>
    <w:p w14:paraId="5BF74195" w14:textId="02FAD706" w:rsidR="00455912" w:rsidRPr="00C60CA7" w:rsidRDefault="00B220F9" w:rsidP="005C7BB9">
      <w:pPr>
        <w:spacing w:after="0" w:line="240" w:lineRule="auto"/>
        <w:ind w:firstLine="709"/>
        <w:jc w:val="both"/>
        <w:rPr>
          <w:rFonts w:ascii="Times New Roman" w:eastAsia="Times New Roman" w:hAnsi="Times New Roman" w:cs="Times New Roman"/>
          <w:bCs/>
          <w:sz w:val="24"/>
          <w:szCs w:val="24"/>
          <w:lang w:eastAsia="lv-LV"/>
        </w:rPr>
      </w:pPr>
      <w:r w:rsidRPr="00C60CA7">
        <w:rPr>
          <w:rFonts w:ascii="Times New Roman" w:eastAsia="Times New Roman" w:hAnsi="Times New Roman" w:cs="Times New Roman"/>
          <w:bCs/>
          <w:sz w:val="24"/>
          <w:szCs w:val="24"/>
          <w:lang w:eastAsia="lv-LV"/>
        </w:rPr>
        <w:t>Eiropas Komisija aicina</w:t>
      </w:r>
      <w:r w:rsidR="00455912" w:rsidRPr="00C60CA7">
        <w:rPr>
          <w:rFonts w:ascii="Times New Roman" w:eastAsia="Times New Roman" w:hAnsi="Times New Roman" w:cs="Times New Roman"/>
          <w:bCs/>
          <w:sz w:val="24"/>
          <w:szCs w:val="24"/>
          <w:lang w:eastAsia="lv-LV"/>
        </w:rPr>
        <w:t xml:space="preserve"> dalībvalstis meklēt līdzsv</w:t>
      </w:r>
      <w:r w:rsidR="005C7BB9" w:rsidRPr="00C60CA7">
        <w:rPr>
          <w:rFonts w:ascii="Times New Roman" w:eastAsia="Times New Roman" w:hAnsi="Times New Roman" w:cs="Times New Roman"/>
          <w:bCs/>
          <w:sz w:val="24"/>
          <w:szCs w:val="24"/>
          <w:lang w:eastAsia="lv-LV"/>
        </w:rPr>
        <w:t>arotu pieeju, kā nodrošināt, ka</w:t>
      </w:r>
      <w:r w:rsidR="0038165A" w:rsidRPr="00C60CA7">
        <w:rPr>
          <w:rFonts w:ascii="Times New Roman" w:eastAsia="Times New Roman" w:hAnsi="Times New Roman" w:cs="Times New Roman"/>
          <w:bCs/>
          <w:sz w:val="24"/>
          <w:szCs w:val="24"/>
          <w:lang w:eastAsia="lv-LV"/>
        </w:rPr>
        <w:t>,</w:t>
      </w:r>
      <w:r w:rsidR="005C7BB9" w:rsidRPr="00C60CA7">
        <w:rPr>
          <w:rFonts w:ascii="Times New Roman" w:eastAsia="Times New Roman" w:hAnsi="Times New Roman" w:cs="Times New Roman"/>
          <w:bCs/>
          <w:sz w:val="24"/>
          <w:szCs w:val="24"/>
          <w:lang w:eastAsia="lv-LV"/>
        </w:rPr>
        <w:t xml:space="preserve"> no vienas puses</w:t>
      </w:r>
      <w:r w:rsidR="0038165A" w:rsidRPr="00C60CA7">
        <w:rPr>
          <w:rFonts w:ascii="Times New Roman" w:eastAsia="Times New Roman" w:hAnsi="Times New Roman" w:cs="Times New Roman"/>
          <w:bCs/>
          <w:sz w:val="24"/>
          <w:szCs w:val="24"/>
          <w:lang w:eastAsia="lv-LV"/>
        </w:rPr>
        <w:t>,</w:t>
      </w:r>
      <w:r w:rsidR="005C7BB9" w:rsidRPr="00C60CA7">
        <w:rPr>
          <w:rFonts w:ascii="Times New Roman" w:eastAsia="Times New Roman" w:hAnsi="Times New Roman" w:cs="Times New Roman"/>
          <w:bCs/>
          <w:sz w:val="24"/>
          <w:szCs w:val="24"/>
          <w:lang w:eastAsia="lv-LV"/>
        </w:rPr>
        <w:t xml:space="preserve"> </w:t>
      </w:r>
      <w:r w:rsidR="00455912" w:rsidRPr="00C60CA7">
        <w:rPr>
          <w:rFonts w:ascii="Times New Roman" w:eastAsia="Times New Roman" w:hAnsi="Times New Roman" w:cs="Times New Roman"/>
          <w:bCs/>
          <w:sz w:val="24"/>
          <w:szCs w:val="24"/>
          <w:lang w:eastAsia="lv-LV"/>
        </w:rPr>
        <w:t>patērētāji tiek augstā līmenī aizsargāti, jo īp</w:t>
      </w:r>
      <w:r w:rsidR="005C7BB9" w:rsidRPr="00C60CA7">
        <w:rPr>
          <w:rFonts w:ascii="Times New Roman" w:eastAsia="Times New Roman" w:hAnsi="Times New Roman" w:cs="Times New Roman"/>
          <w:bCs/>
          <w:sz w:val="24"/>
          <w:szCs w:val="24"/>
          <w:lang w:eastAsia="lv-LV"/>
        </w:rPr>
        <w:t xml:space="preserve">aši pret negodīgu </w:t>
      </w:r>
      <w:proofErr w:type="spellStart"/>
      <w:r w:rsidR="005C7BB9" w:rsidRPr="00C60CA7">
        <w:rPr>
          <w:rFonts w:ascii="Times New Roman" w:eastAsia="Times New Roman" w:hAnsi="Times New Roman" w:cs="Times New Roman"/>
          <w:bCs/>
          <w:sz w:val="24"/>
          <w:szCs w:val="24"/>
          <w:lang w:eastAsia="lv-LV"/>
        </w:rPr>
        <w:t>komercpraksi</w:t>
      </w:r>
      <w:proofErr w:type="spellEnd"/>
      <w:r w:rsidR="0038165A" w:rsidRPr="00C60CA7">
        <w:rPr>
          <w:rFonts w:ascii="Times New Roman" w:eastAsia="Times New Roman" w:hAnsi="Times New Roman" w:cs="Times New Roman"/>
          <w:bCs/>
          <w:sz w:val="24"/>
          <w:szCs w:val="24"/>
          <w:lang w:eastAsia="lv-LV"/>
        </w:rPr>
        <w:t>,</w:t>
      </w:r>
      <w:r w:rsidR="005C7BB9" w:rsidRPr="00C60CA7">
        <w:rPr>
          <w:rFonts w:ascii="Times New Roman" w:eastAsia="Times New Roman" w:hAnsi="Times New Roman" w:cs="Times New Roman"/>
          <w:bCs/>
          <w:sz w:val="24"/>
          <w:szCs w:val="24"/>
          <w:lang w:eastAsia="lv-LV"/>
        </w:rPr>
        <w:t xml:space="preserve"> un</w:t>
      </w:r>
      <w:r w:rsidR="0038165A" w:rsidRPr="00C60CA7">
        <w:rPr>
          <w:rFonts w:ascii="Times New Roman" w:eastAsia="Times New Roman" w:hAnsi="Times New Roman" w:cs="Times New Roman"/>
          <w:bCs/>
          <w:sz w:val="24"/>
          <w:szCs w:val="24"/>
          <w:lang w:eastAsia="lv-LV"/>
        </w:rPr>
        <w:t>, no otras puses,</w:t>
      </w:r>
      <w:r w:rsidR="005C7BB9" w:rsidRPr="00C60CA7">
        <w:rPr>
          <w:rFonts w:ascii="Times New Roman" w:eastAsia="Times New Roman" w:hAnsi="Times New Roman" w:cs="Times New Roman"/>
          <w:bCs/>
          <w:sz w:val="24"/>
          <w:szCs w:val="24"/>
          <w:lang w:eastAsia="lv-LV"/>
        </w:rPr>
        <w:t xml:space="preserve"> darījumiem, kas tiek veikti starp </w:t>
      </w:r>
      <w:r w:rsidR="00375DB0" w:rsidRPr="00C60CA7">
        <w:rPr>
          <w:rFonts w:ascii="Times New Roman" w:eastAsia="Times New Roman" w:hAnsi="Times New Roman" w:cs="Times New Roman"/>
          <w:bCs/>
          <w:sz w:val="24"/>
          <w:szCs w:val="24"/>
          <w:lang w:eastAsia="lv-LV"/>
        </w:rPr>
        <w:t>fiziskām personām</w:t>
      </w:r>
      <w:r w:rsidR="0038165A" w:rsidRPr="00C60CA7">
        <w:rPr>
          <w:rFonts w:ascii="Times New Roman" w:eastAsia="Times New Roman" w:hAnsi="Times New Roman" w:cs="Times New Roman"/>
          <w:bCs/>
          <w:sz w:val="24"/>
          <w:szCs w:val="24"/>
          <w:lang w:eastAsia="lv-LV"/>
        </w:rPr>
        <w:t>,</w:t>
      </w:r>
      <w:r w:rsidR="00375DB0" w:rsidRPr="00C60CA7">
        <w:rPr>
          <w:rFonts w:ascii="Times New Roman" w:eastAsia="Times New Roman" w:hAnsi="Times New Roman" w:cs="Times New Roman"/>
          <w:bCs/>
          <w:sz w:val="24"/>
          <w:szCs w:val="24"/>
          <w:lang w:eastAsia="lv-LV"/>
        </w:rPr>
        <w:t xml:space="preserve"> </w:t>
      </w:r>
      <w:r w:rsidR="00455912" w:rsidRPr="00C60CA7">
        <w:rPr>
          <w:rFonts w:ascii="Times New Roman" w:eastAsia="Times New Roman" w:hAnsi="Times New Roman" w:cs="Times New Roman"/>
          <w:bCs/>
          <w:sz w:val="24"/>
          <w:szCs w:val="24"/>
          <w:lang w:eastAsia="lv-LV"/>
        </w:rPr>
        <w:t>netiek uzliktas nesamērīgas informācijas sniegšanas prasības un cita veida administratīvais slogs.</w:t>
      </w:r>
    </w:p>
    <w:p w14:paraId="379BD2C3" w14:textId="2E79887E" w:rsidR="00455912" w:rsidRPr="00C60CA7" w:rsidRDefault="00455912" w:rsidP="00455912">
      <w:pPr>
        <w:spacing w:after="0" w:line="240" w:lineRule="auto"/>
        <w:ind w:firstLine="709"/>
        <w:jc w:val="both"/>
        <w:rPr>
          <w:rFonts w:ascii="Times New Roman" w:eastAsia="Times New Roman" w:hAnsi="Times New Roman" w:cs="Times New Roman"/>
          <w:bCs/>
          <w:sz w:val="24"/>
          <w:szCs w:val="24"/>
          <w:lang w:eastAsia="lv-LV"/>
        </w:rPr>
      </w:pPr>
      <w:r w:rsidRPr="00C60CA7">
        <w:rPr>
          <w:rFonts w:ascii="Times New Roman" w:eastAsia="Times New Roman" w:hAnsi="Times New Roman" w:cs="Times New Roman"/>
          <w:bCs/>
          <w:sz w:val="24"/>
          <w:szCs w:val="24"/>
          <w:lang w:eastAsia="lv-LV"/>
        </w:rPr>
        <w:t xml:space="preserve">Sadarbības ekonomika paver jaunas nodarbinātības iespējas, kurās ieņēmumus var gūt ārpus tradicionālajām darba </w:t>
      </w:r>
      <w:r w:rsidR="0020031F" w:rsidRPr="00C60CA7">
        <w:rPr>
          <w:rFonts w:ascii="Times New Roman" w:eastAsia="Times New Roman" w:hAnsi="Times New Roman" w:cs="Times New Roman"/>
          <w:bCs/>
          <w:sz w:val="24"/>
          <w:szCs w:val="24"/>
          <w:lang w:eastAsia="lv-LV"/>
        </w:rPr>
        <w:t xml:space="preserve">tiesiskajām </w:t>
      </w:r>
      <w:r w:rsidRPr="00C60CA7">
        <w:rPr>
          <w:rFonts w:ascii="Times New Roman" w:eastAsia="Times New Roman" w:hAnsi="Times New Roman" w:cs="Times New Roman"/>
          <w:bCs/>
          <w:sz w:val="24"/>
          <w:szCs w:val="24"/>
          <w:lang w:eastAsia="lv-LV"/>
        </w:rPr>
        <w:t>attiecībām, un dod iespēju cilvēkiem strādāt elastīgā režīmā. Lai palīdzētu cilvēkiem būt aktīvākiem, tajā pašā laikā garantējot taisnīgus darba nosacījumus un pienācīgu un ilgtspējīgu sociālo aizsardzību, dalībvalstīm vajadzētu izvērtēt, cik adekvātas ir nacionālās darba tiesību normas attiecībā uz sadarbības uzņēmējdarbības modeli, kā arī sagatavot nepieciešamās norādes un skaidrojumus.</w:t>
      </w:r>
    </w:p>
    <w:p w14:paraId="40F093E4" w14:textId="3BEDF974" w:rsidR="00C851E3" w:rsidRPr="00C60CA7" w:rsidRDefault="006E33C8" w:rsidP="00D44032">
      <w:pPr>
        <w:spacing w:after="0" w:line="240" w:lineRule="auto"/>
        <w:ind w:firstLine="709"/>
        <w:jc w:val="both"/>
        <w:rPr>
          <w:rFonts w:ascii="Times New Roman" w:eastAsia="Times New Roman" w:hAnsi="Times New Roman" w:cs="Times New Roman"/>
          <w:bCs/>
          <w:sz w:val="24"/>
          <w:szCs w:val="24"/>
          <w:lang w:eastAsia="lv-LV"/>
        </w:rPr>
      </w:pPr>
      <w:r w:rsidRPr="00C60CA7">
        <w:rPr>
          <w:rFonts w:ascii="Times New Roman" w:eastAsia="Times New Roman" w:hAnsi="Times New Roman" w:cs="Times New Roman"/>
          <w:bCs/>
          <w:sz w:val="24"/>
          <w:szCs w:val="24"/>
          <w:lang w:eastAsia="lv-LV"/>
        </w:rPr>
        <w:t xml:space="preserve">Attiecībā uz nodokļu saistību izpildi </w:t>
      </w:r>
      <w:r w:rsidR="00805FEE" w:rsidRPr="00C60CA7">
        <w:rPr>
          <w:rFonts w:ascii="Times New Roman" w:eastAsia="Times New Roman" w:hAnsi="Times New Roman" w:cs="Times New Roman"/>
          <w:bCs/>
          <w:sz w:val="24"/>
          <w:szCs w:val="24"/>
          <w:lang w:eastAsia="lv-LV"/>
        </w:rPr>
        <w:t>Eiropas Komisija</w:t>
      </w:r>
      <w:r w:rsidRPr="00C60CA7">
        <w:rPr>
          <w:rFonts w:ascii="Times New Roman" w:eastAsia="Times New Roman" w:hAnsi="Times New Roman" w:cs="Times New Roman"/>
          <w:bCs/>
          <w:sz w:val="24"/>
          <w:szCs w:val="24"/>
          <w:lang w:eastAsia="lv-LV"/>
        </w:rPr>
        <w:t xml:space="preserve"> </w:t>
      </w:r>
      <w:r w:rsidR="00142331" w:rsidRPr="00C60CA7">
        <w:rPr>
          <w:rFonts w:ascii="Times New Roman" w:eastAsia="Times New Roman" w:hAnsi="Times New Roman" w:cs="Times New Roman"/>
          <w:bCs/>
          <w:sz w:val="24"/>
          <w:szCs w:val="24"/>
          <w:lang w:eastAsia="lv-LV"/>
        </w:rPr>
        <w:t>norāda</w:t>
      </w:r>
      <w:r w:rsidRPr="00C60CA7">
        <w:rPr>
          <w:rFonts w:ascii="Times New Roman" w:eastAsia="Times New Roman" w:hAnsi="Times New Roman" w:cs="Times New Roman"/>
          <w:bCs/>
          <w:sz w:val="24"/>
          <w:szCs w:val="24"/>
          <w:lang w:eastAsia="lv-LV"/>
        </w:rPr>
        <w:t xml:space="preserve">, ka tāpat kā uz visiem ekonomikas dalībniekiem, arī uz sadarbības ekonomiku attiecas </w:t>
      </w:r>
      <w:r w:rsidR="00142331" w:rsidRPr="00C60CA7">
        <w:rPr>
          <w:rFonts w:ascii="Times New Roman" w:eastAsia="Times New Roman" w:hAnsi="Times New Roman" w:cs="Times New Roman"/>
          <w:bCs/>
          <w:sz w:val="24"/>
          <w:szCs w:val="24"/>
          <w:lang w:eastAsia="lv-LV"/>
        </w:rPr>
        <w:t>nosacījumi par nodokļu nomaksu</w:t>
      </w:r>
      <w:r w:rsidRPr="00C60CA7">
        <w:rPr>
          <w:rFonts w:ascii="Times New Roman" w:eastAsia="Times New Roman" w:hAnsi="Times New Roman" w:cs="Times New Roman"/>
          <w:bCs/>
          <w:sz w:val="24"/>
          <w:szCs w:val="24"/>
          <w:lang w:eastAsia="lv-LV"/>
        </w:rPr>
        <w:t xml:space="preserve">. </w:t>
      </w:r>
      <w:r w:rsidR="00142331" w:rsidRPr="00C60CA7">
        <w:rPr>
          <w:rFonts w:ascii="Times New Roman" w:eastAsia="Times New Roman" w:hAnsi="Times New Roman" w:cs="Times New Roman"/>
          <w:bCs/>
          <w:sz w:val="24"/>
          <w:szCs w:val="24"/>
          <w:lang w:eastAsia="lv-LV"/>
        </w:rPr>
        <w:t xml:space="preserve">Vienlaikus </w:t>
      </w:r>
      <w:r w:rsidR="007F4968" w:rsidRPr="00C60CA7">
        <w:rPr>
          <w:rFonts w:ascii="Times New Roman" w:eastAsia="Times New Roman" w:hAnsi="Times New Roman" w:cs="Times New Roman"/>
          <w:bCs/>
          <w:sz w:val="24"/>
          <w:szCs w:val="24"/>
          <w:lang w:eastAsia="lv-LV"/>
        </w:rPr>
        <w:t>tiek</w:t>
      </w:r>
      <w:r w:rsidR="00142331" w:rsidRPr="00C60CA7">
        <w:rPr>
          <w:rFonts w:ascii="Times New Roman" w:eastAsia="Times New Roman" w:hAnsi="Times New Roman" w:cs="Times New Roman"/>
          <w:bCs/>
          <w:sz w:val="24"/>
          <w:szCs w:val="24"/>
          <w:lang w:eastAsia="lv-LV"/>
        </w:rPr>
        <w:t xml:space="preserve"> vēr</w:t>
      </w:r>
      <w:r w:rsidR="007F4968" w:rsidRPr="00C60CA7">
        <w:rPr>
          <w:rFonts w:ascii="Times New Roman" w:eastAsia="Times New Roman" w:hAnsi="Times New Roman" w:cs="Times New Roman"/>
          <w:bCs/>
          <w:sz w:val="24"/>
          <w:szCs w:val="24"/>
          <w:lang w:eastAsia="lv-LV"/>
        </w:rPr>
        <w:t>sta</w:t>
      </w:r>
      <w:r w:rsidR="00142331" w:rsidRPr="00C60CA7">
        <w:rPr>
          <w:rFonts w:ascii="Times New Roman" w:eastAsia="Times New Roman" w:hAnsi="Times New Roman" w:cs="Times New Roman"/>
          <w:bCs/>
          <w:sz w:val="24"/>
          <w:szCs w:val="24"/>
          <w:lang w:eastAsia="lv-LV"/>
        </w:rPr>
        <w:t xml:space="preserve"> uzmanīb</w:t>
      </w:r>
      <w:r w:rsidR="007F4968" w:rsidRPr="00C60CA7">
        <w:rPr>
          <w:rFonts w:ascii="Times New Roman" w:eastAsia="Times New Roman" w:hAnsi="Times New Roman" w:cs="Times New Roman"/>
          <w:bCs/>
          <w:sz w:val="24"/>
          <w:szCs w:val="24"/>
          <w:lang w:eastAsia="lv-LV"/>
        </w:rPr>
        <w:t>a</w:t>
      </w:r>
      <w:r w:rsidR="00142331" w:rsidRPr="00C60CA7">
        <w:rPr>
          <w:rFonts w:ascii="Times New Roman" w:eastAsia="Times New Roman" w:hAnsi="Times New Roman" w:cs="Times New Roman"/>
          <w:bCs/>
          <w:sz w:val="24"/>
          <w:szCs w:val="24"/>
          <w:lang w:eastAsia="lv-LV"/>
        </w:rPr>
        <w:t xml:space="preserve"> uz atsevišķiem riskiem</w:t>
      </w:r>
      <w:r w:rsidR="001A4CCE" w:rsidRPr="00C60CA7">
        <w:rPr>
          <w:rFonts w:ascii="Times New Roman" w:eastAsia="Times New Roman" w:hAnsi="Times New Roman" w:cs="Times New Roman"/>
          <w:bCs/>
          <w:sz w:val="24"/>
          <w:szCs w:val="24"/>
          <w:lang w:eastAsia="lv-LV"/>
        </w:rPr>
        <w:t xml:space="preserve"> sadarbības ekonomikā</w:t>
      </w:r>
      <w:r w:rsidRPr="00C60CA7">
        <w:rPr>
          <w:rFonts w:ascii="Times New Roman" w:eastAsia="Times New Roman" w:hAnsi="Times New Roman" w:cs="Times New Roman"/>
          <w:bCs/>
          <w:sz w:val="24"/>
          <w:szCs w:val="24"/>
          <w:lang w:eastAsia="lv-LV"/>
        </w:rPr>
        <w:t xml:space="preserve">: ir grūti identificēt nodokļu maksātājus un ar nodokļiem apliekamos ienākumus, </w:t>
      </w:r>
      <w:r w:rsidR="00142331" w:rsidRPr="00C60CA7">
        <w:rPr>
          <w:rFonts w:ascii="Times New Roman" w:eastAsia="Times New Roman" w:hAnsi="Times New Roman" w:cs="Times New Roman"/>
          <w:bCs/>
          <w:sz w:val="24"/>
          <w:szCs w:val="24"/>
          <w:lang w:eastAsia="lv-LV"/>
        </w:rPr>
        <w:t xml:space="preserve">kā arī </w:t>
      </w:r>
      <w:r w:rsidRPr="00C60CA7">
        <w:rPr>
          <w:rFonts w:ascii="Times New Roman" w:eastAsia="Times New Roman" w:hAnsi="Times New Roman" w:cs="Times New Roman"/>
          <w:bCs/>
          <w:sz w:val="24"/>
          <w:szCs w:val="24"/>
          <w:lang w:eastAsia="lv-LV"/>
        </w:rPr>
        <w:t>trūkst informācijas par pakalpojumu sniedzējiem.</w:t>
      </w:r>
      <w:r w:rsidR="001A4CCE" w:rsidRPr="00C60CA7">
        <w:rPr>
          <w:rFonts w:ascii="Times New Roman" w:eastAsia="Times New Roman" w:hAnsi="Times New Roman" w:cs="Times New Roman"/>
          <w:bCs/>
          <w:sz w:val="24"/>
          <w:szCs w:val="24"/>
          <w:lang w:eastAsia="lv-LV"/>
        </w:rPr>
        <w:t xml:space="preserve"> Līdz ar to Eiropas Komisija</w:t>
      </w:r>
      <w:r w:rsidRPr="00C60CA7">
        <w:rPr>
          <w:rFonts w:ascii="Times New Roman" w:eastAsia="Times New Roman" w:hAnsi="Times New Roman" w:cs="Times New Roman"/>
          <w:bCs/>
          <w:sz w:val="24"/>
          <w:szCs w:val="24"/>
          <w:lang w:eastAsia="lv-LV"/>
        </w:rPr>
        <w:t xml:space="preserve"> iesaka dalībvalstīm tiekties uz samērīgām saistībām un vienlīdzīgiem nosacījumiem. Sadarbības ekonomika ir pavērusi jaunas iespējas, kā nodokļu iestādes un nodokļu maksātāji var izpildīt savas nodokļu saistības. </w:t>
      </w:r>
      <w:r w:rsidR="006659F9" w:rsidRPr="00C60CA7">
        <w:rPr>
          <w:rFonts w:ascii="Times New Roman" w:eastAsia="Times New Roman" w:hAnsi="Times New Roman" w:cs="Times New Roman"/>
          <w:bCs/>
          <w:sz w:val="24"/>
          <w:szCs w:val="24"/>
          <w:lang w:eastAsia="lv-LV"/>
        </w:rPr>
        <w:t xml:space="preserve">Šajā gadījumā sevišķi </w:t>
      </w:r>
      <w:r w:rsidRPr="00C60CA7">
        <w:rPr>
          <w:rFonts w:ascii="Times New Roman" w:eastAsia="Times New Roman" w:hAnsi="Times New Roman" w:cs="Times New Roman"/>
          <w:bCs/>
          <w:sz w:val="24"/>
          <w:szCs w:val="24"/>
          <w:lang w:eastAsia="lv-LV"/>
        </w:rPr>
        <w:t xml:space="preserve">liela nozīme ir tam, ka </w:t>
      </w:r>
      <w:r w:rsidR="001A4CCE" w:rsidRPr="00C60CA7">
        <w:rPr>
          <w:rFonts w:ascii="Times New Roman" w:eastAsia="Times New Roman" w:hAnsi="Times New Roman" w:cs="Times New Roman"/>
          <w:bCs/>
          <w:sz w:val="24"/>
          <w:szCs w:val="24"/>
          <w:lang w:eastAsia="lv-LV"/>
        </w:rPr>
        <w:t xml:space="preserve">ar </w:t>
      </w:r>
      <w:r w:rsidRPr="00C60CA7">
        <w:rPr>
          <w:rFonts w:ascii="Times New Roman" w:eastAsia="Times New Roman" w:hAnsi="Times New Roman" w:cs="Times New Roman"/>
          <w:bCs/>
          <w:sz w:val="24"/>
          <w:szCs w:val="24"/>
          <w:lang w:eastAsia="lv-LV"/>
        </w:rPr>
        <w:t xml:space="preserve">tiešsaistes platformu </w:t>
      </w:r>
      <w:r w:rsidR="00211265" w:rsidRPr="00C60CA7">
        <w:rPr>
          <w:rFonts w:ascii="Times New Roman" w:eastAsia="Times New Roman" w:hAnsi="Times New Roman" w:cs="Times New Roman"/>
          <w:bCs/>
          <w:sz w:val="24"/>
          <w:szCs w:val="24"/>
          <w:lang w:eastAsia="lv-LV"/>
        </w:rPr>
        <w:t xml:space="preserve">starpniecību </w:t>
      </w:r>
      <w:r w:rsidR="001A4CCE" w:rsidRPr="00C60CA7">
        <w:rPr>
          <w:rFonts w:ascii="Times New Roman" w:eastAsia="Times New Roman" w:hAnsi="Times New Roman" w:cs="Times New Roman"/>
          <w:bCs/>
          <w:sz w:val="24"/>
          <w:szCs w:val="24"/>
          <w:lang w:eastAsia="lv-LV"/>
        </w:rPr>
        <w:t>tiek nodrošināta</w:t>
      </w:r>
      <w:r w:rsidRPr="00C60CA7">
        <w:rPr>
          <w:rFonts w:ascii="Times New Roman" w:eastAsia="Times New Roman" w:hAnsi="Times New Roman" w:cs="Times New Roman"/>
          <w:bCs/>
          <w:sz w:val="24"/>
          <w:szCs w:val="24"/>
          <w:lang w:eastAsia="lv-LV"/>
        </w:rPr>
        <w:t xml:space="preserve"> </w:t>
      </w:r>
      <w:r w:rsidR="001A4CCE" w:rsidRPr="00C60CA7">
        <w:rPr>
          <w:rFonts w:ascii="Times New Roman" w:eastAsia="Times New Roman" w:hAnsi="Times New Roman" w:cs="Times New Roman"/>
          <w:bCs/>
          <w:sz w:val="24"/>
          <w:szCs w:val="24"/>
          <w:lang w:eastAsia="lv-LV"/>
        </w:rPr>
        <w:t>datu izsekojamība</w:t>
      </w:r>
      <w:r w:rsidRPr="00C60CA7">
        <w:rPr>
          <w:rFonts w:ascii="Times New Roman" w:eastAsia="Times New Roman" w:hAnsi="Times New Roman" w:cs="Times New Roman"/>
          <w:bCs/>
          <w:sz w:val="24"/>
          <w:szCs w:val="24"/>
          <w:lang w:eastAsia="lv-LV"/>
        </w:rPr>
        <w:t>.</w:t>
      </w:r>
    </w:p>
    <w:p w14:paraId="62560DCF" w14:textId="60C4E8A9" w:rsidR="00D44032" w:rsidRPr="00C60CA7" w:rsidRDefault="00D44032" w:rsidP="007F4968">
      <w:pPr>
        <w:shd w:val="clear" w:color="auto" w:fill="FFFFFF" w:themeFill="background1"/>
        <w:spacing w:after="0" w:line="240" w:lineRule="auto"/>
        <w:ind w:firstLine="709"/>
        <w:jc w:val="both"/>
        <w:rPr>
          <w:rFonts w:ascii="Times New Roman" w:eastAsia="Times New Roman" w:hAnsi="Times New Roman" w:cs="Times New Roman"/>
          <w:sz w:val="24"/>
          <w:szCs w:val="24"/>
          <w:lang w:eastAsia="lv-LV"/>
        </w:rPr>
      </w:pPr>
      <w:r w:rsidRPr="00E16675">
        <w:rPr>
          <w:rFonts w:ascii="Times New Roman" w:eastAsia="Times New Roman" w:hAnsi="Times New Roman" w:cs="Times New Roman"/>
          <w:sz w:val="24"/>
          <w:szCs w:val="24"/>
          <w:lang w:eastAsia="lv-LV"/>
        </w:rPr>
        <w:t>Eiropas Komisija</w:t>
      </w:r>
      <w:r w:rsidR="007F4968" w:rsidRPr="00E16675">
        <w:rPr>
          <w:rFonts w:ascii="Times New Roman" w:eastAsia="Times New Roman" w:hAnsi="Times New Roman" w:cs="Times New Roman"/>
          <w:sz w:val="24"/>
          <w:szCs w:val="24"/>
          <w:lang w:eastAsia="lv-LV"/>
        </w:rPr>
        <w:t xml:space="preserve"> skaidro</w:t>
      </w:r>
      <w:r w:rsidRPr="00E16675">
        <w:rPr>
          <w:rFonts w:ascii="Times New Roman" w:eastAsia="Times New Roman" w:hAnsi="Times New Roman" w:cs="Times New Roman"/>
          <w:sz w:val="24"/>
          <w:szCs w:val="24"/>
          <w:lang w:eastAsia="lv-LV"/>
        </w:rPr>
        <w:t xml:space="preserve">, ka </w:t>
      </w:r>
      <w:r w:rsidR="00C851E3" w:rsidRPr="00E16675">
        <w:rPr>
          <w:rFonts w:ascii="Times New Roman" w:eastAsia="Times New Roman" w:hAnsi="Times New Roman" w:cs="Times New Roman"/>
          <w:sz w:val="24"/>
          <w:szCs w:val="24"/>
          <w:lang w:eastAsia="lv-LV"/>
        </w:rPr>
        <w:t>sadarbības</w:t>
      </w:r>
      <w:r w:rsidRPr="00E16675">
        <w:rPr>
          <w:rFonts w:ascii="Times New Roman" w:eastAsia="Times New Roman" w:hAnsi="Times New Roman" w:cs="Times New Roman"/>
          <w:sz w:val="24"/>
          <w:szCs w:val="24"/>
          <w:lang w:eastAsia="lv-LV"/>
        </w:rPr>
        <w:t xml:space="preserve"> platforma var darboties arī kā attiecīgā pakalpojuma (transporta vai īstermiņa īres) nodrošinātāja</w:t>
      </w:r>
      <w:r w:rsidR="007F4968" w:rsidRPr="00E16675">
        <w:rPr>
          <w:rFonts w:ascii="Times New Roman" w:eastAsia="Times New Roman" w:hAnsi="Times New Roman" w:cs="Times New Roman"/>
          <w:sz w:val="24"/>
          <w:szCs w:val="24"/>
          <w:lang w:eastAsia="lv-LV"/>
        </w:rPr>
        <w:t>, taču</w:t>
      </w:r>
      <w:r w:rsidRPr="00E16675">
        <w:rPr>
          <w:rFonts w:ascii="Times New Roman" w:eastAsia="Times New Roman" w:hAnsi="Times New Roman" w:cs="Times New Roman"/>
          <w:sz w:val="24"/>
          <w:szCs w:val="24"/>
          <w:lang w:eastAsia="lv-LV"/>
        </w:rPr>
        <w:t xml:space="preserve"> </w:t>
      </w:r>
      <w:r w:rsidR="007F4968" w:rsidRPr="00E16675">
        <w:rPr>
          <w:rFonts w:ascii="Times New Roman" w:eastAsia="Times New Roman" w:hAnsi="Times New Roman" w:cs="Times New Roman"/>
          <w:sz w:val="24"/>
          <w:szCs w:val="24"/>
          <w:lang w:eastAsia="lv-LV"/>
        </w:rPr>
        <w:t>t</w:t>
      </w:r>
      <w:r w:rsidRPr="00E16675">
        <w:rPr>
          <w:rFonts w:ascii="Times New Roman" w:eastAsia="Times New Roman" w:hAnsi="Times New Roman" w:cs="Times New Roman"/>
          <w:sz w:val="24"/>
          <w:szCs w:val="24"/>
          <w:lang w:eastAsia="lv-LV"/>
        </w:rPr>
        <w:t xml:space="preserve">ādā gadījumā uz </w:t>
      </w:r>
      <w:r w:rsidR="00C851E3" w:rsidRPr="00E16675">
        <w:rPr>
          <w:rFonts w:ascii="Times New Roman" w:eastAsia="Times New Roman" w:hAnsi="Times New Roman" w:cs="Times New Roman"/>
          <w:sz w:val="24"/>
          <w:szCs w:val="24"/>
          <w:lang w:eastAsia="lv-LV"/>
        </w:rPr>
        <w:t xml:space="preserve">sadarbības </w:t>
      </w:r>
      <w:r w:rsidRPr="00E16675">
        <w:rPr>
          <w:rFonts w:ascii="Times New Roman" w:eastAsia="Times New Roman" w:hAnsi="Times New Roman" w:cs="Times New Roman"/>
          <w:sz w:val="24"/>
          <w:szCs w:val="24"/>
          <w:lang w:eastAsia="lv-LV"/>
        </w:rPr>
        <w:t xml:space="preserve">platformām varētu attiecināt attiecīgo nozares regulējumu, tostarp prasības par uzņēmējdarbības atļaujām un licencēšanu, ko parasti piemēro pakalpojumu sniedzējiem. </w:t>
      </w:r>
      <w:r w:rsidRPr="00827C03">
        <w:rPr>
          <w:rFonts w:ascii="Times New Roman" w:eastAsia="Times New Roman" w:hAnsi="Times New Roman" w:cs="Times New Roman"/>
          <w:b/>
          <w:sz w:val="24"/>
          <w:szCs w:val="24"/>
          <w:lang w:eastAsia="lv-LV"/>
        </w:rPr>
        <w:t xml:space="preserve">Galvenās pazīmes, </w:t>
      </w:r>
      <w:r w:rsidR="00F01AC5" w:rsidRPr="00F01AC5">
        <w:rPr>
          <w:rFonts w:ascii="Times New Roman" w:eastAsia="Times New Roman" w:hAnsi="Times New Roman" w:cs="Times New Roman"/>
          <w:b/>
          <w:sz w:val="24"/>
          <w:szCs w:val="24"/>
          <w:lang w:eastAsia="lv-LV"/>
        </w:rPr>
        <w:t xml:space="preserve">kas liecina, ka </w:t>
      </w:r>
      <w:r w:rsidR="00F01AC5" w:rsidRPr="00F01AC5">
        <w:rPr>
          <w:rFonts w:ascii="Times New Roman" w:eastAsia="Times New Roman" w:hAnsi="Times New Roman" w:cs="Times New Roman"/>
          <w:b/>
          <w:bCs/>
          <w:sz w:val="24"/>
          <w:szCs w:val="24"/>
          <w:lang w:eastAsia="lv-LV"/>
        </w:rPr>
        <w:t xml:space="preserve">platforma iesaistās pakalpojuma sniegšanā </w:t>
      </w:r>
      <w:r w:rsidR="00F01AC5">
        <w:rPr>
          <w:rFonts w:ascii="Times New Roman" w:eastAsia="Times New Roman" w:hAnsi="Times New Roman" w:cs="Times New Roman"/>
          <w:b/>
          <w:bCs/>
          <w:sz w:val="24"/>
          <w:szCs w:val="24"/>
          <w:lang w:eastAsia="lv-LV"/>
        </w:rPr>
        <w:t xml:space="preserve">un attiecīgi </w:t>
      </w:r>
      <w:r w:rsidR="00F01AC5">
        <w:rPr>
          <w:rFonts w:ascii="Times New Roman" w:eastAsia="Times New Roman" w:hAnsi="Times New Roman" w:cs="Times New Roman"/>
          <w:b/>
          <w:sz w:val="24"/>
          <w:szCs w:val="24"/>
          <w:lang w:eastAsia="lv-LV"/>
        </w:rPr>
        <w:t>platformai var</w:t>
      </w:r>
      <w:r w:rsidR="00F01AC5" w:rsidRPr="00827C03">
        <w:rPr>
          <w:rFonts w:ascii="Times New Roman" w:eastAsia="Times New Roman" w:hAnsi="Times New Roman" w:cs="Times New Roman"/>
          <w:b/>
          <w:sz w:val="24"/>
          <w:szCs w:val="24"/>
          <w:lang w:eastAsia="lv-LV"/>
        </w:rPr>
        <w:t xml:space="preserve"> </w:t>
      </w:r>
      <w:r w:rsidRPr="00827C03">
        <w:rPr>
          <w:rFonts w:ascii="Times New Roman" w:eastAsia="Times New Roman" w:hAnsi="Times New Roman" w:cs="Times New Roman"/>
          <w:b/>
          <w:sz w:val="24"/>
          <w:szCs w:val="24"/>
          <w:lang w:eastAsia="lv-LV"/>
        </w:rPr>
        <w:t xml:space="preserve">attiecināt nozares pakalpojumu regulējumu ir šādas: </w:t>
      </w:r>
      <w:r w:rsidR="00C851E3" w:rsidRPr="00827C03">
        <w:rPr>
          <w:rFonts w:ascii="Times New Roman" w:eastAsia="Times New Roman" w:hAnsi="Times New Roman" w:cs="Times New Roman"/>
          <w:b/>
          <w:sz w:val="24"/>
          <w:szCs w:val="24"/>
          <w:lang w:eastAsia="lv-LV"/>
        </w:rPr>
        <w:t xml:space="preserve">sadarbības </w:t>
      </w:r>
      <w:r w:rsidRPr="00827C03">
        <w:rPr>
          <w:rFonts w:ascii="Times New Roman" w:eastAsia="Times New Roman" w:hAnsi="Times New Roman" w:cs="Times New Roman"/>
          <w:b/>
          <w:sz w:val="24"/>
          <w:szCs w:val="24"/>
          <w:lang w:eastAsia="lv-LV"/>
        </w:rPr>
        <w:t xml:space="preserve">platforma nosaka gala cenu, obligātus nosacījumus, pēc kādiem pakalpojums sniedzams, un </w:t>
      </w:r>
      <w:r w:rsidR="00C851E3" w:rsidRPr="00827C03">
        <w:rPr>
          <w:rFonts w:ascii="Times New Roman" w:eastAsia="Times New Roman" w:hAnsi="Times New Roman" w:cs="Times New Roman"/>
          <w:b/>
          <w:sz w:val="24"/>
          <w:szCs w:val="24"/>
          <w:lang w:eastAsia="lv-LV"/>
        </w:rPr>
        <w:t xml:space="preserve">sadarbības </w:t>
      </w:r>
      <w:r w:rsidRPr="00827C03">
        <w:rPr>
          <w:rFonts w:ascii="Times New Roman" w:eastAsia="Times New Roman" w:hAnsi="Times New Roman" w:cs="Times New Roman"/>
          <w:b/>
          <w:sz w:val="24"/>
          <w:szCs w:val="24"/>
          <w:lang w:eastAsia="lv-LV"/>
        </w:rPr>
        <w:t xml:space="preserve">platformai pieder </w:t>
      </w:r>
      <w:proofErr w:type="spellStart"/>
      <w:r w:rsidRPr="00827C03">
        <w:rPr>
          <w:rFonts w:ascii="Times New Roman" w:eastAsia="Times New Roman" w:hAnsi="Times New Roman" w:cs="Times New Roman"/>
          <w:b/>
          <w:sz w:val="24"/>
          <w:szCs w:val="24"/>
          <w:lang w:eastAsia="lv-LV"/>
        </w:rPr>
        <w:t>pamataktīvi</w:t>
      </w:r>
      <w:proofErr w:type="spellEnd"/>
      <w:r w:rsidRPr="00827C03">
        <w:rPr>
          <w:rFonts w:ascii="Times New Roman" w:eastAsia="Times New Roman" w:hAnsi="Times New Roman" w:cs="Times New Roman"/>
          <w:b/>
          <w:sz w:val="24"/>
          <w:szCs w:val="24"/>
          <w:lang w:eastAsia="lv-LV"/>
        </w:rPr>
        <w:t>, ar kuriem nodrošina pakalpojumu</w:t>
      </w:r>
      <w:r w:rsidRPr="00E16675">
        <w:rPr>
          <w:rFonts w:ascii="Times New Roman" w:eastAsia="Times New Roman" w:hAnsi="Times New Roman" w:cs="Times New Roman"/>
          <w:sz w:val="24"/>
          <w:szCs w:val="24"/>
          <w:lang w:eastAsia="lv-LV"/>
        </w:rPr>
        <w:t xml:space="preserve">. Vienlaikus norādīts, ka šīm prasībām jābūt nediskriminējošām un samērīgām. Eiropas Komisija </w:t>
      </w:r>
      <w:r w:rsidR="007F4968" w:rsidRPr="00E16675">
        <w:rPr>
          <w:rFonts w:ascii="Times New Roman" w:eastAsia="Times New Roman" w:hAnsi="Times New Roman" w:cs="Times New Roman"/>
          <w:sz w:val="24"/>
          <w:szCs w:val="24"/>
          <w:lang w:eastAsia="lv-LV"/>
        </w:rPr>
        <w:lastRenderedPageBreak/>
        <w:t xml:space="preserve">ieskatā ar </w:t>
      </w:r>
      <w:r w:rsidR="009D695D" w:rsidRPr="00E16675">
        <w:rPr>
          <w:rFonts w:ascii="Times New Roman" w:eastAsia="Times New Roman" w:hAnsi="Times New Roman" w:cs="Times New Roman"/>
          <w:sz w:val="24"/>
          <w:szCs w:val="24"/>
          <w:lang w:eastAsia="lv-LV"/>
        </w:rPr>
        <w:t xml:space="preserve">pievienotās vērtības nodokli </w:t>
      </w:r>
      <w:r w:rsidRPr="00E16675">
        <w:rPr>
          <w:rFonts w:ascii="Times New Roman" w:eastAsia="Times New Roman" w:hAnsi="Times New Roman" w:cs="Times New Roman"/>
          <w:sz w:val="24"/>
          <w:szCs w:val="24"/>
          <w:lang w:eastAsia="lv-LV"/>
        </w:rPr>
        <w:t xml:space="preserve">reglamentējošie normatīvie akti ir attiecināmi arī uz </w:t>
      </w:r>
      <w:r w:rsidR="00C851E3" w:rsidRPr="00E16675">
        <w:rPr>
          <w:rFonts w:ascii="Times New Roman" w:eastAsia="Times New Roman" w:hAnsi="Times New Roman" w:cs="Times New Roman"/>
          <w:sz w:val="24"/>
          <w:szCs w:val="24"/>
          <w:lang w:eastAsia="lv-LV"/>
        </w:rPr>
        <w:t xml:space="preserve">sadarbības </w:t>
      </w:r>
      <w:r w:rsidRPr="00E16675">
        <w:rPr>
          <w:rFonts w:ascii="Times New Roman" w:eastAsia="Times New Roman" w:hAnsi="Times New Roman" w:cs="Times New Roman"/>
          <w:sz w:val="24"/>
          <w:szCs w:val="24"/>
          <w:lang w:eastAsia="lv-LV"/>
        </w:rPr>
        <w:t>platformām un to sniegtajiem pakalpojumiem, turklāt ļoti būtiska ir nodokļu nomaksa.</w:t>
      </w:r>
      <w:r w:rsidRPr="00E16675">
        <w:rPr>
          <w:rStyle w:val="FootnoteReference"/>
          <w:rFonts w:ascii="Times New Roman" w:eastAsia="Times New Roman" w:hAnsi="Times New Roman" w:cs="Times New Roman"/>
          <w:sz w:val="24"/>
          <w:szCs w:val="24"/>
          <w:lang w:eastAsia="lv-LV"/>
        </w:rPr>
        <w:footnoteReference w:id="13"/>
      </w:r>
    </w:p>
    <w:p w14:paraId="13D52A46" w14:textId="3CE544FA" w:rsidR="00313C98" w:rsidRPr="00C60CA7" w:rsidRDefault="00313C98" w:rsidP="00D44032">
      <w:pPr>
        <w:spacing w:after="0" w:line="240" w:lineRule="auto"/>
        <w:ind w:firstLine="709"/>
        <w:jc w:val="both"/>
        <w:rPr>
          <w:rFonts w:ascii="Times New Roman" w:eastAsia="Times New Roman" w:hAnsi="Times New Roman" w:cs="Times New Roman"/>
          <w:sz w:val="24"/>
          <w:szCs w:val="24"/>
          <w:lang w:eastAsia="lv-LV"/>
        </w:rPr>
      </w:pPr>
      <w:r w:rsidRPr="00C60CA7">
        <w:rPr>
          <w:rFonts w:ascii="Times New Roman" w:eastAsia="Times New Roman" w:hAnsi="Times New Roman" w:cs="Times New Roman"/>
          <w:sz w:val="24"/>
          <w:szCs w:val="24"/>
          <w:lang w:eastAsia="lv-LV"/>
        </w:rPr>
        <w:t xml:space="preserve">Eiropas Komisija uzsver, ka </w:t>
      </w:r>
      <w:r w:rsidRPr="00CF273E">
        <w:rPr>
          <w:rFonts w:ascii="Times New Roman" w:eastAsia="Times New Roman" w:hAnsi="Times New Roman" w:cs="Times New Roman"/>
          <w:b/>
          <w:sz w:val="24"/>
          <w:szCs w:val="24"/>
          <w:lang w:eastAsia="lv-LV"/>
        </w:rPr>
        <w:t>dalībvalstīm nav ieteicams izstrādāt</w:t>
      </w:r>
      <w:r w:rsidR="00AE167C" w:rsidRPr="00CF273E">
        <w:rPr>
          <w:rFonts w:ascii="Times New Roman" w:eastAsia="Times New Roman" w:hAnsi="Times New Roman" w:cs="Times New Roman"/>
          <w:b/>
          <w:sz w:val="24"/>
          <w:szCs w:val="24"/>
          <w:lang w:eastAsia="lv-LV"/>
        </w:rPr>
        <w:t xml:space="preserve"> vienu kopīgu normatīvo aktu, kas reglamentēs pilnīgi</w:t>
      </w:r>
      <w:r w:rsidRPr="00CF273E">
        <w:rPr>
          <w:rFonts w:ascii="Times New Roman" w:eastAsia="Times New Roman" w:hAnsi="Times New Roman" w:cs="Times New Roman"/>
          <w:b/>
          <w:sz w:val="24"/>
          <w:szCs w:val="24"/>
          <w:lang w:eastAsia="lv-LV"/>
        </w:rPr>
        <w:t xml:space="preserve"> visas sadarbības ekonomikas</w:t>
      </w:r>
      <w:r w:rsidR="00F03AE2" w:rsidRPr="00CF273E">
        <w:rPr>
          <w:rFonts w:ascii="Times New Roman" w:eastAsia="Times New Roman" w:hAnsi="Times New Roman" w:cs="Times New Roman"/>
          <w:b/>
          <w:sz w:val="24"/>
          <w:szCs w:val="24"/>
          <w:lang w:eastAsia="lv-LV"/>
        </w:rPr>
        <w:t xml:space="preserve"> jomas</w:t>
      </w:r>
      <w:r w:rsidRPr="00CF273E">
        <w:rPr>
          <w:rFonts w:ascii="Times New Roman" w:eastAsia="Times New Roman" w:hAnsi="Times New Roman" w:cs="Times New Roman"/>
          <w:b/>
          <w:sz w:val="24"/>
          <w:szCs w:val="24"/>
          <w:lang w:eastAsia="lv-LV"/>
        </w:rPr>
        <w:t>, bet izvērtēt katru sektoru</w:t>
      </w:r>
      <w:r w:rsidR="00DF6482" w:rsidRPr="00CF273E">
        <w:rPr>
          <w:rFonts w:ascii="Times New Roman" w:eastAsia="Times New Roman" w:hAnsi="Times New Roman" w:cs="Times New Roman"/>
          <w:b/>
          <w:sz w:val="24"/>
          <w:szCs w:val="24"/>
          <w:lang w:eastAsia="lv-LV"/>
        </w:rPr>
        <w:t xml:space="preserve"> atsevišķi</w:t>
      </w:r>
      <w:r w:rsidR="00F03AE2" w:rsidRPr="00C60CA7">
        <w:rPr>
          <w:rFonts w:ascii="Times New Roman" w:eastAsia="Times New Roman" w:hAnsi="Times New Roman" w:cs="Times New Roman"/>
          <w:sz w:val="24"/>
          <w:szCs w:val="24"/>
          <w:lang w:eastAsia="lv-LV"/>
        </w:rPr>
        <w:t>.</w:t>
      </w:r>
    </w:p>
    <w:p w14:paraId="6432879B" w14:textId="2B3883C1" w:rsidR="002548C2" w:rsidRPr="00C50AD8" w:rsidRDefault="002548C2" w:rsidP="001A4CCE">
      <w:pPr>
        <w:spacing w:after="0" w:line="240" w:lineRule="auto"/>
        <w:jc w:val="both"/>
        <w:rPr>
          <w:rFonts w:ascii="Times New Roman" w:eastAsia="Times New Roman" w:hAnsi="Times New Roman" w:cs="Times New Roman"/>
          <w:bCs/>
          <w:sz w:val="28"/>
          <w:szCs w:val="28"/>
          <w:lang w:eastAsia="lv-LV"/>
        </w:rPr>
      </w:pPr>
    </w:p>
    <w:p w14:paraId="2C3940C3" w14:textId="57536F75" w:rsidR="004079E4" w:rsidRPr="00E16675" w:rsidRDefault="004079E4" w:rsidP="00B220F9">
      <w:pPr>
        <w:spacing w:after="0" w:line="240" w:lineRule="auto"/>
        <w:jc w:val="center"/>
        <w:rPr>
          <w:rFonts w:ascii="Times New Roman" w:eastAsia="Times New Roman" w:hAnsi="Times New Roman" w:cs="Times New Roman"/>
          <w:b/>
          <w:sz w:val="24"/>
          <w:szCs w:val="24"/>
          <w:lang w:eastAsia="lv-LV"/>
        </w:rPr>
      </w:pPr>
      <w:r w:rsidRPr="00E16675">
        <w:rPr>
          <w:rFonts w:ascii="Times New Roman" w:eastAsia="Times New Roman" w:hAnsi="Times New Roman" w:cs="Times New Roman"/>
          <w:b/>
          <w:sz w:val="24"/>
          <w:szCs w:val="24"/>
          <w:lang w:eastAsia="lv-LV"/>
        </w:rPr>
        <w:t>2.</w:t>
      </w:r>
      <w:r w:rsidR="00062ED9" w:rsidRPr="00E16675">
        <w:rPr>
          <w:rFonts w:ascii="Times New Roman" w:eastAsia="Times New Roman" w:hAnsi="Times New Roman" w:cs="Times New Roman"/>
          <w:b/>
          <w:sz w:val="24"/>
          <w:szCs w:val="24"/>
          <w:lang w:eastAsia="lv-LV"/>
        </w:rPr>
        <w:t>3</w:t>
      </w:r>
      <w:r w:rsidRPr="00E16675">
        <w:rPr>
          <w:rFonts w:ascii="Times New Roman" w:eastAsia="Times New Roman" w:hAnsi="Times New Roman" w:cs="Times New Roman"/>
          <w:b/>
          <w:sz w:val="24"/>
          <w:szCs w:val="24"/>
          <w:lang w:eastAsia="lv-LV"/>
        </w:rPr>
        <w:t>. Citu valstu pieredze sadarbības ekonomikas ieviešanā</w:t>
      </w:r>
    </w:p>
    <w:p w14:paraId="2B763A54" w14:textId="77777777" w:rsidR="004079E4" w:rsidRPr="00E16675" w:rsidRDefault="004079E4" w:rsidP="00B220F9">
      <w:pPr>
        <w:spacing w:after="0" w:line="240" w:lineRule="auto"/>
        <w:jc w:val="center"/>
        <w:rPr>
          <w:rFonts w:ascii="Times New Roman" w:eastAsia="Times New Roman" w:hAnsi="Times New Roman" w:cs="Times New Roman"/>
          <w:sz w:val="24"/>
          <w:szCs w:val="24"/>
          <w:highlight w:val="yellow"/>
          <w:lang w:eastAsia="lv-LV"/>
        </w:rPr>
      </w:pPr>
    </w:p>
    <w:p w14:paraId="548FC9E0" w14:textId="07FC7C84" w:rsidR="00B220F9" w:rsidRDefault="00E16675" w:rsidP="00E16675">
      <w:pPr>
        <w:spacing w:after="0" w:line="240" w:lineRule="auto"/>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 xml:space="preserve">Francijas </w:t>
      </w:r>
      <w:r w:rsidR="008C1238">
        <w:rPr>
          <w:rFonts w:ascii="Times New Roman" w:eastAsia="Times New Roman" w:hAnsi="Times New Roman" w:cs="Times New Roman"/>
          <w:b/>
          <w:sz w:val="24"/>
          <w:szCs w:val="24"/>
          <w:u w:val="single"/>
          <w:lang w:eastAsia="lv-LV"/>
        </w:rPr>
        <w:t xml:space="preserve">tiesiskais </w:t>
      </w:r>
      <w:r>
        <w:rPr>
          <w:rFonts w:ascii="Times New Roman" w:eastAsia="Times New Roman" w:hAnsi="Times New Roman" w:cs="Times New Roman"/>
          <w:b/>
          <w:sz w:val="24"/>
          <w:szCs w:val="24"/>
          <w:u w:val="single"/>
          <w:lang w:eastAsia="lv-LV"/>
        </w:rPr>
        <w:t xml:space="preserve">regulējums </w:t>
      </w:r>
    </w:p>
    <w:p w14:paraId="5FF65E24" w14:textId="77777777" w:rsidR="00E16675" w:rsidRPr="00E16675" w:rsidRDefault="00E16675" w:rsidP="00E16675">
      <w:pPr>
        <w:spacing w:after="0" w:line="240" w:lineRule="auto"/>
        <w:rPr>
          <w:rFonts w:ascii="Times New Roman" w:eastAsia="Times New Roman" w:hAnsi="Times New Roman" w:cs="Times New Roman"/>
          <w:b/>
          <w:sz w:val="24"/>
          <w:szCs w:val="24"/>
          <w:u w:val="single"/>
          <w:lang w:eastAsia="lv-LV"/>
        </w:rPr>
      </w:pPr>
    </w:p>
    <w:p w14:paraId="45EE7618" w14:textId="5E9D03EC" w:rsidR="003D47A4" w:rsidRPr="00103B95" w:rsidRDefault="00F73648" w:rsidP="003D47A4">
      <w:pPr>
        <w:shd w:val="clear" w:color="auto" w:fill="FFFFFF" w:themeFill="background1"/>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sz w:val="24"/>
          <w:szCs w:val="24"/>
          <w:lang w:eastAsia="lv-LV"/>
        </w:rPr>
        <w:t xml:space="preserve">Vērtējot </w:t>
      </w:r>
      <w:r w:rsidR="004079E4" w:rsidRPr="00103B95">
        <w:rPr>
          <w:rFonts w:ascii="Times New Roman" w:eastAsia="Times New Roman" w:hAnsi="Times New Roman" w:cs="Times New Roman"/>
          <w:sz w:val="24"/>
          <w:szCs w:val="24"/>
          <w:lang w:eastAsia="lv-LV"/>
        </w:rPr>
        <w:t>Francijas</w:t>
      </w:r>
      <w:r w:rsidRPr="00103B95">
        <w:rPr>
          <w:rFonts w:ascii="Times New Roman" w:eastAsia="Times New Roman" w:hAnsi="Times New Roman" w:cs="Times New Roman"/>
          <w:sz w:val="24"/>
          <w:szCs w:val="24"/>
          <w:lang w:eastAsia="lv-LV"/>
        </w:rPr>
        <w:t xml:space="preserve"> sadarbības ekonomikas ti</w:t>
      </w:r>
      <w:r w:rsidR="003D47A4">
        <w:rPr>
          <w:rFonts w:ascii="Times New Roman" w:eastAsia="Times New Roman" w:hAnsi="Times New Roman" w:cs="Times New Roman"/>
          <w:sz w:val="24"/>
          <w:szCs w:val="24"/>
          <w:lang w:eastAsia="lv-LV"/>
        </w:rPr>
        <w:t xml:space="preserve">esisko regulējumu jāsecina, ka </w:t>
      </w:r>
      <w:r w:rsidR="003D47A4" w:rsidRPr="003D47A4">
        <w:rPr>
          <w:rFonts w:ascii="Times New Roman" w:eastAsia="Times New Roman" w:hAnsi="Times New Roman" w:cs="Times New Roman"/>
          <w:b/>
          <w:sz w:val="24"/>
          <w:szCs w:val="24"/>
          <w:lang w:eastAsia="lv-LV"/>
        </w:rPr>
        <w:t>Francijas regulējums ir demokrātisks</w:t>
      </w:r>
      <w:r w:rsidR="003D47A4">
        <w:rPr>
          <w:rFonts w:ascii="Times New Roman" w:eastAsia="Times New Roman" w:hAnsi="Times New Roman" w:cs="Times New Roman"/>
          <w:sz w:val="24"/>
          <w:szCs w:val="24"/>
          <w:lang w:eastAsia="lv-LV"/>
        </w:rPr>
        <w:t xml:space="preserve">, </w:t>
      </w:r>
      <w:r w:rsidR="00103B95" w:rsidRPr="00103B95">
        <w:rPr>
          <w:rFonts w:ascii="Times New Roman" w:eastAsia="Times New Roman" w:hAnsi="Times New Roman" w:cs="Times New Roman"/>
          <w:sz w:val="24"/>
          <w:szCs w:val="24"/>
          <w:lang w:eastAsia="lv-LV"/>
        </w:rPr>
        <w:t xml:space="preserve">nav īpašu noteikumu attiecībā uz viesu izmitināšanas pakalpojumiem sadarbības ekonomikā, tomēr pašreizējais īstermiņa īres apjoms ir radījis apstākļus, kuru rezultātā lielās pilsētas ir izvēlējušās regulēt izmitināšanas pakalpojumus. Un otrādi, </w:t>
      </w:r>
      <w:r w:rsidR="00103B95" w:rsidRPr="003D47A4">
        <w:rPr>
          <w:rFonts w:ascii="Times New Roman" w:eastAsia="Times New Roman" w:hAnsi="Times New Roman" w:cs="Times New Roman"/>
          <w:b/>
          <w:sz w:val="24"/>
          <w:szCs w:val="24"/>
          <w:lang w:eastAsia="lv-LV"/>
        </w:rPr>
        <w:t>finanšu un transporta nozares ir</w:t>
      </w:r>
      <w:r w:rsidR="00103B95" w:rsidRPr="00103B95">
        <w:rPr>
          <w:rFonts w:ascii="Times New Roman" w:eastAsia="Times New Roman" w:hAnsi="Times New Roman" w:cs="Times New Roman"/>
          <w:sz w:val="24"/>
          <w:szCs w:val="24"/>
          <w:lang w:eastAsia="lv-LV"/>
        </w:rPr>
        <w:t xml:space="preserve"> definētas un </w:t>
      </w:r>
      <w:r w:rsidR="00103B95" w:rsidRPr="003D47A4">
        <w:rPr>
          <w:rFonts w:ascii="Times New Roman" w:eastAsia="Times New Roman" w:hAnsi="Times New Roman" w:cs="Times New Roman"/>
          <w:b/>
          <w:sz w:val="24"/>
          <w:szCs w:val="24"/>
          <w:lang w:eastAsia="lv-LV"/>
        </w:rPr>
        <w:t>labi reglamentētas</w:t>
      </w:r>
      <w:r w:rsidR="00103B95" w:rsidRPr="00103B95">
        <w:rPr>
          <w:rFonts w:ascii="Times New Roman" w:eastAsia="Times New Roman" w:hAnsi="Times New Roman" w:cs="Times New Roman"/>
          <w:sz w:val="24"/>
          <w:szCs w:val="24"/>
          <w:lang w:eastAsia="lv-LV"/>
        </w:rPr>
        <w:t xml:space="preserve"> saistībā ar sadarbības ekonomiku, </w:t>
      </w:r>
      <w:r w:rsidR="00103B95" w:rsidRPr="003D47A4">
        <w:rPr>
          <w:rFonts w:ascii="Times New Roman" w:eastAsia="Times New Roman" w:hAnsi="Times New Roman" w:cs="Times New Roman"/>
          <w:b/>
          <w:sz w:val="24"/>
          <w:szCs w:val="24"/>
          <w:lang w:eastAsia="lv-LV"/>
        </w:rPr>
        <w:t>kas padara vieglu piekļuvi platformām un ļauj fiziskām personām vienkārši iesaistīties sadarbības ekonomikā</w:t>
      </w:r>
      <w:r w:rsidR="00103B95" w:rsidRPr="00103B95">
        <w:rPr>
          <w:rFonts w:ascii="Times New Roman" w:eastAsia="Times New Roman" w:hAnsi="Times New Roman" w:cs="Times New Roman"/>
          <w:sz w:val="24"/>
          <w:szCs w:val="24"/>
          <w:lang w:eastAsia="lv-LV"/>
        </w:rPr>
        <w:t>.</w:t>
      </w:r>
    </w:p>
    <w:p w14:paraId="705B2DFF" w14:textId="65F91424" w:rsidR="00B128DD" w:rsidRPr="00103B95" w:rsidRDefault="00843AD6" w:rsidP="00B128DD">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lv-LV"/>
        </w:rPr>
      </w:pPr>
      <w:r w:rsidRPr="00103B95">
        <w:rPr>
          <w:rFonts w:ascii="Times New Roman" w:eastAsia="Times New Roman" w:hAnsi="Times New Roman" w:cs="Times New Roman"/>
          <w:sz w:val="24"/>
          <w:szCs w:val="24"/>
          <w:lang w:eastAsia="lv-LV"/>
        </w:rPr>
        <w:t xml:space="preserve">Vērtējot transporta sektora </w:t>
      </w:r>
      <w:r w:rsidR="00F73648" w:rsidRPr="00103B95">
        <w:rPr>
          <w:rFonts w:ascii="Times New Roman" w:eastAsia="Times New Roman" w:hAnsi="Times New Roman" w:cs="Times New Roman"/>
          <w:sz w:val="24"/>
          <w:szCs w:val="24"/>
          <w:lang w:eastAsia="lv-LV"/>
        </w:rPr>
        <w:t xml:space="preserve">tiesiskā </w:t>
      </w:r>
      <w:r w:rsidRPr="00103B95">
        <w:rPr>
          <w:rFonts w:ascii="Times New Roman" w:eastAsia="Times New Roman" w:hAnsi="Times New Roman" w:cs="Times New Roman"/>
          <w:sz w:val="24"/>
          <w:szCs w:val="24"/>
          <w:lang w:eastAsia="lv-LV"/>
        </w:rPr>
        <w:t>regulējum</w:t>
      </w:r>
      <w:r w:rsidR="00F73648" w:rsidRPr="00103B95">
        <w:rPr>
          <w:rFonts w:ascii="Times New Roman" w:eastAsia="Times New Roman" w:hAnsi="Times New Roman" w:cs="Times New Roman"/>
          <w:sz w:val="24"/>
          <w:szCs w:val="24"/>
          <w:lang w:eastAsia="lv-LV"/>
        </w:rPr>
        <w:t>a piemērotību sadarbības ekonomikai</w:t>
      </w:r>
      <w:r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Francija</w:t>
      </w:r>
      <w:r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novērtēta 6.</w:t>
      </w:r>
      <w:r w:rsidR="00D10E28" w:rsidRPr="00103B95">
        <w:rPr>
          <w:rFonts w:ascii="Times New Roman" w:eastAsia="Times New Roman" w:hAnsi="Times New Roman" w:cs="Times New Roman"/>
          <w:sz w:val="24"/>
          <w:szCs w:val="24"/>
          <w:lang w:eastAsia="lv-LV"/>
        </w:rPr>
        <w:t> </w:t>
      </w:r>
      <w:r w:rsidR="004079E4" w:rsidRPr="00103B95">
        <w:rPr>
          <w:rFonts w:ascii="Times New Roman" w:eastAsia="Times New Roman" w:hAnsi="Times New Roman" w:cs="Times New Roman"/>
          <w:sz w:val="24"/>
          <w:szCs w:val="24"/>
          <w:lang w:eastAsia="lv-LV"/>
        </w:rPr>
        <w:t xml:space="preserve">vietā no 28 ES valstīm, jo </w:t>
      </w:r>
      <w:r w:rsidRPr="00103B95">
        <w:rPr>
          <w:rFonts w:ascii="Times New Roman" w:eastAsia="Times New Roman" w:hAnsi="Times New Roman" w:cs="Times New Roman"/>
          <w:sz w:val="24"/>
          <w:szCs w:val="24"/>
          <w:lang w:eastAsia="lv-LV"/>
        </w:rPr>
        <w:t xml:space="preserve">tiesiskais regulējums </w:t>
      </w:r>
      <w:r w:rsidR="00B128DD" w:rsidRPr="00103B95">
        <w:rPr>
          <w:rFonts w:ascii="Times New Roman" w:eastAsia="Times New Roman" w:hAnsi="Times New Roman" w:cs="Times New Roman"/>
          <w:sz w:val="24"/>
          <w:szCs w:val="24"/>
          <w:lang w:eastAsia="lv-LV"/>
        </w:rPr>
        <w:t xml:space="preserve">ir īpaši draudzīgs </w:t>
      </w:r>
      <w:r w:rsidR="004079E4" w:rsidRPr="00103B95">
        <w:rPr>
          <w:rFonts w:ascii="Times New Roman" w:eastAsia="Times New Roman" w:hAnsi="Times New Roman" w:cs="Times New Roman"/>
          <w:sz w:val="24"/>
          <w:szCs w:val="24"/>
          <w:lang w:eastAsia="lv-LV"/>
        </w:rPr>
        <w:t>automašīnu koplietošanai un koplietošanas braucieniem</w:t>
      </w:r>
      <w:r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nav nepieciešama</w:t>
      </w:r>
      <w:r w:rsidRPr="00103B95">
        <w:rPr>
          <w:rFonts w:ascii="Times New Roman" w:eastAsia="Times New Roman" w:hAnsi="Times New Roman" w:cs="Times New Roman"/>
          <w:sz w:val="24"/>
          <w:szCs w:val="24"/>
          <w:lang w:eastAsia="lv-LV"/>
        </w:rPr>
        <w:t>s</w:t>
      </w:r>
      <w:r w:rsidR="004079E4" w:rsidRPr="00103B95">
        <w:rPr>
          <w:rFonts w:ascii="Times New Roman" w:eastAsia="Times New Roman" w:hAnsi="Times New Roman" w:cs="Times New Roman"/>
          <w:sz w:val="24"/>
          <w:szCs w:val="24"/>
          <w:lang w:eastAsia="lv-LV"/>
        </w:rPr>
        <w:t xml:space="preserve"> atļauja</w:t>
      </w:r>
      <w:r w:rsidRPr="00103B95">
        <w:rPr>
          <w:rFonts w:ascii="Times New Roman" w:eastAsia="Times New Roman" w:hAnsi="Times New Roman" w:cs="Times New Roman"/>
          <w:sz w:val="24"/>
          <w:szCs w:val="24"/>
          <w:lang w:eastAsia="lv-LV"/>
        </w:rPr>
        <w:t>s</w:t>
      </w:r>
      <w:r w:rsidR="004079E4" w:rsidRPr="00103B95">
        <w:rPr>
          <w:rFonts w:ascii="Times New Roman" w:eastAsia="Times New Roman" w:hAnsi="Times New Roman" w:cs="Times New Roman"/>
          <w:sz w:val="24"/>
          <w:szCs w:val="24"/>
          <w:lang w:eastAsia="lv-LV"/>
        </w:rPr>
        <w:t xml:space="preserve"> vai profesionāla</w:t>
      </w:r>
      <w:r w:rsidRPr="00103B95">
        <w:rPr>
          <w:rFonts w:ascii="Times New Roman" w:eastAsia="Times New Roman" w:hAnsi="Times New Roman" w:cs="Times New Roman"/>
          <w:sz w:val="24"/>
          <w:szCs w:val="24"/>
          <w:lang w:eastAsia="lv-LV"/>
        </w:rPr>
        <w:t>s</w:t>
      </w:r>
      <w:r w:rsidR="004079E4" w:rsidRPr="00103B95">
        <w:rPr>
          <w:rFonts w:ascii="Times New Roman" w:eastAsia="Times New Roman" w:hAnsi="Times New Roman" w:cs="Times New Roman"/>
          <w:sz w:val="24"/>
          <w:szCs w:val="24"/>
          <w:lang w:eastAsia="lv-LV"/>
        </w:rPr>
        <w:t xml:space="preserve"> licence</w:t>
      </w:r>
      <w:r w:rsidRPr="00103B95">
        <w:rPr>
          <w:rFonts w:ascii="Times New Roman" w:eastAsia="Times New Roman" w:hAnsi="Times New Roman" w:cs="Times New Roman"/>
          <w:sz w:val="24"/>
          <w:szCs w:val="24"/>
          <w:lang w:eastAsia="lv-LV"/>
        </w:rPr>
        <w:t>s</w:t>
      </w:r>
      <w:r w:rsidR="004079E4" w:rsidRPr="00103B95">
        <w:rPr>
          <w:rFonts w:ascii="Times New Roman" w:eastAsia="Times New Roman" w:hAnsi="Times New Roman" w:cs="Times New Roman"/>
          <w:sz w:val="24"/>
          <w:szCs w:val="24"/>
          <w:lang w:eastAsia="lv-LV"/>
        </w:rPr>
        <w:t>.</w:t>
      </w:r>
      <w:r w:rsidR="00B128DD"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 xml:space="preserve">Francijas transporta kodeksā </w:t>
      </w:r>
      <w:r w:rsidR="00375DB0" w:rsidRPr="00103B95">
        <w:rPr>
          <w:rFonts w:ascii="Times New Roman" w:eastAsia="Times New Roman" w:hAnsi="Times New Roman" w:cs="Times New Roman"/>
          <w:bCs/>
          <w:sz w:val="24"/>
          <w:szCs w:val="24"/>
          <w:lang w:eastAsia="lv-LV"/>
        </w:rPr>
        <w:t xml:space="preserve">fizisko personu </w:t>
      </w:r>
      <w:r w:rsidR="004079E4" w:rsidRPr="00103B95">
        <w:rPr>
          <w:rFonts w:ascii="Times New Roman" w:eastAsia="Times New Roman" w:hAnsi="Times New Roman" w:cs="Times New Roman"/>
          <w:sz w:val="24"/>
          <w:szCs w:val="24"/>
          <w:lang w:eastAsia="lv-LV"/>
        </w:rPr>
        <w:t>automašīnu koplietošana ir definēta kā "abonēto lietotāju vai lietotāju, kurus atļāvusi transportlīdzekļu vadītāju organizācija vai attiecīgā persona, sauszemes motorizētu transportlīdzekļu vai autotransporta līdzekļu autobāzes koplietošana. Katrs abonents vai pilnvarots lietotājs var piekļūt transportlīdzeklim bez vadītāja izvēlētajā maršrutā uz ierobežotu laiku."</w:t>
      </w:r>
      <w:r w:rsidR="00F73648" w:rsidRPr="00103B95">
        <w:rPr>
          <w:rFonts w:ascii="Times New Roman" w:eastAsia="Times New Roman" w:hAnsi="Times New Roman" w:cs="Times New Roman"/>
          <w:sz w:val="24"/>
          <w:szCs w:val="24"/>
          <w:lang w:eastAsia="lv-LV"/>
        </w:rPr>
        <w:t xml:space="preserve"> Būtiski ir tas, ka </w:t>
      </w:r>
      <w:r w:rsidR="00DF4EBA" w:rsidRPr="00103B95">
        <w:rPr>
          <w:rFonts w:ascii="Times New Roman" w:eastAsia="Times New Roman" w:hAnsi="Times New Roman" w:cs="Times New Roman"/>
          <w:sz w:val="24"/>
          <w:szCs w:val="24"/>
          <w:lang w:eastAsia="lv-LV"/>
        </w:rPr>
        <w:t xml:space="preserve">automašīnu koplietošanas gadījumā </w:t>
      </w:r>
      <w:r w:rsidR="00F73648" w:rsidRPr="00103B95">
        <w:rPr>
          <w:rFonts w:ascii="Times New Roman" w:eastAsia="Times New Roman" w:hAnsi="Times New Roman" w:cs="Times New Roman"/>
          <w:sz w:val="24"/>
          <w:szCs w:val="24"/>
          <w:lang w:eastAsia="lv-LV"/>
        </w:rPr>
        <w:t xml:space="preserve">fiziskām personām kā pakalpojumu sniedzējiem nav nepieciešamas profesionālas licences vai pilnvarojumi, lai pievienotos </w:t>
      </w:r>
      <w:r w:rsidR="004079E4" w:rsidRPr="00103B95">
        <w:rPr>
          <w:rFonts w:ascii="Times New Roman" w:eastAsia="Times New Roman" w:hAnsi="Times New Roman" w:cs="Times New Roman"/>
          <w:sz w:val="24"/>
          <w:szCs w:val="24"/>
          <w:lang w:eastAsia="lv-LV"/>
        </w:rPr>
        <w:t xml:space="preserve">automašīnu koplietošanas </w:t>
      </w:r>
      <w:r w:rsidR="00B128DD" w:rsidRPr="00103B95">
        <w:rPr>
          <w:rFonts w:ascii="Times New Roman" w:eastAsia="Times New Roman" w:hAnsi="Times New Roman" w:cs="Times New Roman"/>
          <w:sz w:val="24"/>
          <w:szCs w:val="24"/>
          <w:lang w:eastAsia="lv-LV"/>
        </w:rPr>
        <w:t>pakalpojumam.</w:t>
      </w:r>
      <w:r w:rsidR="00B128DD" w:rsidRPr="00103B95">
        <w:rPr>
          <w:rFonts w:ascii="Times New Roman" w:eastAsia="Times New Roman" w:hAnsi="Times New Roman" w:cs="Times New Roman"/>
          <w:bCs/>
          <w:sz w:val="24"/>
          <w:szCs w:val="24"/>
          <w:lang w:eastAsia="lv-LV"/>
        </w:rPr>
        <w:t xml:space="preserve"> </w:t>
      </w:r>
    </w:p>
    <w:p w14:paraId="750F577F" w14:textId="6549A479" w:rsidR="004079E4" w:rsidRPr="00103B95" w:rsidRDefault="00B128DD" w:rsidP="00B128DD">
      <w:pPr>
        <w:shd w:val="clear" w:color="auto" w:fill="FFFFFF" w:themeFill="background1"/>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bCs/>
          <w:sz w:val="24"/>
          <w:szCs w:val="24"/>
          <w:lang w:eastAsia="lv-LV"/>
        </w:rPr>
        <w:t xml:space="preserve">Savukārt fizisko </w:t>
      </w:r>
      <w:r w:rsidR="00375DB0" w:rsidRPr="00103B95">
        <w:rPr>
          <w:rFonts w:ascii="Times New Roman" w:eastAsia="Times New Roman" w:hAnsi="Times New Roman" w:cs="Times New Roman"/>
          <w:bCs/>
          <w:sz w:val="24"/>
          <w:szCs w:val="24"/>
          <w:lang w:eastAsia="lv-LV"/>
        </w:rPr>
        <w:t xml:space="preserve">personu </w:t>
      </w:r>
      <w:r w:rsidR="004079E4" w:rsidRPr="00103B95">
        <w:rPr>
          <w:rFonts w:ascii="Times New Roman" w:eastAsia="Times New Roman" w:hAnsi="Times New Roman" w:cs="Times New Roman"/>
          <w:sz w:val="24"/>
          <w:szCs w:val="24"/>
          <w:lang w:eastAsia="lv-LV"/>
        </w:rPr>
        <w:t xml:space="preserve">braucienu koplietošana ir definēta kā "mehāniskā transportlīdzekļa ar vadītāju un vienu vai vairākiem pasažieriem kopīga izmantošana brauciena laikā, ko vadītājs veic savā vārdā, bez atlīdzības, izņemot izmaksu dalīšanu". Francijas Kasācijas tiesa ir paziņojusi, ka </w:t>
      </w:r>
      <w:r w:rsidR="00DF4EBA" w:rsidRPr="00103B95">
        <w:rPr>
          <w:rFonts w:ascii="Times New Roman" w:eastAsia="Times New Roman" w:hAnsi="Times New Roman" w:cs="Times New Roman"/>
          <w:sz w:val="24"/>
          <w:szCs w:val="24"/>
          <w:lang w:eastAsia="lv-LV"/>
        </w:rPr>
        <w:t xml:space="preserve">fizisko personu braucienu koplietošanā </w:t>
      </w:r>
      <w:r w:rsidR="004079E4" w:rsidRPr="00103B95">
        <w:rPr>
          <w:rFonts w:ascii="Times New Roman" w:eastAsia="Times New Roman" w:hAnsi="Times New Roman" w:cs="Times New Roman"/>
          <w:sz w:val="24"/>
          <w:szCs w:val="24"/>
          <w:lang w:eastAsia="lv-LV"/>
        </w:rPr>
        <w:t>nav vajadzīga atļauja vai profesionāla licence, ja koplietošanas pakalpojums ir bez maksas vai pēc izmaksu dalīšanas principa.</w:t>
      </w:r>
    </w:p>
    <w:p w14:paraId="58421FAB" w14:textId="279A825C" w:rsidR="004079E4" w:rsidRPr="00103B95" w:rsidRDefault="003B16AF" w:rsidP="00B128DD">
      <w:pPr>
        <w:shd w:val="clear" w:color="auto" w:fill="FFFFFF" w:themeFill="background1"/>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sz w:val="24"/>
          <w:szCs w:val="24"/>
          <w:lang w:eastAsia="lv-LV"/>
        </w:rPr>
        <w:t xml:space="preserve">Attiecībā uz operatoriem </w:t>
      </w:r>
      <w:r w:rsidR="004079E4" w:rsidRPr="00103B95">
        <w:rPr>
          <w:rFonts w:ascii="Times New Roman" w:eastAsia="Times New Roman" w:hAnsi="Times New Roman" w:cs="Times New Roman"/>
          <w:sz w:val="24"/>
          <w:szCs w:val="24"/>
          <w:lang w:eastAsia="lv-LV"/>
        </w:rPr>
        <w:t xml:space="preserve">(platformām) </w:t>
      </w:r>
      <w:r w:rsidRPr="00103B95">
        <w:rPr>
          <w:rFonts w:ascii="Times New Roman" w:eastAsia="Times New Roman" w:hAnsi="Times New Roman" w:cs="Times New Roman"/>
          <w:sz w:val="24"/>
          <w:szCs w:val="24"/>
          <w:lang w:eastAsia="lv-LV"/>
        </w:rPr>
        <w:t xml:space="preserve">Francijas </w:t>
      </w:r>
      <w:r w:rsidR="00B128DD" w:rsidRPr="00103B95">
        <w:rPr>
          <w:rFonts w:ascii="Times New Roman" w:eastAsia="Times New Roman" w:hAnsi="Times New Roman" w:cs="Times New Roman"/>
          <w:sz w:val="24"/>
          <w:szCs w:val="24"/>
          <w:lang w:eastAsia="lv-LV"/>
        </w:rPr>
        <w:t xml:space="preserve">tiesiskais </w:t>
      </w:r>
      <w:r w:rsidRPr="00103B95">
        <w:rPr>
          <w:rFonts w:ascii="Times New Roman" w:eastAsia="Times New Roman" w:hAnsi="Times New Roman" w:cs="Times New Roman"/>
          <w:sz w:val="24"/>
          <w:szCs w:val="24"/>
          <w:lang w:eastAsia="lv-LV"/>
        </w:rPr>
        <w:t xml:space="preserve">regulējums nosaka, ka </w:t>
      </w:r>
      <w:r w:rsidR="00B128DD" w:rsidRPr="00103B95">
        <w:rPr>
          <w:rFonts w:ascii="Times New Roman" w:eastAsia="Times New Roman" w:hAnsi="Times New Roman" w:cs="Times New Roman"/>
          <w:sz w:val="24"/>
          <w:szCs w:val="24"/>
          <w:lang w:eastAsia="lv-LV"/>
        </w:rPr>
        <w:t xml:space="preserve">tiem </w:t>
      </w:r>
      <w:r w:rsidRPr="00103B95">
        <w:rPr>
          <w:rFonts w:ascii="Times New Roman" w:eastAsia="Times New Roman" w:hAnsi="Times New Roman" w:cs="Times New Roman"/>
          <w:sz w:val="24"/>
          <w:szCs w:val="24"/>
          <w:lang w:eastAsia="lv-LV"/>
        </w:rPr>
        <w:t xml:space="preserve">nepieciešams reģistrēties </w:t>
      </w:r>
      <w:r w:rsidR="004079E4" w:rsidRPr="00103B95">
        <w:rPr>
          <w:rFonts w:ascii="Times New Roman" w:eastAsia="Times New Roman" w:hAnsi="Times New Roman" w:cs="Times New Roman"/>
          <w:sz w:val="24"/>
          <w:szCs w:val="24"/>
          <w:lang w:eastAsia="lv-LV"/>
        </w:rPr>
        <w:t xml:space="preserve">īpašā reģistrā. Tas ietver </w:t>
      </w:r>
      <w:r w:rsidR="00137758">
        <w:rPr>
          <w:rFonts w:ascii="Times New Roman" w:eastAsia="Times New Roman" w:hAnsi="Times New Roman" w:cs="Times New Roman"/>
          <w:sz w:val="24"/>
          <w:szCs w:val="24"/>
          <w:lang w:eastAsia="lv-LV"/>
        </w:rPr>
        <w:t>komersanta</w:t>
      </w:r>
      <w:r w:rsidR="00137758"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reģistrācijas izraksta kopiju</w:t>
      </w:r>
      <w:r w:rsidR="00D10E28" w:rsidRPr="00103B95">
        <w:rPr>
          <w:rFonts w:ascii="Times New Roman" w:eastAsia="Times New Roman" w:hAnsi="Times New Roman" w:cs="Times New Roman"/>
          <w:sz w:val="24"/>
          <w:szCs w:val="24"/>
          <w:lang w:eastAsia="lv-LV"/>
        </w:rPr>
        <w:t>,</w:t>
      </w:r>
      <w:r w:rsidR="004079E4" w:rsidRPr="00103B95">
        <w:rPr>
          <w:rFonts w:ascii="Times New Roman" w:eastAsia="Times New Roman" w:hAnsi="Times New Roman" w:cs="Times New Roman"/>
          <w:sz w:val="24"/>
          <w:szCs w:val="24"/>
          <w:lang w:eastAsia="lv-LV"/>
        </w:rPr>
        <w:t xml:space="preserve"> apdrošināšanas apliecību, kas attiecas uz profesionālo atbildību</w:t>
      </w:r>
      <w:r w:rsidR="00D10E28" w:rsidRPr="00103B95">
        <w:rPr>
          <w:rFonts w:ascii="Times New Roman" w:eastAsia="Times New Roman" w:hAnsi="Times New Roman" w:cs="Times New Roman"/>
          <w:sz w:val="24"/>
          <w:szCs w:val="24"/>
          <w:lang w:eastAsia="lv-LV"/>
        </w:rPr>
        <w:t>,</w:t>
      </w:r>
      <w:r w:rsidR="004079E4" w:rsidRPr="00103B95">
        <w:rPr>
          <w:rFonts w:ascii="Times New Roman" w:eastAsia="Times New Roman" w:hAnsi="Times New Roman" w:cs="Times New Roman"/>
          <w:sz w:val="24"/>
          <w:szCs w:val="24"/>
          <w:lang w:eastAsia="lv-LV"/>
        </w:rPr>
        <w:t xml:space="preserve"> reģistrācijas apliecības kopiju (pelēko karti) katram transportlīdzeklim un vadītājam</w:t>
      </w:r>
      <w:r w:rsidR="00D10E28" w:rsidRPr="00103B95">
        <w:rPr>
          <w:rFonts w:ascii="Times New Roman" w:eastAsia="Times New Roman" w:hAnsi="Times New Roman" w:cs="Times New Roman"/>
          <w:sz w:val="24"/>
          <w:szCs w:val="24"/>
          <w:lang w:eastAsia="lv-LV"/>
        </w:rPr>
        <w:t>,</w:t>
      </w:r>
      <w:r w:rsidR="004079E4" w:rsidRPr="00103B95">
        <w:rPr>
          <w:rFonts w:ascii="Times New Roman" w:eastAsia="Times New Roman" w:hAnsi="Times New Roman" w:cs="Times New Roman"/>
          <w:sz w:val="24"/>
          <w:szCs w:val="24"/>
          <w:lang w:eastAsia="lv-LV"/>
        </w:rPr>
        <w:t xml:space="preserve"> katra autovadītāja profesionālās kartes kopiju, kas iegūta pēc apmācības un eksāmena</w:t>
      </w:r>
      <w:r w:rsidR="00D10E28" w:rsidRPr="00103B95">
        <w:rPr>
          <w:rFonts w:ascii="Times New Roman" w:eastAsia="Times New Roman" w:hAnsi="Times New Roman" w:cs="Times New Roman"/>
          <w:sz w:val="24"/>
          <w:szCs w:val="24"/>
          <w:lang w:eastAsia="lv-LV"/>
        </w:rPr>
        <w:t>,</w:t>
      </w:r>
      <w:r w:rsidR="004079E4" w:rsidRPr="00103B95">
        <w:rPr>
          <w:rFonts w:ascii="Times New Roman" w:eastAsia="Times New Roman" w:hAnsi="Times New Roman" w:cs="Times New Roman"/>
          <w:sz w:val="24"/>
          <w:szCs w:val="24"/>
          <w:lang w:eastAsia="lv-LV"/>
        </w:rPr>
        <w:t xml:space="preserve"> un pierādījumu katra transportlīdzekļa finansiālām iespējām.</w:t>
      </w:r>
      <w:r w:rsidR="00B128DD"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 xml:space="preserve">Līdz ar to neprofesionālie autovadītāji nevar sniegt pārvadājumu pakalpojumus, un pakalpojumu sniedzēji nevar neregulāri sniegt pakalpojumus bez licences. Šo lēmumu nesen apstiprināja Francijas Konstitucionālā tiesa lēmumā par </w:t>
      </w:r>
      <w:proofErr w:type="spellStart"/>
      <w:r w:rsidR="004079E4" w:rsidRPr="00103B95">
        <w:rPr>
          <w:rFonts w:ascii="Times New Roman" w:eastAsia="Times New Roman" w:hAnsi="Times New Roman" w:cs="Times New Roman"/>
          <w:i/>
          <w:sz w:val="24"/>
          <w:szCs w:val="24"/>
          <w:lang w:eastAsia="lv-LV"/>
        </w:rPr>
        <w:t>UberPOP</w:t>
      </w:r>
      <w:proofErr w:type="spellEnd"/>
      <w:r w:rsidR="004079E4" w:rsidRPr="00103B95">
        <w:rPr>
          <w:rFonts w:ascii="Times New Roman" w:eastAsia="Times New Roman" w:hAnsi="Times New Roman" w:cs="Times New Roman"/>
          <w:sz w:val="24"/>
          <w:szCs w:val="24"/>
          <w:lang w:eastAsia="lv-LV"/>
        </w:rPr>
        <w:t xml:space="preserve"> darbību. Šī iemesla dēļ Parīzes pilsētas administrācija ir aizliegusi </w:t>
      </w:r>
      <w:proofErr w:type="spellStart"/>
      <w:r w:rsidR="004079E4" w:rsidRPr="00103B95">
        <w:rPr>
          <w:rFonts w:ascii="Times New Roman" w:eastAsia="Times New Roman" w:hAnsi="Times New Roman" w:cs="Times New Roman"/>
          <w:i/>
          <w:sz w:val="24"/>
          <w:szCs w:val="24"/>
          <w:lang w:eastAsia="lv-LV"/>
        </w:rPr>
        <w:t>UberPOP</w:t>
      </w:r>
      <w:proofErr w:type="spellEnd"/>
      <w:r w:rsidR="004079E4" w:rsidRPr="00103B95">
        <w:rPr>
          <w:rFonts w:ascii="Times New Roman" w:eastAsia="Times New Roman" w:hAnsi="Times New Roman" w:cs="Times New Roman"/>
          <w:sz w:val="24"/>
          <w:szCs w:val="24"/>
          <w:lang w:eastAsia="lv-LV"/>
        </w:rPr>
        <w:t xml:space="preserve">, </w:t>
      </w:r>
      <w:proofErr w:type="spellStart"/>
      <w:r w:rsidR="004079E4" w:rsidRPr="00103B95">
        <w:rPr>
          <w:rFonts w:ascii="Times New Roman" w:eastAsia="Times New Roman" w:hAnsi="Times New Roman" w:cs="Times New Roman"/>
          <w:i/>
          <w:sz w:val="24"/>
          <w:szCs w:val="24"/>
          <w:lang w:eastAsia="lv-LV"/>
        </w:rPr>
        <w:t>Djump</w:t>
      </w:r>
      <w:proofErr w:type="spellEnd"/>
      <w:r w:rsidR="004079E4" w:rsidRPr="00103B95">
        <w:rPr>
          <w:rFonts w:ascii="Times New Roman" w:eastAsia="Times New Roman" w:hAnsi="Times New Roman" w:cs="Times New Roman"/>
          <w:sz w:val="24"/>
          <w:szCs w:val="24"/>
          <w:lang w:eastAsia="lv-LV"/>
        </w:rPr>
        <w:t xml:space="preserve"> un </w:t>
      </w:r>
      <w:proofErr w:type="spellStart"/>
      <w:r w:rsidR="004079E4" w:rsidRPr="00103B95">
        <w:rPr>
          <w:rFonts w:ascii="Times New Roman" w:eastAsia="Times New Roman" w:hAnsi="Times New Roman" w:cs="Times New Roman"/>
          <w:i/>
          <w:sz w:val="24"/>
          <w:szCs w:val="24"/>
          <w:lang w:eastAsia="lv-LV"/>
        </w:rPr>
        <w:t>Heetch</w:t>
      </w:r>
      <w:proofErr w:type="spellEnd"/>
      <w:r w:rsidR="004079E4" w:rsidRPr="00103B95">
        <w:rPr>
          <w:rFonts w:ascii="Times New Roman" w:eastAsia="Times New Roman" w:hAnsi="Times New Roman" w:cs="Times New Roman"/>
          <w:sz w:val="24"/>
          <w:szCs w:val="24"/>
          <w:lang w:eastAsia="lv-LV"/>
        </w:rPr>
        <w:t xml:space="preserve"> braukšanas platformu, kuru autovadītāji nav profesionāļi bez pārvadājumu pakalpojumus licences, darbību.</w:t>
      </w:r>
    </w:p>
    <w:p w14:paraId="6FEB6D20" w14:textId="2EF3F2DE" w:rsidR="004079E4" w:rsidRPr="00103B95" w:rsidRDefault="003B16AF" w:rsidP="003B16AF">
      <w:pPr>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sz w:val="24"/>
          <w:szCs w:val="24"/>
          <w:lang w:eastAsia="lv-LV"/>
        </w:rPr>
        <w:t xml:space="preserve">Vērtējot izmitināšanas pakalpojumu sadarbības ekonomikas tiesisko regulējumu </w:t>
      </w:r>
      <w:r w:rsidR="004079E4" w:rsidRPr="00103B95">
        <w:rPr>
          <w:rFonts w:ascii="Times New Roman" w:eastAsia="Times New Roman" w:hAnsi="Times New Roman" w:cs="Times New Roman"/>
          <w:sz w:val="24"/>
          <w:szCs w:val="24"/>
          <w:lang w:eastAsia="lv-LV"/>
        </w:rPr>
        <w:t>Francija novērtēta 16</w:t>
      </w:r>
      <w:r w:rsidR="00D10E28" w:rsidRPr="00103B95">
        <w:rPr>
          <w:rFonts w:ascii="Times New Roman" w:eastAsia="Times New Roman" w:hAnsi="Times New Roman" w:cs="Times New Roman"/>
          <w:sz w:val="24"/>
          <w:szCs w:val="24"/>
          <w:lang w:eastAsia="lv-LV"/>
        </w:rPr>
        <w:t>. </w:t>
      </w:r>
      <w:r w:rsidR="004079E4" w:rsidRPr="00103B95">
        <w:rPr>
          <w:rFonts w:ascii="Times New Roman" w:eastAsia="Times New Roman" w:hAnsi="Times New Roman" w:cs="Times New Roman"/>
          <w:sz w:val="24"/>
          <w:szCs w:val="24"/>
          <w:lang w:eastAsia="lv-LV"/>
        </w:rPr>
        <w:t>vietā no 28 ES valstīm</w:t>
      </w:r>
      <w:r w:rsidRPr="00103B95">
        <w:rPr>
          <w:rFonts w:ascii="Times New Roman" w:eastAsia="Times New Roman" w:hAnsi="Times New Roman" w:cs="Times New Roman"/>
          <w:sz w:val="24"/>
          <w:szCs w:val="24"/>
          <w:lang w:eastAsia="lv-LV"/>
        </w:rPr>
        <w:t>.</w:t>
      </w:r>
      <w:r w:rsidR="004079E4" w:rsidRPr="00103B95">
        <w:rPr>
          <w:rFonts w:ascii="Times New Roman" w:eastAsia="Times New Roman" w:hAnsi="Times New Roman" w:cs="Times New Roman"/>
          <w:sz w:val="24"/>
          <w:szCs w:val="24"/>
          <w:lang w:eastAsia="lv-LV"/>
        </w:rPr>
        <w:t xml:space="preserve"> </w:t>
      </w:r>
      <w:r w:rsidRPr="00103B95">
        <w:rPr>
          <w:rFonts w:ascii="Times New Roman" w:eastAsia="Times New Roman" w:hAnsi="Times New Roman" w:cs="Times New Roman"/>
          <w:sz w:val="24"/>
          <w:szCs w:val="24"/>
          <w:lang w:eastAsia="lv-LV"/>
        </w:rPr>
        <w:t>Francijā i</w:t>
      </w:r>
      <w:r w:rsidR="004079E4" w:rsidRPr="00103B95">
        <w:rPr>
          <w:rFonts w:ascii="Times New Roman" w:eastAsia="Times New Roman" w:hAnsi="Times New Roman" w:cs="Times New Roman"/>
          <w:sz w:val="24"/>
          <w:szCs w:val="24"/>
          <w:lang w:eastAsia="lv-LV"/>
        </w:rPr>
        <w:t xml:space="preserve">r </w:t>
      </w:r>
      <w:r w:rsidRPr="00103B95">
        <w:rPr>
          <w:rFonts w:ascii="Times New Roman" w:eastAsia="Times New Roman" w:hAnsi="Times New Roman" w:cs="Times New Roman"/>
          <w:sz w:val="24"/>
          <w:szCs w:val="24"/>
          <w:lang w:eastAsia="lv-LV"/>
        </w:rPr>
        <w:t xml:space="preserve">saistoši </w:t>
      </w:r>
      <w:r w:rsidR="004079E4" w:rsidRPr="00103B95">
        <w:rPr>
          <w:rFonts w:ascii="Times New Roman" w:eastAsia="Times New Roman" w:hAnsi="Times New Roman" w:cs="Times New Roman"/>
          <w:sz w:val="24"/>
          <w:szCs w:val="24"/>
          <w:lang w:eastAsia="lv-LV"/>
        </w:rPr>
        <w:t>noteikumi par tiešsaistes platformām un īstermiņa īri (</w:t>
      </w:r>
      <w:r w:rsidR="00D10E28" w:rsidRPr="00103B95">
        <w:rPr>
          <w:rFonts w:ascii="Times New Roman" w:eastAsia="Times New Roman" w:hAnsi="Times New Roman" w:cs="Times New Roman"/>
          <w:sz w:val="24"/>
          <w:szCs w:val="24"/>
          <w:lang w:eastAsia="lv-LV"/>
        </w:rPr>
        <w:t xml:space="preserve">normatīvie akti </w:t>
      </w:r>
      <w:r w:rsidR="004079E4" w:rsidRPr="00103B95">
        <w:rPr>
          <w:rFonts w:ascii="Times New Roman" w:eastAsia="Times New Roman" w:hAnsi="Times New Roman" w:cs="Times New Roman"/>
          <w:sz w:val="24"/>
          <w:szCs w:val="24"/>
          <w:lang w:eastAsia="lv-LV"/>
        </w:rPr>
        <w:t>tūrisma un pilsētplānošanas</w:t>
      </w:r>
      <w:r w:rsidR="00D10E28" w:rsidRPr="00103B95">
        <w:rPr>
          <w:rFonts w:ascii="Times New Roman" w:eastAsia="Times New Roman" w:hAnsi="Times New Roman" w:cs="Times New Roman"/>
          <w:sz w:val="24"/>
          <w:szCs w:val="24"/>
          <w:lang w:eastAsia="lv-LV"/>
        </w:rPr>
        <w:t xml:space="preserve"> jomā)</w:t>
      </w:r>
      <w:r w:rsidR="004079E4" w:rsidRPr="00103B95">
        <w:rPr>
          <w:rFonts w:ascii="Times New Roman" w:eastAsia="Times New Roman" w:hAnsi="Times New Roman" w:cs="Times New Roman"/>
          <w:sz w:val="24"/>
          <w:szCs w:val="24"/>
          <w:lang w:eastAsia="lv-LV"/>
        </w:rPr>
        <w:t xml:space="preserve">, bet nav īpašu </w:t>
      </w:r>
      <w:r w:rsidR="005B6466" w:rsidRPr="00103B95">
        <w:rPr>
          <w:rFonts w:ascii="Times New Roman" w:eastAsia="Times New Roman" w:hAnsi="Times New Roman" w:cs="Times New Roman"/>
          <w:sz w:val="24"/>
          <w:szCs w:val="24"/>
          <w:lang w:eastAsia="lv-LV"/>
        </w:rPr>
        <w:t>normatīvo aktu</w:t>
      </w:r>
      <w:r w:rsidR="004079E4" w:rsidRPr="00103B95">
        <w:rPr>
          <w:rFonts w:ascii="Times New Roman" w:eastAsia="Times New Roman" w:hAnsi="Times New Roman" w:cs="Times New Roman"/>
          <w:sz w:val="24"/>
          <w:szCs w:val="24"/>
          <w:lang w:eastAsia="lv-LV"/>
        </w:rPr>
        <w:t xml:space="preserve"> par viesu izmitināšanas pakalpojumiem sadarbības ekonomikā.</w:t>
      </w:r>
      <w:r w:rsidR="00103B95" w:rsidRPr="00103B95">
        <w:t xml:space="preserve"> </w:t>
      </w:r>
      <w:r w:rsidR="00103B95" w:rsidRPr="00103B95">
        <w:rPr>
          <w:rFonts w:ascii="Times New Roman" w:eastAsia="Times New Roman" w:hAnsi="Times New Roman" w:cs="Times New Roman"/>
          <w:sz w:val="24"/>
          <w:szCs w:val="24"/>
          <w:lang w:eastAsia="lv-LV"/>
        </w:rPr>
        <w:t xml:space="preserve">Kā trūkums </w:t>
      </w:r>
      <w:r w:rsidR="00103B95" w:rsidRPr="00103B95">
        <w:rPr>
          <w:rFonts w:ascii="Times New Roman" w:eastAsia="Times New Roman" w:hAnsi="Times New Roman" w:cs="Times New Roman"/>
          <w:sz w:val="24"/>
          <w:szCs w:val="24"/>
          <w:lang w:eastAsia="lv-LV"/>
        </w:rPr>
        <w:lastRenderedPageBreak/>
        <w:t xml:space="preserve">izmitināšanas pakalpojumu regulējumā tiek norādīts tas, ka nav skaidra definīcija par atļauto fizisko personu darījumu veidiem. </w:t>
      </w:r>
      <w:r w:rsidR="004079E4" w:rsidRPr="00103B95">
        <w:rPr>
          <w:rFonts w:ascii="Times New Roman" w:eastAsia="Times New Roman" w:hAnsi="Times New Roman" w:cs="Times New Roman"/>
          <w:sz w:val="24"/>
          <w:szCs w:val="24"/>
          <w:lang w:eastAsia="lv-LV"/>
        </w:rPr>
        <w:t xml:space="preserve">Tomēr Tūrisma likums nosaka īstermiņa īri kā "mēbelētu mājokļu nomas maksu". "Mēbelēts mājoklis" ir definēts kā "mēbelētas villas, dzīvokļi vai studijas īrnieka ekskluzīvai izmantošanai, ko piedāvā </w:t>
      </w:r>
      <w:r w:rsidR="009A346E" w:rsidRPr="00103B95">
        <w:rPr>
          <w:rFonts w:ascii="Times New Roman" w:eastAsia="Times New Roman" w:hAnsi="Times New Roman" w:cs="Times New Roman"/>
          <w:sz w:val="24"/>
          <w:szCs w:val="24"/>
          <w:lang w:eastAsia="lv-LV"/>
        </w:rPr>
        <w:t xml:space="preserve">īrei </w:t>
      </w:r>
      <w:r w:rsidR="004079E4" w:rsidRPr="00103B95">
        <w:rPr>
          <w:rFonts w:ascii="Times New Roman" w:eastAsia="Times New Roman" w:hAnsi="Times New Roman" w:cs="Times New Roman"/>
          <w:sz w:val="24"/>
          <w:szCs w:val="24"/>
          <w:lang w:eastAsia="lv-LV"/>
        </w:rPr>
        <w:t xml:space="preserve">nepastāvīgam klientam, kurš uzturēšanos raksturo ar dienu, nedēļu vai ar mēnesi un kurš nepiedāvā tur pastāvīgo dzīvesvietu". Tomēr ir vērts </w:t>
      </w:r>
      <w:r w:rsidR="00D10E28" w:rsidRPr="00103B95">
        <w:rPr>
          <w:rFonts w:ascii="Times New Roman" w:eastAsia="Times New Roman" w:hAnsi="Times New Roman" w:cs="Times New Roman"/>
          <w:sz w:val="24"/>
          <w:szCs w:val="24"/>
          <w:lang w:eastAsia="lv-LV"/>
        </w:rPr>
        <w:t>norādīt</w:t>
      </w:r>
      <w:r w:rsidR="004079E4" w:rsidRPr="00103B95">
        <w:rPr>
          <w:rFonts w:ascii="Times New Roman" w:eastAsia="Times New Roman" w:hAnsi="Times New Roman" w:cs="Times New Roman"/>
          <w:sz w:val="24"/>
          <w:szCs w:val="24"/>
          <w:lang w:eastAsia="lv-LV"/>
        </w:rPr>
        <w:t xml:space="preserve">, ka definīcija neaptver </w:t>
      </w:r>
      <w:r w:rsidR="00375DB0" w:rsidRPr="00103B95">
        <w:rPr>
          <w:rFonts w:ascii="Times New Roman" w:eastAsia="Times New Roman" w:hAnsi="Times New Roman" w:cs="Times New Roman"/>
          <w:bCs/>
          <w:sz w:val="24"/>
          <w:szCs w:val="24"/>
          <w:lang w:eastAsia="lv-LV"/>
        </w:rPr>
        <w:t xml:space="preserve">fizisko personu </w:t>
      </w:r>
      <w:r w:rsidR="004079E4" w:rsidRPr="00103B95">
        <w:rPr>
          <w:rFonts w:ascii="Times New Roman" w:eastAsia="Times New Roman" w:hAnsi="Times New Roman" w:cs="Times New Roman"/>
          <w:sz w:val="24"/>
          <w:szCs w:val="24"/>
          <w:lang w:eastAsia="lv-LV"/>
        </w:rPr>
        <w:t xml:space="preserve">darījumu, jo nav minēts </w:t>
      </w:r>
      <w:r w:rsidR="00375DB0" w:rsidRPr="00103B95">
        <w:rPr>
          <w:rFonts w:ascii="Times New Roman" w:eastAsia="Times New Roman" w:hAnsi="Times New Roman" w:cs="Times New Roman"/>
          <w:sz w:val="24"/>
          <w:szCs w:val="24"/>
          <w:lang w:eastAsia="lv-LV"/>
        </w:rPr>
        <w:t xml:space="preserve">fizisko personu </w:t>
      </w:r>
      <w:r w:rsidR="004079E4" w:rsidRPr="00103B95">
        <w:rPr>
          <w:rFonts w:ascii="Times New Roman" w:eastAsia="Times New Roman" w:hAnsi="Times New Roman" w:cs="Times New Roman"/>
          <w:sz w:val="24"/>
          <w:szCs w:val="24"/>
          <w:lang w:eastAsia="lv-LV"/>
        </w:rPr>
        <w:t>vai darījuma profesionālais raksturs.</w:t>
      </w:r>
    </w:p>
    <w:p w14:paraId="7B162007" w14:textId="4E1ED6D4" w:rsidR="00E239D1" w:rsidRPr="00103B95" w:rsidRDefault="00375DB0" w:rsidP="00E239D1">
      <w:pPr>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sz w:val="24"/>
          <w:szCs w:val="24"/>
          <w:lang w:eastAsia="lv-LV"/>
        </w:rPr>
        <w:t xml:space="preserve">Fiziskām personām kā </w:t>
      </w:r>
      <w:r w:rsidR="004079E4" w:rsidRPr="00103B95">
        <w:rPr>
          <w:rFonts w:ascii="Times New Roman" w:eastAsia="Times New Roman" w:hAnsi="Times New Roman" w:cs="Times New Roman"/>
          <w:sz w:val="24"/>
          <w:szCs w:val="24"/>
          <w:lang w:eastAsia="lv-LV"/>
        </w:rPr>
        <w:t xml:space="preserve">pakalpojumu sniedzējiem, kuri vēlas </w:t>
      </w:r>
      <w:r w:rsidR="009A346E" w:rsidRPr="00103B95">
        <w:rPr>
          <w:rFonts w:ascii="Times New Roman" w:eastAsia="Times New Roman" w:hAnsi="Times New Roman" w:cs="Times New Roman"/>
          <w:sz w:val="24"/>
          <w:szCs w:val="24"/>
          <w:lang w:eastAsia="lv-LV"/>
        </w:rPr>
        <w:t xml:space="preserve">izīrēt </w:t>
      </w:r>
      <w:r w:rsidR="004079E4" w:rsidRPr="00103B95">
        <w:rPr>
          <w:rFonts w:ascii="Times New Roman" w:eastAsia="Times New Roman" w:hAnsi="Times New Roman" w:cs="Times New Roman"/>
          <w:sz w:val="24"/>
          <w:szCs w:val="24"/>
          <w:lang w:eastAsia="lv-LV"/>
        </w:rPr>
        <w:t xml:space="preserve">mājokļus, ir jāinformē pilsētas administrācija, ka īstermiņa nomniekam ir sekundāra dzīvesvieta. Pilsētās, kurās dzīvo vairāk nekā 200 000 iedzīvotāju, pašvaldības atļauja nepieciešama arī, lai mainītu dzīvesvietu, kad nomniekam ir sekundāra dzīvesvieta, un primārās dzīvesvietas pārtapšanai par sekundāro dzīvesvietu. Dažās pilsētās (piemēram, Parīzē, Lionā, Marseļā, Nīcā, Strasbūrā) īpašniekam ir pienākums kompensēt </w:t>
      </w:r>
      <w:proofErr w:type="spellStart"/>
      <w:r w:rsidR="00D10E28" w:rsidRPr="00103B95">
        <w:rPr>
          <w:rFonts w:ascii="Times New Roman" w:eastAsia="Times New Roman" w:hAnsi="Times New Roman" w:cs="Times New Roman"/>
          <w:i/>
          <w:sz w:val="24"/>
          <w:szCs w:val="24"/>
          <w:lang w:eastAsia="lv-LV"/>
        </w:rPr>
        <w:t>peer</w:t>
      </w:r>
      <w:proofErr w:type="spellEnd"/>
      <w:r w:rsidR="00D10E28" w:rsidRPr="00103B95">
        <w:rPr>
          <w:rFonts w:ascii="Times New Roman" w:eastAsia="Times New Roman" w:hAnsi="Times New Roman" w:cs="Times New Roman"/>
          <w:i/>
          <w:sz w:val="24"/>
          <w:szCs w:val="24"/>
          <w:lang w:eastAsia="lv-LV"/>
        </w:rPr>
        <w:t xml:space="preserve"> to </w:t>
      </w:r>
      <w:proofErr w:type="spellStart"/>
      <w:r w:rsidR="00D10E28" w:rsidRPr="00103B95">
        <w:rPr>
          <w:rFonts w:ascii="Times New Roman" w:eastAsia="Times New Roman" w:hAnsi="Times New Roman" w:cs="Times New Roman"/>
          <w:i/>
          <w:sz w:val="24"/>
          <w:szCs w:val="24"/>
          <w:lang w:eastAsia="lv-LV"/>
        </w:rPr>
        <w:t>peer</w:t>
      </w:r>
      <w:proofErr w:type="spellEnd"/>
      <w:r w:rsidR="004079E4" w:rsidRPr="00103B95">
        <w:rPr>
          <w:rFonts w:ascii="Times New Roman" w:eastAsia="Times New Roman" w:hAnsi="Times New Roman" w:cs="Times New Roman"/>
          <w:sz w:val="24"/>
          <w:szCs w:val="24"/>
          <w:lang w:eastAsia="lv-LV"/>
        </w:rPr>
        <w:t xml:space="preserve"> izmitināšanas pakalpojumu. Piemēram, īpašniekam ir jāmaksā par izmaiņām īpašuma lietošanā Parīzē, nodrošinot parastu mājokli tajā pašā apkaimē. Ja </w:t>
      </w:r>
      <w:r w:rsidRPr="00103B95">
        <w:rPr>
          <w:rFonts w:ascii="Times New Roman" w:eastAsia="Times New Roman" w:hAnsi="Times New Roman" w:cs="Times New Roman"/>
          <w:bCs/>
          <w:sz w:val="24"/>
          <w:szCs w:val="24"/>
          <w:lang w:eastAsia="lv-LV"/>
        </w:rPr>
        <w:t xml:space="preserve">fiziskā persona kā </w:t>
      </w:r>
      <w:r w:rsidR="004079E4" w:rsidRPr="00103B95">
        <w:rPr>
          <w:rFonts w:ascii="Times New Roman" w:eastAsia="Times New Roman" w:hAnsi="Times New Roman" w:cs="Times New Roman"/>
          <w:sz w:val="24"/>
          <w:szCs w:val="24"/>
          <w:lang w:eastAsia="lv-LV"/>
        </w:rPr>
        <w:t xml:space="preserve">pakalpojuma sniedzējs neievēro paziņošanas un </w:t>
      </w:r>
      <w:r w:rsidR="00325D69" w:rsidRPr="00103B95">
        <w:rPr>
          <w:rFonts w:ascii="Times New Roman" w:eastAsia="Times New Roman" w:hAnsi="Times New Roman" w:cs="Times New Roman"/>
          <w:sz w:val="24"/>
          <w:szCs w:val="24"/>
          <w:lang w:eastAsia="lv-LV"/>
        </w:rPr>
        <w:t xml:space="preserve">atļaujas saņemšanas </w:t>
      </w:r>
      <w:r w:rsidR="004079E4" w:rsidRPr="00103B95">
        <w:rPr>
          <w:rFonts w:ascii="Times New Roman" w:eastAsia="Times New Roman" w:hAnsi="Times New Roman" w:cs="Times New Roman"/>
          <w:sz w:val="24"/>
          <w:szCs w:val="24"/>
          <w:lang w:eastAsia="lv-LV"/>
        </w:rPr>
        <w:t xml:space="preserve">prasības, </w:t>
      </w:r>
      <w:r w:rsidRPr="00103B95">
        <w:rPr>
          <w:rFonts w:ascii="Times New Roman" w:eastAsia="Times New Roman" w:hAnsi="Times New Roman" w:cs="Times New Roman"/>
          <w:bCs/>
          <w:sz w:val="24"/>
          <w:szCs w:val="24"/>
          <w:lang w:eastAsia="lv-LV"/>
        </w:rPr>
        <w:t xml:space="preserve">fiziskai personai kā </w:t>
      </w:r>
      <w:r w:rsidR="004079E4" w:rsidRPr="00103B95">
        <w:rPr>
          <w:rFonts w:ascii="Times New Roman" w:eastAsia="Times New Roman" w:hAnsi="Times New Roman" w:cs="Times New Roman"/>
          <w:sz w:val="24"/>
          <w:szCs w:val="24"/>
          <w:lang w:eastAsia="lv-LV"/>
        </w:rPr>
        <w:t>pakalpojuma sniedzējam var uzlikt naudas sodu līdz 50</w:t>
      </w:r>
      <w:r w:rsidR="00325D69" w:rsidRPr="00103B95">
        <w:rPr>
          <w:rFonts w:ascii="Times New Roman" w:eastAsia="Times New Roman" w:hAnsi="Times New Roman" w:cs="Times New Roman"/>
          <w:sz w:val="24"/>
          <w:szCs w:val="24"/>
          <w:lang w:eastAsia="lv-LV"/>
        </w:rPr>
        <w:t> </w:t>
      </w:r>
      <w:r w:rsidR="004079E4" w:rsidRPr="00103B95">
        <w:rPr>
          <w:rFonts w:ascii="Times New Roman" w:eastAsia="Times New Roman" w:hAnsi="Times New Roman" w:cs="Times New Roman"/>
          <w:sz w:val="24"/>
          <w:szCs w:val="24"/>
          <w:lang w:eastAsia="lv-LV"/>
        </w:rPr>
        <w:t>000</w:t>
      </w:r>
      <w:r w:rsidR="00325D69" w:rsidRPr="00103B95">
        <w:rPr>
          <w:rFonts w:ascii="Times New Roman" w:eastAsia="Times New Roman" w:hAnsi="Times New Roman" w:cs="Times New Roman"/>
          <w:sz w:val="24"/>
          <w:szCs w:val="24"/>
          <w:lang w:eastAsia="lv-LV"/>
        </w:rPr>
        <w:t xml:space="preserve"> EUR</w:t>
      </w:r>
      <w:r w:rsidR="004079E4" w:rsidRPr="00103B95">
        <w:rPr>
          <w:rFonts w:ascii="Times New Roman" w:eastAsia="Times New Roman" w:hAnsi="Times New Roman" w:cs="Times New Roman"/>
          <w:sz w:val="24"/>
          <w:szCs w:val="24"/>
          <w:lang w:eastAsia="lv-LV"/>
        </w:rPr>
        <w:t>.</w:t>
      </w:r>
      <w:r w:rsidR="00E239D1" w:rsidRPr="00103B95">
        <w:rPr>
          <w:rFonts w:ascii="Times New Roman" w:eastAsia="Times New Roman" w:hAnsi="Times New Roman" w:cs="Times New Roman"/>
          <w:sz w:val="24"/>
          <w:szCs w:val="24"/>
          <w:lang w:eastAsia="lv-LV"/>
        </w:rPr>
        <w:t xml:space="preserve"> Vienlaikus Francija ir noteikusi izmitināšanas platformām pienākumu, pirmkārt, informēt platformas lietotājus (pakalpojumu sniedzējus) par to pienākumiem maksāt nodokļus un, otrkārt, sniegt lietotājiem ikgadējus datus par lietotāju ienākumiem no platformas izmantošanas. Papildus no 2019.</w:t>
      </w:r>
      <w:r w:rsidR="00DB7012" w:rsidRPr="00103B95">
        <w:rPr>
          <w:rFonts w:ascii="Times New Roman" w:eastAsia="Times New Roman" w:hAnsi="Times New Roman" w:cs="Times New Roman"/>
          <w:sz w:val="24"/>
          <w:szCs w:val="24"/>
          <w:lang w:eastAsia="lv-LV"/>
        </w:rPr>
        <w:t> </w:t>
      </w:r>
      <w:r w:rsidR="00E239D1" w:rsidRPr="00103B95">
        <w:rPr>
          <w:rFonts w:ascii="Times New Roman" w:eastAsia="Times New Roman" w:hAnsi="Times New Roman" w:cs="Times New Roman"/>
          <w:sz w:val="24"/>
          <w:szCs w:val="24"/>
          <w:lang w:eastAsia="lv-LV"/>
        </w:rPr>
        <w:t>gada</w:t>
      </w:r>
      <w:r w:rsidR="00CF2CCF" w:rsidRPr="00103B95">
        <w:rPr>
          <w:rFonts w:ascii="Times New Roman" w:eastAsia="Times New Roman" w:hAnsi="Times New Roman" w:cs="Times New Roman"/>
          <w:sz w:val="24"/>
          <w:szCs w:val="24"/>
          <w:lang w:eastAsia="lv-LV"/>
        </w:rPr>
        <w:t xml:space="preserve"> ir plānots platformām uzlikt</w:t>
      </w:r>
      <w:r w:rsidR="00DB7012" w:rsidRPr="00103B95">
        <w:rPr>
          <w:rFonts w:ascii="Times New Roman" w:eastAsia="Times New Roman" w:hAnsi="Times New Roman" w:cs="Times New Roman"/>
          <w:sz w:val="24"/>
          <w:szCs w:val="24"/>
          <w:lang w:eastAsia="lv-LV"/>
        </w:rPr>
        <w:t xml:space="preserve"> </w:t>
      </w:r>
      <w:r w:rsidR="00CF2CCF" w:rsidRPr="00103B95">
        <w:rPr>
          <w:rFonts w:ascii="Times New Roman" w:eastAsia="Times New Roman" w:hAnsi="Times New Roman" w:cs="Times New Roman"/>
          <w:sz w:val="24"/>
          <w:szCs w:val="24"/>
          <w:lang w:eastAsia="lv-LV"/>
        </w:rPr>
        <w:t>pienākumu šo informāciju par tās lietotāju ieņēmumiem nodot Francijas nodokļu administrācijai.</w:t>
      </w:r>
    </w:p>
    <w:p w14:paraId="16423456" w14:textId="5C7F1562" w:rsidR="004079E4" w:rsidRPr="00103B95" w:rsidRDefault="007779FE" w:rsidP="004079E4">
      <w:pPr>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sz w:val="24"/>
          <w:szCs w:val="24"/>
          <w:lang w:eastAsia="lv-LV"/>
        </w:rPr>
        <w:t xml:space="preserve">Attiecībā uz izmitināšanas jomu pastāv </w:t>
      </w:r>
      <w:r w:rsidR="004079E4" w:rsidRPr="00103B95">
        <w:rPr>
          <w:rFonts w:ascii="Times New Roman" w:eastAsia="Times New Roman" w:hAnsi="Times New Roman" w:cs="Times New Roman"/>
          <w:sz w:val="24"/>
          <w:szCs w:val="24"/>
          <w:lang w:eastAsia="lv-LV"/>
        </w:rPr>
        <w:t xml:space="preserve">arī noteikumi valsts līmenī. Īrnieki nevar piedāvāt īstermiņa īri bez sava namīpašnieka vai to būvniecības asociācijas piekrišanas. Ja </w:t>
      </w:r>
      <w:r w:rsidR="00375DB0" w:rsidRPr="00103B95">
        <w:rPr>
          <w:rFonts w:ascii="Times New Roman" w:eastAsia="Times New Roman" w:hAnsi="Times New Roman" w:cs="Times New Roman"/>
          <w:bCs/>
          <w:sz w:val="24"/>
          <w:szCs w:val="24"/>
          <w:lang w:eastAsia="lv-LV"/>
        </w:rPr>
        <w:t xml:space="preserve">fiziskā persona kā </w:t>
      </w:r>
      <w:r w:rsidR="004079E4" w:rsidRPr="00103B95">
        <w:rPr>
          <w:rFonts w:ascii="Times New Roman" w:eastAsia="Times New Roman" w:hAnsi="Times New Roman" w:cs="Times New Roman"/>
          <w:sz w:val="24"/>
          <w:szCs w:val="24"/>
          <w:lang w:eastAsia="lv-LV"/>
        </w:rPr>
        <w:t xml:space="preserve">pakalpojuma sniedzējs saņem apstiprinājumu, tam nav pienākuma dalīties ar īpašumu (pašam lietot īpašumu, kamēr tas </w:t>
      </w:r>
      <w:r w:rsidR="00927479" w:rsidRPr="00103B95">
        <w:rPr>
          <w:rFonts w:ascii="Times New Roman" w:eastAsia="Times New Roman" w:hAnsi="Times New Roman" w:cs="Times New Roman"/>
          <w:sz w:val="24"/>
          <w:szCs w:val="24"/>
          <w:lang w:eastAsia="lv-LV"/>
        </w:rPr>
        <w:t xml:space="preserve">izīrē </w:t>
      </w:r>
      <w:r w:rsidR="004079E4" w:rsidRPr="00103B95">
        <w:rPr>
          <w:rFonts w:ascii="Times New Roman" w:eastAsia="Times New Roman" w:hAnsi="Times New Roman" w:cs="Times New Roman"/>
          <w:sz w:val="24"/>
          <w:szCs w:val="24"/>
          <w:lang w:eastAsia="lv-LV"/>
        </w:rPr>
        <w:t>īpašumu).</w:t>
      </w:r>
    </w:p>
    <w:p w14:paraId="04D55554" w14:textId="5FFDFDE5" w:rsidR="00B220F9" w:rsidRPr="00103B95" w:rsidRDefault="004079E4" w:rsidP="001730DA">
      <w:pPr>
        <w:spacing w:after="0" w:line="240" w:lineRule="auto"/>
        <w:ind w:firstLine="709"/>
        <w:jc w:val="both"/>
        <w:rPr>
          <w:rFonts w:ascii="Times New Roman" w:eastAsia="Times New Roman" w:hAnsi="Times New Roman" w:cs="Times New Roman"/>
          <w:b/>
          <w:sz w:val="24"/>
          <w:szCs w:val="24"/>
          <w:lang w:eastAsia="lv-LV"/>
        </w:rPr>
      </w:pPr>
      <w:r w:rsidRPr="00103B95">
        <w:rPr>
          <w:rFonts w:ascii="Times New Roman" w:eastAsia="Times New Roman" w:hAnsi="Times New Roman" w:cs="Times New Roman"/>
          <w:sz w:val="24"/>
          <w:szCs w:val="24"/>
          <w:lang w:eastAsia="lv-LV"/>
        </w:rPr>
        <w:t>Pastāv skaidrs slieksnis, kas atšķir</w:t>
      </w:r>
      <w:r w:rsidR="00927479" w:rsidRPr="00103B95">
        <w:rPr>
          <w:rFonts w:ascii="Times New Roman" w:eastAsia="Times New Roman" w:hAnsi="Times New Roman" w:cs="Times New Roman"/>
          <w:sz w:val="24"/>
          <w:szCs w:val="24"/>
          <w:lang w:eastAsia="lv-LV"/>
        </w:rPr>
        <w:t xml:space="preserve"> </w:t>
      </w:r>
      <w:r w:rsidR="005C7845" w:rsidRPr="00103B95">
        <w:rPr>
          <w:rFonts w:ascii="Times New Roman" w:eastAsia="Times New Roman" w:hAnsi="Times New Roman" w:cs="Times New Roman"/>
          <w:bCs/>
          <w:sz w:val="24"/>
          <w:szCs w:val="24"/>
          <w:lang w:eastAsia="lv-LV"/>
        </w:rPr>
        <w:t xml:space="preserve">fiziskās personas </w:t>
      </w:r>
      <w:r w:rsidR="00927479" w:rsidRPr="00103B95">
        <w:rPr>
          <w:rFonts w:ascii="Times New Roman" w:eastAsia="Times New Roman" w:hAnsi="Times New Roman" w:cs="Times New Roman"/>
          <w:bCs/>
          <w:sz w:val="24"/>
          <w:szCs w:val="24"/>
          <w:lang w:eastAsia="lv-LV"/>
        </w:rPr>
        <w:t xml:space="preserve">darbības </w:t>
      </w:r>
      <w:r w:rsidR="00927479" w:rsidRPr="00103B95">
        <w:rPr>
          <w:rFonts w:ascii="Times New Roman" w:eastAsia="Times New Roman" w:hAnsi="Times New Roman" w:cs="Times New Roman"/>
          <w:sz w:val="24"/>
          <w:szCs w:val="24"/>
          <w:lang w:eastAsia="lv-LV"/>
        </w:rPr>
        <w:t xml:space="preserve">no </w:t>
      </w:r>
      <w:r w:rsidRPr="00103B95">
        <w:rPr>
          <w:rFonts w:ascii="Times New Roman" w:eastAsia="Times New Roman" w:hAnsi="Times New Roman" w:cs="Times New Roman"/>
          <w:sz w:val="24"/>
          <w:szCs w:val="24"/>
          <w:lang w:eastAsia="lv-LV"/>
        </w:rPr>
        <w:t xml:space="preserve"> profesionālām darbībām. </w:t>
      </w:r>
      <w:r w:rsidR="005C7845" w:rsidRPr="00103B95">
        <w:rPr>
          <w:rFonts w:ascii="Times New Roman" w:eastAsia="Times New Roman" w:hAnsi="Times New Roman" w:cs="Times New Roman"/>
          <w:bCs/>
          <w:sz w:val="24"/>
          <w:szCs w:val="24"/>
          <w:lang w:eastAsia="lv-LV"/>
        </w:rPr>
        <w:t xml:space="preserve">Fiziskā persona </w:t>
      </w:r>
      <w:r w:rsidR="00927479" w:rsidRPr="00103B95">
        <w:rPr>
          <w:rFonts w:ascii="Times New Roman" w:eastAsia="Times New Roman" w:hAnsi="Times New Roman" w:cs="Times New Roman"/>
          <w:bCs/>
          <w:sz w:val="24"/>
          <w:szCs w:val="24"/>
          <w:lang w:eastAsia="lv-LV"/>
        </w:rPr>
        <w:t xml:space="preserve">– </w:t>
      </w:r>
      <w:r w:rsidR="005C7845" w:rsidRPr="00103B95">
        <w:rPr>
          <w:rFonts w:ascii="Times New Roman" w:eastAsia="Times New Roman" w:hAnsi="Times New Roman" w:cs="Times New Roman"/>
          <w:bCs/>
          <w:sz w:val="24"/>
          <w:szCs w:val="24"/>
          <w:lang w:eastAsia="lv-LV"/>
        </w:rPr>
        <w:t xml:space="preserve"> </w:t>
      </w:r>
      <w:r w:rsidRPr="00103B95">
        <w:rPr>
          <w:rFonts w:ascii="Times New Roman" w:eastAsia="Times New Roman" w:hAnsi="Times New Roman" w:cs="Times New Roman"/>
          <w:sz w:val="24"/>
          <w:szCs w:val="24"/>
          <w:lang w:eastAsia="lv-LV"/>
        </w:rPr>
        <w:t>pakalpojuma sniedzējs</w:t>
      </w:r>
      <w:r w:rsidR="00927479" w:rsidRPr="00103B95">
        <w:rPr>
          <w:rFonts w:ascii="Times New Roman" w:eastAsia="Times New Roman" w:hAnsi="Times New Roman" w:cs="Times New Roman"/>
          <w:sz w:val="24"/>
          <w:szCs w:val="24"/>
          <w:lang w:eastAsia="lv-LV"/>
        </w:rPr>
        <w:t xml:space="preserve"> –</w:t>
      </w:r>
      <w:r w:rsidRPr="00103B95">
        <w:rPr>
          <w:rFonts w:ascii="Times New Roman" w:eastAsia="Times New Roman" w:hAnsi="Times New Roman" w:cs="Times New Roman"/>
          <w:sz w:val="24"/>
          <w:szCs w:val="24"/>
          <w:lang w:eastAsia="lv-LV"/>
        </w:rPr>
        <w:t xml:space="preserve"> kļūst par profesionālu pakalpojuma sniedzēju, ja viņš piedāvā vairāk nekā piecus numurus, nodrošina izmitināšanu un piedāvā brokastis vairāk nekā 15 cilvēkiem. Pastāv arī "profesionāli mēbelēts </w:t>
      </w:r>
      <w:r w:rsidR="009A346E" w:rsidRPr="00103B95">
        <w:rPr>
          <w:rFonts w:ascii="Times New Roman" w:eastAsia="Times New Roman" w:hAnsi="Times New Roman" w:cs="Times New Roman"/>
          <w:sz w:val="24"/>
          <w:szCs w:val="24"/>
          <w:lang w:eastAsia="lv-LV"/>
        </w:rPr>
        <w:t>izīrētāja</w:t>
      </w:r>
      <w:r w:rsidRPr="00103B95">
        <w:rPr>
          <w:rFonts w:ascii="Times New Roman" w:eastAsia="Times New Roman" w:hAnsi="Times New Roman" w:cs="Times New Roman"/>
          <w:sz w:val="24"/>
          <w:szCs w:val="24"/>
          <w:lang w:eastAsia="lv-LV"/>
        </w:rPr>
        <w:t xml:space="preserve">" statuss, kas tiek piemērots, ja persona ir reģistrēta Francijas Komercreģistrā kā "profesionāls </w:t>
      </w:r>
      <w:r w:rsidR="009A346E" w:rsidRPr="00103B95">
        <w:rPr>
          <w:rFonts w:ascii="Times New Roman" w:eastAsia="Times New Roman" w:hAnsi="Times New Roman" w:cs="Times New Roman"/>
          <w:sz w:val="24"/>
          <w:szCs w:val="24"/>
          <w:lang w:eastAsia="lv-LV"/>
        </w:rPr>
        <w:t>izīrētājs</w:t>
      </w:r>
      <w:r w:rsidRPr="00103B95">
        <w:rPr>
          <w:rFonts w:ascii="Times New Roman" w:eastAsia="Times New Roman" w:hAnsi="Times New Roman" w:cs="Times New Roman"/>
          <w:sz w:val="24"/>
          <w:szCs w:val="24"/>
          <w:lang w:eastAsia="lv-LV"/>
        </w:rPr>
        <w:t>", un, ja ikgadējie ieņēmumi par šo darbību pārsniedz 23</w:t>
      </w:r>
      <w:r w:rsidR="00905998" w:rsidRPr="00103B95">
        <w:rPr>
          <w:rFonts w:ascii="Times New Roman" w:eastAsia="Times New Roman" w:hAnsi="Times New Roman" w:cs="Times New Roman"/>
          <w:sz w:val="24"/>
          <w:szCs w:val="24"/>
          <w:lang w:eastAsia="lv-LV"/>
        </w:rPr>
        <w:t xml:space="preserve"> </w:t>
      </w:r>
      <w:r w:rsidRPr="00103B95">
        <w:rPr>
          <w:rFonts w:ascii="Times New Roman" w:eastAsia="Times New Roman" w:hAnsi="Times New Roman" w:cs="Times New Roman"/>
          <w:sz w:val="24"/>
          <w:szCs w:val="24"/>
          <w:lang w:eastAsia="lv-LV"/>
        </w:rPr>
        <w:t xml:space="preserve">000 EUR vai kopējo summu no </w:t>
      </w:r>
      <w:r w:rsidR="00927479" w:rsidRPr="00103B95">
        <w:rPr>
          <w:rFonts w:ascii="Times New Roman" w:eastAsia="Times New Roman" w:hAnsi="Times New Roman" w:cs="Times New Roman"/>
          <w:sz w:val="24"/>
          <w:szCs w:val="24"/>
          <w:lang w:eastAsia="lv-LV"/>
        </w:rPr>
        <w:t xml:space="preserve">citiem </w:t>
      </w:r>
      <w:r w:rsidRPr="00103B95">
        <w:rPr>
          <w:rFonts w:ascii="Times New Roman" w:eastAsia="Times New Roman" w:hAnsi="Times New Roman" w:cs="Times New Roman"/>
          <w:sz w:val="24"/>
          <w:szCs w:val="24"/>
          <w:lang w:eastAsia="lv-LV"/>
        </w:rPr>
        <w:t xml:space="preserve">mājsaimniecības ieņēmumiem. Neraugoties uz šo atšķirību, </w:t>
      </w:r>
      <w:r w:rsidR="00C13229" w:rsidRPr="00103B95">
        <w:rPr>
          <w:rFonts w:ascii="Times New Roman" w:eastAsia="Times New Roman" w:hAnsi="Times New Roman" w:cs="Times New Roman"/>
          <w:sz w:val="24"/>
          <w:szCs w:val="24"/>
          <w:lang w:eastAsia="lv-LV"/>
        </w:rPr>
        <w:t xml:space="preserve">fiziskai personai kā </w:t>
      </w:r>
      <w:r w:rsidRPr="00103B95">
        <w:rPr>
          <w:rFonts w:ascii="Times New Roman" w:eastAsia="Times New Roman" w:hAnsi="Times New Roman" w:cs="Times New Roman"/>
          <w:sz w:val="24"/>
          <w:szCs w:val="24"/>
          <w:lang w:eastAsia="lv-LV"/>
        </w:rPr>
        <w:t>pakalpojumu sniedzējam jāatbilst noteikumiem, kas attiecas uz profesionāliem pakalpojuma sniedzējiem, t.i., sanitārie standarti, minimālais aprīkojums utt.</w:t>
      </w:r>
    </w:p>
    <w:p w14:paraId="12F07DA9" w14:textId="77777777" w:rsidR="00B220F9" w:rsidRPr="00C50AD8" w:rsidRDefault="00B220F9" w:rsidP="00B220F9">
      <w:pPr>
        <w:spacing w:after="0" w:line="240" w:lineRule="auto"/>
        <w:jc w:val="center"/>
        <w:rPr>
          <w:rFonts w:ascii="Times New Roman" w:eastAsia="Times New Roman" w:hAnsi="Times New Roman" w:cs="Times New Roman"/>
          <w:b/>
          <w:sz w:val="28"/>
          <w:szCs w:val="28"/>
          <w:lang w:eastAsia="lv-LV"/>
        </w:rPr>
      </w:pPr>
    </w:p>
    <w:p w14:paraId="66C60EA0" w14:textId="52DABE4C" w:rsidR="004079E4" w:rsidRPr="008C1238" w:rsidRDefault="004079E4" w:rsidP="008678DF">
      <w:pPr>
        <w:spacing w:after="0" w:line="240" w:lineRule="auto"/>
        <w:rPr>
          <w:rFonts w:ascii="Times New Roman" w:eastAsia="Times New Roman" w:hAnsi="Times New Roman" w:cs="Times New Roman"/>
          <w:b/>
          <w:sz w:val="24"/>
          <w:szCs w:val="24"/>
          <w:u w:val="single"/>
          <w:lang w:eastAsia="lv-LV"/>
        </w:rPr>
      </w:pPr>
      <w:r w:rsidRPr="008C1238">
        <w:rPr>
          <w:rFonts w:ascii="Times New Roman" w:eastAsia="Times New Roman" w:hAnsi="Times New Roman" w:cs="Times New Roman"/>
          <w:b/>
          <w:sz w:val="24"/>
          <w:szCs w:val="24"/>
          <w:u w:val="single"/>
          <w:lang w:eastAsia="lv-LV"/>
        </w:rPr>
        <w:t>Lietuva</w:t>
      </w:r>
      <w:r w:rsidR="003932B7">
        <w:rPr>
          <w:rFonts w:ascii="Times New Roman" w:eastAsia="Times New Roman" w:hAnsi="Times New Roman" w:cs="Times New Roman"/>
          <w:b/>
          <w:sz w:val="24"/>
          <w:szCs w:val="24"/>
          <w:u w:val="single"/>
          <w:lang w:eastAsia="lv-LV"/>
        </w:rPr>
        <w:t>s</w:t>
      </w:r>
      <w:r w:rsidR="00694645" w:rsidRPr="008C1238">
        <w:rPr>
          <w:rFonts w:ascii="Times New Roman" w:eastAsia="Times New Roman" w:hAnsi="Times New Roman" w:cs="Times New Roman"/>
          <w:b/>
          <w:sz w:val="24"/>
          <w:szCs w:val="24"/>
          <w:u w:val="single"/>
          <w:lang w:eastAsia="lv-LV"/>
        </w:rPr>
        <w:t xml:space="preserve"> tiesiskais regulējums </w:t>
      </w:r>
    </w:p>
    <w:p w14:paraId="1E56D6E3" w14:textId="77777777" w:rsidR="00B220F9" w:rsidRPr="008C1238" w:rsidRDefault="00B220F9" w:rsidP="00B220F9">
      <w:pPr>
        <w:spacing w:after="0" w:line="240" w:lineRule="auto"/>
        <w:jc w:val="center"/>
        <w:rPr>
          <w:rFonts w:ascii="Times New Roman" w:eastAsia="Times New Roman" w:hAnsi="Times New Roman" w:cs="Times New Roman"/>
          <w:b/>
          <w:sz w:val="24"/>
          <w:szCs w:val="24"/>
          <w:lang w:eastAsia="lv-LV"/>
        </w:rPr>
      </w:pPr>
    </w:p>
    <w:p w14:paraId="63135748" w14:textId="07641E9D" w:rsidR="008A597D" w:rsidRDefault="00D860CC" w:rsidP="007F2FB5">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 xml:space="preserve">Lietuva </w:t>
      </w:r>
      <w:r w:rsidR="007F2FB5" w:rsidRPr="008C1238">
        <w:rPr>
          <w:rFonts w:ascii="Times New Roman" w:eastAsia="Times New Roman" w:hAnsi="Times New Roman" w:cs="Times New Roman"/>
          <w:sz w:val="24"/>
          <w:szCs w:val="24"/>
          <w:lang w:eastAsia="lv-LV"/>
        </w:rPr>
        <w:t>ir atbalstījusi ideju</w:t>
      </w:r>
      <w:r w:rsidR="007F2FB5" w:rsidRPr="004238AE">
        <w:rPr>
          <w:rFonts w:ascii="Times New Roman" w:eastAsia="Times New Roman" w:hAnsi="Times New Roman" w:cs="Times New Roman"/>
          <w:sz w:val="24"/>
          <w:szCs w:val="24"/>
          <w:lang w:eastAsia="lv-LV"/>
        </w:rPr>
        <w:t xml:space="preserve"> par</w:t>
      </w:r>
      <w:r w:rsidR="007F2FB5" w:rsidRPr="004238AE">
        <w:rPr>
          <w:rFonts w:ascii="Times New Roman" w:eastAsia="Times New Roman" w:hAnsi="Times New Roman" w:cs="Times New Roman"/>
          <w:b/>
          <w:sz w:val="24"/>
          <w:szCs w:val="24"/>
          <w:lang w:eastAsia="lv-LV"/>
        </w:rPr>
        <w:t xml:space="preserve"> </w:t>
      </w:r>
      <w:r w:rsidRPr="004238AE">
        <w:rPr>
          <w:rFonts w:ascii="Times New Roman" w:eastAsia="Times New Roman" w:hAnsi="Times New Roman" w:cs="Times New Roman"/>
          <w:sz w:val="24"/>
          <w:szCs w:val="24"/>
          <w:lang w:eastAsia="lv-LV"/>
        </w:rPr>
        <w:t xml:space="preserve">sadarbības ekonomiku </w:t>
      </w:r>
      <w:r w:rsidR="007F2FB5" w:rsidRPr="004238AE">
        <w:rPr>
          <w:rFonts w:ascii="Times New Roman" w:eastAsia="Times New Roman" w:hAnsi="Times New Roman" w:cs="Times New Roman"/>
          <w:sz w:val="24"/>
          <w:szCs w:val="24"/>
          <w:lang w:eastAsia="lv-LV"/>
        </w:rPr>
        <w:t>un</w:t>
      </w:r>
      <w:r w:rsidRPr="004238AE">
        <w:rPr>
          <w:rFonts w:ascii="Times New Roman" w:eastAsia="Times New Roman" w:hAnsi="Times New Roman" w:cs="Times New Roman"/>
          <w:b/>
          <w:sz w:val="24"/>
          <w:szCs w:val="24"/>
          <w:lang w:eastAsia="lv-LV"/>
        </w:rPr>
        <w:t xml:space="preserve"> iekļāvusi </w:t>
      </w:r>
      <w:r w:rsidR="007F2FB5" w:rsidRPr="004238AE">
        <w:rPr>
          <w:rFonts w:ascii="Times New Roman" w:eastAsia="Times New Roman" w:hAnsi="Times New Roman" w:cs="Times New Roman"/>
          <w:b/>
          <w:sz w:val="24"/>
          <w:szCs w:val="24"/>
          <w:lang w:eastAsia="lv-LV"/>
        </w:rPr>
        <w:t>to kā jebkuru citu biznesa modeli savos tiesību aktos</w:t>
      </w:r>
      <w:r w:rsidR="004238AE">
        <w:rPr>
          <w:rFonts w:ascii="Times New Roman" w:eastAsia="Times New Roman" w:hAnsi="Times New Roman" w:cs="Times New Roman"/>
          <w:sz w:val="24"/>
          <w:szCs w:val="24"/>
          <w:lang w:eastAsia="lv-LV"/>
        </w:rPr>
        <w:t xml:space="preserve">, piemēram, attiecībā uz vieglo pasažieru pārvadājumu jomu </w:t>
      </w:r>
      <w:r w:rsidR="004238AE" w:rsidRPr="004238AE">
        <w:rPr>
          <w:rFonts w:ascii="Times New Roman" w:eastAsia="Times New Roman" w:hAnsi="Times New Roman" w:cs="Times New Roman"/>
          <w:b/>
          <w:sz w:val="24"/>
          <w:szCs w:val="24"/>
          <w:lang w:eastAsia="lv-LV"/>
        </w:rPr>
        <w:t>tiesību aktos ir integrēti visi sadarbības ekonomikas pamatprincipi</w:t>
      </w:r>
      <w:r w:rsidR="004238AE">
        <w:rPr>
          <w:rFonts w:ascii="Times New Roman" w:eastAsia="Times New Roman" w:hAnsi="Times New Roman" w:cs="Times New Roman"/>
          <w:sz w:val="24"/>
          <w:szCs w:val="24"/>
          <w:lang w:eastAsia="lv-LV"/>
        </w:rPr>
        <w:t xml:space="preserve"> – automašīnu koplietošana, braucienu koplietošana un maršruta pakalpojumi. Vieglo pasažieru pārvadājumu jomā taksometru vadītājiem ir nedaudz stingrākas prasības, nekā fiziskām personām pakalpojumu sniedzējām. </w:t>
      </w:r>
    </w:p>
    <w:p w14:paraId="4B6C0F66" w14:textId="77777777" w:rsidR="004238AE" w:rsidRPr="008C1238" w:rsidRDefault="004238AE" w:rsidP="004238AE">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 xml:space="preserve">Lietuvas autotransporta kodekss tika grozīts 2014. gada 27. septembrī, lai pielāgotu automašīnu koplietošanu, braucienu koplietošanu un maršruta pakalpojumus. Fiziskas personas un juridiskas personas var organizēt pasažieru pārvadājumus, un pasažierus var pārvadāt ne tikai taksometri, bet arī </w:t>
      </w:r>
      <w:r w:rsidRPr="008C1238">
        <w:rPr>
          <w:rFonts w:ascii="Times New Roman" w:eastAsia="Times New Roman" w:hAnsi="Times New Roman" w:cs="Times New Roman"/>
          <w:bCs/>
          <w:sz w:val="24"/>
          <w:szCs w:val="24"/>
          <w:lang w:eastAsia="lv-LV"/>
        </w:rPr>
        <w:t>fiziskās personas</w:t>
      </w:r>
      <w:r w:rsidRPr="008C1238">
        <w:rPr>
          <w:rFonts w:ascii="Times New Roman" w:eastAsia="Times New Roman" w:hAnsi="Times New Roman" w:cs="Times New Roman"/>
          <w:sz w:val="24"/>
          <w:szCs w:val="24"/>
          <w:lang w:eastAsia="lv-LV"/>
        </w:rPr>
        <w:t xml:space="preserve">, ja automašīnas atbilst vispārējām prasībām, kas attiecināmas uz mehāniskajiem transportlīdzekļiem. Ja pakalpojums ir saistīts ar samaksu, pakalpojumu var organizēt, noslēdzot līgumu starp pārvadātāju un pasažieri vai izmantojot pakalpojumu organizētāju, piemēram, sadarbības platformu. Neprofesionāliem pārvadātājiem atļauts sniegt transporta pakalpojumus, izmantojot platformas starpniecību. Lietuvas tiesiskais regulējums paredz, ka pakalpojuma sniedzējiem – taksometriem vai fiziskām personām – </w:t>
      </w:r>
      <w:r w:rsidRPr="008C1238">
        <w:rPr>
          <w:rFonts w:ascii="Times New Roman" w:eastAsia="Times New Roman" w:hAnsi="Times New Roman" w:cs="Times New Roman"/>
          <w:sz w:val="24"/>
          <w:szCs w:val="24"/>
          <w:lang w:eastAsia="lv-LV"/>
        </w:rPr>
        <w:lastRenderedPageBreak/>
        <w:t>jāiesniedz paziņojums par nodomu sniegt pakalpojumus saskaņā ar vieglo transportlīdzekļu taksometra noteikumiem pašvaldībai, kurā pārvadātājs ir reģistrēts vai dzīvo (fizisku personu gadījumā). Pārvadātāja atļauja pakalpojumam ir jāizsniedz nākamajā dienā pēc paziņojuma par nodomu veikt pakalpojumu saņemšanas. Pastāv arī alternatīva, ka paziņojumu par nodomu veikt pakalpojumu, var iesniegt pasažieru transporta pakalpojumu organizētājs, t.i., sadarbības platforma. Transporta nodrošinājumam jāatbilst noteikumiem, ko noteikusi Lietuvas Republikas Finanšu ministrijas Valsts nodokļu inspekcija, kā arī jābūt nodrošinātai informācijai par ienākumiem, kas gūti no pakalpojuma sniegšanas. Nodokļu informāciju Valsts nodokļu inspekcijā var iesniegt fiziskās personas kā pakalpojuma sniedzējs vai organizētājs, t.i., sadarbības platforma. Pakalpojumu sniedzējiem nav jābūt saistītiem ar platformu vai operatoru.</w:t>
      </w:r>
    </w:p>
    <w:p w14:paraId="0B979573" w14:textId="77777777" w:rsidR="004238AE" w:rsidRPr="008C1238" w:rsidRDefault="004238AE" w:rsidP="004238AE">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Lietuvā nav prasības attiecībā uz profesionālajām licencēm vai atļaujām koplietojot automašīnu vai daloties ar citiem transportlīdzekļiem, izņemot licenci, kas iegūta, iesniedzot paziņojumu par nodomu sniegt pakalpojumu. Noteikumi vienādi attiecas gan uz taksometriem, gan fiziskām personām kā pakalpojumu sniedzējiem. Papildus autovadītāja apliecībai pakalpojumu sniedzējiem jāiesniedz individuālās darbības sertifikāts, dzīvesvietas deklarācija tajā pašā pašvaldībā, kurā nodrošinās pakalpojumus, transportlīdzekļa reģistrācijas apliecība, dokumenti par transportlīdzekļa tehnisko stāvokli, autovadītāja civiltiesiskās atbildības apdrošināšanas dokumenti un dokumenti, kas apliecina transportlīdzekļa valdījuma juridisko pamatu. Oficiālajiem taksometru vadītājiem ir jānokārto taksometru vadīšanas eksāmens. Automobiļu koplietošanas pakalpojumu sniedzējiem nav nepieciešama profesionāla licence, bet tiek piemērotas prasības attiecībā uz pakalpojumu komerciālu sniegšanu piemēram, iespējams augstākā apdrošināšana, biežākas periodiskās tehniskās pārbaudes utt.</w:t>
      </w:r>
    </w:p>
    <w:p w14:paraId="514D04A3" w14:textId="77777777" w:rsidR="004238AE" w:rsidRPr="008C1238" w:rsidRDefault="004238AE" w:rsidP="004238AE">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Braukšanas maksas tarifi nav ierobežoti nedz fiziskām personām kā pakalpojumu sniedzējiem, nedz taksometriem, taču taksometriem ir papildu noteikumi attiecībā uz automašīnu marķēšanu, tehnisko pārbaudi u.c. Tiesību aktos taksometru skaits nav ierobežots, tomēr pašvaldībām ir tiesības noteikt taksometru skaita ierobežojumus.</w:t>
      </w:r>
    </w:p>
    <w:p w14:paraId="24A9D86D" w14:textId="7F5E0E9B" w:rsidR="004079E4" w:rsidRPr="008C1238" w:rsidRDefault="004079E4" w:rsidP="004238AE">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Viesu izmitināšanas jomā Lietuva novērtēta kā vien</w:t>
      </w:r>
      <w:r w:rsidR="00927479" w:rsidRPr="008C1238">
        <w:rPr>
          <w:rFonts w:ascii="Times New Roman" w:eastAsia="Times New Roman" w:hAnsi="Times New Roman" w:cs="Times New Roman"/>
          <w:sz w:val="24"/>
          <w:szCs w:val="24"/>
          <w:lang w:eastAsia="lv-LV"/>
        </w:rPr>
        <w:t>a</w:t>
      </w:r>
      <w:r w:rsidRPr="008C1238">
        <w:rPr>
          <w:rFonts w:ascii="Times New Roman" w:eastAsia="Times New Roman" w:hAnsi="Times New Roman" w:cs="Times New Roman"/>
          <w:sz w:val="24"/>
          <w:szCs w:val="24"/>
          <w:lang w:eastAsia="lv-LV"/>
        </w:rPr>
        <w:t xml:space="preserve"> no līder</w:t>
      </w:r>
      <w:r w:rsidR="00927479" w:rsidRPr="008C1238">
        <w:rPr>
          <w:rFonts w:ascii="Times New Roman" w:eastAsia="Times New Roman" w:hAnsi="Times New Roman" w:cs="Times New Roman"/>
          <w:sz w:val="24"/>
          <w:szCs w:val="24"/>
          <w:lang w:eastAsia="lv-LV"/>
        </w:rPr>
        <w:t>ēm</w:t>
      </w:r>
      <w:r w:rsidRPr="008C1238">
        <w:rPr>
          <w:rFonts w:ascii="Times New Roman" w:eastAsia="Times New Roman" w:hAnsi="Times New Roman" w:cs="Times New Roman"/>
          <w:sz w:val="24"/>
          <w:szCs w:val="24"/>
          <w:lang w:eastAsia="lv-LV"/>
        </w:rPr>
        <w:t xml:space="preserve"> starp ES dalībvalstīm sadarbības ekonomikā. Sadarbības ekonomiku reglamentē Tūrisma likums un </w:t>
      </w:r>
      <w:r w:rsidR="005B6466" w:rsidRPr="008C1238">
        <w:rPr>
          <w:rFonts w:ascii="Times New Roman" w:eastAsia="Times New Roman" w:hAnsi="Times New Roman" w:cs="Times New Roman"/>
          <w:sz w:val="24"/>
          <w:szCs w:val="24"/>
          <w:lang w:eastAsia="lv-LV"/>
        </w:rPr>
        <w:t>normatīv</w:t>
      </w:r>
      <w:r w:rsidR="00927479" w:rsidRPr="008C1238">
        <w:rPr>
          <w:rFonts w:ascii="Times New Roman" w:eastAsia="Times New Roman" w:hAnsi="Times New Roman" w:cs="Times New Roman"/>
          <w:sz w:val="24"/>
          <w:szCs w:val="24"/>
          <w:lang w:eastAsia="lv-LV"/>
        </w:rPr>
        <w:t>ie</w:t>
      </w:r>
      <w:r w:rsidR="005B6466" w:rsidRPr="008C1238">
        <w:rPr>
          <w:rFonts w:ascii="Times New Roman" w:eastAsia="Times New Roman" w:hAnsi="Times New Roman" w:cs="Times New Roman"/>
          <w:sz w:val="24"/>
          <w:szCs w:val="24"/>
          <w:lang w:eastAsia="lv-LV"/>
        </w:rPr>
        <w:t xml:space="preserve"> akti </w:t>
      </w:r>
      <w:r w:rsidRPr="008C1238">
        <w:rPr>
          <w:rFonts w:ascii="Times New Roman" w:eastAsia="Times New Roman" w:hAnsi="Times New Roman" w:cs="Times New Roman"/>
          <w:sz w:val="24"/>
          <w:szCs w:val="24"/>
          <w:lang w:eastAsia="lv-LV"/>
        </w:rPr>
        <w:t xml:space="preserve">dzīvojamo ēku izīrēšanas </w:t>
      </w:r>
      <w:r w:rsidR="005B6466" w:rsidRPr="008C1238">
        <w:rPr>
          <w:rFonts w:ascii="Times New Roman" w:eastAsia="Times New Roman" w:hAnsi="Times New Roman" w:cs="Times New Roman"/>
          <w:sz w:val="24"/>
          <w:szCs w:val="24"/>
          <w:lang w:eastAsia="lv-LV"/>
        </w:rPr>
        <w:t>jomā</w:t>
      </w:r>
      <w:r w:rsidRPr="008C1238">
        <w:rPr>
          <w:rFonts w:ascii="Times New Roman" w:eastAsia="Times New Roman" w:hAnsi="Times New Roman" w:cs="Times New Roman"/>
          <w:sz w:val="24"/>
          <w:szCs w:val="24"/>
          <w:lang w:eastAsia="lv-LV"/>
        </w:rPr>
        <w:t>, kas nosaka mazāk</w:t>
      </w:r>
      <w:r w:rsidR="003B2FD8" w:rsidRPr="008C1238">
        <w:rPr>
          <w:rFonts w:ascii="Times New Roman" w:eastAsia="Times New Roman" w:hAnsi="Times New Roman" w:cs="Times New Roman"/>
          <w:sz w:val="24"/>
          <w:szCs w:val="24"/>
          <w:lang w:eastAsia="lv-LV"/>
        </w:rPr>
        <w:t xml:space="preserve">as </w:t>
      </w:r>
      <w:r w:rsidRPr="008C1238">
        <w:rPr>
          <w:rFonts w:ascii="Times New Roman" w:eastAsia="Times New Roman" w:hAnsi="Times New Roman" w:cs="Times New Roman"/>
          <w:sz w:val="24"/>
          <w:szCs w:val="24"/>
          <w:lang w:eastAsia="lv-LV"/>
        </w:rPr>
        <w:t xml:space="preserve">prasības nekā Tūrisma likums. </w:t>
      </w:r>
      <w:r w:rsidR="005C7845" w:rsidRPr="008C1238">
        <w:rPr>
          <w:rFonts w:ascii="Times New Roman" w:eastAsia="Times New Roman" w:hAnsi="Times New Roman" w:cs="Times New Roman"/>
          <w:bCs/>
          <w:sz w:val="24"/>
          <w:szCs w:val="24"/>
          <w:lang w:eastAsia="lv-LV"/>
        </w:rPr>
        <w:t>Fiziskā</w:t>
      </w:r>
      <w:r w:rsidR="00F21BFA" w:rsidRPr="008C1238">
        <w:rPr>
          <w:rFonts w:ascii="Times New Roman" w:eastAsia="Times New Roman" w:hAnsi="Times New Roman" w:cs="Times New Roman"/>
          <w:bCs/>
          <w:sz w:val="24"/>
          <w:szCs w:val="24"/>
          <w:lang w:eastAsia="lv-LV"/>
        </w:rPr>
        <w:t>s</w:t>
      </w:r>
      <w:r w:rsidR="005C7845" w:rsidRPr="008C1238">
        <w:rPr>
          <w:rFonts w:ascii="Times New Roman" w:eastAsia="Times New Roman" w:hAnsi="Times New Roman" w:cs="Times New Roman"/>
          <w:bCs/>
          <w:sz w:val="24"/>
          <w:szCs w:val="24"/>
          <w:lang w:eastAsia="lv-LV"/>
        </w:rPr>
        <w:t xml:space="preserve"> personas kā </w:t>
      </w:r>
      <w:r w:rsidRPr="008C1238">
        <w:rPr>
          <w:rFonts w:ascii="Times New Roman" w:eastAsia="Times New Roman" w:hAnsi="Times New Roman" w:cs="Times New Roman"/>
          <w:sz w:val="24"/>
          <w:szCs w:val="24"/>
          <w:lang w:eastAsia="lv-LV"/>
        </w:rPr>
        <w:t>pakalpojuma sniedzēji ir reglamentēti saskaņā ar Tūrism</w:t>
      </w:r>
      <w:r w:rsidR="005B6466" w:rsidRPr="008C1238">
        <w:rPr>
          <w:rFonts w:ascii="Times New Roman" w:eastAsia="Times New Roman" w:hAnsi="Times New Roman" w:cs="Times New Roman"/>
          <w:sz w:val="24"/>
          <w:szCs w:val="24"/>
          <w:lang w:eastAsia="lv-LV"/>
        </w:rPr>
        <w:t>a</w:t>
      </w:r>
      <w:r w:rsidRPr="008C1238">
        <w:rPr>
          <w:rFonts w:ascii="Times New Roman" w:eastAsia="Times New Roman" w:hAnsi="Times New Roman" w:cs="Times New Roman"/>
          <w:sz w:val="24"/>
          <w:szCs w:val="24"/>
          <w:lang w:eastAsia="lv-LV"/>
        </w:rPr>
        <w:t xml:space="preserve"> likumu, kas ir vienlīdzīgs tiem, kas nodrošina viesu </w:t>
      </w:r>
      <w:r w:rsidR="00F21BFA" w:rsidRPr="008C1238">
        <w:rPr>
          <w:rFonts w:ascii="Times New Roman" w:eastAsia="Times New Roman" w:hAnsi="Times New Roman" w:cs="Times New Roman"/>
          <w:sz w:val="24"/>
          <w:szCs w:val="24"/>
          <w:lang w:eastAsia="lv-LV"/>
        </w:rPr>
        <w:t xml:space="preserve">izmitināšanas </w:t>
      </w:r>
      <w:r w:rsidRPr="008C1238">
        <w:rPr>
          <w:rFonts w:ascii="Times New Roman" w:eastAsia="Times New Roman" w:hAnsi="Times New Roman" w:cs="Times New Roman"/>
          <w:sz w:val="24"/>
          <w:szCs w:val="24"/>
          <w:lang w:eastAsia="lv-LV"/>
        </w:rPr>
        <w:t xml:space="preserve">pakalpojumus vai lauku tūrisma pakalpojumus. Likums ierobežo telpu skaitu un ietver noteikumus par drošību un higiēnu. </w:t>
      </w:r>
      <w:r w:rsidR="005C7845" w:rsidRPr="008C1238">
        <w:rPr>
          <w:rFonts w:ascii="Times New Roman" w:eastAsia="Times New Roman" w:hAnsi="Times New Roman" w:cs="Times New Roman"/>
          <w:bCs/>
          <w:sz w:val="24"/>
          <w:szCs w:val="24"/>
          <w:lang w:eastAsia="lv-LV"/>
        </w:rPr>
        <w:t xml:space="preserve">Fiziskām personām kā </w:t>
      </w:r>
      <w:r w:rsidRPr="008C1238">
        <w:rPr>
          <w:rFonts w:ascii="Times New Roman" w:eastAsia="Times New Roman" w:hAnsi="Times New Roman" w:cs="Times New Roman"/>
          <w:sz w:val="24"/>
          <w:szCs w:val="24"/>
          <w:lang w:eastAsia="lv-LV"/>
        </w:rPr>
        <w:t xml:space="preserve">pakalpojuma sniedzējiem iepriekš jāinformē Valsts tūrisma departaments par saviem pakalpojumiem pirms pakalpojumu sniegšanas uzsākšanas. Regulējums par </w:t>
      </w:r>
      <w:r w:rsidR="005C7845" w:rsidRPr="008C1238">
        <w:rPr>
          <w:rFonts w:ascii="Times New Roman" w:eastAsia="Times New Roman" w:hAnsi="Times New Roman" w:cs="Times New Roman"/>
          <w:bCs/>
          <w:sz w:val="24"/>
          <w:szCs w:val="24"/>
          <w:lang w:eastAsia="lv-LV"/>
        </w:rPr>
        <w:t xml:space="preserve">fiziskām personām kā </w:t>
      </w:r>
      <w:r w:rsidRPr="008C1238">
        <w:rPr>
          <w:rFonts w:ascii="Times New Roman" w:eastAsia="Times New Roman" w:hAnsi="Times New Roman" w:cs="Times New Roman"/>
          <w:sz w:val="24"/>
          <w:szCs w:val="24"/>
          <w:lang w:eastAsia="lv-LV"/>
        </w:rPr>
        <w:t xml:space="preserve">pakalpojuma sniedzējiem nav skaidrs, jo </w:t>
      </w:r>
      <w:r w:rsidR="000808BE" w:rsidRPr="008C1238">
        <w:rPr>
          <w:rFonts w:ascii="Times New Roman" w:eastAsia="Times New Roman" w:hAnsi="Times New Roman" w:cs="Times New Roman"/>
          <w:sz w:val="24"/>
          <w:szCs w:val="24"/>
          <w:lang w:eastAsia="lv-LV"/>
        </w:rPr>
        <w:t>normatīvajos aktos</w:t>
      </w:r>
      <w:r w:rsidRPr="008C1238">
        <w:rPr>
          <w:rFonts w:ascii="Times New Roman" w:eastAsia="Times New Roman" w:hAnsi="Times New Roman" w:cs="Times New Roman"/>
          <w:sz w:val="24"/>
          <w:szCs w:val="24"/>
          <w:lang w:eastAsia="lv-LV"/>
        </w:rPr>
        <w:t xml:space="preserve"> dzīvokļu </w:t>
      </w:r>
      <w:r w:rsidR="00025B5F" w:rsidRPr="008C1238">
        <w:rPr>
          <w:rFonts w:ascii="Times New Roman" w:eastAsia="Times New Roman" w:hAnsi="Times New Roman" w:cs="Times New Roman"/>
          <w:sz w:val="24"/>
          <w:szCs w:val="24"/>
          <w:lang w:eastAsia="lv-LV"/>
        </w:rPr>
        <w:t>izīrēšanas</w:t>
      </w:r>
      <w:r w:rsidR="00F3316D" w:rsidRPr="008C1238">
        <w:rPr>
          <w:rFonts w:ascii="Times New Roman" w:eastAsia="Times New Roman" w:hAnsi="Times New Roman" w:cs="Times New Roman"/>
          <w:sz w:val="24"/>
          <w:szCs w:val="24"/>
          <w:lang w:eastAsia="lv-LV"/>
        </w:rPr>
        <w:t xml:space="preserve"> </w:t>
      </w:r>
      <w:r w:rsidR="000808BE" w:rsidRPr="008C1238">
        <w:rPr>
          <w:rFonts w:ascii="Times New Roman" w:eastAsia="Times New Roman" w:hAnsi="Times New Roman" w:cs="Times New Roman"/>
          <w:sz w:val="24"/>
          <w:szCs w:val="24"/>
          <w:lang w:eastAsia="lv-LV"/>
        </w:rPr>
        <w:t>jomā</w:t>
      </w:r>
      <w:r w:rsidRPr="008C1238">
        <w:rPr>
          <w:rFonts w:ascii="Times New Roman" w:eastAsia="Times New Roman" w:hAnsi="Times New Roman" w:cs="Times New Roman"/>
          <w:sz w:val="24"/>
          <w:szCs w:val="24"/>
          <w:lang w:eastAsia="lv-LV"/>
        </w:rPr>
        <w:t xml:space="preserve"> ir mazāk prasīb</w:t>
      </w:r>
      <w:r w:rsidR="000808BE" w:rsidRPr="008C1238">
        <w:rPr>
          <w:rFonts w:ascii="Times New Roman" w:eastAsia="Times New Roman" w:hAnsi="Times New Roman" w:cs="Times New Roman"/>
          <w:sz w:val="24"/>
          <w:szCs w:val="24"/>
          <w:lang w:eastAsia="lv-LV"/>
        </w:rPr>
        <w:t>u</w:t>
      </w:r>
      <w:r w:rsidRPr="008C1238">
        <w:rPr>
          <w:rFonts w:ascii="Times New Roman" w:eastAsia="Times New Roman" w:hAnsi="Times New Roman" w:cs="Times New Roman"/>
          <w:sz w:val="24"/>
          <w:szCs w:val="24"/>
          <w:lang w:eastAsia="lv-LV"/>
        </w:rPr>
        <w:t xml:space="preserve"> nekā Tūrisma likumā. </w:t>
      </w:r>
      <w:r w:rsidR="00025B5F" w:rsidRPr="008C1238">
        <w:rPr>
          <w:rFonts w:ascii="Times New Roman" w:eastAsia="Times New Roman" w:hAnsi="Times New Roman" w:cs="Times New Roman"/>
          <w:sz w:val="24"/>
          <w:szCs w:val="24"/>
          <w:lang w:eastAsia="lv-LV"/>
        </w:rPr>
        <w:t xml:space="preserve">Apakšīre </w:t>
      </w:r>
      <w:r w:rsidRPr="008C1238">
        <w:rPr>
          <w:rFonts w:ascii="Times New Roman" w:eastAsia="Times New Roman" w:hAnsi="Times New Roman" w:cs="Times New Roman"/>
          <w:sz w:val="24"/>
          <w:szCs w:val="24"/>
          <w:lang w:eastAsia="lv-LV"/>
        </w:rPr>
        <w:t xml:space="preserve">ir likumīga, ja </w:t>
      </w:r>
      <w:r w:rsidR="005C7845" w:rsidRPr="008C1238">
        <w:rPr>
          <w:rFonts w:ascii="Times New Roman" w:eastAsia="Times New Roman" w:hAnsi="Times New Roman" w:cs="Times New Roman"/>
          <w:bCs/>
          <w:sz w:val="24"/>
          <w:szCs w:val="24"/>
          <w:lang w:eastAsia="lv-LV"/>
        </w:rPr>
        <w:t xml:space="preserve">fiziskā persona kā </w:t>
      </w:r>
      <w:r w:rsidRPr="008C1238">
        <w:rPr>
          <w:rFonts w:ascii="Times New Roman" w:eastAsia="Times New Roman" w:hAnsi="Times New Roman" w:cs="Times New Roman"/>
          <w:sz w:val="24"/>
          <w:szCs w:val="24"/>
          <w:lang w:eastAsia="lv-LV"/>
        </w:rPr>
        <w:t xml:space="preserve">pakalpojuma sniedzējs saņem rakstisku atļauju no īpašuma īpašnieka. Primāro un sekundāro dzīvesvietu nav Lietuvas tiesību aktos, un </w:t>
      </w:r>
      <w:r w:rsidR="00C372E7" w:rsidRPr="008C1238">
        <w:rPr>
          <w:rFonts w:ascii="Times New Roman" w:eastAsia="Times New Roman" w:hAnsi="Times New Roman" w:cs="Times New Roman"/>
          <w:sz w:val="24"/>
          <w:szCs w:val="24"/>
          <w:lang w:eastAsia="lv-LV"/>
        </w:rPr>
        <w:t xml:space="preserve">izīrētājam </w:t>
      </w:r>
      <w:r w:rsidRPr="008C1238">
        <w:rPr>
          <w:rFonts w:ascii="Times New Roman" w:eastAsia="Times New Roman" w:hAnsi="Times New Roman" w:cs="Times New Roman"/>
          <w:sz w:val="24"/>
          <w:szCs w:val="24"/>
          <w:lang w:eastAsia="lv-LV"/>
        </w:rPr>
        <w:t>nav pienākuma atrasties īpašumā, to iz</w:t>
      </w:r>
      <w:r w:rsidR="00C372E7" w:rsidRPr="008C1238">
        <w:rPr>
          <w:rFonts w:ascii="Times New Roman" w:eastAsia="Times New Roman" w:hAnsi="Times New Roman" w:cs="Times New Roman"/>
          <w:sz w:val="24"/>
          <w:szCs w:val="24"/>
          <w:lang w:eastAsia="lv-LV"/>
        </w:rPr>
        <w:t>īrējot</w:t>
      </w:r>
      <w:r w:rsidRPr="008C1238">
        <w:rPr>
          <w:rFonts w:ascii="Times New Roman" w:eastAsia="Times New Roman" w:hAnsi="Times New Roman" w:cs="Times New Roman"/>
          <w:sz w:val="24"/>
          <w:szCs w:val="24"/>
          <w:lang w:eastAsia="lv-LV"/>
        </w:rPr>
        <w:t>.</w:t>
      </w:r>
    </w:p>
    <w:p w14:paraId="12B99574" w14:textId="77777777" w:rsidR="00B220F9" w:rsidRPr="008C1238" w:rsidRDefault="00B220F9" w:rsidP="004079E4">
      <w:pPr>
        <w:spacing w:after="0" w:line="240" w:lineRule="auto"/>
        <w:ind w:firstLine="709"/>
        <w:jc w:val="both"/>
        <w:rPr>
          <w:rFonts w:ascii="Times New Roman" w:eastAsia="Times New Roman" w:hAnsi="Times New Roman" w:cs="Times New Roman"/>
          <w:sz w:val="24"/>
          <w:szCs w:val="24"/>
          <w:lang w:eastAsia="lv-LV"/>
        </w:rPr>
      </w:pPr>
    </w:p>
    <w:p w14:paraId="7AE53984" w14:textId="1BBD22DA" w:rsidR="004079E4" w:rsidRPr="008C1238" w:rsidRDefault="004079E4" w:rsidP="008678DF">
      <w:pPr>
        <w:spacing w:after="0" w:line="240" w:lineRule="auto"/>
        <w:rPr>
          <w:rFonts w:ascii="Times New Roman" w:eastAsia="Times New Roman" w:hAnsi="Times New Roman" w:cs="Times New Roman"/>
          <w:b/>
          <w:sz w:val="24"/>
          <w:szCs w:val="24"/>
          <w:u w:val="single"/>
          <w:lang w:eastAsia="lv-LV"/>
        </w:rPr>
      </w:pPr>
      <w:r w:rsidRPr="008C1238">
        <w:rPr>
          <w:rFonts w:ascii="Times New Roman" w:eastAsia="Times New Roman" w:hAnsi="Times New Roman" w:cs="Times New Roman"/>
          <w:b/>
          <w:sz w:val="24"/>
          <w:szCs w:val="24"/>
          <w:u w:val="single"/>
          <w:lang w:eastAsia="lv-LV"/>
        </w:rPr>
        <w:t>Lielbritānija</w:t>
      </w:r>
      <w:r w:rsidR="008C1238" w:rsidRPr="008C1238">
        <w:rPr>
          <w:rFonts w:ascii="Times New Roman" w:eastAsia="Times New Roman" w:hAnsi="Times New Roman" w:cs="Times New Roman"/>
          <w:b/>
          <w:sz w:val="24"/>
          <w:szCs w:val="24"/>
          <w:u w:val="single"/>
          <w:lang w:eastAsia="lv-LV"/>
        </w:rPr>
        <w:t>s tiesiskais regulējums</w:t>
      </w:r>
    </w:p>
    <w:p w14:paraId="50AD1D20" w14:textId="77777777" w:rsidR="00B220F9" w:rsidRPr="008C1238" w:rsidRDefault="00B220F9" w:rsidP="00B220F9">
      <w:pPr>
        <w:spacing w:after="0" w:line="240" w:lineRule="auto"/>
        <w:jc w:val="center"/>
        <w:rPr>
          <w:rFonts w:ascii="Times New Roman" w:eastAsia="Times New Roman" w:hAnsi="Times New Roman" w:cs="Times New Roman"/>
          <w:b/>
          <w:sz w:val="24"/>
          <w:szCs w:val="24"/>
          <w:lang w:eastAsia="lv-LV"/>
        </w:rPr>
      </w:pPr>
    </w:p>
    <w:p w14:paraId="0A5A086D" w14:textId="5DDFAB1B" w:rsidR="00062BBB" w:rsidRPr="008C1238" w:rsidRDefault="004079E4" w:rsidP="004079E4">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 xml:space="preserve">Lielbritānija ir viena no vadošajām valstīm Eiropā </w:t>
      </w:r>
      <w:r w:rsidR="00166C53" w:rsidRPr="008C1238">
        <w:rPr>
          <w:rFonts w:ascii="Times New Roman" w:eastAsia="Times New Roman" w:hAnsi="Times New Roman" w:cs="Times New Roman"/>
          <w:sz w:val="24"/>
          <w:szCs w:val="24"/>
          <w:lang w:eastAsia="lv-LV"/>
        </w:rPr>
        <w:t>attiecībā uz</w:t>
      </w:r>
      <w:r w:rsidRPr="008C1238">
        <w:rPr>
          <w:rFonts w:ascii="Times New Roman" w:eastAsia="Times New Roman" w:hAnsi="Times New Roman" w:cs="Times New Roman"/>
          <w:sz w:val="24"/>
          <w:szCs w:val="24"/>
          <w:lang w:eastAsia="lv-LV"/>
        </w:rPr>
        <w:t xml:space="preserve"> atvieglotiem nosacījumiem un stimuliem sadarbības ekonomikai. Kaut arī </w:t>
      </w:r>
      <w:r w:rsidRPr="00FF275B">
        <w:rPr>
          <w:rFonts w:ascii="Times New Roman" w:eastAsia="Times New Roman" w:hAnsi="Times New Roman" w:cs="Times New Roman"/>
          <w:b/>
          <w:sz w:val="24"/>
          <w:szCs w:val="24"/>
          <w:lang w:eastAsia="lv-LV"/>
        </w:rPr>
        <w:t>sadarbības ekonomika nav īpaši regulēta</w:t>
      </w:r>
      <w:r w:rsidRPr="008C1238">
        <w:rPr>
          <w:rFonts w:ascii="Times New Roman" w:eastAsia="Times New Roman" w:hAnsi="Times New Roman" w:cs="Times New Roman"/>
          <w:sz w:val="24"/>
          <w:szCs w:val="24"/>
          <w:lang w:eastAsia="lv-LV"/>
        </w:rPr>
        <w:t xml:space="preserve">, </w:t>
      </w:r>
      <w:r w:rsidR="00FF275B">
        <w:rPr>
          <w:rFonts w:ascii="Times New Roman" w:eastAsia="Times New Roman" w:hAnsi="Times New Roman" w:cs="Times New Roman"/>
          <w:sz w:val="24"/>
          <w:szCs w:val="24"/>
          <w:lang w:eastAsia="lv-LV"/>
        </w:rPr>
        <w:t>tā izceļas gandrīz visās jomās, jo</w:t>
      </w:r>
      <w:r w:rsidRPr="008C1238">
        <w:rPr>
          <w:rFonts w:ascii="Times New Roman" w:eastAsia="Times New Roman" w:hAnsi="Times New Roman" w:cs="Times New Roman"/>
          <w:sz w:val="24"/>
          <w:szCs w:val="24"/>
          <w:lang w:eastAsia="lv-LV"/>
        </w:rPr>
        <w:t xml:space="preserve"> Lielbritānijas </w:t>
      </w:r>
      <w:r w:rsidRPr="00FF275B">
        <w:rPr>
          <w:rFonts w:ascii="Times New Roman" w:eastAsia="Times New Roman" w:hAnsi="Times New Roman" w:cs="Times New Roman"/>
          <w:b/>
          <w:sz w:val="24"/>
          <w:szCs w:val="24"/>
          <w:lang w:eastAsia="lv-LV"/>
        </w:rPr>
        <w:t xml:space="preserve">valdība </w:t>
      </w:r>
      <w:r w:rsidR="00062BBB" w:rsidRPr="00FF275B">
        <w:rPr>
          <w:rFonts w:ascii="Times New Roman" w:eastAsia="Times New Roman" w:hAnsi="Times New Roman" w:cs="Times New Roman"/>
          <w:b/>
          <w:sz w:val="24"/>
          <w:szCs w:val="24"/>
          <w:lang w:eastAsia="lv-LV"/>
        </w:rPr>
        <w:t>ir izstrādājusi</w:t>
      </w:r>
      <w:r w:rsidRPr="00FF275B">
        <w:rPr>
          <w:rFonts w:ascii="Times New Roman" w:eastAsia="Times New Roman" w:hAnsi="Times New Roman" w:cs="Times New Roman"/>
          <w:b/>
          <w:sz w:val="24"/>
          <w:szCs w:val="24"/>
          <w:lang w:eastAsia="lv-LV"/>
        </w:rPr>
        <w:t xml:space="preserve"> vadlīnijas</w:t>
      </w:r>
      <w:r w:rsidR="00062BBB" w:rsidRPr="00FF275B">
        <w:rPr>
          <w:rFonts w:ascii="Times New Roman" w:eastAsia="Times New Roman" w:hAnsi="Times New Roman" w:cs="Times New Roman"/>
          <w:b/>
          <w:sz w:val="24"/>
          <w:szCs w:val="24"/>
          <w:lang w:eastAsia="lv-LV"/>
        </w:rPr>
        <w:t xml:space="preserve"> sadarbības ekonomikas principu skaidrošanai</w:t>
      </w:r>
      <w:r w:rsidRPr="008C1238">
        <w:rPr>
          <w:rFonts w:ascii="Times New Roman" w:eastAsia="Times New Roman" w:hAnsi="Times New Roman" w:cs="Times New Roman"/>
          <w:sz w:val="24"/>
          <w:szCs w:val="24"/>
          <w:lang w:eastAsia="lv-LV"/>
        </w:rPr>
        <w:t xml:space="preserve">, </w:t>
      </w:r>
      <w:r w:rsidR="00062BBB" w:rsidRPr="008C1238">
        <w:rPr>
          <w:rFonts w:ascii="Times New Roman" w:eastAsia="Times New Roman" w:hAnsi="Times New Roman" w:cs="Times New Roman"/>
          <w:sz w:val="24"/>
          <w:szCs w:val="24"/>
          <w:lang w:eastAsia="lv-LV"/>
        </w:rPr>
        <w:t xml:space="preserve">organizējusi </w:t>
      </w:r>
      <w:r w:rsidRPr="008C1238">
        <w:rPr>
          <w:rFonts w:ascii="Times New Roman" w:eastAsia="Times New Roman" w:hAnsi="Times New Roman" w:cs="Times New Roman"/>
          <w:sz w:val="24"/>
          <w:szCs w:val="24"/>
          <w:lang w:eastAsia="lv-LV"/>
        </w:rPr>
        <w:t xml:space="preserve">seminārus un konferences, kā arī </w:t>
      </w:r>
      <w:r w:rsidR="00062BBB" w:rsidRPr="008C1238">
        <w:rPr>
          <w:rFonts w:ascii="Times New Roman" w:eastAsia="Times New Roman" w:hAnsi="Times New Roman" w:cs="Times New Roman"/>
          <w:sz w:val="24"/>
          <w:szCs w:val="24"/>
          <w:lang w:eastAsia="lv-LV"/>
        </w:rPr>
        <w:t xml:space="preserve">valdībai ir izdevies izveidot </w:t>
      </w:r>
      <w:r w:rsidRPr="008C1238">
        <w:rPr>
          <w:rFonts w:ascii="Times New Roman" w:eastAsia="Times New Roman" w:hAnsi="Times New Roman" w:cs="Times New Roman"/>
          <w:sz w:val="24"/>
          <w:szCs w:val="24"/>
          <w:lang w:eastAsia="lv-LV"/>
        </w:rPr>
        <w:t xml:space="preserve">labas partnerattiecības ar sadarbības platformām. </w:t>
      </w:r>
    </w:p>
    <w:p w14:paraId="58EE15E1" w14:textId="37D1BF2D" w:rsidR="005F272D" w:rsidRPr="008C1238" w:rsidRDefault="005F272D" w:rsidP="005F272D">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Transporta nozares novērtēta 11. vietā no 28 ES dalībvalstīm. Fizisko personu automašīnu koplietošana valsts tiesību aktos nav definēta, tādējādi nav specifisku noteikumu, kas attiecas uz šo darbību. Tas arī nozīmē, ka nav nepieciešama atļauja, lai fiziskās personas varētu dalīties ar savu automašīnu sadarbības platformā.</w:t>
      </w:r>
    </w:p>
    <w:p w14:paraId="40CA33ED" w14:textId="3F7F1B8B" w:rsidR="005F272D" w:rsidRPr="008C1238" w:rsidRDefault="005F272D" w:rsidP="005F272D">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 xml:space="preserve">Vairāk regulēta ir fizisko personu braucienu koplietošana. Braucienu koplietošana, ja atlīdzība par darbību atbilst tikai ekspluatācijas izmaksām, ir atļauta un nav regulēta. Tomēr, ja </w:t>
      </w:r>
      <w:r w:rsidRPr="008C1238">
        <w:rPr>
          <w:rFonts w:ascii="Times New Roman" w:eastAsia="Times New Roman" w:hAnsi="Times New Roman" w:cs="Times New Roman"/>
          <w:sz w:val="24"/>
          <w:szCs w:val="24"/>
          <w:lang w:eastAsia="lv-LV"/>
        </w:rPr>
        <w:lastRenderedPageBreak/>
        <w:t>vadītājs gūst peļņu no pakalpojuma, tā transportlīdzeklis tiek klasificēts kā privāts īres transportlīdzeklis, un vadītājam jābūt licencētam. Šajā gadījumā licencētai jābūt pat fizikai personai, arī situācijā, ja šī fiziskā persona pakalpojuma sniedzējs pakalpojumus piedāvā neregulāri. Prasības licences iegūšanai ietver vairāk kā tikai vadītāja apliecību, t.sk., tam nav sodāmības reģistrā, prasības atšķiras starp pilsētām.</w:t>
      </w:r>
    </w:p>
    <w:p w14:paraId="2836E71D" w14:textId="77777777" w:rsidR="005F272D" w:rsidRPr="008C1238" w:rsidRDefault="005F272D" w:rsidP="005F272D">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Noteikumi par pieteikšanos taksometru licencēm būtiski atšķiras no noteikumiem, kas attiecas uz fiziskām personām. Londonā taksometru atļauju skaits nav ierobežots, tomēr galvaspilsētai ir ļoti augsti kvalitātes standarti, kas darbojas kā alternatīvs šķērslis izsniegto licenču skaitam. Liverpūlē ierobežojums ir 1 417 izsniegtas licences, un Mančestrā šis skaitlis ir 814. Visos trijos iepriekš minētajos pilsētu rajonos fizisko personu īres transportlīdzekļu licencēm nav ierobežojumu.</w:t>
      </w:r>
    </w:p>
    <w:p w14:paraId="5D4CF91C" w14:textId="77777777" w:rsidR="005F272D" w:rsidRPr="008C1238" w:rsidRDefault="005F272D" w:rsidP="005F272D">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Lielbritānijā pakalpojuma sniedzēji var brīvi noteikt savas cenas, jo nav kontroles režīma attiecībā uz cenām, tomēr pakalpojuma sniedzējs un saņēmējs vienmēr iepriekš vienojas par maksu. Taksometriem nav nepieciešams būt saistītiem ar nosūtīšanas centru vai platformu.</w:t>
      </w:r>
    </w:p>
    <w:p w14:paraId="7EFCA461" w14:textId="398E0E41" w:rsidR="00166C53" w:rsidRPr="008C1238" w:rsidRDefault="004079E4" w:rsidP="00E33EF0">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Kopumā viesu izmitināšanas nozare sadarbības ekonomikas kontekstā Lielbritānijas tiesību aktos nav regulēta. Tā vietā tiek piemēroti vispārējie noteikumi.</w:t>
      </w:r>
      <w:r w:rsidR="00E33EF0" w:rsidRPr="008C1238">
        <w:rPr>
          <w:rFonts w:ascii="Times New Roman" w:eastAsia="Times New Roman" w:hAnsi="Times New Roman" w:cs="Times New Roman"/>
          <w:sz w:val="24"/>
          <w:szCs w:val="24"/>
          <w:lang w:eastAsia="lv-LV"/>
        </w:rPr>
        <w:t xml:space="preserve"> Lielbritānijā n</w:t>
      </w:r>
      <w:r w:rsidRPr="008C1238">
        <w:rPr>
          <w:rFonts w:ascii="Times New Roman" w:eastAsia="Times New Roman" w:hAnsi="Times New Roman" w:cs="Times New Roman"/>
          <w:sz w:val="24"/>
          <w:szCs w:val="24"/>
          <w:lang w:eastAsia="lv-LV"/>
        </w:rPr>
        <w:t xml:space="preserve">av regulējuma, kas </w:t>
      </w:r>
      <w:r w:rsidR="00E33EF0" w:rsidRPr="008C1238">
        <w:rPr>
          <w:rFonts w:ascii="Times New Roman" w:eastAsia="Times New Roman" w:hAnsi="Times New Roman" w:cs="Times New Roman"/>
          <w:sz w:val="24"/>
          <w:szCs w:val="24"/>
          <w:lang w:eastAsia="lv-LV"/>
        </w:rPr>
        <w:t xml:space="preserve">noteiktu </w:t>
      </w:r>
      <w:r w:rsidR="005C7845" w:rsidRPr="008C1238">
        <w:rPr>
          <w:rFonts w:ascii="Times New Roman" w:eastAsia="Times New Roman" w:hAnsi="Times New Roman" w:cs="Times New Roman"/>
          <w:sz w:val="24"/>
          <w:szCs w:val="24"/>
          <w:lang w:eastAsia="lv-LV"/>
        </w:rPr>
        <w:t xml:space="preserve">fizisko </w:t>
      </w:r>
      <w:r w:rsidR="00E33EF0" w:rsidRPr="008C1238">
        <w:rPr>
          <w:rFonts w:ascii="Times New Roman" w:eastAsia="Times New Roman" w:hAnsi="Times New Roman" w:cs="Times New Roman"/>
          <w:sz w:val="24"/>
          <w:szCs w:val="24"/>
          <w:lang w:eastAsia="lv-LV"/>
        </w:rPr>
        <w:t xml:space="preserve">personu </w:t>
      </w:r>
      <w:r w:rsidR="005C7845" w:rsidRPr="008C1238">
        <w:rPr>
          <w:rFonts w:ascii="Times New Roman" w:eastAsia="Times New Roman" w:hAnsi="Times New Roman" w:cs="Times New Roman"/>
          <w:sz w:val="24"/>
          <w:szCs w:val="24"/>
          <w:lang w:eastAsia="lv-LV"/>
        </w:rPr>
        <w:t xml:space="preserve">sniegtos </w:t>
      </w:r>
      <w:r w:rsidRPr="008C1238">
        <w:rPr>
          <w:rFonts w:ascii="Times New Roman" w:eastAsia="Times New Roman" w:hAnsi="Times New Roman" w:cs="Times New Roman"/>
          <w:sz w:val="24"/>
          <w:szCs w:val="24"/>
          <w:lang w:eastAsia="lv-LV"/>
        </w:rPr>
        <w:t xml:space="preserve">pakalpojumus. Tā rezultātā nav skaidra </w:t>
      </w:r>
      <w:r w:rsidR="005C7845" w:rsidRPr="008C1238">
        <w:rPr>
          <w:rFonts w:ascii="Times New Roman" w:eastAsia="Times New Roman" w:hAnsi="Times New Roman" w:cs="Times New Roman"/>
          <w:sz w:val="24"/>
          <w:szCs w:val="24"/>
          <w:lang w:eastAsia="lv-LV"/>
        </w:rPr>
        <w:t>fizisko personu kā</w:t>
      </w:r>
      <w:r w:rsidR="00D44032" w:rsidRPr="008C1238">
        <w:rPr>
          <w:rFonts w:ascii="Times New Roman" w:eastAsia="Times New Roman" w:hAnsi="Times New Roman" w:cs="Times New Roman"/>
          <w:sz w:val="24"/>
          <w:szCs w:val="24"/>
          <w:lang w:eastAsia="lv-LV"/>
        </w:rPr>
        <w:t xml:space="preserve"> pakalpojuma sniedzēja</w:t>
      </w:r>
      <w:r w:rsidRPr="008C1238">
        <w:rPr>
          <w:rFonts w:ascii="Times New Roman" w:eastAsia="Times New Roman" w:hAnsi="Times New Roman" w:cs="Times New Roman"/>
          <w:sz w:val="24"/>
          <w:szCs w:val="24"/>
          <w:lang w:eastAsia="lv-LV"/>
        </w:rPr>
        <w:t xml:space="preserve"> darījumu veida noteikšana,</w:t>
      </w:r>
      <w:r w:rsidR="002A47EE" w:rsidRPr="008C1238">
        <w:rPr>
          <w:rFonts w:ascii="Times New Roman" w:eastAsia="Times New Roman" w:hAnsi="Times New Roman" w:cs="Times New Roman"/>
          <w:sz w:val="24"/>
          <w:szCs w:val="24"/>
          <w:lang w:eastAsia="lv-LV"/>
        </w:rPr>
        <w:t xml:space="preserve"> kā arī nav noteikts,</w:t>
      </w:r>
      <w:r w:rsidRPr="008C1238">
        <w:rPr>
          <w:rFonts w:ascii="Times New Roman" w:eastAsia="Times New Roman" w:hAnsi="Times New Roman" w:cs="Times New Roman"/>
          <w:sz w:val="24"/>
          <w:szCs w:val="24"/>
          <w:lang w:eastAsia="lv-LV"/>
        </w:rPr>
        <w:t xml:space="preserve"> kas</w:t>
      </w:r>
      <w:r w:rsidR="002A47EE" w:rsidRPr="008C1238">
        <w:rPr>
          <w:rFonts w:ascii="Times New Roman" w:eastAsia="Times New Roman" w:hAnsi="Times New Roman" w:cs="Times New Roman"/>
          <w:sz w:val="24"/>
          <w:szCs w:val="24"/>
          <w:lang w:eastAsia="lv-LV"/>
        </w:rPr>
        <w:t xml:space="preserve"> fiziskām personām kā pakalpojuma sniedzējiem</w:t>
      </w:r>
      <w:r w:rsidRPr="008C1238">
        <w:rPr>
          <w:rFonts w:ascii="Times New Roman" w:eastAsia="Times New Roman" w:hAnsi="Times New Roman" w:cs="Times New Roman"/>
          <w:sz w:val="24"/>
          <w:szCs w:val="24"/>
          <w:lang w:eastAsia="lv-LV"/>
        </w:rPr>
        <w:t xml:space="preserve"> ir atļauts vai aizliegts. Citas sekas tam, ka nepastāv tiesiskais regulējums, kas reglamentē </w:t>
      </w:r>
      <w:r w:rsidR="005C7845" w:rsidRPr="008C1238">
        <w:rPr>
          <w:rFonts w:ascii="Times New Roman" w:eastAsia="Times New Roman" w:hAnsi="Times New Roman" w:cs="Times New Roman"/>
          <w:sz w:val="24"/>
          <w:szCs w:val="24"/>
          <w:lang w:eastAsia="lv-LV"/>
        </w:rPr>
        <w:t xml:space="preserve">fizisko personu sniegtos </w:t>
      </w:r>
      <w:r w:rsidRPr="008C1238">
        <w:rPr>
          <w:rFonts w:ascii="Times New Roman" w:eastAsia="Times New Roman" w:hAnsi="Times New Roman" w:cs="Times New Roman"/>
          <w:sz w:val="24"/>
          <w:szCs w:val="24"/>
          <w:lang w:eastAsia="lv-LV"/>
        </w:rPr>
        <w:t xml:space="preserve">izmitināšanas pakalpojumus, ir tāds, ka </w:t>
      </w:r>
      <w:r w:rsidR="005C7845" w:rsidRPr="008C1238">
        <w:rPr>
          <w:rFonts w:ascii="Times New Roman" w:eastAsia="Times New Roman" w:hAnsi="Times New Roman" w:cs="Times New Roman"/>
          <w:sz w:val="24"/>
          <w:szCs w:val="24"/>
          <w:lang w:eastAsia="lv-LV"/>
        </w:rPr>
        <w:t>fiziskām personām kā</w:t>
      </w:r>
      <w:r w:rsidRPr="008C1238">
        <w:rPr>
          <w:rFonts w:ascii="Times New Roman" w:eastAsia="Times New Roman" w:hAnsi="Times New Roman" w:cs="Times New Roman"/>
          <w:sz w:val="24"/>
          <w:szCs w:val="24"/>
          <w:lang w:eastAsia="lv-LV"/>
        </w:rPr>
        <w:t xml:space="preserve"> pakalpojum</w:t>
      </w:r>
      <w:r w:rsidR="00D44032" w:rsidRPr="008C1238">
        <w:rPr>
          <w:rFonts w:ascii="Times New Roman" w:eastAsia="Times New Roman" w:hAnsi="Times New Roman" w:cs="Times New Roman"/>
          <w:sz w:val="24"/>
          <w:szCs w:val="24"/>
          <w:lang w:eastAsia="lv-LV"/>
        </w:rPr>
        <w:t>a</w:t>
      </w:r>
      <w:r w:rsidRPr="008C1238">
        <w:rPr>
          <w:rFonts w:ascii="Times New Roman" w:eastAsia="Times New Roman" w:hAnsi="Times New Roman" w:cs="Times New Roman"/>
          <w:sz w:val="24"/>
          <w:szCs w:val="24"/>
          <w:lang w:eastAsia="lv-LV"/>
        </w:rPr>
        <w:t xml:space="preserve"> sniedzējiem nav jāiegūst atļauja pirms to dzīvesvietas </w:t>
      </w:r>
      <w:r w:rsidR="009A346E" w:rsidRPr="008C1238">
        <w:rPr>
          <w:rFonts w:ascii="Times New Roman" w:eastAsia="Times New Roman" w:hAnsi="Times New Roman" w:cs="Times New Roman"/>
          <w:sz w:val="24"/>
          <w:szCs w:val="24"/>
          <w:lang w:eastAsia="lv-LV"/>
        </w:rPr>
        <w:t>izīrēšana</w:t>
      </w:r>
      <w:r w:rsidRPr="008C1238">
        <w:rPr>
          <w:rFonts w:ascii="Times New Roman" w:eastAsia="Times New Roman" w:hAnsi="Times New Roman" w:cs="Times New Roman"/>
          <w:sz w:val="24"/>
          <w:szCs w:val="24"/>
          <w:lang w:eastAsia="lv-LV"/>
        </w:rPr>
        <w:t>. Turklāt 2015.</w:t>
      </w:r>
      <w:r w:rsidR="00F80109" w:rsidRPr="008C1238">
        <w:rPr>
          <w:rFonts w:ascii="Times New Roman" w:eastAsia="Times New Roman" w:hAnsi="Times New Roman" w:cs="Times New Roman"/>
          <w:sz w:val="24"/>
          <w:szCs w:val="24"/>
          <w:lang w:eastAsia="lv-LV"/>
        </w:rPr>
        <w:t> </w:t>
      </w:r>
      <w:r w:rsidRPr="008C1238">
        <w:rPr>
          <w:rFonts w:ascii="Times New Roman" w:eastAsia="Times New Roman" w:hAnsi="Times New Roman" w:cs="Times New Roman"/>
          <w:sz w:val="24"/>
          <w:szCs w:val="24"/>
          <w:lang w:eastAsia="lv-LV"/>
        </w:rPr>
        <w:t xml:space="preserve">gada īpašuma stāvokļa pārskatā privātajā </w:t>
      </w:r>
      <w:r w:rsidR="009A346E" w:rsidRPr="008C1238">
        <w:rPr>
          <w:rFonts w:ascii="Times New Roman" w:eastAsia="Times New Roman" w:hAnsi="Times New Roman" w:cs="Times New Roman"/>
          <w:sz w:val="24"/>
          <w:szCs w:val="24"/>
          <w:lang w:eastAsia="lv-LV"/>
        </w:rPr>
        <w:t xml:space="preserve">īrē </w:t>
      </w:r>
      <w:r w:rsidRPr="008C1238">
        <w:rPr>
          <w:rFonts w:ascii="Times New Roman" w:eastAsia="Times New Roman" w:hAnsi="Times New Roman" w:cs="Times New Roman"/>
          <w:sz w:val="24"/>
          <w:szCs w:val="24"/>
          <w:lang w:eastAsia="lv-LV"/>
        </w:rPr>
        <w:t xml:space="preserve">nozare atzīst, ka valdībai nav vēlēšanās regulēt tirgu valsts līmenī, ieviešot licencēšanas režīmu. Tomēr lietas ir nedaudz stingrākas Londonā nekā pārējā Lielbritānijas daļā, kur vietējās varas iestādes tehniski ir pilnvarotas ieviest licencēšanas prasības, ja tās vēlas to darīt. </w:t>
      </w:r>
    </w:p>
    <w:p w14:paraId="5C678846" w14:textId="6E8678D4" w:rsidR="004079E4" w:rsidRDefault="00166C53" w:rsidP="00166C53">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Lielbritānijā f</w:t>
      </w:r>
      <w:r w:rsidR="005C7845" w:rsidRPr="008C1238">
        <w:rPr>
          <w:rFonts w:ascii="Times New Roman" w:eastAsia="Times New Roman" w:hAnsi="Times New Roman" w:cs="Times New Roman"/>
          <w:sz w:val="24"/>
          <w:szCs w:val="24"/>
          <w:lang w:eastAsia="lv-LV"/>
        </w:rPr>
        <w:t>iziskām personām kā</w:t>
      </w:r>
      <w:r w:rsidR="004079E4" w:rsidRPr="008C1238">
        <w:rPr>
          <w:rFonts w:ascii="Times New Roman" w:eastAsia="Times New Roman" w:hAnsi="Times New Roman" w:cs="Times New Roman"/>
          <w:sz w:val="24"/>
          <w:szCs w:val="24"/>
          <w:lang w:eastAsia="lv-LV"/>
        </w:rPr>
        <w:t xml:space="preserve"> pakalpojum</w:t>
      </w:r>
      <w:r w:rsidR="00D44032" w:rsidRPr="008C1238">
        <w:rPr>
          <w:rFonts w:ascii="Times New Roman" w:eastAsia="Times New Roman" w:hAnsi="Times New Roman" w:cs="Times New Roman"/>
          <w:sz w:val="24"/>
          <w:szCs w:val="24"/>
          <w:lang w:eastAsia="lv-LV"/>
        </w:rPr>
        <w:t>a</w:t>
      </w:r>
      <w:r w:rsidR="004079E4" w:rsidRPr="008C1238">
        <w:rPr>
          <w:rFonts w:ascii="Times New Roman" w:eastAsia="Times New Roman" w:hAnsi="Times New Roman" w:cs="Times New Roman"/>
          <w:sz w:val="24"/>
          <w:szCs w:val="24"/>
          <w:lang w:eastAsia="lv-LV"/>
        </w:rPr>
        <w:t xml:space="preserve"> sniedzējiem nav jāpaziņo to iznomātājam vai viņu būvniecības asociācijai, ka viņi izīrē savu dzīvesvietu – to piemēro valsts līmenī. </w:t>
      </w:r>
      <w:r w:rsidR="005C7845" w:rsidRPr="008C1238">
        <w:rPr>
          <w:rFonts w:ascii="Times New Roman" w:eastAsia="Times New Roman" w:hAnsi="Times New Roman" w:cs="Times New Roman"/>
          <w:sz w:val="24"/>
          <w:szCs w:val="24"/>
          <w:lang w:eastAsia="lv-LV"/>
        </w:rPr>
        <w:t>Fizikās personas kā</w:t>
      </w:r>
      <w:r w:rsidR="004079E4" w:rsidRPr="008C1238">
        <w:rPr>
          <w:rFonts w:ascii="Times New Roman" w:eastAsia="Times New Roman" w:hAnsi="Times New Roman" w:cs="Times New Roman"/>
          <w:sz w:val="24"/>
          <w:szCs w:val="24"/>
          <w:lang w:eastAsia="lv-LV"/>
        </w:rPr>
        <w:t xml:space="preserve"> pakalpojum</w:t>
      </w:r>
      <w:r w:rsidR="00D44032" w:rsidRPr="008C1238">
        <w:rPr>
          <w:rFonts w:ascii="Times New Roman" w:eastAsia="Times New Roman" w:hAnsi="Times New Roman" w:cs="Times New Roman"/>
          <w:sz w:val="24"/>
          <w:szCs w:val="24"/>
          <w:lang w:eastAsia="lv-LV"/>
        </w:rPr>
        <w:t>a</w:t>
      </w:r>
      <w:r w:rsidR="004079E4" w:rsidRPr="008C1238">
        <w:rPr>
          <w:rFonts w:ascii="Times New Roman" w:eastAsia="Times New Roman" w:hAnsi="Times New Roman" w:cs="Times New Roman"/>
          <w:sz w:val="24"/>
          <w:szCs w:val="24"/>
          <w:lang w:eastAsia="lv-LV"/>
        </w:rPr>
        <w:t xml:space="preserve"> sniedzēji var atļaut uzturēties tā </w:t>
      </w:r>
      <w:r w:rsidR="009A346E" w:rsidRPr="008C1238">
        <w:rPr>
          <w:rFonts w:ascii="Times New Roman" w:eastAsia="Times New Roman" w:hAnsi="Times New Roman" w:cs="Times New Roman"/>
          <w:sz w:val="24"/>
          <w:szCs w:val="24"/>
          <w:lang w:eastAsia="lv-LV"/>
        </w:rPr>
        <w:t xml:space="preserve">īrniekam </w:t>
      </w:r>
      <w:r w:rsidR="004079E4" w:rsidRPr="008C1238">
        <w:rPr>
          <w:rFonts w:ascii="Times New Roman" w:eastAsia="Times New Roman" w:hAnsi="Times New Roman" w:cs="Times New Roman"/>
          <w:sz w:val="24"/>
          <w:szCs w:val="24"/>
          <w:lang w:eastAsia="lv-LV"/>
        </w:rPr>
        <w:t>90 dienas gadā saskaņā ar 2015.</w:t>
      </w:r>
      <w:r w:rsidR="00F80109" w:rsidRPr="008C1238">
        <w:rPr>
          <w:rFonts w:ascii="Times New Roman" w:eastAsia="Times New Roman" w:hAnsi="Times New Roman" w:cs="Times New Roman"/>
          <w:sz w:val="24"/>
          <w:szCs w:val="24"/>
          <w:lang w:eastAsia="lv-LV"/>
        </w:rPr>
        <w:t> </w:t>
      </w:r>
      <w:r w:rsidR="004079E4" w:rsidRPr="008C1238">
        <w:rPr>
          <w:rFonts w:ascii="Times New Roman" w:eastAsia="Times New Roman" w:hAnsi="Times New Roman" w:cs="Times New Roman"/>
          <w:sz w:val="24"/>
          <w:szCs w:val="24"/>
          <w:lang w:eastAsia="lv-LV"/>
        </w:rPr>
        <w:t xml:space="preserve">gada likumu par ierobežojumu atcelšanu, </w:t>
      </w:r>
      <w:r w:rsidR="00F80109" w:rsidRPr="008C1238">
        <w:rPr>
          <w:rFonts w:ascii="Times New Roman" w:eastAsia="Times New Roman" w:hAnsi="Times New Roman" w:cs="Times New Roman"/>
          <w:sz w:val="24"/>
          <w:szCs w:val="24"/>
          <w:lang w:eastAsia="lv-LV"/>
        </w:rPr>
        <w:t xml:space="preserve">saskaņā ar </w:t>
      </w:r>
      <w:r w:rsidR="004079E4" w:rsidRPr="008C1238">
        <w:rPr>
          <w:rFonts w:ascii="Times New Roman" w:eastAsia="Times New Roman" w:hAnsi="Times New Roman" w:cs="Times New Roman"/>
          <w:sz w:val="24"/>
          <w:szCs w:val="24"/>
          <w:lang w:eastAsia="lv-LV"/>
        </w:rPr>
        <w:t>kur</w:t>
      </w:r>
      <w:r w:rsidR="00F80109" w:rsidRPr="008C1238">
        <w:rPr>
          <w:rFonts w:ascii="Times New Roman" w:eastAsia="Times New Roman" w:hAnsi="Times New Roman" w:cs="Times New Roman"/>
          <w:sz w:val="24"/>
          <w:szCs w:val="24"/>
          <w:lang w:eastAsia="lv-LV"/>
        </w:rPr>
        <w:t>u</w:t>
      </w:r>
      <w:r w:rsidR="004079E4" w:rsidRPr="008C1238">
        <w:rPr>
          <w:rFonts w:ascii="Times New Roman" w:eastAsia="Times New Roman" w:hAnsi="Times New Roman" w:cs="Times New Roman"/>
          <w:sz w:val="24"/>
          <w:szCs w:val="24"/>
          <w:lang w:eastAsia="lv-LV"/>
        </w:rPr>
        <w:t xml:space="preserve"> īpašums tiek uzskatīts </w:t>
      </w:r>
      <w:r w:rsidR="00F80109" w:rsidRPr="008C1238">
        <w:rPr>
          <w:rFonts w:ascii="Times New Roman" w:eastAsia="Times New Roman" w:hAnsi="Times New Roman" w:cs="Times New Roman"/>
          <w:sz w:val="24"/>
          <w:szCs w:val="24"/>
          <w:lang w:eastAsia="lv-LV"/>
        </w:rPr>
        <w:t xml:space="preserve">kā </w:t>
      </w:r>
      <w:r w:rsidR="004079E4" w:rsidRPr="008C1238">
        <w:rPr>
          <w:rFonts w:ascii="Times New Roman" w:eastAsia="Times New Roman" w:hAnsi="Times New Roman" w:cs="Times New Roman"/>
          <w:sz w:val="24"/>
          <w:szCs w:val="24"/>
          <w:lang w:eastAsia="lv-LV"/>
        </w:rPr>
        <w:t>"pagaidu guļvieta", un īpašniekam ir jāpieprasa plānošanas atļauja.</w:t>
      </w:r>
      <w:r w:rsidRPr="008C1238">
        <w:rPr>
          <w:rFonts w:ascii="Times New Roman" w:eastAsia="Times New Roman" w:hAnsi="Times New Roman" w:cs="Times New Roman"/>
          <w:sz w:val="24"/>
          <w:szCs w:val="24"/>
          <w:lang w:eastAsia="lv-LV"/>
        </w:rPr>
        <w:t xml:space="preserve"> </w:t>
      </w:r>
      <w:r w:rsidR="004079E4" w:rsidRPr="008C1238">
        <w:rPr>
          <w:rFonts w:ascii="Times New Roman" w:eastAsia="Times New Roman" w:hAnsi="Times New Roman" w:cs="Times New Roman"/>
          <w:sz w:val="24"/>
          <w:szCs w:val="24"/>
          <w:lang w:eastAsia="lv-LV"/>
        </w:rPr>
        <w:t>Ir iespējams arī atļaut otr</w:t>
      </w:r>
      <w:r w:rsidR="002A47EE" w:rsidRPr="008C1238">
        <w:rPr>
          <w:rFonts w:ascii="Times New Roman" w:eastAsia="Times New Roman" w:hAnsi="Times New Roman" w:cs="Times New Roman"/>
          <w:sz w:val="24"/>
          <w:szCs w:val="24"/>
          <w:lang w:eastAsia="lv-LV"/>
        </w:rPr>
        <w:t>u</w:t>
      </w:r>
      <w:r w:rsidR="004079E4" w:rsidRPr="008C1238">
        <w:rPr>
          <w:rFonts w:ascii="Times New Roman" w:eastAsia="Times New Roman" w:hAnsi="Times New Roman" w:cs="Times New Roman"/>
          <w:sz w:val="24"/>
          <w:szCs w:val="24"/>
          <w:lang w:eastAsia="lv-LV"/>
        </w:rPr>
        <w:t xml:space="preserve"> dzīvesvietu, bet tas var</w:t>
      </w:r>
      <w:r w:rsidR="002A47EE" w:rsidRPr="008C1238">
        <w:rPr>
          <w:rFonts w:ascii="Times New Roman" w:eastAsia="Times New Roman" w:hAnsi="Times New Roman" w:cs="Times New Roman"/>
          <w:sz w:val="24"/>
          <w:szCs w:val="24"/>
          <w:lang w:eastAsia="lv-LV"/>
        </w:rPr>
        <w:t xml:space="preserve"> būt nepieciešama</w:t>
      </w:r>
      <w:r w:rsidR="004079E4" w:rsidRPr="008C1238">
        <w:rPr>
          <w:rFonts w:ascii="Times New Roman" w:eastAsia="Times New Roman" w:hAnsi="Times New Roman" w:cs="Times New Roman"/>
          <w:sz w:val="24"/>
          <w:szCs w:val="24"/>
          <w:lang w:eastAsia="lv-LV"/>
        </w:rPr>
        <w:t xml:space="preserve"> licenc</w:t>
      </w:r>
      <w:r w:rsidR="002A47EE" w:rsidRPr="008C1238">
        <w:rPr>
          <w:rFonts w:ascii="Times New Roman" w:eastAsia="Times New Roman" w:hAnsi="Times New Roman" w:cs="Times New Roman"/>
          <w:sz w:val="24"/>
          <w:szCs w:val="24"/>
          <w:lang w:eastAsia="lv-LV"/>
        </w:rPr>
        <w:t>e</w:t>
      </w:r>
      <w:r w:rsidR="004079E4" w:rsidRPr="008C1238">
        <w:rPr>
          <w:rFonts w:ascii="Times New Roman" w:eastAsia="Times New Roman" w:hAnsi="Times New Roman" w:cs="Times New Roman"/>
          <w:sz w:val="24"/>
          <w:szCs w:val="24"/>
          <w:lang w:eastAsia="lv-LV"/>
        </w:rPr>
        <w:t xml:space="preserve">. Tur nav ierobežojumu attiecībā uz uzturēšanās proporciju. Tāpat </w:t>
      </w:r>
      <w:r w:rsidR="005C7845" w:rsidRPr="008C1238">
        <w:rPr>
          <w:rFonts w:ascii="Times New Roman" w:eastAsia="Times New Roman" w:hAnsi="Times New Roman" w:cs="Times New Roman"/>
          <w:sz w:val="24"/>
          <w:szCs w:val="24"/>
          <w:lang w:eastAsia="lv-LV"/>
        </w:rPr>
        <w:t>fiziskai personai kā</w:t>
      </w:r>
      <w:r w:rsidR="004079E4" w:rsidRPr="008C1238">
        <w:rPr>
          <w:rFonts w:ascii="Times New Roman" w:eastAsia="Times New Roman" w:hAnsi="Times New Roman" w:cs="Times New Roman"/>
          <w:sz w:val="24"/>
          <w:szCs w:val="24"/>
          <w:lang w:eastAsia="lv-LV"/>
        </w:rPr>
        <w:t xml:space="preserve"> pakalpojuma sniedzējam nav pienākums dzīvot </w:t>
      </w:r>
      <w:r w:rsidR="008B7966" w:rsidRPr="008C1238">
        <w:rPr>
          <w:rFonts w:ascii="Times New Roman" w:eastAsia="Times New Roman" w:hAnsi="Times New Roman" w:cs="Times New Roman"/>
          <w:sz w:val="24"/>
          <w:szCs w:val="24"/>
          <w:lang w:eastAsia="lv-LV"/>
        </w:rPr>
        <w:t xml:space="preserve">mājoklī tā </w:t>
      </w:r>
      <w:r w:rsidR="004079E4" w:rsidRPr="008C1238">
        <w:rPr>
          <w:rFonts w:ascii="Times New Roman" w:eastAsia="Times New Roman" w:hAnsi="Times New Roman" w:cs="Times New Roman"/>
          <w:sz w:val="24"/>
          <w:szCs w:val="24"/>
          <w:lang w:eastAsia="lv-LV"/>
        </w:rPr>
        <w:t>izīrēšanas perioda laikā. Visbeidzot, vietējās iestādes var pārbaudīt un identificēt dzīvojamo māju apdraudējum</w:t>
      </w:r>
      <w:r w:rsidR="00F80109" w:rsidRPr="008C1238">
        <w:rPr>
          <w:rFonts w:ascii="Times New Roman" w:eastAsia="Times New Roman" w:hAnsi="Times New Roman" w:cs="Times New Roman"/>
          <w:sz w:val="24"/>
          <w:szCs w:val="24"/>
          <w:lang w:eastAsia="lv-LV"/>
        </w:rPr>
        <w:t>u</w:t>
      </w:r>
      <w:r w:rsidR="004079E4" w:rsidRPr="008C1238">
        <w:rPr>
          <w:rFonts w:ascii="Times New Roman" w:eastAsia="Times New Roman" w:hAnsi="Times New Roman" w:cs="Times New Roman"/>
          <w:sz w:val="24"/>
          <w:szCs w:val="24"/>
          <w:lang w:eastAsia="lv-LV"/>
        </w:rPr>
        <w:t xml:space="preserve">s saskaņā ar "Mājokļu veselības un drošības novērtējuma sistēmu" </w:t>
      </w:r>
      <w:r w:rsidR="00F80109" w:rsidRPr="008C1238">
        <w:rPr>
          <w:rFonts w:ascii="Times New Roman" w:eastAsia="Times New Roman" w:hAnsi="Times New Roman" w:cs="Times New Roman"/>
          <w:sz w:val="24"/>
          <w:szCs w:val="24"/>
          <w:lang w:eastAsia="lv-LV"/>
        </w:rPr>
        <w:t>(</w:t>
      </w:r>
      <w:r w:rsidR="004079E4" w:rsidRPr="008C1238">
        <w:rPr>
          <w:rFonts w:ascii="Times New Roman" w:eastAsia="Times New Roman" w:hAnsi="Times New Roman" w:cs="Times New Roman"/>
          <w:sz w:val="24"/>
          <w:szCs w:val="24"/>
          <w:lang w:eastAsia="lv-LV"/>
        </w:rPr>
        <w:t>ieviest</w:t>
      </w:r>
      <w:r w:rsidR="00F80109" w:rsidRPr="008C1238">
        <w:rPr>
          <w:rFonts w:ascii="Times New Roman" w:eastAsia="Times New Roman" w:hAnsi="Times New Roman" w:cs="Times New Roman"/>
          <w:sz w:val="24"/>
          <w:szCs w:val="24"/>
          <w:lang w:eastAsia="lv-LV"/>
        </w:rPr>
        <w:t>a</w:t>
      </w:r>
      <w:r w:rsidR="004079E4" w:rsidRPr="008C1238">
        <w:rPr>
          <w:rFonts w:ascii="Times New Roman" w:eastAsia="Times New Roman" w:hAnsi="Times New Roman" w:cs="Times New Roman"/>
          <w:sz w:val="24"/>
          <w:szCs w:val="24"/>
          <w:lang w:eastAsia="lv-LV"/>
        </w:rPr>
        <w:t xml:space="preserve"> ar "Mājokļu likumu 2004"</w:t>
      </w:r>
      <w:r w:rsidR="00F80109" w:rsidRPr="008C1238">
        <w:rPr>
          <w:rFonts w:ascii="Times New Roman" w:eastAsia="Times New Roman" w:hAnsi="Times New Roman" w:cs="Times New Roman"/>
          <w:sz w:val="24"/>
          <w:szCs w:val="24"/>
          <w:lang w:eastAsia="lv-LV"/>
        </w:rPr>
        <w:t>)</w:t>
      </w:r>
      <w:r w:rsidR="004079E4" w:rsidRPr="008C1238">
        <w:rPr>
          <w:rFonts w:ascii="Times New Roman" w:eastAsia="Times New Roman" w:hAnsi="Times New Roman" w:cs="Times New Roman"/>
          <w:sz w:val="24"/>
          <w:szCs w:val="24"/>
          <w:lang w:eastAsia="lv-LV"/>
        </w:rPr>
        <w:t>. Pārbaudes var veikt pēc īrnieka pieprasījuma vai padomes vēlēšanās. Pārbaudes attiecas uz ūdens, gāzes un elektrības iekārtām, higiēnas un sanitārām iekārtām utt.</w:t>
      </w:r>
    </w:p>
    <w:p w14:paraId="37D64AA3" w14:textId="6D87CE33" w:rsidR="00370731" w:rsidRPr="008C1238" w:rsidRDefault="00370731" w:rsidP="00166C53">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Lielbritānijas </w:t>
      </w:r>
      <w:r w:rsidRPr="00370731">
        <w:rPr>
          <w:rFonts w:ascii="Times New Roman" w:eastAsia="Times New Roman" w:hAnsi="Times New Roman" w:cs="Times New Roman"/>
          <w:sz w:val="24"/>
          <w:szCs w:val="24"/>
          <w:lang w:eastAsia="lv-LV"/>
        </w:rPr>
        <w:t xml:space="preserve">nodokļu un muitas administrācijas veiktajā pētījumā par sadarbības ekonomiku  minēts, ka 54% aptaujāto respondentu sadarbības ekonomiku uzskata tikai par veidu kā gūt papildus ienākumu. Personas, kas darbojas sadarbības ekonomikā sevi uzskata par </w:t>
      </w:r>
      <w:proofErr w:type="spellStart"/>
      <w:r w:rsidRPr="00370731">
        <w:rPr>
          <w:rFonts w:ascii="Times New Roman" w:eastAsia="Times New Roman" w:hAnsi="Times New Roman" w:cs="Times New Roman"/>
          <w:sz w:val="24"/>
          <w:szCs w:val="24"/>
          <w:lang w:eastAsia="lv-LV"/>
        </w:rPr>
        <w:t>pašnodarbinātajām</w:t>
      </w:r>
      <w:proofErr w:type="spellEnd"/>
      <w:r w:rsidRPr="00370731">
        <w:rPr>
          <w:rFonts w:ascii="Times New Roman" w:eastAsia="Times New Roman" w:hAnsi="Times New Roman" w:cs="Times New Roman"/>
          <w:sz w:val="24"/>
          <w:szCs w:val="24"/>
          <w:lang w:eastAsia="lv-LV"/>
        </w:rPr>
        <w:t xml:space="preserve"> personām, ja tām ir kontrole pār savu darbu (dalību), tām pieder aprīkojums, ar kuru sniegts pakalpojumus, tās nesaņem darba ņēmēja ieguvumus, saņem atalgojumu ar platformas starpniecību nevis no platformas. Vairākas personas arī minēja, ka sevi uzskata par </w:t>
      </w:r>
      <w:proofErr w:type="spellStart"/>
      <w:r w:rsidRPr="00370731">
        <w:rPr>
          <w:rFonts w:ascii="Times New Roman" w:eastAsia="Times New Roman" w:hAnsi="Times New Roman" w:cs="Times New Roman"/>
          <w:sz w:val="24"/>
          <w:szCs w:val="24"/>
          <w:lang w:eastAsia="lv-LV"/>
        </w:rPr>
        <w:t>pašnodarbinātajām</w:t>
      </w:r>
      <w:proofErr w:type="spellEnd"/>
      <w:r w:rsidRPr="00370731">
        <w:rPr>
          <w:rFonts w:ascii="Times New Roman" w:eastAsia="Times New Roman" w:hAnsi="Times New Roman" w:cs="Times New Roman"/>
          <w:sz w:val="24"/>
          <w:szCs w:val="24"/>
          <w:lang w:eastAsia="lv-LV"/>
        </w:rPr>
        <w:t>, jo platforma</w:t>
      </w:r>
      <w:r w:rsidR="003D11D7">
        <w:rPr>
          <w:rFonts w:ascii="Times New Roman" w:eastAsia="Times New Roman" w:hAnsi="Times New Roman" w:cs="Times New Roman"/>
          <w:sz w:val="24"/>
          <w:szCs w:val="24"/>
          <w:lang w:eastAsia="lv-LV"/>
        </w:rPr>
        <w:t>s</w:t>
      </w:r>
      <w:r w:rsidRPr="00370731">
        <w:rPr>
          <w:rFonts w:ascii="Times New Roman" w:eastAsia="Times New Roman" w:hAnsi="Times New Roman" w:cs="Times New Roman"/>
          <w:sz w:val="24"/>
          <w:szCs w:val="24"/>
          <w:lang w:eastAsia="lv-LV"/>
        </w:rPr>
        <w:t xml:space="preserve"> </w:t>
      </w:r>
      <w:r w:rsidR="003D11D7">
        <w:rPr>
          <w:rFonts w:ascii="Times New Roman" w:eastAsia="Times New Roman" w:hAnsi="Times New Roman" w:cs="Times New Roman"/>
          <w:sz w:val="24"/>
          <w:szCs w:val="24"/>
          <w:lang w:eastAsia="lv-LV"/>
        </w:rPr>
        <w:t>noteica</w:t>
      </w:r>
      <w:r w:rsidRPr="00370731">
        <w:rPr>
          <w:rFonts w:ascii="Times New Roman" w:eastAsia="Times New Roman" w:hAnsi="Times New Roman" w:cs="Times New Roman"/>
          <w:sz w:val="24"/>
          <w:szCs w:val="24"/>
          <w:lang w:eastAsia="lv-LV"/>
        </w:rPr>
        <w:t>. Saskaņā ar šo pētījumu 81% aptaujāto respondentu Lielbritānijā ar sadarbības ekonomikas starpniecību gadā nopelna zem 11 000 mārciņu. Personas, kas pelnīja virs 11 000 mārciņu, galvenokārt darbojas sadarbības ekonomikā pilnu laiku (lielākoties nodarbinātas transporta vai īstermiņa pakalpojumu sniegšanas jomās).</w:t>
      </w:r>
      <w:r w:rsidR="00D96C10" w:rsidRPr="00D96C10">
        <w:t xml:space="preserve"> </w:t>
      </w:r>
      <w:r w:rsidR="00D96C10" w:rsidRPr="00D96C10">
        <w:rPr>
          <w:rFonts w:ascii="Times New Roman" w:eastAsia="Times New Roman" w:hAnsi="Times New Roman" w:cs="Times New Roman"/>
          <w:sz w:val="24"/>
          <w:szCs w:val="24"/>
          <w:lang w:eastAsia="lv-LV"/>
        </w:rPr>
        <w:t xml:space="preserve">54% respondentu neuzskata, ka no šiem ienākumiem būtu jāmaksā nodokļi, savukārt tikai 27% </w:t>
      </w:r>
      <w:r w:rsidR="00D96C10" w:rsidRPr="00D96C10">
        <w:rPr>
          <w:rFonts w:ascii="Times New Roman" w:eastAsia="Times New Roman" w:hAnsi="Times New Roman" w:cs="Times New Roman"/>
          <w:sz w:val="24"/>
          <w:szCs w:val="24"/>
          <w:lang w:eastAsia="lv-LV"/>
        </w:rPr>
        <w:lastRenderedPageBreak/>
        <w:t xml:space="preserve">respondentu uzskata, ka nodokļi jāmaksā. 51% aptaujāto arī ir pārliecināti, ka pilnībā zina savas nodokļu saistības un pienākumus. </w:t>
      </w:r>
      <w:r>
        <w:rPr>
          <w:rStyle w:val="FootnoteReference"/>
          <w:rFonts w:ascii="Times New Roman" w:eastAsia="Times New Roman" w:hAnsi="Times New Roman" w:cs="Times New Roman"/>
          <w:sz w:val="24"/>
          <w:szCs w:val="24"/>
          <w:lang w:eastAsia="lv-LV"/>
        </w:rPr>
        <w:footnoteReference w:id="14"/>
      </w:r>
    </w:p>
    <w:p w14:paraId="200E175D" w14:textId="77777777" w:rsidR="009B41E1" w:rsidRPr="008C1238" w:rsidRDefault="009B41E1" w:rsidP="001A4CCE">
      <w:pPr>
        <w:spacing w:after="0" w:line="240" w:lineRule="auto"/>
        <w:jc w:val="both"/>
        <w:rPr>
          <w:rFonts w:ascii="Times New Roman" w:eastAsia="Times New Roman" w:hAnsi="Times New Roman" w:cs="Times New Roman"/>
          <w:bCs/>
          <w:sz w:val="24"/>
          <w:szCs w:val="24"/>
          <w:lang w:eastAsia="lv-LV"/>
        </w:rPr>
      </w:pPr>
    </w:p>
    <w:p w14:paraId="0189296B" w14:textId="55E309FD" w:rsidR="00D216DE" w:rsidRPr="00BC3374" w:rsidRDefault="002548C2" w:rsidP="00B220F9">
      <w:pPr>
        <w:spacing w:after="0" w:line="240" w:lineRule="auto"/>
        <w:jc w:val="center"/>
        <w:rPr>
          <w:rFonts w:ascii="Times New Roman" w:eastAsia="Times New Roman" w:hAnsi="Times New Roman" w:cs="Times New Roman"/>
          <w:b/>
          <w:bCs/>
          <w:sz w:val="24"/>
          <w:szCs w:val="24"/>
          <w:lang w:eastAsia="lv-LV"/>
        </w:rPr>
      </w:pPr>
      <w:r w:rsidRPr="00BC3374">
        <w:rPr>
          <w:rFonts w:ascii="Times New Roman" w:eastAsia="Times New Roman" w:hAnsi="Times New Roman" w:cs="Times New Roman"/>
          <w:b/>
          <w:bCs/>
          <w:sz w:val="24"/>
          <w:szCs w:val="24"/>
          <w:lang w:eastAsia="lv-LV"/>
        </w:rPr>
        <w:t>2.</w:t>
      </w:r>
      <w:r w:rsidR="000D45A5" w:rsidRPr="00BC3374">
        <w:rPr>
          <w:rFonts w:ascii="Times New Roman" w:eastAsia="Times New Roman" w:hAnsi="Times New Roman" w:cs="Times New Roman"/>
          <w:b/>
          <w:bCs/>
          <w:sz w:val="24"/>
          <w:szCs w:val="24"/>
          <w:lang w:eastAsia="lv-LV"/>
        </w:rPr>
        <w:t>4</w:t>
      </w:r>
      <w:r w:rsidRPr="00BC3374">
        <w:rPr>
          <w:rFonts w:ascii="Times New Roman" w:eastAsia="Times New Roman" w:hAnsi="Times New Roman" w:cs="Times New Roman"/>
          <w:b/>
          <w:bCs/>
          <w:sz w:val="24"/>
          <w:szCs w:val="24"/>
          <w:lang w:eastAsia="lv-LV"/>
        </w:rPr>
        <w:t>. Sadarbības ekonomika</w:t>
      </w:r>
      <w:r w:rsidR="00E65AD9" w:rsidRPr="00BC3374">
        <w:rPr>
          <w:rFonts w:ascii="Times New Roman" w:eastAsia="Times New Roman" w:hAnsi="Times New Roman" w:cs="Times New Roman"/>
          <w:b/>
          <w:bCs/>
          <w:sz w:val="24"/>
          <w:szCs w:val="24"/>
          <w:lang w:eastAsia="lv-LV"/>
        </w:rPr>
        <w:t xml:space="preserve">s tendences </w:t>
      </w:r>
      <w:r w:rsidRPr="00BC3374">
        <w:rPr>
          <w:rFonts w:ascii="Times New Roman" w:eastAsia="Times New Roman" w:hAnsi="Times New Roman" w:cs="Times New Roman"/>
          <w:b/>
          <w:bCs/>
          <w:sz w:val="24"/>
          <w:szCs w:val="24"/>
          <w:lang w:eastAsia="lv-LV"/>
        </w:rPr>
        <w:t>Latvijā</w:t>
      </w:r>
      <w:r w:rsidR="008678DF" w:rsidRPr="00BC3374">
        <w:rPr>
          <w:rFonts w:ascii="Times New Roman" w:eastAsia="Times New Roman" w:hAnsi="Times New Roman" w:cs="Times New Roman"/>
          <w:b/>
          <w:bCs/>
          <w:sz w:val="24"/>
          <w:szCs w:val="24"/>
          <w:lang w:eastAsia="lv-LV"/>
        </w:rPr>
        <w:t xml:space="preserve"> un identificētie problēmjautājumi</w:t>
      </w:r>
    </w:p>
    <w:p w14:paraId="060694C3" w14:textId="77777777" w:rsidR="00D216DE" w:rsidRPr="00C50AD8" w:rsidRDefault="00D216DE" w:rsidP="008A5BD2">
      <w:pPr>
        <w:spacing w:after="0" w:line="240" w:lineRule="auto"/>
        <w:ind w:firstLine="709"/>
        <w:jc w:val="both"/>
        <w:rPr>
          <w:rFonts w:ascii="Times New Roman" w:eastAsia="Times New Roman" w:hAnsi="Times New Roman" w:cs="Times New Roman"/>
          <w:bCs/>
          <w:sz w:val="28"/>
          <w:szCs w:val="28"/>
          <w:lang w:eastAsia="lv-LV"/>
        </w:rPr>
      </w:pPr>
    </w:p>
    <w:p w14:paraId="4585BABB" w14:textId="1F98A600" w:rsidR="00D35488" w:rsidRPr="00BC3374" w:rsidRDefault="00D35488" w:rsidP="008A5BD2">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Latvijā </w:t>
      </w:r>
      <w:r w:rsidR="009365F3" w:rsidRPr="00BC3374">
        <w:rPr>
          <w:rFonts w:ascii="Times New Roman" w:eastAsia="Times New Roman" w:hAnsi="Times New Roman" w:cs="Times New Roman"/>
          <w:bCs/>
          <w:sz w:val="24"/>
          <w:szCs w:val="24"/>
          <w:lang w:eastAsia="lv-LV"/>
        </w:rPr>
        <w:t xml:space="preserve">kopumā </w:t>
      </w:r>
      <w:r w:rsidR="00572E9C" w:rsidRPr="00BC3374">
        <w:rPr>
          <w:rFonts w:ascii="Times New Roman" w:eastAsia="Times New Roman" w:hAnsi="Times New Roman" w:cs="Times New Roman"/>
          <w:bCs/>
          <w:sz w:val="24"/>
          <w:szCs w:val="24"/>
          <w:lang w:eastAsia="lv-LV"/>
        </w:rPr>
        <w:t xml:space="preserve">transporta, izmitināšanas un finanšu sektorā </w:t>
      </w:r>
      <w:r w:rsidRPr="00BC3374">
        <w:rPr>
          <w:rFonts w:ascii="Times New Roman" w:eastAsia="Times New Roman" w:hAnsi="Times New Roman" w:cs="Times New Roman"/>
          <w:bCs/>
          <w:sz w:val="24"/>
          <w:szCs w:val="24"/>
          <w:lang w:eastAsia="lv-LV"/>
        </w:rPr>
        <w:t xml:space="preserve">darbojas 11 platformas un to kopējais tirgus apjoms </w:t>
      </w:r>
      <w:r w:rsidR="00842BBF" w:rsidRPr="00BC3374">
        <w:rPr>
          <w:rFonts w:ascii="Times New Roman" w:eastAsia="Times New Roman" w:hAnsi="Times New Roman" w:cs="Times New Roman"/>
          <w:bCs/>
          <w:sz w:val="24"/>
          <w:szCs w:val="24"/>
          <w:lang w:eastAsia="lv-LV"/>
        </w:rPr>
        <w:t>2016.</w:t>
      </w:r>
      <w:r w:rsidR="003912BA" w:rsidRPr="00BC3374">
        <w:rPr>
          <w:rFonts w:ascii="Times New Roman" w:eastAsia="Times New Roman" w:hAnsi="Times New Roman" w:cs="Times New Roman"/>
          <w:bCs/>
          <w:sz w:val="24"/>
          <w:szCs w:val="24"/>
          <w:lang w:eastAsia="lv-LV"/>
        </w:rPr>
        <w:t> </w:t>
      </w:r>
      <w:r w:rsidR="00842BBF" w:rsidRPr="00BC3374">
        <w:rPr>
          <w:rFonts w:ascii="Times New Roman" w:eastAsia="Times New Roman" w:hAnsi="Times New Roman" w:cs="Times New Roman"/>
          <w:bCs/>
          <w:sz w:val="24"/>
          <w:szCs w:val="24"/>
          <w:lang w:eastAsia="lv-LV"/>
        </w:rPr>
        <w:t xml:space="preserve">gadā </w:t>
      </w:r>
      <w:r w:rsidRPr="00BC3374">
        <w:rPr>
          <w:rFonts w:ascii="Times New Roman" w:eastAsia="Times New Roman" w:hAnsi="Times New Roman" w:cs="Times New Roman"/>
          <w:bCs/>
          <w:sz w:val="24"/>
          <w:szCs w:val="24"/>
          <w:lang w:eastAsia="lv-LV"/>
        </w:rPr>
        <w:t>sasniedz</w:t>
      </w:r>
      <w:r w:rsidR="001022CF" w:rsidRPr="00BC3374">
        <w:rPr>
          <w:rFonts w:ascii="Times New Roman" w:eastAsia="Times New Roman" w:hAnsi="Times New Roman" w:cs="Times New Roman"/>
          <w:bCs/>
          <w:sz w:val="24"/>
          <w:szCs w:val="24"/>
          <w:lang w:eastAsia="lv-LV"/>
        </w:rPr>
        <w:t xml:space="preserve">a 157,7 milj. EUR, nodrošinot 3 162 darba vietas. </w:t>
      </w:r>
      <w:r w:rsidR="00837BA8" w:rsidRPr="00BC3374">
        <w:rPr>
          <w:rFonts w:ascii="Times New Roman" w:eastAsia="Times New Roman" w:hAnsi="Times New Roman" w:cs="Times New Roman"/>
          <w:bCs/>
          <w:sz w:val="24"/>
          <w:szCs w:val="24"/>
          <w:lang w:eastAsia="lv-LV"/>
        </w:rPr>
        <w:t>Vērtējot sadarbības ekonomikas lomu Latvijas tautsaimniecībā</w:t>
      </w:r>
      <w:r w:rsidR="00D558C0" w:rsidRPr="00BC3374">
        <w:rPr>
          <w:rFonts w:ascii="Times New Roman" w:eastAsia="Times New Roman" w:hAnsi="Times New Roman" w:cs="Times New Roman"/>
          <w:bCs/>
          <w:sz w:val="24"/>
          <w:szCs w:val="24"/>
          <w:lang w:eastAsia="lv-LV"/>
        </w:rPr>
        <w:t>,</w:t>
      </w:r>
      <w:r w:rsidR="00837BA8" w:rsidRPr="00BC3374">
        <w:rPr>
          <w:rFonts w:ascii="Times New Roman" w:eastAsia="Times New Roman" w:hAnsi="Times New Roman" w:cs="Times New Roman"/>
          <w:bCs/>
          <w:sz w:val="24"/>
          <w:szCs w:val="24"/>
          <w:lang w:eastAsia="lv-LV"/>
        </w:rPr>
        <w:t xml:space="preserve"> </w:t>
      </w:r>
      <w:r w:rsidR="00D558C0" w:rsidRPr="00BC3374">
        <w:rPr>
          <w:rFonts w:ascii="Times New Roman" w:eastAsia="Times New Roman" w:hAnsi="Times New Roman" w:cs="Times New Roman"/>
          <w:bCs/>
          <w:sz w:val="24"/>
          <w:szCs w:val="24"/>
          <w:lang w:eastAsia="lv-LV"/>
        </w:rPr>
        <w:t xml:space="preserve">Eiropas Komisija </w:t>
      </w:r>
      <w:r w:rsidR="00837BA8" w:rsidRPr="00BC3374">
        <w:rPr>
          <w:rFonts w:ascii="Times New Roman" w:eastAsia="Times New Roman" w:hAnsi="Times New Roman" w:cs="Times New Roman"/>
          <w:bCs/>
          <w:sz w:val="24"/>
          <w:szCs w:val="24"/>
          <w:lang w:eastAsia="lv-LV"/>
        </w:rPr>
        <w:t>secin</w:t>
      </w:r>
      <w:r w:rsidR="00D558C0" w:rsidRPr="00BC3374">
        <w:rPr>
          <w:rFonts w:ascii="Times New Roman" w:eastAsia="Times New Roman" w:hAnsi="Times New Roman" w:cs="Times New Roman"/>
          <w:bCs/>
          <w:sz w:val="24"/>
          <w:szCs w:val="24"/>
          <w:lang w:eastAsia="lv-LV"/>
        </w:rPr>
        <w:t>a</w:t>
      </w:r>
      <w:r w:rsidR="00837BA8" w:rsidRPr="00BC3374">
        <w:rPr>
          <w:rFonts w:ascii="Times New Roman" w:eastAsia="Times New Roman" w:hAnsi="Times New Roman" w:cs="Times New Roman"/>
          <w:bCs/>
          <w:sz w:val="24"/>
          <w:szCs w:val="24"/>
          <w:lang w:eastAsia="lv-LV"/>
        </w:rPr>
        <w:t xml:space="preserve">, ka Latvija ir viena no vadošajām </w:t>
      </w:r>
      <w:r w:rsidR="00D42AC0" w:rsidRPr="00BC3374">
        <w:rPr>
          <w:rFonts w:ascii="Times New Roman" w:eastAsia="Times New Roman" w:hAnsi="Times New Roman" w:cs="Times New Roman"/>
          <w:bCs/>
          <w:sz w:val="24"/>
          <w:szCs w:val="24"/>
          <w:lang w:eastAsia="lv-LV"/>
        </w:rPr>
        <w:t xml:space="preserve">Eiropas Savienības </w:t>
      </w:r>
      <w:r w:rsidR="00837BA8" w:rsidRPr="00BC3374">
        <w:rPr>
          <w:rFonts w:ascii="Times New Roman" w:eastAsia="Times New Roman" w:hAnsi="Times New Roman" w:cs="Times New Roman"/>
          <w:bCs/>
          <w:sz w:val="24"/>
          <w:szCs w:val="24"/>
          <w:lang w:eastAsia="lv-LV"/>
        </w:rPr>
        <w:t>dalībvalstīm attiecībā uz platformu skaitu</w:t>
      </w:r>
      <w:r w:rsidR="00D558C0" w:rsidRPr="00BC3374">
        <w:rPr>
          <w:rFonts w:ascii="Times New Roman" w:eastAsia="Times New Roman" w:hAnsi="Times New Roman" w:cs="Times New Roman"/>
          <w:bCs/>
          <w:sz w:val="24"/>
          <w:szCs w:val="24"/>
          <w:lang w:eastAsia="lv-LV"/>
        </w:rPr>
        <w:t xml:space="preserve"> (3,59</w:t>
      </w:r>
      <w:r w:rsidR="003912BA" w:rsidRPr="00BC3374">
        <w:rPr>
          <w:rFonts w:ascii="Times New Roman" w:eastAsia="Times New Roman" w:hAnsi="Times New Roman" w:cs="Times New Roman"/>
          <w:bCs/>
          <w:sz w:val="24"/>
          <w:szCs w:val="24"/>
          <w:lang w:eastAsia="lv-LV"/>
        </w:rPr>
        <w:t xml:space="preserve"> platformas</w:t>
      </w:r>
      <w:r w:rsidR="00837BA8" w:rsidRPr="00BC3374">
        <w:rPr>
          <w:rFonts w:ascii="Times New Roman" w:eastAsia="Times New Roman" w:hAnsi="Times New Roman" w:cs="Times New Roman"/>
          <w:bCs/>
          <w:sz w:val="24"/>
          <w:szCs w:val="24"/>
          <w:lang w:eastAsia="lv-LV"/>
        </w:rPr>
        <w:t xml:space="preserve"> uz </w:t>
      </w:r>
      <w:r w:rsidR="00D558C0" w:rsidRPr="00BC3374">
        <w:rPr>
          <w:rFonts w:ascii="Times New Roman" w:eastAsia="Times New Roman" w:hAnsi="Times New Roman" w:cs="Times New Roman"/>
          <w:bCs/>
          <w:sz w:val="24"/>
          <w:szCs w:val="24"/>
          <w:lang w:eastAsia="lv-LV"/>
        </w:rPr>
        <w:t>vienu</w:t>
      </w:r>
      <w:r w:rsidR="00837BA8" w:rsidRPr="00BC3374">
        <w:rPr>
          <w:rFonts w:ascii="Times New Roman" w:eastAsia="Times New Roman" w:hAnsi="Times New Roman" w:cs="Times New Roman"/>
          <w:bCs/>
          <w:sz w:val="24"/>
          <w:szCs w:val="24"/>
          <w:lang w:eastAsia="lv-LV"/>
        </w:rPr>
        <w:t xml:space="preserve"> miljonu iedzīvotāju</w:t>
      </w:r>
      <w:r w:rsidR="003912BA" w:rsidRPr="00BC3374">
        <w:rPr>
          <w:rFonts w:ascii="Times New Roman" w:eastAsia="Times New Roman" w:hAnsi="Times New Roman" w:cs="Times New Roman"/>
          <w:bCs/>
          <w:sz w:val="24"/>
          <w:szCs w:val="24"/>
          <w:lang w:eastAsia="lv-LV"/>
        </w:rPr>
        <w:t>)</w:t>
      </w:r>
      <w:r w:rsidR="00837BA8" w:rsidRPr="00BC3374">
        <w:rPr>
          <w:rFonts w:ascii="Times New Roman" w:eastAsia="Times New Roman" w:hAnsi="Times New Roman" w:cs="Times New Roman"/>
          <w:bCs/>
          <w:sz w:val="24"/>
          <w:szCs w:val="24"/>
          <w:lang w:eastAsia="lv-LV"/>
        </w:rPr>
        <w:t>, sadarbības ekonomikas ieņēmumi</w:t>
      </w:r>
      <w:r w:rsidR="00D558C0" w:rsidRPr="00BC3374">
        <w:rPr>
          <w:rFonts w:ascii="Times New Roman" w:eastAsia="Times New Roman" w:hAnsi="Times New Roman" w:cs="Times New Roman"/>
          <w:bCs/>
          <w:sz w:val="24"/>
          <w:szCs w:val="24"/>
          <w:lang w:eastAsia="lv-LV"/>
        </w:rPr>
        <w:t>em</w:t>
      </w:r>
      <w:r w:rsidR="00837BA8" w:rsidRPr="00BC3374">
        <w:rPr>
          <w:rFonts w:ascii="Times New Roman" w:eastAsia="Times New Roman" w:hAnsi="Times New Roman" w:cs="Times New Roman"/>
          <w:bCs/>
          <w:sz w:val="24"/>
          <w:szCs w:val="24"/>
          <w:lang w:eastAsia="lv-LV"/>
        </w:rPr>
        <w:t xml:space="preserve"> attiecībā pret </w:t>
      </w:r>
      <w:bookmarkStart w:id="8" w:name="_Hlk520963833"/>
      <w:r w:rsidR="00AF56A7" w:rsidRPr="00BC3374">
        <w:rPr>
          <w:rFonts w:ascii="Times New Roman" w:eastAsia="Times New Roman" w:hAnsi="Times New Roman" w:cs="Times New Roman"/>
          <w:bCs/>
          <w:sz w:val="24"/>
          <w:szCs w:val="24"/>
          <w:lang w:eastAsia="lv-LV"/>
        </w:rPr>
        <w:t>iekšzemes kopprodukt</w:t>
      </w:r>
      <w:bookmarkEnd w:id="8"/>
      <w:r w:rsidR="00AF56A7" w:rsidRPr="00BC3374">
        <w:rPr>
          <w:rFonts w:ascii="Times New Roman" w:eastAsia="Times New Roman" w:hAnsi="Times New Roman" w:cs="Times New Roman"/>
          <w:bCs/>
          <w:sz w:val="24"/>
          <w:szCs w:val="24"/>
          <w:lang w:eastAsia="lv-LV"/>
        </w:rPr>
        <w:t xml:space="preserve">u </w:t>
      </w:r>
      <w:r w:rsidR="00837BA8" w:rsidRPr="00BC3374">
        <w:rPr>
          <w:rFonts w:ascii="Times New Roman" w:eastAsia="Times New Roman" w:hAnsi="Times New Roman" w:cs="Times New Roman"/>
          <w:bCs/>
          <w:sz w:val="24"/>
          <w:szCs w:val="24"/>
          <w:lang w:eastAsia="lv-LV"/>
        </w:rPr>
        <w:t>(0,63%</w:t>
      </w:r>
      <w:r w:rsidR="00D558C0" w:rsidRPr="00BC3374">
        <w:rPr>
          <w:rFonts w:ascii="Times New Roman" w:eastAsia="Times New Roman" w:hAnsi="Times New Roman" w:cs="Times New Roman"/>
          <w:bCs/>
          <w:sz w:val="24"/>
          <w:szCs w:val="24"/>
          <w:lang w:eastAsia="lv-LV"/>
        </w:rPr>
        <w:t xml:space="preserve"> no </w:t>
      </w:r>
      <w:r w:rsidR="00D52E80" w:rsidRPr="00BC3374">
        <w:rPr>
          <w:rFonts w:ascii="Times New Roman" w:eastAsia="Times New Roman" w:hAnsi="Times New Roman" w:cs="Times New Roman"/>
          <w:bCs/>
          <w:sz w:val="24"/>
          <w:szCs w:val="24"/>
          <w:lang w:eastAsia="lv-LV"/>
        </w:rPr>
        <w:t>iekšzemes kopprodukta</w:t>
      </w:r>
      <w:r w:rsidR="00837BA8" w:rsidRPr="00BC3374">
        <w:rPr>
          <w:rFonts w:ascii="Times New Roman" w:eastAsia="Times New Roman" w:hAnsi="Times New Roman" w:cs="Times New Roman"/>
          <w:bCs/>
          <w:sz w:val="24"/>
          <w:szCs w:val="24"/>
          <w:lang w:eastAsia="lv-LV"/>
        </w:rPr>
        <w:t>) un šajā jomā nodarbinā</w:t>
      </w:r>
      <w:r w:rsidR="00D558C0" w:rsidRPr="00BC3374">
        <w:rPr>
          <w:rFonts w:ascii="Times New Roman" w:eastAsia="Times New Roman" w:hAnsi="Times New Roman" w:cs="Times New Roman"/>
          <w:bCs/>
          <w:sz w:val="24"/>
          <w:szCs w:val="24"/>
          <w:lang w:eastAsia="lv-LV"/>
        </w:rPr>
        <w:t>tām</w:t>
      </w:r>
      <w:r w:rsidR="00837BA8" w:rsidRPr="00BC3374">
        <w:rPr>
          <w:rFonts w:ascii="Times New Roman" w:eastAsia="Times New Roman" w:hAnsi="Times New Roman" w:cs="Times New Roman"/>
          <w:bCs/>
          <w:sz w:val="24"/>
          <w:szCs w:val="24"/>
          <w:lang w:eastAsia="lv-LV"/>
        </w:rPr>
        <w:t xml:space="preserve"> </w:t>
      </w:r>
      <w:r w:rsidR="00D558C0" w:rsidRPr="00BC3374">
        <w:rPr>
          <w:rFonts w:ascii="Times New Roman" w:eastAsia="Times New Roman" w:hAnsi="Times New Roman" w:cs="Times New Roman"/>
          <w:bCs/>
          <w:sz w:val="24"/>
          <w:szCs w:val="24"/>
          <w:lang w:eastAsia="lv-LV"/>
        </w:rPr>
        <w:t xml:space="preserve">personām </w:t>
      </w:r>
      <w:r w:rsidR="00837BA8" w:rsidRPr="00BC3374">
        <w:rPr>
          <w:rFonts w:ascii="Times New Roman" w:eastAsia="Times New Roman" w:hAnsi="Times New Roman" w:cs="Times New Roman"/>
          <w:bCs/>
          <w:sz w:val="24"/>
          <w:szCs w:val="24"/>
          <w:lang w:eastAsia="lv-LV"/>
        </w:rPr>
        <w:t>(0,33%</w:t>
      </w:r>
      <w:r w:rsidR="00D558C0" w:rsidRPr="00BC3374">
        <w:rPr>
          <w:rFonts w:ascii="Times New Roman" w:eastAsia="Times New Roman" w:hAnsi="Times New Roman" w:cs="Times New Roman"/>
          <w:bCs/>
          <w:sz w:val="24"/>
          <w:szCs w:val="24"/>
          <w:lang w:eastAsia="lv-LV"/>
        </w:rPr>
        <w:t xml:space="preserve"> no visiem</w:t>
      </w:r>
      <w:r w:rsidR="00837BA8" w:rsidRPr="00BC3374">
        <w:rPr>
          <w:rFonts w:ascii="Times New Roman" w:eastAsia="Times New Roman" w:hAnsi="Times New Roman" w:cs="Times New Roman"/>
          <w:bCs/>
          <w:sz w:val="24"/>
          <w:szCs w:val="24"/>
          <w:lang w:eastAsia="lv-LV"/>
        </w:rPr>
        <w:t>), kas pārsniedz ES vidējo rādītāju.</w:t>
      </w:r>
      <w:r w:rsidR="00D558C0" w:rsidRPr="00BC3374">
        <w:rPr>
          <w:rStyle w:val="FootnoteReference"/>
          <w:rFonts w:ascii="Times New Roman" w:eastAsia="Times New Roman" w:hAnsi="Times New Roman" w:cs="Times New Roman"/>
          <w:bCs/>
          <w:sz w:val="24"/>
          <w:szCs w:val="24"/>
          <w:lang w:eastAsia="lv-LV"/>
        </w:rPr>
        <w:footnoteReference w:id="15"/>
      </w:r>
    </w:p>
    <w:p w14:paraId="04E21B53" w14:textId="09F63CC7" w:rsidR="00F15A36" w:rsidRPr="00BC3374" w:rsidRDefault="00185E63" w:rsidP="00B23E5A">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Sadarbības platformas Latvijas iedzīvotāju vidū guvušas lielu atsaucību. </w:t>
      </w:r>
      <w:r w:rsidR="0069532B" w:rsidRPr="00BC3374">
        <w:rPr>
          <w:rFonts w:ascii="Times New Roman" w:eastAsia="Times New Roman" w:hAnsi="Times New Roman" w:cs="Times New Roman"/>
          <w:bCs/>
          <w:sz w:val="24"/>
          <w:szCs w:val="24"/>
          <w:lang w:eastAsia="lv-LV"/>
        </w:rPr>
        <w:t>Latvija ir TOP 3 Eiropas valstu vidū, kuras iedzīvotāji jau ir izman</w:t>
      </w:r>
      <w:r w:rsidR="00D42AC0" w:rsidRPr="00BC3374">
        <w:rPr>
          <w:rFonts w:ascii="Times New Roman" w:eastAsia="Times New Roman" w:hAnsi="Times New Roman" w:cs="Times New Roman"/>
          <w:bCs/>
          <w:sz w:val="24"/>
          <w:szCs w:val="24"/>
          <w:lang w:eastAsia="lv-LV"/>
        </w:rPr>
        <w:t>tojuši sadarbības platformas (Francijā 36%, Īrijā</w:t>
      </w:r>
      <w:r w:rsidR="0069532B" w:rsidRPr="00BC3374">
        <w:rPr>
          <w:rFonts w:ascii="Times New Roman" w:eastAsia="Times New Roman" w:hAnsi="Times New Roman" w:cs="Times New Roman"/>
          <w:bCs/>
          <w:sz w:val="24"/>
          <w:szCs w:val="24"/>
          <w:lang w:eastAsia="lv-LV"/>
        </w:rPr>
        <w:t xml:space="preserve"> 35%, </w:t>
      </w:r>
      <w:r w:rsidR="00D42AC0" w:rsidRPr="00BC3374">
        <w:rPr>
          <w:rFonts w:ascii="Times New Roman" w:eastAsia="Times New Roman" w:hAnsi="Times New Roman" w:cs="Times New Roman"/>
          <w:bCs/>
          <w:sz w:val="24"/>
          <w:szCs w:val="24"/>
          <w:lang w:eastAsia="lv-LV"/>
        </w:rPr>
        <w:t>Latvijā</w:t>
      </w:r>
      <w:r w:rsidR="0069532B" w:rsidRPr="00BC3374">
        <w:rPr>
          <w:rFonts w:ascii="Times New Roman" w:eastAsia="Times New Roman" w:hAnsi="Times New Roman" w:cs="Times New Roman"/>
          <w:bCs/>
          <w:sz w:val="24"/>
          <w:szCs w:val="24"/>
          <w:lang w:eastAsia="lv-LV"/>
        </w:rPr>
        <w:t xml:space="preserve"> 24%, </w:t>
      </w:r>
      <w:r w:rsidR="003D7AF4" w:rsidRPr="00BC3374">
        <w:rPr>
          <w:rFonts w:ascii="Times New Roman" w:eastAsia="Times New Roman" w:hAnsi="Times New Roman" w:cs="Times New Roman"/>
          <w:bCs/>
          <w:sz w:val="24"/>
          <w:szCs w:val="24"/>
          <w:lang w:eastAsia="lv-LV"/>
        </w:rPr>
        <w:t>Horvātij</w:t>
      </w:r>
      <w:r w:rsidR="003912BA" w:rsidRPr="00BC3374">
        <w:rPr>
          <w:rFonts w:ascii="Times New Roman" w:eastAsia="Times New Roman" w:hAnsi="Times New Roman" w:cs="Times New Roman"/>
          <w:bCs/>
          <w:sz w:val="24"/>
          <w:szCs w:val="24"/>
          <w:lang w:eastAsia="lv-LV"/>
        </w:rPr>
        <w:t>ā</w:t>
      </w:r>
      <w:r w:rsidR="003D7AF4" w:rsidRPr="00BC3374">
        <w:rPr>
          <w:rFonts w:ascii="Times New Roman" w:eastAsia="Times New Roman" w:hAnsi="Times New Roman" w:cs="Times New Roman"/>
          <w:bCs/>
          <w:sz w:val="24"/>
          <w:szCs w:val="24"/>
          <w:lang w:eastAsia="lv-LV"/>
        </w:rPr>
        <w:t xml:space="preserve"> </w:t>
      </w:r>
      <w:r w:rsidR="0069532B" w:rsidRPr="00BC3374">
        <w:rPr>
          <w:rFonts w:ascii="Times New Roman" w:eastAsia="Times New Roman" w:hAnsi="Times New Roman" w:cs="Times New Roman"/>
          <w:bCs/>
          <w:sz w:val="24"/>
          <w:szCs w:val="24"/>
          <w:lang w:eastAsia="lv-LV"/>
        </w:rPr>
        <w:t>24%), un kur</w:t>
      </w:r>
      <w:r w:rsidR="00AF56A7" w:rsidRPr="00BC3374">
        <w:rPr>
          <w:rFonts w:ascii="Times New Roman" w:eastAsia="Times New Roman" w:hAnsi="Times New Roman" w:cs="Times New Roman"/>
          <w:bCs/>
          <w:sz w:val="24"/>
          <w:szCs w:val="24"/>
          <w:lang w:eastAsia="lv-LV"/>
        </w:rPr>
        <w:t>as iedzīvotāji</w:t>
      </w:r>
      <w:r w:rsidR="0069532B" w:rsidRPr="00BC3374">
        <w:rPr>
          <w:rFonts w:ascii="Times New Roman" w:eastAsia="Times New Roman" w:hAnsi="Times New Roman" w:cs="Times New Roman"/>
          <w:bCs/>
          <w:sz w:val="24"/>
          <w:szCs w:val="24"/>
          <w:lang w:eastAsia="lv-LV"/>
        </w:rPr>
        <w:t xml:space="preserve"> regulāri izmanto sadarbības ekonomikas platformas (</w:t>
      </w:r>
      <w:r w:rsidR="00D42AC0" w:rsidRPr="00BC3374">
        <w:rPr>
          <w:rFonts w:ascii="Times New Roman" w:eastAsia="Times New Roman" w:hAnsi="Times New Roman" w:cs="Times New Roman"/>
          <w:bCs/>
          <w:sz w:val="24"/>
          <w:szCs w:val="24"/>
          <w:lang w:eastAsia="lv-LV"/>
        </w:rPr>
        <w:t>Īrij</w:t>
      </w:r>
      <w:r w:rsidR="00AF56A7" w:rsidRPr="00BC3374">
        <w:rPr>
          <w:rFonts w:ascii="Times New Roman" w:eastAsia="Times New Roman" w:hAnsi="Times New Roman" w:cs="Times New Roman"/>
          <w:bCs/>
          <w:sz w:val="24"/>
          <w:szCs w:val="24"/>
          <w:lang w:eastAsia="lv-LV"/>
        </w:rPr>
        <w:t>ā</w:t>
      </w:r>
      <w:r w:rsidR="0069532B" w:rsidRPr="00BC3374">
        <w:rPr>
          <w:rFonts w:ascii="Times New Roman" w:eastAsia="Times New Roman" w:hAnsi="Times New Roman" w:cs="Times New Roman"/>
          <w:bCs/>
          <w:sz w:val="24"/>
          <w:szCs w:val="24"/>
          <w:lang w:eastAsia="lv-LV"/>
        </w:rPr>
        <w:t xml:space="preserve"> 12%, </w:t>
      </w:r>
      <w:r w:rsidR="00D42AC0" w:rsidRPr="00BC3374">
        <w:rPr>
          <w:rFonts w:ascii="Times New Roman" w:eastAsia="Times New Roman" w:hAnsi="Times New Roman" w:cs="Times New Roman"/>
          <w:bCs/>
          <w:sz w:val="24"/>
          <w:szCs w:val="24"/>
          <w:lang w:eastAsia="lv-LV"/>
        </w:rPr>
        <w:t>Latvij</w:t>
      </w:r>
      <w:r w:rsidR="00AF56A7" w:rsidRPr="00BC3374">
        <w:rPr>
          <w:rFonts w:ascii="Times New Roman" w:eastAsia="Times New Roman" w:hAnsi="Times New Roman" w:cs="Times New Roman"/>
          <w:bCs/>
          <w:sz w:val="24"/>
          <w:szCs w:val="24"/>
          <w:lang w:eastAsia="lv-LV"/>
        </w:rPr>
        <w:t>ā</w:t>
      </w:r>
      <w:r w:rsidR="0069532B" w:rsidRPr="00BC3374">
        <w:rPr>
          <w:rFonts w:ascii="Times New Roman" w:eastAsia="Times New Roman" w:hAnsi="Times New Roman" w:cs="Times New Roman"/>
          <w:bCs/>
          <w:sz w:val="24"/>
          <w:szCs w:val="24"/>
          <w:lang w:eastAsia="lv-LV"/>
        </w:rPr>
        <w:t xml:space="preserve"> 9%, </w:t>
      </w:r>
      <w:r w:rsidR="00D42AC0" w:rsidRPr="00BC3374">
        <w:rPr>
          <w:rFonts w:ascii="Times New Roman" w:eastAsia="Times New Roman" w:hAnsi="Times New Roman" w:cs="Times New Roman"/>
          <w:bCs/>
          <w:sz w:val="24"/>
          <w:szCs w:val="24"/>
          <w:lang w:eastAsia="lv-LV"/>
        </w:rPr>
        <w:t>Francij</w:t>
      </w:r>
      <w:r w:rsidR="00AF56A7" w:rsidRPr="00BC3374">
        <w:rPr>
          <w:rFonts w:ascii="Times New Roman" w:eastAsia="Times New Roman" w:hAnsi="Times New Roman" w:cs="Times New Roman"/>
          <w:bCs/>
          <w:sz w:val="24"/>
          <w:szCs w:val="24"/>
          <w:lang w:eastAsia="lv-LV"/>
        </w:rPr>
        <w:t>ā</w:t>
      </w:r>
      <w:r w:rsidR="0069532B" w:rsidRPr="00BC3374">
        <w:rPr>
          <w:rFonts w:ascii="Times New Roman" w:eastAsia="Times New Roman" w:hAnsi="Times New Roman" w:cs="Times New Roman"/>
          <w:bCs/>
          <w:sz w:val="24"/>
          <w:szCs w:val="24"/>
          <w:lang w:eastAsia="lv-LV"/>
        </w:rPr>
        <w:t xml:space="preserve"> 7% iedzīvotāju).</w:t>
      </w:r>
      <w:r w:rsidR="0069532B" w:rsidRPr="00BC3374">
        <w:rPr>
          <w:rStyle w:val="FootnoteReference"/>
          <w:rFonts w:ascii="Times New Roman" w:eastAsia="Times New Roman" w:hAnsi="Times New Roman" w:cs="Times New Roman"/>
          <w:bCs/>
          <w:sz w:val="24"/>
          <w:szCs w:val="24"/>
          <w:lang w:eastAsia="lv-LV"/>
        </w:rPr>
        <w:t xml:space="preserve"> </w:t>
      </w:r>
      <w:r w:rsidR="0069532B" w:rsidRPr="00BC3374">
        <w:rPr>
          <w:rStyle w:val="FootnoteReference"/>
          <w:rFonts w:ascii="Times New Roman" w:eastAsia="Times New Roman" w:hAnsi="Times New Roman" w:cs="Times New Roman"/>
          <w:bCs/>
          <w:sz w:val="24"/>
          <w:szCs w:val="24"/>
          <w:lang w:eastAsia="lv-LV"/>
        </w:rPr>
        <w:footnoteReference w:id="16"/>
      </w:r>
    </w:p>
    <w:p w14:paraId="7E33681E" w14:textId="230C8F97" w:rsidR="00562DA7" w:rsidRPr="00BC3374" w:rsidRDefault="00D558C0" w:rsidP="00D558C0">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Eiropas Komisijas pētījumā, v</w:t>
      </w:r>
      <w:r w:rsidR="004C33A0" w:rsidRPr="00BC3374">
        <w:rPr>
          <w:rFonts w:ascii="Times New Roman" w:eastAsia="Times New Roman" w:hAnsi="Times New Roman" w:cs="Times New Roman"/>
          <w:bCs/>
          <w:sz w:val="24"/>
          <w:szCs w:val="24"/>
          <w:lang w:eastAsia="lv-LV"/>
        </w:rPr>
        <w:t>ērtējot uzņēmējdarbības vides piemērotību sadarbības ekonomikai</w:t>
      </w:r>
      <w:r w:rsidRPr="00BC3374">
        <w:rPr>
          <w:rFonts w:ascii="Times New Roman" w:eastAsia="Times New Roman" w:hAnsi="Times New Roman" w:cs="Times New Roman"/>
          <w:bCs/>
          <w:sz w:val="24"/>
          <w:szCs w:val="24"/>
          <w:lang w:eastAsia="lv-LV"/>
        </w:rPr>
        <w:t xml:space="preserve">, </w:t>
      </w:r>
      <w:r w:rsidR="00873D25" w:rsidRPr="00BC3374">
        <w:rPr>
          <w:rFonts w:ascii="Times New Roman" w:eastAsia="Times New Roman" w:hAnsi="Times New Roman" w:cs="Times New Roman"/>
          <w:bCs/>
          <w:sz w:val="24"/>
          <w:szCs w:val="24"/>
          <w:lang w:eastAsia="lv-LV"/>
        </w:rPr>
        <w:t>Latvija</w:t>
      </w:r>
      <w:r w:rsidR="004C33A0" w:rsidRPr="00BC3374">
        <w:rPr>
          <w:rFonts w:ascii="Times New Roman" w:eastAsia="Times New Roman" w:hAnsi="Times New Roman" w:cs="Times New Roman"/>
          <w:bCs/>
          <w:sz w:val="24"/>
          <w:szCs w:val="24"/>
          <w:lang w:eastAsia="lv-LV"/>
        </w:rPr>
        <w:t xml:space="preserve"> </w:t>
      </w:r>
      <w:r w:rsidR="00873D25" w:rsidRPr="00BC3374">
        <w:rPr>
          <w:rFonts w:ascii="Times New Roman" w:eastAsia="Times New Roman" w:hAnsi="Times New Roman" w:cs="Times New Roman"/>
          <w:bCs/>
          <w:sz w:val="24"/>
          <w:szCs w:val="24"/>
          <w:lang w:eastAsia="lv-LV"/>
        </w:rPr>
        <w:t>ierindota 22</w:t>
      </w:r>
      <w:r w:rsidR="00AF56A7" w:rsidRPr="00BC3374">
        <w:rPr>
          <w:rFonts w:ascii="Times New Roman" w:eastAsia="Times New Roman" w:hAnsi="Times New Roman" w:cs="Times New Roman"/>
          <w:bCs/>
          <w:sz w:val="24"/>
          <w:szCs w:val="24"/>
          <w:lang w:eastAsia="lv-LV"/>
        </w:rPr>
        <w:t>. </w:t>
      </w:r>
      <w:r w:rsidR="00873D25" w:rsidRPr="00BC3374">
        <w:rPr>
          <w:rFonts w:ascii="Times New Roman" w:eastAsia="Times New Roman" w:hAnsi="Times New Roman" w:cs="Times New Roman"/>
          <w:bCs/>
          <w:sz w:val="24"/>
          <w:szCs w:val="24"/>
          <w:lang w:eastAsia="lv-LV"/>
        </w:rPr>
        <w:t>vietā starp 28 dalībvalstīm</w:t>
      </w:r>
      <w:r w:rsidRPr="00BC3374">
        <w:rPr>
          <w:rFonts w:ascii="Times New Roman" w:eastAsia="Times New Roman" w:hAnsi="Times New Roman" w:cs="Times New Roman"/>
          <w:bCs/>
          <w:sz w:val="24"/>
          <w:szCs w:val="24"/>
          <w:lang w:eastAsia="lv-LV"/>
        </w:rPr>
        <w:t>.</w:t>
      </w:r>
      <w:r w:rsidR="004C33A0" w:rsidRPr="00BC3374">
        <w:rPr>
          <w:rFonts w:ascii="Times New Roman" w:eastAsia="Times New Roman" w:hAnsi="Times New Roman" w:cs="Times New Roman"/>
          <w:bCs/>
          <w:sz w:val="24"/>
          <w:szCs w:val="24"/>
          <w:lang w:eastAsia="lv-LV"/>
        </w:rPr>
        <w:t xml:space="preserve"> </w:t>
      </w:r>
      <w:r w:rsidR="00562DA7" w:rsidRPr="00BC3374">
        <w:rPr>
          <w:rFonts w:ascii="Times New Roman" w:eastAsia="Times New Roman" w:hAnsi="Times New Roman" w:cs="Times New Roman"/>
          <w:bCs/>
          <w:sz w:val="24"/>
          <w:szCs w:val="24"/>
          <w:lang w:eastAsia="lv-LV"/>
        </w:rPr>
        <w:t>Latvija augstu novērtēta viesu izm</w:t>
      </w:r>
      <w:r w:rsidR="009E33D7" w:rsidRPr="00BC3374">
        <w:rPr>
          <w:rFonts w:ascii="Times New Roman" w:eastAsia="Times New Roman" w:hAnsi="Times New Roman" w:cs="Times New Roman"/>
          <w:bCs/>
          <w:sz w:val="24"/>
          <w:szCs w:val="24"/>
          <w:lang w:eastAsia="lv-LV"/>
        </w:rPr>
        <w:t>i</w:t>
      </w:r>
      <w:r w:rsidR="00562DA7" w:rsidRPr="00BC3374">
        <w:rPr>
          <w:rFonts w:ascii="Times New Roman" w:eastAsia="Times New Roman" w:hAnsi="Times New Roman" w:cs="Times New Roman"/>
          <w:bCs/>
          <w:sz w:val="24"/>
          <w:szCs w:val="24"/>
          <w:lang w:eastAsia="lv-LV"/>
        </w:rPr>
        <w:t>tināšanas jomā, kas galvenokārt ir saistīts ar regulējumu nodokļu un mājokļu noteikumos, bet mazāk labvēlīgs vērtējums ir finan</w:t>
      </w:r>
      <w:r w:rsidR="00783B97" w:rsidRPr="00BC3374">
        <w:rPr>
          <w:rFonts w:ascii="Times New Roman" w:eastAsia="Times New Roman" w:hAnsi="Times New Roman" w:cs="Times New Roman"/>
          <w:bCs/>
          <w:sz w:val="24"/>
          <w:szCs w:val="24"/>
          <w:lang w:eastAsia="lv-LV"/>
        </w:rPr>
        <w:t>šu</w:t>
      </w:r>
      <w:r w:rsidR="00562DA7" w:rsidRPr="00BC3374">
        <w:rPr>
          <w:rFonts w:ascii="Times New Roman" w:eastAsia="Times New Roman" w:hAnsi="Times New Roman" w:cs="Times New Roman"/>
          <w:bCs/>
          <w:sz w:val="24"/>
          <w:szCs w:val="24"/>
          <w:lang w:eastAsia="lv-LV"/>
        </w:rPr>
        <w:t xml:space="preserve"> un transporta</w:t>
      </w:r>
      <w:r w:rsidR="00783B97" w:rsidRPr="00BC3374">
        <w:rPr>
          <w:rFonts w:ascii="Times New Roman" w:eastAsia="Times New Roman" w:hAnsi="Times New Roman" w:cs="Times New Roman"/>
          <w:bCs/>
          <w:sz w:val="24"/>
          <w:szCs w:val="24"/>
          <w:lang w:eastAsia="lv-LV"/>
        </w:rPr>
        <w:t xml:space="preserve"> pakalpojumu</w:t>
      </w:r>
      <w:r w:rsidR="00562DA7" w:rsidRPr="00BC3374">
        <w:rPr>
          <w:rFonts w:ascii="Times New Roman" w:eastAsia="Times New Roman" w:hAnsi="Times New Roman" w:cs="Times New Roman"/>
          <w:bCs/>
          <w:sz w:val="24"/>
          <w:szCs w:val="24"/>
          <w:lang w:eastAsia="lv-LV"/>
        </w:rPr>
        <w:t xml:space="preserve"> jomā. </w:t>
      </w:r>
      <w:r w:rsidR="00783B97" w:rsidRPr="00BC3374">
        <w:rPr>
          <w:rFonts w:ascii="Times New Roman" w:eastAsia="Times New Roman" w:hAnsi="Times New Roman" w:cs="Times New Roman"/>
          <w:bCs/>
          <w:sz w:val="24"/>
          <w:szCs w:val="24"/>
          <w:lang w:eastAsia="lv-LV"/>
        </w:rPr>
        <w:t>Viszemāk</w:t>
      </w:r>
      <w:r w:rsidR="00562DA7" w:rsidRPr="00BC3374">
        <w:rPr>
          <w:rFonts w:ascii="Times New Roman" w:eastAsia="Times New Roman" w:hAnsi="Times New Roman" w:cs="Times New Roman"/>
          <w:bCs/>
          <w:sz w:val="24"/>
          <w:szCs w:val="24"/>
          <w:lang w:eastAsia="lv-LV"/>
        </w:rPr>
        <w:t xml:space="preserve"> Latvijā novērtēta</w:t>
      </w:r>
      <w:r w:rsidR="00783B97" w:rsidRPr="00BC3374">
        <w:rPr>
          <w:rFonts w:ascii="Times New Roman" w:eastAsia="Times New Roman" w:hAnsi="Times New Roman" w:cs="Times New Roman"/>
          <w:bCs/>
          <w:sz w:val="24"/>
          <w:szCs w:val="24"/>
          <w:lang w:eastAsia="lv-LV"/>
        </w:rPr>
        <w:t xml:space="preserve"> sadarbības ekonomikas </w:t>
      </w:r>
      <w:r w:rsidR="000F477F" w:rsidRPr="00BC3374">
        <w:rPr>
          <w:rFonts w:ascii="Times New Roman" w:eastAsia="Times New Roman" w:hAnsi="Times New Roman" w:cs="Times New Roman"/>
          <w:bCs/>
          <w:sz w:val="24"/>
          <w:szCs w:val="24"/>
          <w:lang w:eastAsia="lv-LV"/>
        </w:rPr>
        <w:t>administrēšana</w:t>
      </w:r>
      <w:r w:rsidR="00562DA7" w:rsidRPr="00BC3374">
        <w:rPr>
          <w:rFonts w:ascii="Times New Roman" w:eastAsia="Times New Roman" w:hAnsi="Times New Roman" w:cs="Times New Roman"/>
          <w:bCs/>
          <w:sz w:val="24"/>
          <w:szCs w:val="24"/>
          <w:lang w:eastAsia="lv-LV"/>
        </w:rPr>
        <w:t>.</w:t>
      </w:r>
      <w:r w:rsidR="00E9538E" w:rsidRPr="00BC3374">
        <w:rPr>
          <w:rFonts w:ascii="Times New Roman" w:eastAsia="Times New Roman" w:hAnsi="Times New Roman" w:cs="Times New Roman"/>
          <w:bCs/>
          <w:sz w:val="24"/>
          <w:szCs w:val="24"/>
          <w:lang w:eastAsia="lv-LV"/>
        </w:rPr>
        <w:t xml:space="preserve"> </w:t>
      </w:r>
    </w:p>
    <w:p w14:paraId="0FE7201A" w14:textId="33ED4755" w:rsidR="000D7CE9" w:rsidRPr="00BC3374" w:rsidRDefault="000D7CE9" w:rsidP="00DF5708">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Latvijā nav īpaš</w:t>
      </w:r>
      <w:r w:rsidR="00F03AE2" w:rsidRPr="00BC3374">
        <w:rPr>
          <w:rFonts w:ascii="Times New Roman" w:eastAsia="Times New Roman" w:hAnsi="Times New Roman" w:cs="Times New Roman"/>
          <w:bCs/>
          <w:sz w:val="24"/>
          <w:szCs w:val="24"/>
          <w:lang w:eastAsia="lv-LV"/>
        </w:rPr>
        <w:t>s</w:t>
      </w:r>
      <w:r w:rsidRPr="00BC3374">
        <w:rPr>
          <w:rFonts w:ascii="Times New Roman" w:eastAsia="Times New Roman" w:hAnsi="Times New Roman" w:cs="Times New Roman"/>
          <w:bCs/>
          <w:sz w:val="24"/>
          <w:szCs w:val="24"/>
          <w:lang w:eastAsia="lv-LV"/>
        </w:rPr>
        <w:t xml:space="preserve"> atsevišķ</w:t>
      </w:r>
      <w:r w:rsidR="00144FEB" w:rsidRPr="00BC3374">
        <w:rPr>
          <w:rFonts w:ascii="Times New Roman" w:eastAsia="Times New Roman" w:hAnsi="Times New Roman" w:cs="Times New Roman"/>
          <w:bCs/>
          <w:sz w:val="24"/>
          <w:szCs w:val="24"/>
          <w:lang w:eastAsia="lv-LV"/>
        </w:rPr>
        <w:t xml:space="preserve">s normatīvais akts, kas </w:t>
      </w:r>
      <w:r w:rsidRPr="00BC3374">
        <w:rPr>
          <w:rFonts w:ascii="Times New Roman" w:eastAsia="Times New Roman" w:hAnsi="Times New Roman" w:cs="Times New Roman"/>
          <w:bCs/>
          <w:sz w:val="24"/>
          <w:szCs w:val="24"/>
          <w:lang w:eastAsia="lv-LV"/>
        </w:rPr>
        <w:t>vispārēj</w:t>
      </w:r>
      <w:r w:rsidR="00144FEB" w:rsidRPr="00BC3374">
        <w:rPr>
          <w:rFonts w:ascii="Times New Roman" w:eastAsia="Times New Roman" w:hAnsi="Times New Roman" w:cs="Times New Roman"/>
          <w:bCs/>
          <w:sz w:val="24"/>
          <w:szCs w:val="24"/>
          <w:lang w:eastAsia="lv-LV"/>
        </w:rPr>
        <w:t>i</w:t>
      </w:r>
      <w:r w:rsidRPr="00BC3374">
        <w:rPr>
          <w:rFonts w:ascii="Times New Roman" w:eastAsia="Times New Roman" w:hAnsi="Times New Roman" w:cs="Times New Roman"/>
          <w:bCs/>
          <w:sz w:val="24"/>
          <w:szCs w:val="24"/>
          <w:lang w:eastAsia="lv-LV"/>
        </w:rPr>
        <w:t xml:space="preserve"> regulē</w:t>
      </w:r>
      <w:r w:rsidR="00144FEB" w:rsidRPr="00BC3374">
        <w:rPr>
          <w:rFonts w:ascii="Times New Roman" w:eastAsia="Times New Roman" w:hAnsi="Times New Roman" w:cs="Times New Roman"/>
          <w:bCs/>
          <w:sz w:val="24"/>
          <w:szCs w:val="24"/>
          <w:lang w:eastAsia="lv-LV"/>
        </w:rPr>
        <w:t>tu</w:t>
      </w:r>
      <w:r w:rsidRPr="00BC3374">
        <w:rPr>
          <w:rFonts w:ascii="Times New Roman" w:eastAsia="Times New Roman" w:hAnsi="Times New Roman" w:cs="Times New Roman"/>
          <w:bCs/>
          <w:sz w:val="24"/>
          <w:szCs w:val="24"/>
          <w:lang w:eastAsia="lv-LV"/>
        </w:rPr>
        <w:t xml:space="preserve"> sadarbības ekonomiku, taču </w:t>
      </w:r>
      <w:r w:rsidR="00144FEB" w:rsidRPr="00BC3374">
        <w:rPr>
          <w:rFonts w:ascii="Times New Roman" w:eastAsia="Times New Roman" w:hAnsi="Times New Roman" w:cs="Times New Roman"/>
          <w:bCs/>
          <w:sz w:val="24"/>
          <w:szCs w:val="24"/>
          <w:lang w:eastAsia="lv-LV"/>
        </w:rPr>
        <w:t xml:space="preserve">atsevišķi nosacījumi </w:t>
      </w:r>
      <w:r w:rsidRPr="00BC3374">
        <w:rPr>
          <w:rFonts w:ascii="Times New Roman" w:eastAsia="Times New Roman" w:hAnsi="Times New Roman" w:cs="Times New Roman"/>
          <w:bCs/>
          <w:sz w:val="24"/>
          <w:szCs w:val="24"/>
          <w:lang w:eastAsia="lv-LV"/>
        </w:rPr>
        <w:t xml:space="preserve">ir </w:t>
      </w:r>
      <w:r w:rsidR="00144FEB" w:rsidRPr="00BC3374">
        <w:rPr>
          <w:rFonts w:ascii="Times New Roman" w:eastAsia="Times New Roman" w:hAnsi="Times New Roman" w:cs="Times New Roman"/>
          <w:bCs/>
          <w:sz w:val="24"/>
          <w:szCs w:val="24"/>
          <w:lang w:eastAsia="lv-LV"/>
        </w:rPr>
        <w:t>ietverti</w:t>
      </w:r>
      <w:r w:rsidRPr="00BC3374">
        <w:rPr>
          <w:rFonts w:ascii="Times New Roman" w:eastAsia="Times New Roman" w:hAnsi="Times New Roman" w:cs="Times New Roman"/>
          <w:bCs/>
          <w:sz w:val="24"/>
          <w:szCs w:val="24"/>
          <w:lang w:eastAsia="lv-LV"/>
        </w:rPr>
        <w:t xml:space="preserve"> vairāk</w:t>
      </w:r>
      <w:r w:rsidR="00144FEB" w:rsidRPr="00BC3374">
        <w:rPr>
          <w:rFonts w:ascii="Times New Roman" w:eastAsia="Times New Roman" w:hAnsi="Times New Roman" w:cs="Times New Roman"/>
          <w:bCs/>
          <w:sz w:val="24"/>
          <w:szCs w:val="24"/>
          <w:lang w:eastAsia="lv-LV"/>
        </w:rPr>
        <w:t>u</w:t>
      </w:r>
      <w:r w:rsidRPr="00BC3374">
        <w:rPr>
          <w:rFonts w:ascii="Times New Roman" w:eastAsia="Times New Roman" w:hAnsi="Times New Roman" w:cs="Times New Roman"/>
          <w:bCs/>
          <w:sz w:val="24"/>
          <w:szCs w:val="24"/>
          <w:lang w:eastAsia="lv-LV"/>
        </w:rPr>
        <w:t xml:space="preserve"> jom</w:t>
      </w:r>
      <w:r w:rsidR="00144FEB" w:rsidRPr="00BC3374">
        <w:rPr>
          <w:rFonts w:ascii="Times New Roman" w:eastAsia="Times New Roman" w:hAnsi="Times New Roman" w:cs="Times New Roman"/>
          <w:bCs/>
          <w:sz w:val="24"/>
          <w:szCs w:val="24"/>
          <w:lang w:eastAsia="lv-LV"/>
        </w:rPr>
        <w:t>u normatīvajos aktos</w:t>
      </w:r>
      <w:r w:rsidRPr="00BC3374">
        <w:rPr>
          <w:rFonts w:ascii="Times New Roman" w:eastAsia="Times New Roman" w:hAnsi="Times New Roman" w:cs="Times New Roman"/>
          <w:bCs/>
          <w:sz w:val="24"/>
          <w:szCs w:val="24"/>
          <w:lang w:eastAsia="lv-LV"/>
        </w:rPr>
        <w:t xml:space="preserve">. </w:t>
      </w:r>
      <w:r w:rsidR="00DF6482" w:rsidRPr="00BC3374">
        <w:rPr>
          <w:rFonts w:ascii="Times New Roman" w:eastAsia="Times New Roman" w:hAnsi="Times New Roman" w:cs="Times New Roman"/>
          <w:bCs/>
          <w:sz w:val="24"/>
          <w:szCs w:val="24"/>
          <w:lang w:eastAsia="lv-LV"/>
        </w:rPr>
        <w:t xml:space="preserve">Latvijā sadarbības ekonomika visvairāk ir attīstījusies </w:t>
      </w:r>
      <w:proofErr w:type="spellStart"/>
      <w:r w:rsidRPr="00BC3374">
        <w:rPr>
          <w:rFonts w:ascii="Times New Roman" w:eastAsia="Times New Roman" w:hAnsi="Times New Roman" w:cs="Times New Roman"/>
          <w:bCs/>
          <w:sz w:val="24"/>
          <w:szCs w:val="24"/>
          <w:lang w:eastAsia="lv-LV"/>
        </w:rPr>
        <w:t>kopfinansējuma</w:t>
      </w:r>
      <w:proofErr w:type="spellEnd"/>
      <w:r w:rsidRPr="00BC3374">
        <w:rPr>
          <w:rFonts w:ascii="Times New Roman" w:eastAsia="Times New Roman" w:hAnsi="Times New Roman" w:cs="Times New Roman"/>
          <w:bCs/>
          <w:sz w:val="24"/>
          <w:szCs w:val="24"/>
          <w:lang w:eastAsia="lv-LV"/>
        </w:rPr>
        <w:t xml:space="preserve"> pakalpojumu, </w:t>
      </w:r>
      <w:r w:rsidR="009A2221" w:rsidRPr="00BC3374">
        <w:rPr>
          <w:rFonts w:ascii="Times New Roman" w:eastAsia="Times New Roman" w:hAnsi="Times New Roman" w:cs="Times New Roman"/>
          <w:bCs/>
          <w:sz w:val="24"/>
          <w:szCs w:val="24"/>
          <w:lang w:eastAsia="lv-LV"/>
        </w:rPr>
        <w:t xml:space="preserve">vieglo pasažieru pārvadājumu un </w:t>
      </w:r>
      <w:r w:rsidRPr="00BC3374">
        <w:rPr>
          <w:rFonts w:ascii="Times New Roman" w:eastAsia="Times New Roman" w:hAnsi="Times New Roman" w:cs="Times New Roman"/>
          <w:bCs/>
          <w:sz w:val="24"/>
          <w:szCs w:val="24"/>
          <w:lang w:eastAsia="lv-LV"/>
        </w:rPr>
        <w:t xml:space="preserve">viesu īstermiņa </w:t>
      </w:r>
      <w:r w:rsidR="00840BCB" w:rsidRPr="00BC3374">
        <w:rPr>
          <w:rFonts w:ascii="Times New Roman" w:eastAsia="Times New Roman" w:hAnsi="Times New Roman" w:cs="Times New Roman"/>
          <w:bCs/>
          <w:sz w:val="24"/>
          <w:szCs w:val="24"/>
          <w:lang w:eastAsia="lv-LV"/>
        </w:rPr>
        <w:t xml:space="preserve">izmitināšanas </w:t>
      </w:r>
      <w:r w:rsidRPr="00BC3374">
        <w:rPr>
          <w:rFonts w:ascii="Times New Roman" w:eastAsia="Times New Roman" w:hAnsi="Times New Roman" w:cs="Times New Roman"/>
          <w:bCs/>
          <w:sz w:val="24"/>
          <w:szCs w:val="24"/>
          <w:lang w:eastAsia="lv-LV"/>
        </w:rPr>
        <w:t xml:space="preserve">jomās. </w:t>
      </w:r>
    </w:p>
    <w:p w14:paraId="6C1D6D58" w14:textId="77777777" w:rsidR="00907A2A" w:rsidRDefault="000D7CE9" w:rsidP="00DF5708">
      <w:pPr>
        <w:spacing w:after="0" w:line="240" w:lineRule="auto"/>
        <w:ind w:firstLine="709"/>
        <w:jc w:val="both"/>
        <w:rPr>
          <w:rFonts w:ascii="Times New Roman" w:eastAsia="Times New Roman" w:hAnsi="Times New Roman" w:cs="Times New Roman"/>
          <w:bCs/>
          <w:sz w:val="24"/>
          <w:szCs w:val="24"/>
          <w:lang w:eastAsia="lv-LV"/>
        </w:rPr>
      </w:pPr>
      <w:proofErr w:type="spellStart"/>
      <w:r w:rsidRPr="00BC3374">
        <w:rPr>
          <w:rFonts w:ascii="Times New Roman" w:eastAsia="Times New Roman" w:hAnsi="Times New Roman" w:cs="Times New Roman"/>
          <w:bCs/>
          <w:sz w:val="24"/>
          <w:szCs w:val="24"/>
          <w:lang w:eastAsia="lv-LV"/>
        </w:rPr>
        <w:t>Kopfinansējumu</w:t>
      </w:r>
      <w:proofErr w:type="spellEnd"/>
      <w:r w:rsidRPr="00BC3374">
        <w:rPr>
          <w:rFonts w:ascii="Times New Roman" w:eastAsia="Times New Roman" w:hAnsi="Times New Roman" w:cs="Times New Roman"/>
          <w:bCs/>
          <w:sz w:val="24"/>
          <w:szCs w:val="24"/>
          <w:lang w:eastAsia="lv-LV"/>
        </w:rPr>
        <w:t xml:space="preserve"> pakalpojumu jomā Finanšu ministrija ir izstrādājusi un </w:t>
      </w:r>
      <w:r w:rsidR="008A3CF5" w:rsidRPr="00BC3374">
        <w:rPr>
          <w:rFonts w:ascii="Times New Roman" w:hAnsi="Times New Roman" w:cs="Times New Roman"/>
          <w:sz w:val="24"/>
          <w:szCs w:val="24"/>
        </w:rPr>
        <w:t>2017. gada 7. septembrī</w:t>
      </w:r>
      <w:r w:rsidR="008A3CF5" w:rsidRPr="00BC3374">
        <w:rPr>
          <w:rFonts w:ascii="Times New Roman" w:eastAsia="Times New Roman" w:hAnsi="Times New Roman" w:cs="Times New Roman"/>
          <w:bCs/>
          <w:sz w:val="24"/>
          <w:szCs w:val="24"/>
          <w:lang w:eastAsia="lv-LV"/>
        </w:rPr>
        <w:t xml:space="preserve"> </w:t>
      </w:r>
      <w:r w:rsidRPr="00BC3374">
        <w:rPr>
          <w:rFonts w:ascii="Times New Roman" w:eastAsia="Times New Roman" w:hAnsi="Times New Roman" w:cs="Times New Roman"/>
          <w:bCs/>
          <w:sz w:val="24"/>
          <w:szCs w:val="24"/>
          <w:lang w:eastAsia="lv-LV"/>
        </w:rPr>
        <w:t>izsludinājusi Valsts sekretāru sanāksmē  likumprojektu "</w:t>
      </w:r>
      <w:proofErr w:type="spellStart"/>
      <w:r w:rsidRPr="00BC3374">
        <w:rPr>
          <w:rFonts w:ascii="Times New Roman" w:eastAsia="Times New Roman" w:hAnsi="Times New Roman" w:cs="Times New Roman"/>
          <w:bCs/>
          <w:sz w:val="24"/>
          <w:szCs w:val="24"/>
          <w:lang w:eastAsia="lv-LV"/>
        </w:rPr>
        <w:t>Kopfinansējuma</w:t>
      </w:r>
      <w:proofErr w:type="spellEnd"/>
      <w:r w:rsidRPr="00BC3374">
        <w:rPr>
          <w:rFonts w:ascii="Times New Roman" w:eastAsia="Times New Roman" w:hAnsi="Times New Roman" w:cs="Times New Roman"/>
          <w:bCs/>
          <w:sz w:val="24"/>
          <w:szCs w:val="24"/>
          <w:lang w:eastAsia="lv-LV"/>
        </w:rPr>
        <w:t xml:space="preserve"> pakalpojumu likums", kas paredz noteikt </w:t>
      </w:r>
      <w:proofErr w:type="spellStart"/>
      <w:r w:rsidRPr="00BC3374">
        <w:rPr>
          <w:rFonts w:ascii="Times New Roman" w:eastAsia="Times New Roman" w:hAnsi="Times New Roman" w:cs="Times New Roman"/>
          <w:bCs/>
          <w:sz w:val="24"/>
          <w:szCs w:val="24"/>
          <w:lang w:eastAsia="lv-LV"/>
        </w:rPr>
        <w:t>kopfinansējuma</w:t>
      </w:r>
      <w:proofErr w:type="spellEnd"/>
      <w:r w:rsidRPr="00BC3374">
        <w:rPr>
          <w:rFonts w:ascii="Times New Roman" w:eastAsia="Times New Roman" w:hAnsi="Times New Roman" w:cs="Times New Roman"/>
          <w:bCs/>
          <w:sz w:val="24"/>
          <w:szCs w:val="24"/>
          <w:lang w:eastAsia="lv-LV"/>
        </w:rPr>
        <w:t xml:space="preserve"> pakalpojumu sniedzēja darbības principus, atbildību, licencēšanas un uzraudzības kārtību, ieguldītāju un aizdevumu saņēmēju interešu aizsardzības pasākumus. </w:t>
      </w:r>
      <w:r w:rsidR="008E0EF0">
        <w:rPr>
          <w:rFonts w:ascii="Times New Roman" w:eastAsia="Times New Roman" w:hAnsi="Times New Roman" w:cs="Times New Roman"/>
          <w:bCs/>
          <w:sz w:val="24"/>
          <w:szCs w:val="24"/>
          <w:lang w:eastAsia="lv-LV"/>
        </w:rPr>
        <w:t>Pa</w:t>
      </w:r>
      <w:r w:rsidR="0066668C">
        <w:rPr>
          <w:rFonts w:ascii="Times New Roman" w:eastAsia="Times New Roman" w:hAnsi="Times New Roman" w:cs="Times New Roman"/>
          <w:bCs/>
          <w:sz w:val="24"/>
          <w:szCs w:val="24"/>
          <w:lang w:eastAsia="lv-LV"/>
        </w:rPr>
        <w:t xml:space="preserve">pildus tam Ministru kabinetā 2018.gada 14.augustā ir apstiprināts Informatīvais ziņojums </w:t>
      </w:r>
      <w:r w:rsidR="0066668C" w:rsidRPr="0066668C">
        <w:rPr>
          <w:rFonts w:ascii="Times New Roman" w:eastAsia="Times New Roman" w:hAnsi="Times New Roman" w:cs="Times New Roman"/>
          <w:bCs/>
          <w:sz w:val="24"/>
          <w:szCs w:val="24"/>
          <w:lang w:eastAsia="lv-LV"/>
        </w:rPr>
        <w:t>“Par virtuālo valūtu izmantošanas ieguvumiem un riskiem, un tālāko rīcību jomas attīstības veicināšanai un identificēto risku mazināšanai”</w:t>
      </w:r>
      <w:r w:rsidR="0077428F">
        <w:rPr>
          <w:rStyle w:val="FootnoteReference"/>
          <w:rFonts w:ascii="Times New Roman" w:eastAsia="Times New Roman" w:hAnsi="Times New Roman" w:cs="Times New Roman"/>
          <w:bCs/>
          <w:sz w:val="24"/>
          <w:szCs w:val="24"/>
          <w:lang w:eastAsia="lv-LV"/>
        </w:rPr>
        <w:footnoteReference w:id="17"/>
      </w:r>
      <w:r w:rsidR="0066668C">
        <w:rPr>
          <w:rFonts w:ascii="Times New Roman" w:eastAsia="Times New Roman" w:hAnsi="Times New Roman" w:cs="Times New Roman"/>
          <w:bCs/>
          <w:sz w:val="24"/>
          <w:szCs w:val="24"/>
          <w:lang w:eastAsia="lv-LV"/>
        </w:rPr>
        <w:t>, saskaņā ar kuru</w:t>
      </w:r>
      <w:r w:rsidR="00AE1631">
        <w:rPr>
          <w:rFonts w:ascii="Times New Roman" w:eastAsia="Times New Roman" w:hAnsi="Times New Roman" w:cs="Times New Roman"/>
          <w:bCs/>
          <w:sz w:val="24"/>
          <w:szCs w:val="24"/>
          <w:lang w:eastAsia="lv-LV"/>
        </w:rPr>
        <w:t xml:space="preserve"> ir </w:t>
      </w:r>
      <w:r w:rsidR="00886525">
        <w:rPr>
          <w:rFonts w:ascii="Times New Roman" w:eastAsia="Times New Roman" w:hAnsi="Times New Roman" w:cs="Times New Roman"/>
          <w:bCs/>
          <w:sz w:val="24"/>
          <w:szCs w:val="24"/>
          <w:lang w:eastAsia="lv-LV"/>
        </w:rPr>
        <w:t xml:space="preserve">paredzēti vairāki pasākumi, tādejādi nodrošinot </w:t>
      </w:r>
      <w:r w:rsidR="0077428F" w:rsidRPr="0077428F">
        <w:rPr>
          <w:rFonts w:ascii="Times New Roman" w:eastAsia="Times New Roman" w:hAnsi="Times New Roman" w:cs="Times New Roman"/>
          <w:bCs/>
          <w:sz w:val="24"/>
          <w:szCs w:val="24"/>
          <w:lang w:eastAsia="lv-LV"/>
        </w:rPr>
        <w:t>lielāku noteiktību un caurskatāmību finanšu pakalpojumu regulējuma, nodokļu, grāmatvedības un noziedzīgi iegūtu līdzekļu legalizācijas un terorisma finansēšanas novēršanas jomā</w:t>
      </w:r>
      <w:r w:rsidR="0077428F">
        <w:rPr>
          <w:rFonts w:ascii="Times New Roman" w:eastAsia="Times New Roman" w:hAnsi="Times New Roman" w:cs="Times New Roman"/>
          <w:bCs/>
          <w:sz w:val="24"/>
          <w:szCs w:val="24"/>
          <w:lang w:eastAsia="lv-LV"/>
        </w:rPr>
        <w:t xml:space="preserve">. Vienlaikus, </w:t>
      </w:r>
      <w:r w:rsidR="0077428F" w:rsidRPr="0077428F">
        <w:rPr>
          <w:rFonts w:ascii="Times New Roman" w:eastAsia="Times New Roman" w:hAnsi="Times New Roman" w:cs="Times New Roman"/>
          <w:bCs/>
          <w:sz w:val="24"/>
          <w:szCs w:val="24"/>
          <w:lang w:eastAsia="lv-LV"/>
        </w:rPr>
        <w:t>lai izvērtētu tehnoloģijas potenciālu</w:t>
      </w:r>
      <w:r w:rsidR="0077428F">
        <w:rPr>
          <w:rFonts w:ascii="Times New Roman" w:eastAsia="Times New Roman" w:hAnsi="Times New Roman" w:cs="Times New Roman"/>
          <w:bCs/>
          <w:sz w:val="24"/>
          <w:szCs w:val="24"/>
          <w:lang w:eastAsia="lv-LV"/>
        </w:rPr>
        <w:t>,</w:t>
      </w:r>
      <w:r w:rsidR="0077428F" w:rsidRPr="0077428F">
        <w:rPr>
          <w:rFonts w:ascii="Times New Roman" w:eastAsia="Times New Roman" w:hAnsi="Times New Roman" w:cs="Times New Roman"/>
          <w:bCs/>
          <w:sz w:val="24"/>
          <w:szCs w:val="24"/>
          <w:lang w:eastAsia="lv-LV"/>
        </w:rPr>
        <w:t xml:space="preserve"> uzlabo</w:t>
      </w:r>
      <w:r w:rsidR="0077428F">
        <w:rPr>
          <w:rFonts w:ascii="Times New Roman" w:eastAsia="Times New Roman" w:hAnsi="Times New Roman" w:cs="Times New Roman"/>
          <w:bCs/>
          <w:sz w:val="24"/>
          <w:szCs w:val="24"/>
          <w:lang w:eastAsia="lv-LV"/>
        </w:rPr>
        <w:t>tu</w:t>
      </w:r>
      <w:r w:rsidR="0077428F" w:rsidRPr="0077428F">
        <w:rPr>
          <w:rFonts w:ascii="Times New Roman" w:eastAsia="Times New Roman" w:hAnsi="Times New Roman" w:cs="Times New Roman"/>
          <w:bCs/>
          <w:sz w:val="24"/>
          <w:szCs w:val="24"/>
          <w:lang w:eastAsia="lv-LV"/>
        </w:rPr>
        <w:t xml:space="preserve"> valsts pārvaldes pakalpojumu efektivitāti un drošību, veicin</w:t>
      </w:r>
      <w:r w:rsidR="0077428F">
        <w:rPr>
          <w:rFonts w:ascii="Times New Roman" w:eastAsia="Times New Roman" w:hAnsi="Times New Roman" w:cs="Times New Roman"/>
          <w:bCs/>
          <w:sz w:val="24"/>
          <w:szCs w:val="24"/>
          <w:lang w:eastAsia="lv-LV"/>
        </w:rPr>
        <w:t>ātu</w:t>
      </w:r>
      <w:r w:rsidR="0077428F" w:rsidRPr="0077428F">
        <w:rPr>
          <w:rFonts w:ascii="Times New Roman" w:eastAsia="Times New Roman" w:hAnsi="Times New Roman" w:cs="Times New Roman"/>
          <w:bCs/>
          <w:sz w:val="24"/>
          <w:szCs w:val="24"/>
          <w:lang w:eastAsia="lv-LV"/>
        </w:rPr>
        <w:t xml:space="preserve"> tehnoloģij</w:t>
      </w:r>
      <w:r w:rsidR="0077428F">
        <w:rPr>
          <w:rFonts w:ascii="Times New Roman" w:eastAsia="Times New Roman" w:hAnsi="Times New Roman" w:cs="Times New Roman"/>
          <w:bCs/>
          <w:sz w:val="24"/>
          <w:szCs w:val="24"/>
          <w:lang w:eastAsia="lv-LV"/>
        </w:rPr>
        <w:t>u</w:t>
      </w:r>
      <w:r w:rsidR="0077428F" w:rsidRPr="0077428F">
        <w:rPr>
          <w:rFonts w:ascii="Times New Roman" w:eastAsia="Times New Roman" w:hAnsi="Times New Roman" w:cs="Times New Roman"/>
          <w:bCs/>
          <w:sz w:val="24"/>
          <w:szCs w:val="24"/>
          <w:lang w:eastAsia="lv-LV"/>
        </w:rPr>
        <w:t xml:space="preserve"> izmantošanu privātajā sektorā, identificētu barjeras un sagatavotu priekšlikumus pasākumiem tehnoloģijas atbalstam</w:t>
      </w:r>
      <w:r w:rsidR="0077428F">
        <w:rPr>
          <w:rFonts w:ascii="Times New Roman" w:eastAsia="Times New Roman" w:hAnsi="Times New Roman" w:cs="Times New Roman"/>
          <w:bCs/>
          <w:sz w:val="24"/>
          <w:szCs w:val="24"/>
          <w:lang w:eastAsia="lv-LV"/>
        </w:rPr>
        <w:t xml:space="preserve"> Ekonomikas ministrija šobrīd izstrādā i</w:t>
      </w:r>
      <w:r w:rsidR="0077428F" w:rsidRPr="0077428F">
        <w:rPr>
          <w:rFonts w:ascii="Times New Roman" w:eastAsia="Times New Roman" w:hAnsi="Times New Roman" w:cs="Times New Roman"/>
          <w:bCs/>
          <w:sz w:val="24"/>
          <w:szCs w:val="24"/>
          <w:lang w:eastAsia="lv-LV"/>
        </w:rPr>
        <w:t>nforma</w:t>
      </w:r>
      <w:r w:rsidR="0077428F">
        <w:rPr>
          <w:rFonts w:ascii="Times New Roman" w:eastAsia="Times New Roman" w:hAnsi="Times New Roman" w:cs="Times New Roman"/>
          <w:bCs/>
          <w:sz w:val="24"/>
          <w:szCs w:val="24"/>
          <w:lang w:eastAsia="lv-LV"/>
        </w:rPr>
        <w:t>tīvo ziņojumu</w:t>
      </w:r>
      <w:r w:rsidR="0077428F" w:rsidRPr="0077428F">
        <w:rPr>
          <w:rFonts w:ascii="Times New Roman" w:eastAsia="Times New Roman" w:hAnsi="Times New Roman" w:cs="Times New Roman"/>
          <w:bCs/>
          <w:sz w:val="24"/>
          <w:szCs w:val="24"/>
          <w:lang w:eastAsia="lv-LV"/>
        </w:rPr>
        <w:t xml:space="preserve"> “Par blokķēdes tehnoloģijas izmantošanas piemēriem, perspektīvām un tālāko rīcību jomas attīstības veicināšanai”</w:t>
      </w:r>
      <w:r w:rsidR="0077428F">
        <w:rPr>
          <w:rFonts w:ascii="Times New Roman" w:eastAsia="Times New Roman" w:hAnsi="Times New Roman" w:cs="Times New Roman"/>
          <w:bCs/>
          <w:sz w:val="24"/>
          <w:szCs w:val="24"/>
          <w:lang w:eastAsia="lv-LV"/>
        </w:rPr>
        <w:t xml:space="preserve">. </w:t>
      </w:r>
    </w:p>
    <w:p w14:paraId="40CA406E" w14:textId="52E66780" w:rsidR="00B220F9" w:rsidRDefault="000D7CE9" w:rsidP="00DF5708">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Ņemot vērā, ka vieglo pasažieru pārvadājumu un viesu īstermiņa izmitināšanas jomās arī strauji attīstās sadarbības ekonomika, </w:t>
      </w:r>
      <w:r w:rsidR="009A2221" w:rsidRPr="00BC3374">
        <w:rPr>
          <w:rFonts w:ascii="Times New Roman" w:eastAsia="Times New Roman" w:hAnsi="Times New Roman" w:cs="Times New Roman"/>
          <w:bCs/>
          <w:sz w:val="24"/>
          <w:szCs w:val="24"/>
          <w:lang w:eastAsia="lv-LV"/>
        </w:rPr>
        <w:t>turpmāk šajā konceptuālajā ziņojumā detalizētāk tiek apskatītas šīs jomas</w:t>
      </w:r>
      <w:r w:rsidR="00B220F9" w:rsidRPr="00BC3374">
        <w:rPr>
          <w:rFonts w:ascii="Times New Roman" w:eastAsia="Times New Roman" w:hAnsi="Times New Roman" w:cs="Times New Roman"/>
          <w:bCs/>
          <w:sz w:val="24"/>
          <w:szCs w:val="24"/>
          <w:lang w:eastAsia="lv-LV"/>
        </w:rPr>
        <w:t xml:space="preserve">. </w:t>
      </w:r>
    </w:p>
    <w:p w14:paraId="771C807A" w14:textId="77777777" w:rsidR="007A3290" w:rsidRDefault="007A3290" w:rsidP="007A3290">
      <w:pPr>
        <w:spacing w:after="0" w:line="240" w:lineRule="auto"/>
        <w:jc w:val="both"/>
        <w:rPr>
          <w:rFonts w:ascii="Times New Roman" w:eastAsia="Times New Roman" w:hAnsi="Times New Roman" w:cs="Times New Roman"/>
          <w:bCs/>
          <w:sz w:val="24"/>
          <w:szCs w:val="24"/>
          <w:lang w:eastAsia="lv-LV"/>
        </w:rPr>
      </w:pPr>
    </w:p>
    <w:p w14:paraId="72659A38" w14:textId="49884DC4" w:rsidR="007A3290" w:rsidRPr="007A3290" w:rsidRDefault="007A3290" w:rsidP="007A3290">
      <w:pPr>
        <w:pStyle w:val="ListParagraph"/>
        <w:numPr>
          <w:ilvl w:val="0"/>
          <w:numId w:val="12"/>
        </w:numPr>
        <w:spacing w:after="0" w:line="240" w:lineRule="auto"/>
        <w:jc w:val="both"/>
        <w:rPr>
          <w:rFonts w:ascii="Times New Roman" w:eastAsia="Times New Roman" w:hAnsi="Times New Roman" w:cs="Times New Roman"/>
          <w:b/>
          <w:bCs/>
          <w:sz w:val="24"/>
          <w:szCs w:val="24"/>
          <w:lang w:eastAsia="lv-LV"/>
        </w:rPr>
      </w:pPr>
      <w:r w:rsidRPr="007A3290">
        <w:rPr>
          <w:rFonts w:ascii="Times New Roman" w:eastAsia="Times New Roman" w:hAnsi="Times New Roman" w:cs="Times New Roman"/>
          <w:b/>
          <w:bCs/>
          <w:sz w:val="24"/>
          <w:szCs w:val="24"/>
          <w:lang w:eastAsia="lv-LV"/>
        </w:rPr>
        <w:lastRenderedPageBreak/>
        <w:t>Sadarbības ekonomikas tendences vieglo pasažieru pārvadājumu jomā</w:t>
      </w:r>
    </w:p>
    <w:p w14:paraId="3A943D2E" w14:textId="4670FFFD" w:rsidR="006E12DB" w:rsidRPr="00BC3374" w:rsidRDefault="005C735A" w:rsidP="006E12DB">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Attiecībā uz vieglo pasažieru pārvadājumu jomu, u</w:t>
      </w:r>
      <w:r w:rsidR="006E12DB" w:rsidRPr="00BC3374">
        <w:rPr>
          <w:rFonts w:ascii="Times New Roman" w:eastAsia="Times New Roman" w:hAnsi="Times New Roman" w:cs="Times New Roman"/>
          <w:bCs/>
          <w:sz w:val="24"/>
          <w:szCs w:val="24"/>
          <w:lang w:eastAsia="lv-LV"/>
        </w:rPr>
        <w:t>zsākot darbu pie sadarbības ekonomikas iniciatīvas un  regulējuma izstrādes, Ekonomikas ministrija 2016.</w:t>
      </w:r>
      <w:r w:rsidR="00AD2445" w:rsidRPr="00BC3374">
        <w:rPr>
          <w:rFonts w:ascii="Times New Roman" w:eastAsia="Times New Roman" w:hAnsi="Times New Roman" w:cs="Times New Roman"/>
          <w:bCs/>
          <w:sz w:val="24"/>
          <w:szCs w:val="24"/>
          <w:lang w:eastAsia="lv-LV"/>
        </w:rPr>
        <w:t> </w:t>
      </w:r>
      <w:r w:rsidR="006E12DB" w:rsidRPr="00BC3374">
        <w:rPr>
          <w:rFonts w:ascii="Times New Roman" w:eastAsia="Times New Roman" w:hAnsi="Times New Roman" w:cs="Times New Roman"/>
          <w:bCs/>
          <w:sz w:val="24"/>
          <w:szCs w:val="24"/>
          <w:lang w:eastAsia="lv-LV"/>
        </w:rPr>
        <w:t>gada 29.</w:t>
      </w:r>
      <w:r w:rsidR="00AD2445" w:rsidRPr="00BC3374">
        <w:rPr>
          <w:rFonts w:ascii="Times New Roman" w:eastAsia="Times New Roman" w:hAnsi="Times New Roman" w:cs="Times New Roman"/>
          <w:bCs/>
          <w:sz w:val="24"/>
          <w:szCs w:val="24"/>
          <w:lang w:eastAsia="lv-LV"/>
        </w:rPr>
        <w:t> </w:t>
      </w:r>
      <w:r w:rsidR="006E12DB" w:rsidRPr="00BC3374">
        <w:rPr>
          <w:rFonts w:ascii="Times New Roman" w:eastAsia="Times New Roman" w:hAnsi="Times New Roman" w:cs="Times New Roman"/>
          <w:bCs/>
          <w:sz w:val="24"/>
          <w:szCs w:val="24"/>
          <w:lang w:eastAsia="lv-LV"/>
        </w:rPr>
        <w:t xml:space="preserve">jūnijā noslēdza Savstarpējās sapratnes memorandu ar lielākajām </w:t>
      </w:r>
      <w:r w:rsidR="00654F3E">
        <w:rPr>
          <w:rFonts w:ascii="Times New Roman" w:eastAsia="Times New Roman" w:hAnsi="Times New Roman" w:cs="Times New Roman"/>
          <w:bCs/>
          <w:sz w:val="24"/>
          <w:szCs w:val="24"/>
          <w:lang w:eastAsia="lv-LV"/>
        </w:rPr>
        <w:t xml:space="preserve">pārvadātāju </w:t>
      </w:r>
      <w:r w:rsidR="006E12DB" w:rsidRPr="00BC3374">
        <w:rPr>
          <w:rFonts w:ascii="Times New Roman" w:eastAsia="Times New Roman" w:hAnsi="Times New Roman" w:cs="Times New Roman"/>
          <w:bCs/>
          <w:sz w:val="24"/>
          <w:szCs w:val="24"/>
          <w:lang w:eastAsia="lv-LV"/>
        </w:rPr>
        <w:t xml:space="preserve">platformām par vairākiem pamatprincipiem, paredzot, ka Ekonomikas ministrija pieņems sadarbības ekonomikas filozofiju un konceptuāli atbalstīs regulējuma ieviešanu, vienlaikus paredzot, ka nozare iestāsies par caurskatāmas nodokļu nomaksas principiem, patērētāju tiesību aizsardzību, godīgu </w:t>
      </w:r>
      <w:proofErr w:type="spellStart"/>
      <w:r w:rsidR="006E12DB" w:rsidRPr="00BC3374">
        <w:rPr>
          <w:rFonts w:ascii="Times New Roman" w:eastAsia="Times New Roman" w:hAnsi="Times New Roman" w:cs="Times New Roman"/>
          <w:bCs/>
          <w:sz w:val="24"/>
          <w:szCs w:val="24"/>
          <w:lang w:eastAsia="lv-LV"/>
        </w:rPr>
        <w:t>komercpraksi</w:t>
      </w:r>
      <w:proofErr w:type="spellEnd"/>
      <w:r w:rsidR="006E12DB" w:rsidRPr="00BC3374">
        <w:rPr>
          <w:rFonts w:ascii="Times New Roman" w:eastAsia="Times New Roman" w:hAnsi="Times New Roman" w:cs="Times New Roman"/>
          <w:bCs/>
          <w:sz w:val="24"/>
          <w:szCs w:val="24"/>
          <w:lang w:eastAsia="lv-LV"/>
        </w:rPr>
        <w:t xml:space="preserve"> un pasažieru un pakalpojuma sniedzēju drošību, kā arī iesaistīsies dialogā ar atbildīgajām iestādēm. Līdz ar to tika sperti pirmie soļi, lai sekmētu modernas, tehnoloģijās bāzētas ekonomikas attīstību, kas vienlaikus nodrošina nozares sakārtošanu un iekļaušanos kopējā pasažieru pārvadājumu tirgū.</w:t>
      </w:r>
    </w:p>
    <w:p w14:paraId="6B72C9AE" w14:textId="0766F9E8" w:rsidR="001E680B" w:rsidRDefault="006E12DB" w:rsidP="001E680B">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Lai pavērtu iespējas modernas ekonomikas attīstībai </w:t>
      </w:r>
      <w:r w:rsidR="00667DB7">
        <w:rPr>
          <w:rFonts w:ascii="Times New Roman" w:eastAsia="Times New Roman" w:hAnsi="Times New Roman" w:cs="Times New Roman"/>
          <w:bCs/>
          <w:sz w:val="24"/>
          <w:szCs w:val="24"/>
          <w:lang w:eastAsia="lv-LV"/>
        </w:rPr>
        <w:t xml:space="preserve">pasažieru </w:t>
      </w:r>
      <w:r w:rsidR="003C4B2E">
        <w:rPr>
          <w:rFonts w:ascii="Times New Roman" w:eastAsia="Times New Roman" w:hAnsi="Times New Roman" w:cs="Times New Roman"/>
          <w:bCs/>
          <w:sz w:val="24"/>
          <w:szCs w:val="24"/>
          <w:lang w:eastAsia="lv-LV"/>
        </w:rPr>
        <w:t xml:space="preserve">pārvadāšanā Saeima </w:t>
      </w:r>
      <w:r w:rsidRPr="00BC3374">
        <w:rPr>
          <w:rFonts w:ascii="Times New Roman" w:eastAsia="Times New Roman" w:hAnsi="Times New Roman" w:cs="Times New Roman"/>
          <w:bCs/>
          <w:sz w:val="24"/>
          <w:szCs w:val="24"/>
          <w:lang w:eastAsia="lv-LV"/>
        </w:rPr>
        <w:t>2017.</w:t>
      </w:r>
      <w:r w:rsidR="00AD2445" w:rsidRPr="00BC3374">
        <w:rPr>
          <w:rFonts w:ascii="Times New Roman" w:eastAsia="Times New Roman" w:hAnsi="Times New Roman" w:cs="Times New Roman"/>
          <w:bCs/>
          <w:sz w:val="24"/>
          <w:szCs w:val="24"/>
          <w:lang w:eastAsia="lv-LV"/>
        </w:rPr>
        <w:t> </w:t>
      </w:r>
      <w:r w:rsidRPr="00BC3374">
        <w:rPr>
          <w:rFonts w:ascii="Times New Roman" w:eastAsia="Times New Roman" w:hAnsi="Times New Roman" w:cs="Times New Roman"/>
          <w:bCs/>
          <w:sz w:val="24"/>
          <w:szCs w:val="24"/>
          <w:lang w:eastAsia="lv-LV"/>
        </w:rPr>
        <w:t>gada 28.</w:t>
      </w:r>
      <w:r w:rsidR="00AD2445" w:rsidRPr="00BC3374">
        <w:rPr>
          <w:rFonts w:ascii="Times New Roman" w:hAnsi="Times New Roman" w:cs="Times New Roman"/>
          <w:sz w:val="24"/>
          <w:szCs w:val="24"/>
        </w:rPr>
        <w:t> </w:t>
      </w:r>
      <w:r w:rsidRPr="00BC3374">
        <w:rPr>
          <w:rFonts w:ascii="Times New Roman" w:eastAsia="Times New Roman" w:hAnsi="Times New Roman" w:cs="Times New Roman"/>
          <w:bCs/>
          <w:sz w:val="24"/>
          <w:szCs w:val="24"/>
          <w:lang w:eastAsia="lv-LV"/>
        </w:rPr>
        <w:t xml:space="preserve">septembrī </w:t>
      </w:r>
      <w:r w:rsidR="001E680B" w:rsidRPr="00BC3374">
        <w:rPr>
          <w:rFonts w:ascii="Times New Roman" w:eastAsia="Times New Roman" w:hAnsi="Times New Roman" w:cs="Times New Roman"/>
          <w:bCs/>
          <w:sz w:val="24"/>
          <w:szCs w:val="24"/>
          <w:lang w:eastAsia="lv-LV"/>
        </w:rPr>
        <w:t>pieņēma</w:t>
      </w:r>
      <w:r w:rsidRPr="00BC3374">
        <w:rPr>
          <w:rFonts w:ascii="Times New Roman" w:eastAsia="Times New Roman" w:hAnsi="Times New Roman" w:cs="Times New Roman"/>
          <w:bCs/>
          <w:sz w:val="24"/>
          <w:szCs w:val="24"/>
          <w:lang w:eastAsia="lv-LV"/>
        </w:rPr>
        <w:t xml:space="preserve"> </w:t>
      </w:r>
      <w:r w:rsidR="003C4B2E">
        <w:rPr>
          <w:rFonts w:ascii="Times New Roman" w:eastAsia="Times New Roman" w:hAnsi="Times New Roman" w:cs="Times New Roman"/>
          <w:bCs/>
          <w:sz w:val="24"/>
          <w:szCs w:val="24"/>
          <w:lang w:eastAsia="lv-LV"/>
        </w:rPr>
        <w:t>grozījumus Autopārvadājumu likumā</w:t>
      </w:r>
      <w:r w:rsidR="00E71457">
        <w:rPr>
          <w:rFonts w:ascii="Times New Roman" w:eastAsia="Times New Roman" w:hAnsi="Times New Roman" w:cs="Times New Roman"/>
          <w:bCs/>
          <w:sz w:val="24"/>
          <w:szCs w:val="24"/>
          <w:lang w:eastAsia="lv-LV"/>
        </w:rPr>
        <w:t>.</w:t>
      </w:r>
      <w:r w:rsidR="001E680B" w:rsidRPr="00BC3374">
        <w:rPr>
          <w:rFonts w:ascii="Times New Roman" w:eastAsia="Times New Roman" w:hAnsi="Times New Roman" w:cs="Times New Roman"/>
          <w:bCs/>
          <w:sz w:val="24"/>
          <w:szCs w:val="24"/>
          <w:lang w:eastAsia="lv-LV"/>
        </w:rPr>
        <w:t xml:space="preserve"> Savukārt</w:t>
      </w:r>
      <w:r w:rsidRPr="00BC3374">
        <w:rPr>
          <w:rFonts w:ascii="Times New Roman" w:eastAsia="Times New Roman" w:hAnsi="Times New Roman" w:cs="Times New Roman"/>
          <w:bCs/>
          <w:sz w:val="24"/>
          <w:szCs w:val="24"/>
          <w:lang w:eastAsia="lv-LV"/>
        </w:rPr>
        <w:t xml:space="preserve"> Ministru kabinets 2018.</w:t>
      </w:r>
      <w:r w:rsidR="00AD2445" w:rsidRPr="00BC3374">
        <w:rPr>
          <w:rFonts w:ascii="Times New Roman" w:eastAsia="Times New Roman" w:hAnsi="Times New Roman" w:cs="Times New Roman"/>
          <w:bCs/>
          <w:sz w:val="24"/>
          <w:szCs w:val="24"/>
          <w:lang w:eastAsia="lv-LV"/>
        </w:rPr>
        <w:t> </w:t>
      </w:r>
      <w:r w:rsidRPr="00BC3374">
        <w:rPr>
          <w:rFonts w:ascii="Times New Roman" w:eastAsia="Times New Roman" w:hAnsi="Times New Roman" w:cs="Times New Roman"/>
          <w:bCs/>
          <w:sz w:val="24"/>
          <w:szCs w:val="24"/>
          <w:lang w:eastAsia="lv-LV"/>
        </w:rPr>
        <w:t>gada 6.</w:t>
      </w:r>
      <w:r w:rsidR="00AD2445" w:rsidRPr="00BC3374">
        <w:rPr>
          <w:rFonts w:ascii="Times New Roman" w:eastAsia="Times New Roman" w:hAnsi="Times New Roman" w:cs="Times New Roman"/>
          <w:bCs/>
          <w:sz w:val="24"/>
          <w:szCs w:val="24"/>
          <w:lang w:eastAsia="lv-LV"/>
        </w:rPr>
        <w:t> </w:t>
      </w:r>
      <w:r w:rsidRPr="00BC3374">
        <w:rPr>
          <w:rFonts w:ascii="Times New Roman" w:eastAsia="Times New Roman" w:hAnsi="Times New Roman" w:cs="Times New Roman"/>
          <w:bCs/>
          <w:sz w:val="24"/>
          <w:szCs w:val="24"/>
          <w:lang w:eastAsia="lv-LV"/>
        </w:rPr>
        <w:t xml:space="preserve">martā </w:t>
      </w:r>
      <w:r w:rsidR="001E680B" w:rsidRPr="00BC3374">
        <w:rPr>
          <w:rFonts w:ascii="Times New Roman" w:eastAsia="Times New Roman" w:hAnsi="Times New Roman" w:cs="Times New Roman"/>
          <w:bCs/>
          <w:sz w:val="24"/>
          <w:szCs w:val="24"/>
          <w:lang w:eastAsia="lv-LV"/>
        </w:rPr>
        <w:t>pieņēma ar likumu saistītus</w:t>
      </w:r>
      <w:r w:rsidRPr="00BC3374">
        <w:rPr>
          <w:rFonts w:ascii="Times New Roman" w:eastAsia="Times New Roman" w:hAnsi="Times New Roman" w:cs="Times New Roman"/>
          <w:bCs/>
          <w:sz w:val="24"/>
          <w:szCs w:val="24"/>
          <w:lang w:eastAsia="lv-LV"/>
        </w:rPr>
        <w:t xml:space="preserve"> Ministru kabineta noteikumus</w:t>
      </w:r>
      <w:r w:rsidR="001E680B" w:rsidRPr="00BC3374">
        <w:rPr>
          <w:rFonts w:ascii="Times New Roman" w:eastAsia="Times New Roman" w:hAnsi="Times New Roman" w:cs="Times New Roman"/>
          <w:bCs/>
          <w:sz w:val="24"/>
          <w:szCs w:val="24"/>
          <w:lang w:eastAsia="lv-LV"/>
        </w:rPr>
        <w:t>.</w:t>
      </w:r>
      <w:r w:rsidR="001E680B" w:rsidRPr="00BC3374">
        <w:rPr>
          <w:rStyle w:val="FootnoteReference"/>
          <w:rFonts w:ascii="Times New Roman" w:eastAsia="Times New Roman" w:hAnsi="Times New Roman" w:cs="Times New Roman"/>
          <w:bCs/>
          <w:sz w:val="24"/>
          <w:szCs w:val="24"/>
          <w:lang w:eastAsia="lv-LV"/>
        </w:rPr>
        <w:footnoteReference w:id="18"/>
      </w:r>
      <w:r w:rsidR="001E680B" w:rsidRPr="00BC3374">
        <w:rPr>
          <w:rFonts w:ascii="Times New Roman" w:eastAsia="Times New Roman" w:hAnsi="Times New Roman" w:cs="Times New Roman"/>
          <w:bCs/>
          <w:sz w:val="24"/>
          <w:szCs w:val="24"/>
          <w:lang w:eastAsia="lv-LV"/>
        </w:rPr>
        <w:t xml:space="preserve"> Atbilstoši veiktajām izmaiņām vieglo pasažieru pārvadājumu regulējumā turpmāk šos pakalpojumu var piedāvāt, pieprasīt un apstiprināt, izmantojot elektronisko sakaru līdzekļus tiešsaistē tīmekļvietnē vai mobilajā aplikācijā. Apmaksāt šādu</w:t>
      </w:r>
      <w:r w:rsidR="00AD2445" w:rsidRPr="00BC3374">
        <w:rPr>
          <w:rFonts w:ascii="Times New Roman" w:eastAsia="Times New Roman" w:hAnsi="Times New Roman" w:cs="Times New Roman"/>
          <w:bCs/>
          <w:sz w:val="24"/>
          <w:szCs w:val="24"/>
          <w:lang w:eastAsia="lv-LV"/>
        </w:rPr>
        <w:t>s</w:t>
      </w:r>
      <w:r w:rsidR="001E680B" w:rsidRPr="00BC3374">
        <w:rPr>
          <w:rFonts w:ascii="Times New Roman" w:eastAsia="Times New Roman" w:hAnsi="Times New Roman" w:cs="Times New Roman"/>
          <w:bCs/>
          <w:sz w:val="24"/>
          <w:szCs w:val="24"/>
          <w:lang w:eastAsia="lv-LV"/>
        </w:rPr>
        <w:t xml:space="preserve"> pakalpojumus var tikai bezskaidrā naudā, tādejādi uzraugošajām institūcijām nodrošinot izsekojamu darījumu plūsmu. </w:t>
      </w:r>
      <w:r w:rsidR="009A2221" w:rsidRPr="00907A2A">
        <w:rPr>
          <w:rFonts w:ascii="Times New Roman" w:eastAsia="Times New Roman" w:hAnsi="Times New Roman" w:cs="Times New Roman"/>
          <w:b/>
          <w:bCs/>
          <w:sz w:val="24"/>
          <w:szCs w:val="24"/>
          <w:lang w:eastAsia="lv-LV"/>
        </w:rPr>
        <w:t>Līdz ar to</w:t>
      </w:r>
      <w:r w:rsidR="000703F9" w:rsidRPr="00907A2A">
        <w:rPr>
          <w:rFonts w:ascii="Times New Roman" w:eastAsia="Times New Roman" w:hAnsi="Times New Roman" w:cs="Times New Roman"/>
          <w:b/>
          <w:bCs/>
          <w:sz w:val="24"/>
          <w:szCs w:val="24"/>
          <w:lang w:eastAsia="lv-LV"/>
        </w:rPr>
        <w:t xml:space="preserve"> </w:t>
      </w:r>
      <w:r w:rsidR="009A2221" w:rsidRPr="00907A2A">
        <w:rPr>
          <w:rFonts w:ascii="Times New Roman" w:eastAsia="Times New Roman" w:hAnsi="Times New Roman" w:cs="Times New Roman"/>
          <w:b/>
          <w:bCs/>
          <w:sz w:val="24"/>
          <w:szCs w:val="24"/>
          <w:lang w:eastAsia="lv-LV"/>
        </w:rPr>
        <w:t xml:space="preserve">regulējums pasažieru </w:t>
      </w:r>
      <w:r w:rsidR="00EB74F0" w:rsidRPr="00EB74F0">
        <w:rPr>
          <w:rFonts w:ascii="Times New Roman" w:eastAsia="Times New Roman" w:hAnsi="Times New Roman" w:cs="Times New Roman"/>
          <w:bCs/>
          <w:sz w:val="24"/>
          <w:szCs w:val="24"/>
          <w:lang w:eastAsia="lv-LV"/>
        </w:rPr>
        <w:t xml:space="preserve"> </w:t>
      </w:r>
      <w:proofErr w:type="spellStart"/>
      <w:r w:rsidR="00EB74F0" w:rsidRPr="00373AD9">
        <w:rPr>
          <w:rFonts w:ascii="Times New Roman" w:eastAsia="Times New Roman" w:hAnsi="Times New Roman" w:cs="Times New Roman"/>
          <w:b/>
          <w:bCs/>
          <w:sz w:val="24"/>
          <w:szCs w:val="24"/>
          <w:lang w:eastAsia="lv-LV"/>
        </w:rPr>
        <w:t>komercpārvadāšanu</w:t>
      </w:r>
      <w:proofErr w:type="spellEnd"/>
      <w:r w:rsidR="00EB74F0" w:rsidRPr="00373AD9">
        <w:rPr>
          <w:rFonts w:ascii="Times New Roman" w:eastAsia="Times New Roman" w:hAnsi="Times New Roman" w:cs="Times New Roman"/>
          <w:b/>
          <w:bCs/>
          <w:sz w:val="24"/>
          <w:szCs w:val="24"/>
          <w:lang w:eastAsia="lv-LV"/>
        </w:rPr>
        <w:t xml:space="preserve"> sadalījis divos veidos taksometru</w:t>
      </w:r>
      <w:r w:rsidR="00373AD9">
        <w:rPr>
          <w:rFonts w:ascii="Times New Roman" w:eastAsia="Times New Roman" w:hAnsi="Times New Roman" w:cs="Times New Roman"/>
          <w:b/>
          <w:bCs/>
          <w:sz w:val="24"/>
          <w:szCs w:val="24"/>
          <w:lang w:eastAsia="lv-LV"/>
        </w:rPr>
        <w:t xml:space="preserve"> pārvadājumi </w:t>
      </w:r>
      <w:r w:rsidR="00EB74F0" w:rsidRPr="00373AD9">
        <w:rPr>
          <w:rFonts w:ascii="Times New Roman" w:eastAsia="Times New Roman" w:hAnsi="Times New Roman" w:cs="Times New Roman"/>
          <w:b/>
          <w:bCs/>
          <w:sz w:val="24"/>
          <w:szCs w:val="24"/>
          <w:lang w:eastAsia="lv-LV"/>
        </w:rPr>
        <w:t xml:space="preserve"> un </w:t>
      </w:r>
      <w:r w:rsidR="00373AD9">
        <w:rPr>
          <w:rFonts w:ascii="Times New Roman" w:eastAsia="Times New Roman" w:hAnsi="Times New Roman" w:cs="Times New Roman"/>
          <w:b/>
          <w:bCs/>
          <w:sz w:val="24"/>
          <w:szCs w:val="24"/>
          <w:lang w:eastAsia="lv-LV"/>
        </w:rPr>
        <w:t xml:space="preserve">pārvadājumi ar </w:t>
      </w:r>
      <w:r w:rsidR="00EB74F0" w:rsidRPr="00373AD9">
        <w:rPr>
          <w:rFonts w:ascii="Times New Roman" w:eastAsia="Times New Roman" w:hAnsi="Times New Roman" w:cs="Times New Roman"/>
          <w:b/>
          <w:bCs/>
          <w:sz w:val="24"/>
          <w:szCs w:val="24"/>
          <w:lang w:eastAsia="lv-LV"/>
        </w:rPr>
        <w:t>vieglo automobili.</w:t>
      </w:r>
      <w:r w:rsidR="00EB74F0">
        <w:rPr>
          <w:rFonts w:ascii="Times New Roman" w:eastAsia="Times New Roman" w:hAnsi="Times New Roman" w:cs="Times New Roman"/>
          <w:bCs/>
          <w:sz w:val="24"/>
          <w:szCs w:val="24"/>
          <w:lang w:eastAsia="lv-LV"/>
        </w:rPr>
        <w:t xml:space="preserve"> </w:t>
      </w:r>
      <w:r w:rsidR="00817EFA">
        <w:rPr>
          <w:rFonts w:ascii="Times New Roman" w:eastAsia="Times New Roman" w:hAnsi="Times New Roman" w:cs="Times New Roman"/>
          <w:bCs/>
          <w:sz w:val="24"/>
          <w:szCs w:val="24"/>
          <w:lang w:eastAsia="lv-LV"/>
        </w:rPr>
        <w:t xml:space="preserve">Pēc Eiropas Komisijas skaidrojuma vieglo automobiļu komercpārvadājuma regulējumā ir ietverti sadarbības ekonomikas principi, t.i., izmantojot tiešsaistes platformas, mobilās lietotnes vai citus risinājumus tiek savienots pakalpojuma sniedzējs ar lietotāju.  </w:t>
      </w:r>
    </w:p>
    <w:p w14:paraId="7B885409" w14:textId="20B6EA2C" w:rsidR="007A3290" w:rsidRDefault="007A3290" w:rsidP="007A3290">
      <w:pPr>
        <w:spacing w:after="0" w:line="240" w:lineRule="auto"/>
        <w:jc w:val="both"/>
        <w:rPr>
          <w:rFonts w:ascii="Times New Roman" w:eastAsia="Times New Roman" w:hAnsi="Times New Roman" w:cs="Times New Roman"/>
          <w:bCs/>
          <w:sz w:val="24"/>
          <w:szCs w:val="24"/>
          <w:lang w:eastAsia="lv-LV"/>
        </w:rPr>
      </w:pPr>
    </w:p>
    <w:p w14:paraId="0A32A2E7" w14:textId="1272BD44" w:rsidR="007A3290" w:rsidRPr="007A3290" w:rsidRDefault="007A3290" w:rsidP="007A3290">
      <w:pPr>
        <w:pStyle w:val="ListParagraph"/>
        <w:numPr>
          <w:ilvl w:val="0"/>
          <w:numId w:val="12"/>
        </w:numPr>
        <w:spacing w:after="0" w:line="240" w:lineRule="auto"/>
        <w:jc w:val="both"/>
        <w:rPr>
          <w:rFonts w:ascii="Times New Roman" w:eastAsia="Times New Roman" w:hAnsi="Times New Roman" w:cs="Times New Roman"/>
          <w:b/>
          <w:bCs/>
          <w:sz w:val="24"/>
          <w:szCs w:val="24"/>
          <w:lang w:eastAsia="lv-LV"/>
        </w:rPr>
      </w:pPr>
      <w:r w:rsidRPr="007A3290">
        <w:rPr>
          <w:rFonts w:ascii="Times New Roman" w:eastAsia="Times New Roman" w:hAnsi="Times New Roman" w:cs="Times New Roman"/>
          <w:b/>
          <w:bCs/>
          <w:sz w:val="24"/>
          <w:szCs w:val="24"/>
          <w:lang w:eastAsia="lv-LV"/>
        </w:rPr>
        <w:t xml:space="preserve">Sadarbības ekonomikas tendences izmitināšanas sektorā </w:t>
      </w:r>
    </w:p>
    <w:p w14:paraId="38EBB385" w14:textId="0D61BB05" w:rsidR="00347D2D" w:rsidRPr="00BC3374" w:rsidRDefault="00281F80" w:rsidP="000128F2">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Attiecībā uz izmitināšanas sektoru</w:t>
      </w:r>
      <w:r w:rsidR="00B80E5C" w:rsidRPr="00BC3374">
        <w:rPr>
          <w:rFonts w:ascii="Times New Roman" w:eastAsia="Times New Roman" w:hAnsi="Times New Roman" w:cs="Times New Roman"/>
          <w:bCs/>
          <w:sz w:val="24"/>
          <w:szCs w:val="24"/>
          <w:lang w:eastAsia="lv-LV"/>
        </w:rPr>
        <w:t xml:space="preserve"> sadarbības ekonomikas platformas tiek izmantotas </w:t>
      </w:r>
      <w:r w:rsidRPr="00BC3374">
        <w:rPr>
          <w:rFonts w:ascii="Times New Roman" w:eastAsia="Times New Roman" w:hAnsi="Times New Roman" w:cs="Times New Roman"/>
          <w:bCs/>
          <w:sz w:val="24"/>
          <w:szCs w:val="24"/>
          <w:lang w:eastAsia="lv-LV"/>
        </w:rPr>
        <w:t xml:space="preserve">apartamentu </w:t>
      </w:r>
      <w:r w:rsidR="00B80E5C" w:rsidRPr="00BC3374">
        <w:rPr>
          <w:rFonts w:ascii="Times New Roman" w:eastAsia="Times New Roman" w:hAnsi="Times New Roman" w:cs="Times New Roman"/>
          <w:bCs/>
          <w:sz w:val="24"/>
          <w:szCs w:val="24"/>
          <w:lang w:eastAsia="lv-LV"/>
        </w:rPr>
        <w:t xml:space="preserve">jeb </w:t>
      </w:r>
      <w:r w:rsidRPr="00BC3374">
        <w:rPr>
          <w:rFonts w:ascii="Times New Roman" w:eastAsia="Times New Roman" w:hAnsi="Times New Roman" w:cs="Times New Roman"/>
          <w:bCs/>
          <w:sz w:val="24"/>
          <w:szCs w:val="24"/>
          <w:lang w:eastAsia="lv-LV"/>
        </w:rPr>
        <w:t>dzīvokļ</w:t>
      </w:r>
      <w:r w:rsidR="00B80E5C" w:rsidRPr="00BC3374">
        <w:rPr>
          <w:rFonts w:ascii="Times New Roman" w:eastAsia="Times New Roman" w:hAnsi="Times New Roman" w:cs="Times New Roman"/>
          <w:bCs/>
          <w:sz w:val="24"/>
          <w:szCs w:val="24"/>
          <w:lang w:eastAsia="lv-LV"/>
        </w:rPr>
        <w:t>u</w:t>
      </w:r>
      <w:r w:rsidRPr="00BC3374">
        <w:rPr>
          <w:rFonts w:ascii="Times New Roman" w:eastAsia="Times New Roman" w:hAnsi="Times New Roman" w:cs="Times New Roman"/>
          <w:bCs/>
          <w:sz w:val="24"/>
          <w:szCs w:val="24"/>
          <w:lang w:eastAsia="lv-LV"/>
        </w:rPr>
        <w:t xml:space="preserve"> </w:t>
      </w:r>
      <w:r w:rsidR="00A918CC" w:rsidRPr="00BC3374">
        <w:rPr>
          <w:rFonts w:ascii="Times New Roman" w:eastAsia="Times New Roman" w:hAnsi="Times New Roman" w:cs="Times New Roman"/>
          <w:bCs/>
          <w:sz w:val="24"/>
          <w:szCs w:val="24"/>
          <w:lang w:eastAsia="lv-LV"/>
        </w:rPr>
        <w:t>izīrēšanai</w:t>
      </w:r>
      <w:r w:rsidR="000128F2" w:rsidRPr="00BC3374">
        <w:rPr>
          <w:rFonts w:ascii="Times New Roman" w:eastAsia="Times New Roman" w:hAnsi="Times New Roman" w:cs="Times New Roman"/>
          <w:bCs/>
          <w:sz w:val="24"/>
          <w:szCs w:val="24"/>
          <w:lang w:eastAsia="lv-LV"/>
        </w:rPr>
        <w:t>.</w:t>
      </w:r>
      <w:r w:rsidR="00B80E5C" w:rsidRPr="00BC3374">
        <w:rPr>
          <w:rFonts w:ascii="Times New Roman" w:eastAsia="Times New Roman" w:hAnsi="Times New Roman" w:cs="Times New Roman"/>
          <w:bCs/>
          <w:sz w:val="24"/>
          <w:szCs w:val="24"/>
          <w:lang w:eastAsia="lv-LV"/>
        </w:rPr>
        <w:t xml:space="preserve"> </w:t>
      </w:r>
      <w:r w:rsidR="000128F2" w:rsidRPr="00BC3374">
        <w:rPr>
          <w:rFonts w:ascii="Times New Roman" w:eastAsia="Times New Roman" w:hAnsi="Times New Roman" w:cs="Times New Roman"/>
          <w:bCs/>
          <w:sz w:val="24"/>
          <w:szCs w:val="24"/>
          <w:lang w:eastAsia="lv-LV"/>
        </w:rPr>
        <w:t xml:space="preserve">Apartamenti Latvijā tiek izīrēti, pamatā izmantojot </w:t>
      </w:r>
      <w:r w:rsidRPr="00BC3374">
        <w:rPr>
          <w:rFonts w:ascii="Times New Roman" w:eastAsia="Times New Roman" w:hAnsi="Times New Roman" w:cs="Times New Roman"/>
          <w:bCs/>
          <w:sz w:val="24"/>
          <w:szCs w:val="24"/>
          <w:lang w:eastAsia="lv-LV"/>
        </w:rPr>
        <w:t>rezervēšanas portāl</w:t>
      </w:r>
      <w:r w:rsidR="000128F2" w:rsidRPr="00BC3374">
        <w:rPr>
          <w:rFonts w:ascii="Times New Roman" w:eastAsia="Times New Roman" w:hAnsi="Times New Roman" w:cs="Times New Roman"/>
          <w:bCs/>
          <w:sz w:val="24"/>
          <w:szCs w:val="24"/>
          <w:lang w:eastAsia="lv-LV"/>
        </w:rPr>
        <w:t>u</w:t>
      </w:r>
      <w:r w:rsidRPr="00BC3374">
        <w:rPr>
          <w:rFonts w:ascii="Times New Roman" w:eastAsia="Times New Roman" w:hAnsi="Times New Roman" w:cs="Times New Roman"/>
          <w:bCs/>
          <w:sz w:val="24"/>
          <w:szCs w:val="24"/>
          <w:lang w:eastAsia="lv-LV"/>
        </w:rPr>
        <w:t xml:space="preserve"> </w:t>
      </w:r>
      <w:r w:rsidRPr="00BC3374">
        <w:rPr>
          <w:rFonts w:ascii="Times New Roman" w:eastAsia="Times New Roman" w:hAnsi="Times New Roman" w:cs="Times New Roman"/>
          <w:bCs/>
          <w:i/>
          <w:sz w:val="24"/>
          <w:szCs w:val="24"/>
          <w:lang w:eastAsia="lv-LV"/>
        </w:rPr>
        <w:t>booking.com</w:t>
      </w:r>
      <w:r w:rsidRPr="00BC3374">
        <w:rPr>
          <w:rFonts w:ascii="Times New Roman" w:eastAsia="Times New Roman" w:hAnsi="Times New Roman" w:cs="Times New Roman"/>
          <w:bCs/>
          <w:sz w:val="24"/>
          <w:szCs w:val="24"/>
          <w:lang w:eastAsia="lv-LV"/>
        </w:rPr>
        <w:t xml:space="preserve"> un sadarbības ekonomikas platform</w:t>
      </w:r>
      <w:r w:rsidR="000128F2" w:rsidRPr="00BC3374">
        <w:rPr>
          <w:rFonts w:ascii="Times New Roman" w:eastAsia="Times New Roman" w:hAnsi="Times New Roman" w:cs="Times New Roman"/>
          <w:bCs/>
          <w:sz w:val="24"/>
          <w:szCs w:val="24"/>
          <w:lang w:eastAsia="lv-LV"/>
        </w:rPr>
        <w:t>u</w:t>
      </w:r>
      <w:r w:rsidRPr="00BC3374">
        <w:rPr>
          <w:rFonts w:ascii="Times New Roman" w:eastAsia="Times New Roman" w:hAnsi="Times New Roman" w:cs="Times New Roman"/>
          <w:bCs/>
          <w:sz w:val="24"/>
          <w:szCs w:val="24"/>
          <w:lang w:eastAsia="lv-LV"/>
        </w:rPr>
        <w:t xml:space="preserve"> </w:t>
      </w:r>
      <w:r w:rsidRPr="00BC3374">
        <w:rPr>
          <w:rFonts w:ascii="Times New Roman" w:eastAsia="Times New Roman" w:hAnsi="Times New Roman" w:cs="Times New Roman"/>
          <w:i/>
          <w:sz w:val="24"/>
          <w:szCs w:val="24"/>
          <w:lang w:eastAsia="lv-LV"/>
        </w:rPr>
        <w:t>airbnb.com</w:t>
      </w:r>
      <w:r w:rsidRPr="00BC3374">
        <w:rPr>
          <w:rFonts w:ascii="Times New Roman" w:eastAsia="Times New Roman" w:hAnsi="Times New Roman" w:cs="Times New Roman"/>
          <w:bCs/>
          <w:sz w:val="24"/>
          <w:szCs w:val="24"/>
          <w:lang w:eastAsia="lv-LV"/>
        </w:rPr>
        <w:t xml:space="preserve">. Kopumā abos portālos </w:t>
      </w:r>
      <w:r w:rsidR="00621BC7" w:rsidRPr="00BC3374">
        <w:rPr>
          <w:rFonts w:ascii="Times New Roman" w:eastAsia="Times New Roman" w:hAnsi="Times New Roman" w:cs="Times New Roman"/>
          <w:bCs/>
          <w:sz w:val="24"/>
          <w:szCs w:val="24"/>
          <w:lang w:eastAsia="lv-LV"/>
        </w:rPr>
        <w:t xml:space="preserve">Rīgā </w:t>
      </w:r>
      <w:r w:rsidRPr="00BC3374">
        <w:rPr>
          <w:rFonts w:ascii="Times New Roman" w:eastAsia="Times New Roman" w:hAnsi="Times New Roman" w:cs="Times New Roman"/>
          <w:bCs/>
          <w:sz w:val="24"/>
          <w:szCs w:val="24"/>
          <w:lang w:eastAsia="lv-LV"/>
        </w:rPr>
        <w:t>2016. gadā tika uzskaitītas</w:t>
      </w:r>
      <w:r w:rsidR="00D9151E" w:rsidRPr="00BC3374">
        <w:rPr>
          <w:rStyle w:val="FootnoteReference"/>
          <w:rFonts w:ascii="Times New Roman" w:eastAsia="Times New Roman" w:hAnsi="Times New Roman" w:cs="Times New Roman"/>
          <w:bCs/>
          <w:sz w:val="24"/>
          <w:szCs w:val="24"/>
          <w:lang w:eastAsia="lv-LV"/>
        </w:rPr>
        <w:footnoteReference w:id="19"/>
      </w:r>
      <w:r w:rsidRPr="00BC3374">
        <w:rPr>
          <w:rFonts w:ascii="Times New Roman" w:eastAsia="Times New Roman" w:hAnsi="Times New Roman" w:cs="Times New Roman"/>
          <w:bCs/>
          <w:sz w:val="24"/>
          <w:szCs w:val="24"/>
          <w:lang w:eastAsia="lv-LV"/>
        </w:rPr>
        <w:t xml:space="preserve"> 3</w:t>
      </w:r>
      <w:r w:rsidR="00D9151E" w:rsidRPr="00BC3374">
        <w:rPr>
          <w:rFonts w:ascii="Times New Roman" w:eastAsia="Times New Roman" w:hAnsi="Times New Roman" w:cs="Times New Roman"/>
          <w:bCs/>
          <w:sz w:val="24"/>
          <w:szCs w:val="24"/>
          <w:lang w:eastAsia="lv-LV"/>
        </w:rPr>
        <w:t xml:space="preserve"> </w:t>
      </w:r>
      <w:r w:rsidRPr="00BC3374">
        <w:rPr>
          <w:rFonts w:ascii="Times New Roman" w:eastAsia="Times New Roman" w:hAnsi="Times New Roman" w:cs="Times New Roman"/>
          <w:bCs/>
          <w:sz w:val="24"/>
          <w:szCs w:val="24"/>
          <w:lang w:eastAsia="lv-LV"/>
        </w:rPr>
        <w:t>629 gultas vietas, savukārt 2017. gadā jau 5</w:t>
      </w:r>
      <w:r w:rsidR="00D9151E" w:rsidRPr="00BC3374">
        <w:rPr>
          <w:rFonts w:ascii="Times New Roman" w:eastAsia="Times New Roman" w:hAnsi="Times New Roman" w:cs="Times New Roman"/>
          <w:bCs/>
          <w:sz w:val="24"/>
          <w:szCs w:val="24"/>
          <w:lang w:eastAsia="lv-LV"/>
        </w:rPr>
        <w:t xml:space="preserve"> </w:t>
      </w:r>
      <w:r w:rsidRPr="00BC3374">
        <w:rPr>
          <w:rFonts w:ascii="Times New Roman" w:eastAsia="Times New Roman" w:hAnsi="Times New Roman" w:cs="Times New Roman"/>
          <w:bCs/>
          <w:sz w:val="24"/>
          <w:szCs w:val="24"/>
          <w:lang w:eastAsia="lv-LV"/>
        </w:rPr>
        <w:t>045 gultas vietas</w:t>
      </w:r>
      <w:r w:rsidR="00D9151E" w:rsidRPr="00BC3374">
        <w:rPr>
          <w:rFonts w:ascii="Times New Roman" w:eastAsia="Times New Roman" w:hAnsi="Times New Roman" w:cs="Times New Roman"/>
          <w:bCs/>
          <w:sz w:val="24"/>
          <w:szCs w:val="24"/>
          <w:lang w:eastAsia="lv-LV"/>
        </w:rPr>
        <w:t xml:space="preserve">, kas </w:t>
      </w:r>
      <w:r w:rsidR="00A918CC" w:rsidRPr="00BC3374">
        <w:rPr>
          <w:rFonts w:ascii="Times New Roman" w:eastAsia="Times New Roman" w:hAnsi="Times New Roman" w:cs="Times New Roman"/>
          <w:bCs/>
          <w:sz w:val="24"/>
          <w:szCs w:val="24"/>
          <w:lang w:eastAsia="lv-LV"/>
        </w:rPr>
        <w:t>ir</w:t>
      </w:r>
      <w:r w:rsidR="00D9151E" w:rsidRPr="00BC3374">
        <w:rPr>
          <w:rFonts w:ascii="Times New Roman" w:eastAsia="Times New Roman" w:hAnsi="Times New Roman" w:cs="Times New Roman"/>
          <w:bCs/>
          <w:sz w:val="24"/>
          <w:szCs w:val="24"/>
          <w:lang w:eastAsia="lv-LV"/>
        </w:rPr>
        <w:t xml:space="preserve"> 30% no visām gultasvietām Rīgā (2017. gad</w:t>
      </w:r>
      <w:r w:rsidR="00347D2D" w:rsidRPr="00BC3374">
        <w:rPr>
          <w:rFonts w:ascii="Times New Roman" w:eastAsia="Times New Roman" w:hAnsi="Times New Roman" w:cs="Times New Roman"/>
          <w:bCs/>
          <w:sz w:val="24"/>
          <w:szCs w:val="24"/>
          <w:lang w:eastAsia="lv-LV"/>
        </w:rPr>
        <w:t>ā</w:t>
      </w:r>
      <w:r w:rsidR="00D9151E" w:rsidRPr="00BC3374">
        <w:rPr>
          <w:rFonts w:ascii="Times New Roman" w:eastAsia="Times New Roman" w:hAnsi="Times New Roman" w:cs="Times New Roman"/>
          <w:bCs/>
          <w:sz w:val="24"/>
          <w:szCs w:val="24"/>
          <w:lang w:eastAsia="lv-LV"/>
        </w:rPr>
        <w:t xml:space="preserve"> Rīgā bija 15 788 gultas vietas viesnīcās un tām pielīdzinātās tūristu mītnēs</w:t>
      </w:r>
      <w:r w:rsidR="00347D2D" w:rsidRPr="00BC3374">
        <w:rPr>
          <w:rStyle w:val="FootnoteReference"/>
          <w:rFonts w:ascii="Times New Roman" w:eastAsia="Times New Roman" w:hAnsi="Times New Roman" w:cs="Times New Roman"/>
          <w:bCs/>
          <w:sz w:val="24"/>
          <w:szCs w:val="24"/>
          <w:lang w:eastAsia="lv-LV"/>
        </w:rPr>
        <w:footnoteReference w:id="20"/>
      </w:r>
      <w:r w:rsidR="00D9151E" w:rsidRPr="00BC3374">
        <w:rPr>
          <w:rFonts w:ascii="Times New Roman" w:eastAsia="Times New Roman" w:hAnsi="Times New Roman" w:cs="Times New Roman"/>
          <w:bCs/>
          <w:sz w:val="24"/>
          <w:szCs w:val="24"/>
          <w:lang w:eastAsia="lv-LV"/>
        </w:rPr>
        <w:t xml:space="preserve"> </w:t>
      </w:r>
      <w:r w:rsidR="00A918CC" w:rsidRPr="00BC3374">
        <w:rPr>
          <w:rFonts w:ascii="Times New Roman" w:eastAsia="Times New Roman" w:hAnsi="Times New Roman" w:cs="Times New Roman"/>
          <w:bCs/>
          <w:sz w:val="24"/>
          <w:szCs w:val="24"/>
          <w:lang w:eastAsia="lv-LV"/>
        </w:rPr>
        <w:t>–</w:t>
      </w:r>
      <w:r w:rsidR="00D9151E" w:rsidRPr="00BC3374">
        <w:rPr>
          <w:rFonts w:ascii="Times New Roman" w:eastAsia="Times New Roman" w:hAnsi="Times New Roman" w:cs="Times New Roman"/>
          <w:bCs/>
          <w:sz w:val="24"/>
          <w:szCs w:val="24"/>
          <w:lang w:eastAsia="lv-LV"/>
        </w:rPr>
        <w:t xml:space="preserve"> kopā ar apartamentiem tas </w:t>
      </w:r>
      <w:r w:rsidR="00A918CC" w:rsidRPr="00BC3374">
        <w:rPr>
          <w:rFonts w:ascii="Times New Roman" w:eastAsia="Times New Roman" w:hAnsi="Times New Roman" w:cs="Times New Roman"/>
          <w:bCs/>
          <w:sz w:val="24"/>
          <w:szCs w:val="24"/>
          <w:lang w:eastAsia="lv-LV"/>
        </w:rPr>
        <w:t>ir</w:t>
      </w:r>
      <w:r w:rsidR="00D9151E" w:rsidRPr="00BC3374">
        <w:rPr>
          <w:rFonts w:ascii="Times New Roman" w:eastAsia="Times New Roman" w:hAnsi="Times New Roman" w:cs="Times New Roman"/>
          <w:bCs/>
          <w:sz w:val="24"/>
          <w:szCs w:val="24"/>
          <w:lang w:eastAsia="lv-LV"/>
        </w:rPr>
        <w:t xml:space="preserve"> 20 833 gultasvietas</w:t>
      </w:r>
      <w:r w:rsidR="00347D2D" w:rsidRPr="00BC3374">
        <w:rPr>
          <w:rFonts w:ascii="Times New Roman" w:eastAsia="Times New Roman" w:hAnsi="Times New Roman" w:cs="Times New Roman"/>
          <w:bCs/>
          <w:sz w:val="24"/>
          <w:szCs w:val="24"/>
          <w:lang w:eastAsia="lv-LV"/>
        </w:rPr>
        <w:t xml:space="preserve">). 60% no visiem apartamentiem Rīgā ir pieejami tirgū ar sadarbības ekonomikas platformas </w:t>
      </w:r>
      <w:r w:rsidR="00347D2D" w:rsidRPr="00BC3374">
        <w:rPr>
          <w:rFonts w:ascii="Times New Roman" w:eastAsia="Times New Roman" w:hAnsi="Times New Roman" w:cs="Times New Roman"/>
          <w:bCs/>
          <w:i/>
          <w:sz w:val="24"/>
          <w:szCs w:val="24"/>
          <w:lang w:eastAsia="lv-LV"/>
        </w:rPr>
        <w:t>airbnb.com</w:t>
      </w:r>
      <w:r w:rsidR="00347D2D" w:rsidRPr="00BC3374">
        <w:rPr>
          <w:rFonts w:ascii="Times New Roman" w:eastAsia="Times New Roman" w:hAnsi="Times New Roman" w:cs="Times New Roman"/>
          <w:bCs/>
          <w:sz w:val="24"/>
          <w:szCs w:val="24"/>
          <w:lang w:eastAsia="lv-LV"/>
        </w:rPr>
        <w:t xml:space="preserve"> starpniecību.</w:t>
      </w:r>
      <w:r w:rsidR="00E8641C" w:rsidRPr="00E8641C">
        <w:rPr>
          <w:rFonts w:ascii="Times New Roman" w:eastAsia="Times New Roman" w:hAnsi="Times New Roman" w:cs="Times New Roman"/>
          <w:bCs/>
          <w:sz w:val="24"/>
          <w:szCs w:val="24"/>
          <w:lang w:eastAsia="lv-LV"/>
        </w:rPr>
        <w:t xml:space="preserve"> </w:t>
      </w:r>
      <w:r w:rsidR="00E8641C">
        <w:rPr>
          <w:rFonts w:ascii="Times New Roman" w:eastAsia="Times New Roman" w:hAnsi="Times New Roman" w:cs="Times New Roman"/>
          <w:bCs/>
          <w:sz w:val="24"/>
          <w:szCs w:val="24"/>
          <w:lang w:eastAsia="lv-LV"/>
        </w:rPr>
        <w:t xml:space="preserve">Pašlaik Latvijā </w:t>
      </w:r>
      <w:r w:rsidR="00E8641C" w:rsidRPr="006868EB">
        <w:rPr>
          <w:rFonts w:ascii="Times New Roman" w:eastAsia="Times New Roman" w:hAnsi="Times New Roman" w:cs="Times New Roman"/>
          <w:bCs/>
          <w:i/>
          <w:sz w:val="24"/>
          <w:szCs w:val="24"/>
          <w:lang w:eastAsia="lv-LV"/>
        </w:rPr>
        <w:t>airbnb.com</w:t>
      </w:r>
      <w:r w:rsidR="00E8641C">
        <w:rPr>
          <w:rFonts w:ascii="Times New Roman" w:eastAsia="Times New Roman" w:hAnsi="Times New Roman" w:cs="Times New Roman"/>
          <w:bCs/>
          <w:sz w:val="24"/>
          <w:szCs w:val="24"/>
          <w:lang w:eastAsia="lv-LV"/>
        </w:rPr>
        <w:t xml:space="preserve"> ir vienīgā sadarbības ekonomikas platforma ar ievērojamu tirgus daļu. Otra līdzīga sadarbības ekonomikas platforma </w:t>
      </w:r>
      <w:r w:rsidR="00E8641C" w:rsidRPr="00C45B28">
        <w:rPr>
          <w:rFonts w:ascii="Times New Roman" w:eastAsia="Times New Roman" w:hAnsi="Times New Roman" w:cs="Times New Roman"/>
          <w:bCs/>
          <w:i/>
          <w:sz w:val="24"/>
          <w:szCs w:val="24"/>
          <w:lang w:eastAsia="lv-LV"/>
        </w:rPr>
        <w:t>wimdu.com</w:t>
      </w:r>
      <w:r w:rsidR="00E8641C">
        <w:rPr>
          <w:rFonts w:ascii="Times New Roman" w:eastAsia="Times New Roman" w:hAnsi="Times New Roman" w:cs="Times New Roman"/>
          <w:bCs/>
          <w:sz w:val="24"/>
          <w:szCs w:val="24"/>
          <w:lang w:eastAsia="lv-LV"/>
        </w:rPr>
        <w:t xml:space="preserve"> Rīgā piedāvā tikai 133 apartamentus, no kuriem liela daļa ir neaktīvi. </w:t>
      </w:r>
      <w:r w:rsidR="00E8641C" w:rsidRPr="006868EB">
        <w:rPr>
          <w:rFonts w:ascii="Times New Roman" w:eastAsia="Times New Roman" w:hAnsi="Times New Roman" w:cs="Times New Roman"/>
          <w:bCs/>
          <w:i/>
          <w:sz w:val="24"/>
          <w:szCs w:val="24"/>
          <w:lang w:eastAsia="lv-LV"/>
        </w:rPr>
        <w:t>Airbnb.com</w:t>
      </w:r>
      <w:r w:rsidR="00E8641C">
        <w:rPr>
          <w:rFonts w:ascii="Times New Roman" w:eastAsia="Times New Roman" w:hAnsi="Times New Roman" w:cs="Times New Roman"/>
          <w:bCs/>
          <w:sz w:val="24"/>
          <w:szCs w:val="24"/>
          <w:lang w:eastAsia="lv-LV"/>
        </w:rPr>
        <w:t xml:space="preserve"> 2016.gadā Latvijā nodrošināja 350 darbavietas un nodrošināja kopējos ieņēmumus 6.3 </w:t>
      </w:r>
      <w:proofErr w:type="spellStart"/>
      <w:r w:rsidR="00E8641C">
        <w:rPr>
          <w:rFonts w:ascii="Times New Roman" w:eastAsia="Times New Roman" w:hAnsi="Times New Roman" w:cs="Times New Roman"/>
          <w:bCs/>
          <w:sz w:val="24"/>
          <w:szCs w:val="24"/>
          <w:lang w:eastAsia="lv-LV"/>
        </w:rPr>
        <w:t>milj</w:t>
      </w:r>
      <w:proofErr w:type="spellEnd"/>
      <w:r w:rsidR="00E8641C">
        <w:rPr>
          <w:rFonts w:ascii="Times New Roman" w:eastAsia="Times New Roman" w:hAnsi="Times New Roman" w:cs="Times New Roman"/>
          <w:bCs/>
          <w:sz w:val="24"/>
          <w:szCs w:val="24"/>
          <w:lang w:eastAsia="lv-LV"/>
        </w:rPr>
        <w:t xml:space="preserve"> EUR apmērā.</w:t>
      </w:r>
      <w:r w:rsidR="008E415E">
        <w:rPr>
          <w:rStyle w:val="FootnoteReference"/>
          <w:rFonts w:ascii="Times New Roman" w:eastAsia="Times New Roman" w:hAnsi="Times New Roman" w:cs="Times New Roman"/>
          <w:bCs/>
          <w:sz w:val="24"/>
          <w:szCs w:val="24"/>
          <w:lang w:eastAsia="lv-LV"/>
        </w:rPr>
        <w:footnoteReference w:id="21"/>
      </w:r>
    </w:p>
    <w:p w14:paraId="0DF8A355" w14:textId="1C6C2DA4" w:rsidR="00020B63" w:rsidRPr="00BC3374" w:rsidRDefault="00E9538E" w:rsidP="006E12DB">
      <w:pPr>
        <w:spacing w:after="0" w:line="240" w:lineRule="auto"/>
        <w:ind w:firstLine="709"/>
        <w:jc w:val="both"/>
        <w:rPr>
          <w:rFonts w:ascii="Times New Roman" w:eastAsia="Times New Roman" w:hAnsi="Times New Roman" w:cs="Times New Roman"/>
          <w:bCs/>
          <w:sz w:val="24"/>
          <w:szCs w:val="24"/>
          <w:highlight w:val="yellow"/>
          <w:lang w:eastAsia="lv-LV"/>
        </w:rPr>
      </w:pPr>
      <w:r w:rsidRPr="00BC3374">
        <w:rPr>
          <w:rFonts w:ascii="Times New Roman" w:eastAsia="Times New Roman" w:hAnsi="Times New Roman" w:cs="Times New Roman"/>
          <w:bCs/>
          <w:sz w:val="24"/>
          <w:szCs w:val="24"/>
          <w:lang w:eastAsia="lv-LV"/>
        </w:rPr>
        <w:t>Latvijas tiesību akti nereglamentē izmitināšanas nozari sadarbības ekonomika</w:t>
      </w:r>
      <w:r w:rsidR="00AD2445" w:rsidRPr="00BC3374">
        <w:rPr>
          <w:rFonts w:ascii="Times New Roman" w:eastAsia="Times New Roman" w:hAnsi="Times New Roman" w:cs="Times New Roman"/>
          <w:bCs/>
          <w:sz w:val="24"/>
          <w:szCs w:val="24"/>
          <w:lang w:eastAsia="lv-LV"/>
        </w:rPr>
        <w:t>s</w:t>
      </w:r>
      <w:r w:rsidRPr="00BC3374">
        <w:rPr>
          <w:rFonts w:ascii="Times New Roman" w:eastAsia="Times New Roman" w:hAnsi="Times New Roman" w:cs="Times New Roman"/>
          <w:bCs/>
          <w:sz w:val="24"/>
          <w:szCs w:val="24"/>
          <w:lang w:eastAsia="lv-LV"/>
        </w:rPr>
        <w:t xml:space="preserve"> jomā un </w:t>
      </w:r>
      <w:r w:rsidR="00AD2445" w:rsidRPr="00BC3374">
        <w:rPr>
          <w:rFonts w:ascii="Times New Roman" w:eastAsia="Times New Roman" w:hAnsi="Times New Roman" w:cs="Times New Roman"/>
          <w:bCs/>
          <w:sz w:val="24"/>
          <w:szCs w:val="24"/>
          <w:lang w:eastAsia="lv-LV"/>
        </w:rPr>
        <w:t xml:space="preserve">šādi </w:t>
      </w:r>
      <w:r w:rsidR="00B220F9" w:rsidRPr="00BC3374">
        <w:rPr>
          <w:rFonts w:ascii="Times New Roman" w:eastAsia="Times New Roman" w:hAnsi="Times New Roman" w:cs="Times New Roman"/>
          <w:bCs/>
          <w:sz w:val="24"/>
          <w:szCs w:val="24"/>
          <w:lang w:eastAsia="lv-LV"/>
        </w:rPr>
        <w:t xml:space="preserve">fizisko </w:t>
      </w:r>
      <w:r w:rsidRPr="00BC3374">
        <w:rPr>
          <w:rFonts w:ascii="Times New Roman" w:eastAsia="Times New Roman" w:hAnsi="Times New Roman" w:cs="Times New Roman"/>
          <w:bCs/>
          <w:sz w:val="24"/>
          <w:szCs w:val="24"/>
          <w:lang w:eastAsia="lv-LV"/>
        </w:rPr>
        <w:t xml:space="preserve">personu darījumi </w:t>
      </w:r>
      <w:r w:rsidR="00422DDF" w:rsidRPr="00BC3374">
        <w:rPr>
          <w:rFonts w:ascii="Times New Roman" w:eastAsia="Times New Roman" w:hAnsi="Times New Roman" w:cs="Times New Roman"/>
          <w:bCs/>
          <w:sz w:val="24"/>
          <w:szCs w:val="24"/>
          <w:lang w:eastAsia="lv-LV"/>
        </w:rPr>
        <w:t xml:space="preserve">sadarbības ekonomikas ietvaros </w:t>
      </w:r>
      <w:r w:rsidRPr="00BC3374">
        <w:rPr>
          <w:rFonts w:ascii="Times New Roman" w:eastAsia="Times New Roman" w:hAnsi="Times New Roman" w:cs="Times New Roman"/>
          <w:bCs/>
          <w:sz w:val="24"/>
          <w:szCs w:val="24"/>
          <w:lang w:eastAsia="lv-LV"/>
        </w:rPr>
        <w:t xml:space="preserve">nav definēti. </w:t>
      </w:r>
      <w:r w:rsidR="004B21EE" w:rsidRPr="00BC3374">
        <w:rPr>
          <w:rFonts w:ascii="Times New Roman" w:eastAsia="Times New Roman" w:hAnsi="Times New Roman" w:cs="Times New Roman"/>
          <w:bCs/>
          <w:sz w:val="24"/>
          <w:szCs w:val="24"/>
          <w:lang w:eastAsia="lv-LV"/>
        </w:rPr>
        <w:t xml:space="preserve">Tas būtiski </w:t>
      </w:r>
      <w:r w:rsidR="004B21EE" w:rsidRPr="00BC3374">
        <w:rPr>
          <w:rFonts w:ascii="Times New Roman" w:eastAsia="Times New Roman" w:hAnsi="Times New Roman" w:cs="Times New Roman"/>
          <w:bCs/>
          <w:sz w:val="24"/>
          <w:szCs w:val="24"/>
          <w:lang w:eastAsia="lv-LV"/>
        </w:rPr>
        <w:lastRenderedPageBreak/>
        <w:t xml:space="preserve">apgrūtina nozares uzraudzību, jo apartamenti, kas tiek izīrēti </w:t>
      </w:r>
      <w:r w:rsidR="00A918CC" w:rsidRPr="00BC3374">
        <w:rPr>
          <w:rFonts w:ascii="Times New Roman" w:eastAsia="Times New Roman" w:hAnsi="Times New Roman" w:cs="Times New Roman"/>
          <w:bCs/>
          <w:sz w:val="24"/>
          <w:szCs w:val="24"/>
          <w:lang w:eastAsia="lv-LV"/>
        </w:rPr>
        <w:t>ar</w:t>
      </w:r>
      <w:r w:rsidR="004B21EE" w:rsidRPr="00BC3374">
        <w:rPr>
          <w:rFonts w:ascii="Times New Roman" w:eastAsia="Times New Roman" w:hAnsi="Times New Roman" w:cs="Times New Roman"/>
          <w:bCs/>
          <w:sz w:val="24"/>
          <w:szCs w:val="24"/>
          <w:lang w:eastAsia="lv-LV"/>
        </w:rPr>
        <w:t xml:space="preserve"> platform</w:t>
      </w:r>
      <w:r w:rsidR="00A918CC" w:rsidRPr="00BC3374">
        <w:rPr>
          <w:rFonts w:ascii="Times New Roman" w:eastAsia="Times New Roman" w:hAnsi="Times New Roman" w:cs="Times New Roman"/>
          <w:bCs/>
          <w:sz w:val="24"/>
          <w:szCs w:val="24"/>
          <w:lang w:eastAsia="lv-LV"/>
        </w:rPr>
        <w:t>u starpniecību</w:t>
      </w:r>
      <w:r w:rsidR="004B21EE" w:rsidRPr="00BC3374">
        <w:rPr>
          <w:rFonts w:ascii="Times New Roman" w:eastAsia="Times New Roman" w:hAnsi="Times New Roman" w:cs="Times New Roman"/>
          <w:bCs/>
          <w:sz w:val="24"/>
          <w:szCs w:val="24"/>
          <w:lang w:eastAsia="lv-LV"/>
        </w:rPr>
        <w:t>, netiek uzskaitīti</w:t>
      </w:r>
      <w:r w:rsidR="00020B63" w:rsidRPr="00BC3374">
        <w:rPr>
          <w:rFonts w:ascii="Times New Roman" w:eastAsia="Times New Roman" w:hAnsi="Times New Roman" w:cs="Times New Roman"/>
          <w:bCs/>
          <w:sz w:val="24"/>
          <w:szCs w:val="24"/>
          <w:lang w:eastAsia="lv-LV"/>
        </w:rPr>
        <w:t xml:space="preserve"> statistikā</w:t>
      </w:r>
      <w:r w:rsidR="004B21EE" w:rsidRPr="00BC3374">
        <w:rPr>
          <w:rFonts w:ascii="Times New Roman" w:eastAsia="Times New Roman" w:hAnsi="Times New Roman" w:cs="Times New Roman"/>
          <w:bCs/>
          <w:sz w:val="24"/>
          <w:szCs w:val="24"/>
          <w:lang w:eastAsia="lv-LV"/>
        </w:rPr>
        <w:t xml:space="preserve">, </w:t>
      </w:r>
      <w:r w:rsidR="00DA603F" w:rsidRPr="00BC3374">
        <w:rPr>
          <w:rFonts w:ascii="Times New Roman" w:eastAsia="Times New Roman" w:hAnsi="Times New Roman" w:cs="Times New Roman"/>
          <w:bCs/>
          <w:sz w:val="24"/>
          <w:szCs w:val="24"/>
          <w:lang w:eastAsia="lv-LV"/>
        </w:rPr>
        <w:t xml:space="preserve">kā arī netiek </w:t>
      </w:r>
      <w:r w:rsidR="00A918CC" w:rsidRPr="00BC3374">
        <w:rPr>
          <w:rFonts w:ascii="Times New Roman" w:eastAsia="Times New Roman" w:hAnsi="Times New Roman" w:cs="Times New Roman"/>
          <w:bCs/>
          <w:sz w:val="24"/>
          <w:szCs w:val="24"/>
          <w:lang w:eastAsia="lv-LV"/>
        </w:rPr>
        <w:t>veikta</w:t>
      </w:r>
      <w:r w:rsidR="00DA603F" w:rsidRPr="00BC3374">
        <w:rPr>
          <w:rFonts w:ascii="Times New Roman" w:eastAsia="Times New Roman" w:hAnsi="Times New Roman" w:cs="Times New Roman"/>
          <w:bCs/>
          <w:sz w:val="24"/>
          <w:szCs w:val="24"/>
          <w:lang w:eastAsia="lv-LV"/>
        </w:rPr>
        <w:t xml:space="preserve"> šādu pakalpojumu kvalitāte</w:t>
      </w:r>
      <w:r w:rsidR="00A918CC" w:rsidRPr="00BC3374">
        <w:rPr>
          <w:rFonts w:ascii="Times New Roman" w:eastAsia="Times New Roman" w:hAnsi="Times New Roman" w:cs="Times New Roman"/>
          <w:bCs/>
          <w:sz w:val="24"/>
          <w:szCs w:val="24"/>
          <w:lang w:eastAsia="lv-LV"/>
        </w:rPr>
        <w:t>s</w:t>
      </w:r>
      <w:r w:rsidR="00DA603F" w:rsidRPr="00BC3374">
        <w:rPr>
          <w:rFonts w:ascii="Times New Roman" w:eastAsia="Times New Roman" w:hAnsi="Times New Roman" w:cs="Times New Roman"/>
          <w:bCs/>
          <w:sz w:val="24"/>
          <w:szCs w:val="24"/>
          <w:lang w:eastAsia="lv-LV"/>
        </w:rPr>
        <w:t xml:space="preserve">  un drošība</w:t>
      </w:r>
      <w:r w:rsidR="00A918CC" w:rsidRPr="00BC3374">
        <w:rPr>
          <w:rFonts w:ascii="Times New Roman" w:eastAsia="Times New Roman" w:hAnsi="Times New Roman" w:cs="Times New Roman"/>
          <w:bCs/>
          <w:sz w:val="24"/>
          <w:szCs w:val="24"/>
          <w:lang w:eastAsia="lv-LV"/>
        </w:rPr>
        <w:t>s uzraudzība</w:t>
      </w:r>
      <w:r w:rsidR="00DA603F" w:rsidRPr="00BC3374">
        <w:rPr>
          <w:rFonts w:ascii="Times New Roman" w:eastAsia="Times New Roman" w:hAnsi="Times New Roman" w:cs="Times New Roman"/>
          <w:bCs/>
          <w:sz w:val="24"/>
          <w:szCs w:val="24"/>
          <w:lang w:eastAsia="lv-LV"/>
        </w:rPr>
        <w:t xml:space="preserve">. </w:t>
      </w:r>
    </w:p>
    <w:p w14:paraId="6A1C7C80" w14:textId="35D6673E" w:rsidR="00422DDF" w:rsidRPr="00BC3374" w:rsidRDefault="00422DDF" w:rsidP="006E12DB">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Vienlaikus jānorāda, ka Latvij</w:t>
      </w:r>
      <w:r w:rsidR="00907AAB" w:rsidRPr="00BC3374">
        <w:rPr>
          <w:rFonts w:ascii="Times New Roman" w:eastAsia="Times New Roman" w:hAnsi="Times New Roman" w:cs="Times New Roman"/>
          <w:bCs/>
          <w:sz w:val="24"/>
          <w:szCs w:val="24"/>
          <w:lang w:eastAsia="lv-LV"/>
        </w:rPr>
        <w:t>ā pašreiz spēkā esošie</w:t>
      </w:r>
      <w:r w:rsidRPr="00BC3374">
        <w:rPr>
          <w:rFonts w:ascii="Times New Roman" w:eastAsia="Times New Roman" w:hAnsi="Times New Roman" w:cs="Times New Roman"/>
          <w:bCs/>
          <w:sz w:val="24"/>
          <w:szCs w:val="24"/>
          <w:lang w:eastAsia="lv-LV"/>
        </w:rPr>
        <w:t xml:space="preserve"> normatīvie akti neizdala ilgtermiņa vai īstermiņa dzīvojamo telpu īri. </w:t>
      </w:r>
      <w:r w:rsidR="00907AAB" w:rsidRPr="00BC3374">
        <w:rPr>
          <w:rFonts w:ascii="Times New Roman" w:eastAsia="Times New Roman" w:hAnsi="Times New Roman" w:cs="Times New Roman"/>
          <w:bCs/>
          <w:sz w:val="24"/>
          <w:szCs w:val="24"/>
          <w:lang w:eastAsia="lv-LV"/>
        </w:rPr>
        <w:t xml:space="preserve">Likumprojekta “Dzīvojamo telpu īres likums” (Saeimā </w:t>
      </w:r>
      <w:r w:rsidR="00921D2B" w:rsidRPr="00BC3374">
        <w:rPr>
          <w:rFonts w:ascii="Times New Roman" w:eastAsia="Times New Roman" w:hAnsi="Times New Roman" w:cs="Times New Roman"/>
          <w:bCs/>
          <w:sz w:val="24"/>
          <w:szCs w:val="24"/>
          <w:lang w:eastAsia="lv-LV"/>
        </w:rPr>
        <w:t xml:space="preserve">2018. gada 21. jūnijā </w:t>
      </w:r>
      <w:r w:rsidR="00907AAB" w:rsidRPr="00BC3374">
        <w:rPr>
          <w:rFonts w:ascii="Times New Roman" w:eastAsia="Times New Roman" w:hAnsi="Times New Roman" w:cs="Times New Roman"/>
          <w:bCs/>
          <w:sz w:val="24"/>
          <w:szCs w:val="24"/>
          <w:lang w:eastAsia="lv-LV"/>
        </w:rPr>
        <w:t>pieņemts 1.</w:t>
      </w:r>
      <w:r w:rsidR="00D642DC" w:rsidRPr="00BC3374">
        <w:rPr>
          <w:rFonts w:ascii="Times New Roman" w:eastAsia="Times New Roman" w:hAnsi="Times New Roman" w:cs="Times New Roman"/>
          <w:bCs/>
          <w:sz w:val="24"/>
          <w:szCs w:val="24"/>
          <w:lang w:eastAsia="lv-LV"/>
        </w:rPr>
        <w:t> </w:t>
      </w:r>
      <w:r w:rsidR="00907AAB" w:rsidRPr="00BC3374">
        <w:rPr>
          <w:rFonts w:ascii="Times New Roman" w:eastAsia="Times New Roman" w:hAnsi="Times New Roman" w:cs="Times New Roman"/>
          <w:bCs/>
          <w:sz w:val="24"/>
          <w:szCs w:val="24"/>
          <w:lang w:eastAsia="lv-LV"/>
        </w:rPr>
        <w:t>lasījumā) 2. panta trešās daļas 3. punkts paredz noteikt, ka dzīvojamo telpu sezonālu vai īstermiņa lietošanu (piemēram, vasarnīcas, viesu nami)</w:t>
      </w:r>
      <w:r w:rsidR="00C3758C" w:rsidRPr="00BC3374">
        <w:rPr>
          <w:rFonts w:ascii="Times New Roman" w:eastAsia="Times New Roman" w:hAnsi="Times New Roman" w:cs="Times New Roman"/>
          <w:bCs/>
          <w:sz w:val="24"/>
          <w:szCs w:val="24"/>
          <w:lang w:eastAsia="lv-LV"/>
        </w:rPr>
        <w:t xml:space="preserve"> īres līgumi ir slēdzami Civillikumā noteiktajā kārtībā</w:t>
      </w:r>
      <w:r w:rsidR="00E522CC" w:rsidRPr="00BC3374">
        <w:rPr>
          <w:rFonts w:ascii="Times New Roman" w:eastAsia="Times New Roman" w:hAnsi="Times New Roman" w:cs="Times New Roman"/>
          <w:bCs/>
          <w:sz w:val="24"/>
          <w:szCs w:val="24"/>
          <w:lang w:eastAsia="lv-LV"/>
        </w:rPr>
        <w:t xml:space="preserve">, līdz ar to jaunais likums uz </w:t>
      </w:r>
      <w:r w:rsidR="00A918CC" w:rsidRPr="00BC3374">
        <w:rPr>
          <w:rFonts w:ascii="Times New Roman" w:eastAsia="Times New Roman" w:hAnsi="Times New Roman" w:cs="Times New Roman"/>
          <w:bCs/>
          <w:sz w:val="24"/>
          <w:szCs w:val="24"/>
          <w:lang w:eastAsia="lv-LV"/>
        </w:rPr>
        <w:t>iepriekš minēto</w:t>
      </w:r>
      <w:r w:rsidR="00E522CC" w:rsidRPr="00BC3374">
        <w:rPr>
          <w:rFonts w:ascii="Times New Roman" w:eastAsia="Times New Roman" w:hAnsi="Times New Roman" w:cs="Times New Roman"/>
          <w:bCs/>
          <w:sz w:val="24"/>
          <w:szCs w:val="24"/>
          <w:lang w:eastAsia="lv-LV"/>
        </w:rPr>
        <w:t xml:space="preserve"> līgum</w:t>
      </w:r>
      <w:r w:rsidR="004B7E13" w:rsidRPr="00BC3374">
        <w:rPr>
          <w:rFonts w:ascii="Times New Roman" w:eastAsia="Times New Roman" w:hAnsi="Times New Roman" w:cs="Times New Roman"/>
          <w:bCs/>
          <w:sz w:val="24"/>
          <w:szCs w:val="24"/>
          <w:lang w:eastAsia="lv-LV"/>
        </w:rPr>
        <w:t>u noslēgšanu</w:t>
      </w:r>
      <w:r w:rsidR="00E522CC" w:rsidRPr="00BC3374">
        <w:rPr>
          <w:rFonts w:ascii="Times New Roman" w:eastAsia="Times New Roman" w:hAnsi="Times New Roman" w:cs="Times New Roman"/>
          <w:bCs/>
          <w:sz w:val="24"/>
          <w:szCs w:val="24"/>
          <w:lang w:eastAsia="lv-LV"/>
        </w:rPr>
        <w:t xml:space="preserve"> nebūs attiecināms.</w:t>
      </w:r>
    </w:p>
    <w:p w14:paraId="11187626" w14:textId="66C1347A" w:rsidR="00F857DC" w:rsidRPr="00BC3374" w:rsidRDefault="00F857DC" w:rsidP="00665820">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Apkopojot augstāk minēto, p</w:t>
      </w:r>
      <w:r w:rsidR="004725E6" w:rsidRPr="00BC3374">
        <w:rPr>
          <w:rFonts w:ascii="Times New Roman" w:eastAsia="Times New Roman" w:hAnsi="Times New Roman" w:cs="Times New Roman"/>
          <w:bCs/>
          <w:sz w:val="24"/>
          <w:szCs w:val="24"/>
          <w:lang w:eastAsia="lv-LV"/>
        </w:rPr>
        <w:t xml:space="preserve">asažieru pārvadāšanu reglamentē </w:t>
      </w:r>
      <w:r w:rsidR="00665820" w:rsidRPr="00BC3374">
        <w:rPr>
          <w:rFonts w:ascii="Times New Roman" w:eastAsia="Times New Roman" w:hAnsi="Times New Roman" w:cs="Times New Roman"/>
          <w:bCs/>
          <w:sz w:val="24"/>
          <w:szCs w:val="24"/>
          <w:lang w:eastAsia="lv-LV"/>
        </w:rPr>
        <w:t>Autopārvadājumu likums un to saistošie Ministru kabineta noteikumi</w:t>
      </w:r>
      <w:r w:rsidR="004725E6" w:rsidRPr="00BC3374">
        <w:rPr>
          <w:rFonts w:ascii="Times New Roman" w:eastAsia="Times New Roman" w:hAnsi="Times New Roman" w:cs="Times New Roman"/>
          <w:bCs/>
          <w:sz w:val="24"/>
          <w:szCs w:val="24"/>
          <w:lang w:eastAsia="lv-LV"/>
        </w:rPr>
        <w:t xml:space="preserve">, savukārt viesu izmitināšanu </w:t>
      </w:r>
      <w:r w:rsidR="001C047E" w:rsidRPr="00BC3374">
        <w:rPr>
          <w:rFonts w:ascii="Times New Roman" w:eastAsia="Times New Roman" w:hAnsi="Times New Roman" w:cs="Times New Roman"/>
          <w:bCs/>
          <w:sz w:val="24"/>
          <w:szCs w:val="24"/>
          <w:lang w:eastAsia="lv-LV"/>
        </w:rPr>
        <w:t>–</w:t>
      </w:r>
      <w:r w:rsidR="004725E6" w:rsidRPr="00BC3374">
        <w:rPr>
          <w:rFonts w:ascii="Times New Roman" w:eastAsia="Times New Roman" w:hAnsi="Times New Roman" w:cs="Times New Roman"/>
          <w:bCs/>
          <w:sz w:val="24"/>
          <w:szCs w:val="24"/>
          <w:lang w:eastAsia="lv-LV"/>
        </w:rPr>
        <w:t xml:space="preserve"> normatīvie akti mājokļu, īres, nodokļu un citās jomās. </w:t>
      </w:r>
      <w:r w:rsidR="00CF45C7" w:rsidRPr="00BC3374">
        <w:rPr>
          <w:rFonts w:ascii="Times New Roman" w:eastAsia="Times New Roman" w:hAnsi="Times New Roman" w:cs="Times New Roman"/>
          <w:bCs/>
          <w:sz w:val="24"/>
          <w:szCs w:val="24"/>
          <w:lang w:eastAsia="lv-LV"/>
        </w:rPr>
        <w:t>V</w:t>
      </w:r>
      <w:r w:rsidR="00DF5708" w:rsidRPr="00BC3374">
        <w:rPr>
          <w:rFonts w:ascii="Times New Roman" w:eastAsia="Times New Roman" w:hAnsi="Times New Roman" w:cs="Times New Roman"/>
          <w:bCs/>
          <w:sz w:val="24"/>
          <w:szCs w:val="24"/>
          <w:lang w:eastAsia="lv-LV"/>
        </w:rPr>
        <w:t xml:space="preserve">adoties no Eiropas Komisijas ieteikumiem un citu valstu pieredzes, </w:t>
      </w:r>
      <w:r w:rsidR="00CF45C7" w:rsidRPr="00BC3374">
        <w:rPr>
          <w:rFonts w:ascii="Times New Roman" w:eastAsia="Times New Roman" w:hAnsi="Times New Roman" w:cs="Times New Roman"/>
          <w:bCs/>
          <w:sz w:val="24"/>
          <w:szCs w:val="24"/>
          <w:lang w:eastAsia="lv-LV"/>
        </w:rPr>
        <w:t xml:space="preserve">ir jāizvērtē, vai </w:t>
      </w:r>
      <w:r w:rsidRPr="00BC3374">
        <w:rPr>
          <w:rFonts w:ascii="Times New Roman" w:eastAsia="Times New Roman" w:hAnsi="Times New Roman" w:cs="Times New Roman"/>
          <w:bCs/>
          <w:sz w:val="24"/>
          <w:szCs w:val="24"/>
          <w:lang w:eastAsia="lv-LV"/>
        </w:rPr>
        <w:t>ir nepieciešams</w:t>
      </w:r>
      <w:r w:rsidR="00CF45C7" w:rsidRPr="00BC3374">
        <w:rPr>
          <w:rFonts w:ascii="Times New Roman" w:eastAsia="Times New Roman" w:hAnsi="Times New Roman" w:cs="Times New Roman"/>
          <w:bCs/>
          <w:sz w:val="24"/>
          <w:szCs w:val="24"/>
          <w:lang w:eastAsia="lv-LV"/>
        </w:rPr>
        <w:t xml:space="preserve"> vispārējs regulējums </w:t>
      </w:r>
      <w:r w:rsidR="004725E6" w:rsidRPr="00BC3374">
        <w:rPr>
          <w:rFonts w:ascii="Times New Roman" w:eastAsia="Times New Roman" w:hAnsi="Times New Roman" w:cs="Times New Roman"/>
          <w:bCs/>
          <w:sz w:val="24"/>
          <w:szCs w:val="24"/>
          <w:lang w:eastAsia="lv-LV"/>
        </w:rPr>
        <w:t>sadarbības ekonomikai</w:t>
      </w:r>
      <w:r w:rsidR="00CF45C7" w:rsidRPr="00BC3374">
        <w:rPr>
          <w:rFonts w:ascii="Times New Roman" w:eastAsia="Times New Roman" w:hAnsi="Times New Roman" w:cs="Times New Roman"/>
          <w:bCs/>
          <w:sz w:val="24"/>
          <w:szCs w:val="24"/>
          <w:lang w:eastAsia="lv-LV"/>
        </w:rPr>
        <w:t xml:space="preserve">, </w:t>
      </w:r>
      <w:r w:rsidR="00DF5708" w:rsidRPr="00BC3374">
        <w:rPr>
          <w:rFonts w:ascii="Times New Roman" w:eastAsia="Times New Roman" w:hAnsi="Times New Roman" w:cs="Times New Roman"/>
          <w:bCs/>
          <w:sz w:val="24"/>
          <w:szCs w:val="24"/>
          <w:lang w:eastAsia="lv-LV"/>
        </w:rPr>
        <w:t xml:space="preserve">vai arī </w:t>
      </w:r>
      <w:r w:rsidR="004725E6" w:rsidRPr="00BC3374">
        <w:rPr>
          <w:rFonts w:ascii="Times New Roman" w:eastAsia="Times New Roman" w:hAnsi="Times New Roman" w:cs="Times New Roman"/>
          <w:bCs/>
          <w:sz w:val="24"/>
          <w:szCs w:val="24"/>
          <w:lang w:eastAsia="lv-LV"/>
        </w:rPr>
        <w:t xml:space="preserve">ir </w:t>
      </w:r>
      <w:r w:rsidR="00DF5708" w:rsidRPr="00BC3374">
        <w:rPr>
          <w:rFonts w:ascii="Times New Roman" w:eastAsia="Times New Roman" w:hAnsi="Times New Roman" w:cs="Times New Roman"/>
          <w:bCs/>
          <w:sz w:val="24"/>
          <w:szCs w:val="24"/>
          <w:lang w:eastAsia="lv-LV"/>
        </w:rPr>
        <w:t xml:space="preserve">pilnveidojami katras jomas </w:t>
      </w:r>
      <w:r w:rsidR="001C047E" w:rsidRPr="00BC3374">
        <w:rPr>
          <w:rFonts w:ascii="Times New Roman" w:eastAsia="Times New Roman" w:hAnsi="Times New Roman" w:cs="Times New Roman"/>
          <w:bCs/>
          <w:sz w:val="24"/>
          <w:szCs w:val="24"/>
          <w:lang w:eastAsia="lv-LV"/>
        </w:rPr>
        <w:t>normatīvie akti</w:t>
      </w:r>
      <w:r w:rsidR="00DF5708" w:rsidRPr="00BC3374">
        <w:rPr>
          <w:rFonts w:ascii="Times New Roman" w:eastAsia="Times New Roman" w:hAnsi="Times New Roman" w:cs="Times New Roman"/>
          <w:bCs/>
          <w:sz w:val="24"/>
          <w:szCs w:val="24"/>
          <w:lang w:eastAsia="lv-LV"/>
        </w:rPr>
        <w:t>, kuros ir identificējamas problēmas attiecībā uz sadarbības ekonomiku.</w:t>
      </w:r>
      <w:r w:rsidRPr="00BC3374">
        <w:rPr>
          <w:rFonts w:ascii="Times New Roman" w:eastAsia="Times New Roman" w:hAnsi="Times New Roman" w:cs="Times New Roman"/>
          <w:bCs/>
          <w:sz w:val="24"/>
          <w:szCs w:val="24"/>
          <w:lang w:eastAsia="lv-LV"/>
        </w:rPr>
        <w:t xml:space="preserve"> Sadarbības ekonomika ir ļoti strauji augoša un mainīga ekonomika, to nav iespējams precīzi prognozēt, tā var attīstīties jebkurā pakalpojumu jom</w:t>
      </w:r>
      <w:r w:rsidR="001B1B0B" w:rsidRPr="00BC3374">
        <w:rPr>
          <w:rFonts w:ascii="Times New Roman" w:eastAsia="Times New Roman" w:hAnsi="Times New Roman" w:cs="Times New Roman"/>
          <w:bCs/>
          <w:sz w:val="24"/>
          <w:szCs w:val="24"/>
          <w:lang w:eastAsia="lv-LV"/>
        </w:rPr>
        <w:t xml:space="preserve">ā </w:t>
      </w:r>
      <w:r w:rsidR="001C047E" w:rsidRPr="00BC3374">
        <w:rPr>
          <w:rFonts w:ascii="Times New Roman" w:eastAsia="Times New Roman" w:hAnsi="Times New Roman" w:cs="Times New Roman"/>
          <w:bCs/>
          <w:sz w:val="24"/>
          <w:szCs w:val="24"/>
          <w:lang w:eastAsia="lv-LV"/>
        </w:rPr>
        <w:t>–</w:t>
      </w:r>
      <w:r w:rsidRPr="00BC3374">
        <w:rPr>
          <w:rFonts w:ascii="Times New Roman" w:eastAsia="Times New Roman" w:hAnsi="Times New Roman" w:cs="Times New Roman"/>
          <w:bCs/>
          <w:sz w:val="24"/>
          <w:szCs w:val="24"/>
          <w:lang w:eastAsia="lv-LV"/>
        </w:rPr>
        <w:t xml:space="preserve"> tas būtiski apgrūtin</w:t>
      </w:r>
      <w:r w:rsidR="001B1B0B" w:rsidRPr="00BC3374">
        <w:rPr>
          <w:rFonts w:ascii="Times New Roman" w:eastAsia="Times New Roman" w:hAnsi="Times New Roman" w:cs="Times New Roman"/>
          <w:bCs/>
          <w:sz w:val="24"/>
          <w:szCs w:val="24"/>
          <w:lang w:eastAsia="lv-LV"/>
        </w:rPr>
        <w:t>a</w:t>
      </w:r>
      <w:r w:rsidRPr="00BC3374">
        <w:rPr>
          <w:rFonts w:ascii="Times New Roman" w:eastAsia="Times New Roman" w:hAnsi="Times New Roman" w:cs="Times New Roman"/>
          <w:bCs/>
          <w:sz w:val="24"/>
          <w:szCs w:val="24"/>
          <w:lang w:eastAsia="lv-LV"/>
        </w:rPr>
        <w:t xml:space="preserve"> vienota regulējuma izstrādi. </w:t>
      </w:r>
      <w:r w:rsidR="001B1B0B" w:rsidRPr="00BC3374">
        <w:rPr>
          <w:rFonts w:ascii="Times New Roman" w:eastAsia="Times New Roman" w:hAnsi="Times New Roman" w:cs="Times New Roman"/>
          <w:bCs/>
          <w:sz w:val="24"/>
          <w:szCs w:val="24"/>
          <w:lang w:eastAsia="lv-LV"/>
        </w:rPr>
        <w:t xml:space="preserve">Turklāt, katra pakalpojumu joma ir ļoti specifiska ar tikai tai raksturīgām iezīmēm un problēmām, kuras efektīvāk risināt ir attiecīgajos nozaru regulējumos, nevis vienotā normatīvā. Tādēļ turpmāk konceptuālajā ziņojumā Ekonomikas ministrija izvērtē </w:t>
      </w:r>
      <w:r w:rsidR="006B193E">
        <w:rPr>
          <w:rFonts w:ascii="Times New Roman" w:eastAsia="Times New Roman" w:hAnsi="Times New Roman" w:cs="Times New Roman"/>
          <w:bCs/>
          <w:sz w:val="24"/>
          <w:szCs w:val="24"/>
          <w:lang w:eastAsia="lv-LV"/>
        </w:rPr>
        <w:t>pasažieru komercpārvadājumu ar vieglo automobili</w:t>
      </w:r>
      <w:r w:rsidR="006B193E" w:rsidRPr="00BC3374">
        <w:rPr>
          <w:rFonts w:ascii="Times New Roman" w:eastAsia="Times New Roman" w:hAnsi="Times New Roman" w:cs="Times New Roman"/>
          <w:bCs/>
          <w:sz w:val="24"/>
          <w:szCs w:val="24"/>
          <w:lang w:eastAsia="lv-LV"/>
        </w:rPr>
        <w:t xml:space="preserve"> </w:t>
      </w:r>
      <w:r w:rsidR="001B1B0B" w:rsidRPr="00BC3374">
        <w:rPr>
          <w:rFonts w:ascii="Times New Roman" w:eastAsia="Times New Roman" w:hAnsi="Times New Roman" w:cs="Times New Roman"/>
          <w:bCs/>
          <w:sz w:val="24"/>
          <w:szCs w:val="24"/>
          <w:lang w:eastAsia="lv-LV"/>
        </w:rPr>
        <w:t>un īstermiņa izmitināšanas jomas Eiropas Komisijas ieteiktajos piecos virzienos: piekļuve tirgum, atbildības sadalījums, patērētāju aizsardzība, nodarbinātība un nodokļu nomaksa.</w:t>
      </w:r>
    </w:p>
    <w:p w14:paraId="7B49C144" w14:textId="77777777" w:rsidR="008678DF" w:rsidRPr="00BC3374" w:rsidRDefault="008678DF" w:rsidP="008678DF">
      <w:pPr>
        <w:spacing w:after="0" w:line="240" w:lineRule="auto"/>
        <w:rPr>
          <w:rFonts w:ascii="Times New Roman" w:eastAsia="Times New Roman" w:hAnsi="Times New Roman" w:cs="Times New Roman"/>
          <w:b/>
          <w:bCs/>
          <w:i/>
          <w:sz w:val="24"/>
          <w:szCs w:val="24"/>
          <w:lang w:eastAsia="lv-LV"/>
        </w:rPr>
      </w:pPr>
    </w:p>
    <w:p w14:paraId="72F39CFC" w14:textId="7516806D" w:rsidR="00EF0D75" w:rsidRPr="00BC3374" w:rsidRDefault="00EF0D75" w:rsidP="008678DF">
      <w:pPr>
        <w:spacing w:after="0" w:line="240" w:lineRule="auto"/>
        <w:rPr>
          <w:rFonts w:ascii="Times New Roman" w:eastAsia="Times New Roman" w:hAnsi="Times New Roman" w:cs="Times New Roman"/>
          <w:b/>
          <w:bCs/>
          <w:sz w:val="24"/>
          <w:szCs w:val="24"/>
          <w:u w:val="single"/>
          <w:lang w:eastAsia="lv-LV"/>
        </w:rPr>
      </w:pPr>
      <w:r w:rsidRPr="00BC3374">
        <w:rPr>
          <w:rFonts w:ascii="Times New Roman" w:eastAsia="Times New Roman" w:hAnsi="Times New Roman" w:cs="Times New Roman"/>
          <w:b/>
          <w:bCs/>
          <w:sz w:val="24"/>
          <w:szCs w:val="24"/>
          <w:u w:val="single"/>
          <w:lang w:eastAsia="lv-LV"/>
        </w:rPr>
        <w:t xml:space="preserve">Piekļuve tirgum </w:t>
      </w:r>
    </w:p>
    <w:p w14:paraId="16AB1C57" w14:textId="77777777" w:rsidR="005C735A" w:rsidRPr="00C50AD8" w:rsidRDefault="005C735A" w:rsidP="005C735A">
      <w:pPr>
        <w:spacing w:after="0" w:line="240" w:lineRule="auto"/>
        <w:ind w:firstLine="709"/>
        <w:jc w:val="center"/>
        <w:rPr>
          <w:rFonts w:ascii="Times New Roman" w:eastAsia="Times New Roman" w:hAnsi="Times New Roman" w:cs="Times New Roman"/>
          <w:b/>
          <w:bCs/>
          <w:sz w:val="28"/>
          <w:szCs w:val="28"/>
          <w:lang w:eastAsia="lv-LV"/>
        </w:rPr>
      </w:pPr>
    </w:p>
    <w:p w14:paraId="06DA58D3" w14:textId="07B9C04E" w:rsidR="00EF0D75" w:rsidRDefault="00EF0D75" w:rsidP="00E9538E">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Šobrīd katrā nozarē un jomā pastāv savs regulējums par atļaujām, </w:t>
      </w:r>
      <w:r w:rsidR="00BB3D25" w:rsidRPr="00BC3374">
        <w:rPr>
          <w:rFonts w:ascii="Times New Roman" w:eastAsia="Times New Roman" w:hAnsi="Times New Roman" w:cs="Times New Roman"/>
          <w:bCs/>
          <w:sz w:val="24"/>
          <w:szCs w:val="24"/>
          <w:lang w:eastAsia="lv-LV"/>
        </w:rPr>
        <w:t xml:space="preserve">nepieciešamajiem </w:t>
      </w:r>
      <w:r w:rsidRPr="00BC3374">
        <w:rPr>
          <w:rFonts w:ascii="Times New Roman" w:eastAsia="Times New Roman" w:hAnsi="Times New Roman" w:cs="Times New Roman"/>
          <w:bCs/>
          <w:sz w:val="24"/>
          <w:szCs w:val="24"/>
          <w:lang w:eastAsia="lv-LV"/>
        </w:rPr>
        <w:t>saskaņojumiem, licencēm</w:t>
      </w:r>
      <w:r w:rsidR="00BB3D25" w:rsidRPr="00BC3374">
        <w:rPr>
          <w:rFonts w:ascii="Times New Roman" w:eastAsia="Times New Roman" w:hAnsi="Times New Roman" w:cs="Times New Roman"/>
          <w:bCs/>
          <w:sz w:val="24"/>
          <w:szCs w:val="24"/>
          <w:lang w:eastAsia="lv-LV"/>
        </w:rPr>
        <w:t xml:space="preserve"> un reģistrāciju</w:t>
      </w:r>
      <w:r w:rsidRPr="00BC3374">
        <w:rPr>
          <w:rFonts w:ascii="Times New Roman" w:eastAsia="Times New Roman" w:hAnsi="Times New Roman" w:cs="Times New Roman"/>
          <w:bCs/>
          <w:sz w:val="24"/>
          <w:szCs w:val="24"/>
          <w:lang w:eastAsia="lv-LV"/>
        </w:rPr>
        <w:t xml:space="preserve">. Nav kopēja regulējuma un </w:t>
      </w:r>
      <w:r w:rsidR="00255CF1" w:rsidRPr="00BC3374">
        <w:rPr>
          <w:rFonts w:ascii="Times New Roman" w:eastAsia="Times New Roman" w:hAnsi="Times New Roman" w:cs="Times New Roman"/>
          <w:bCs/>
          <w:sz w:val="24"/>
          <w:szCs w:val="24"/>
          <w:lang w:eastAsia="lv-LV"/>
        </w:rPr>
        <w:t>uzskaitījuma</w:t>
      </w:r>
      <w:r w:rsidRPr="00BC3374">
        <w:rPr>
          <w:rFonts w:ascii="Times New Roman" w:eastAsia="Times New Roman" w:hAnsi="Times New Roman" w:cs="Times New Roman"/>
          <w:bCs/>
          <w:sz w:val="24"/>
          <w:szCs w:val="24"/>
          <w:lang w:eastAsia="lv-LV"/>
        </w:rPr>
        <w:t>, kādas atļaujas, saskaņojumi, licences, reģistrācijas nepieciešamas uzņēmējdarbībā. Līdz ar to arī sadarbības ekonomikā iesaistītām personām jāievēro atbilstoši normatīvie akti.</w:t>
      </w:r>
    </w:p>
    <w:p w14:paraId="7C1315A6" w14:textId="77777777" w:rsidR="00CA058B" w:rsidRDefault="00CA058B" w:rsidP="00E9538E">
      <w:pPr>
        <w:spacing w:after="0" w:line="240" w:lineRule="auto"/>
        <w:ind w:firstLine="709"/>
        <w:jc w:val="both"/>
        <w:rPr>
          <w:rFonts w:ascii="Times New Roman" w:eastAsia="Times New Roman" w:hAnsi="Times New Roman" w:cs="Times New Roman"/>
          <w:bCs/>
          <w:sz w:val="24"/>
          <w:szCs w:val="24"/>
          <w:lang w:eastAsia="lv-LV"/>
        </w:rPr>
      </w:pPr>
    </w:p>
    <w:p w14:paraId="2F53C6F3" w14:textId="546ECDFE" w:rsidR="00CA058B" w:rsidRPr="00CA058B" w:rsidRDefault="00CA058B" w:rsidP="00CA058B">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CA058B">
        <w:rPr>
          <w:rFonts w:ascii="Times New Roman" w:eastAsia="Times New Roman" w:hAnsi="Times New Roman" w:cs="Times New Roman"/>
          <w:b/>
          <w:bCs/>
          <w:sz w:val="24"/>
          <w:szCs w:val="24"/>
          <w:lang w:eastAsia="lv-LV"/>
        </w:rPr>
        <w:t xml:space="preserve">Piekļuve tirgum </w:t>
      </w:r>
      <w:r w:rsidR="00A00E2E">
        <w:rPr>
          <w:rFonts w:ascii="Times New Roman" w:eastAsia="Times New Roman" w:hAnsi="Times New Roman" w:cs="Times New Roman"/>
          <w:b/>
          <w:bCs/>
          <w:sz w:val="24"/>
          <w:szCs w:val="24"/>
          <w:lang w:eastAsia="lv-LV"/>
        </w:rPr>
        <w:t xml:space="preserve">vieglo pasažieru pārvadājumu </w:t>
      </w:r>
      <w:r w:rsidRPr="00CA058B">
        <w:rPr>
          <w:rFonts w:ascii="Times New Roman" w:eastAsia="Times New Roman" w:hAnsi="Times New Roman" w:cs="Times New Roman"/>
          <w:b/>
          <w:bCs/>
          <w:sz w:val="24"/>
          <w:szCs w:val="24"/>
          <w:lang w:eastAsia="lv-LV"/>
        </w:rPr>
        <w:t>jomā</w:t>
      </w:r>
    </w:p>
    <w:p w14:paraId="70DEBA3E" w14:textId="0558F896" w:rsidR="000F3C9F" w:rsidRPr="00BC3374" w:rsidRDefault="00EF0D75" w:rsidP="00DF5708">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Piemēram, saskaņā ar Autopārvadājumu likumu nepieciešama atļauja pasažieru regulāro komercpārvadājumu veikšanai</w:t>
      </w:r>
      <w:r w:rsidR="009A346E" w:rsidRPr="00BC3374">
        <w:rPr>
          <w:rFonts w:ascii="Times New Roman" w:eastAsia="Times New Roman" w:hAnsi="Times New Roman" w:cs="Times New Roman"/>
          <w:bCs/>
          <w:sz w:val="24"/>
          <w:szCs w:val="24"/>
          <w:lang w:eastAsia="lv-LV"/>
        </w:rPr>
        <w:t xml:space="preserve">, kā arī pārvadātājam, kas  </w:t>
      </w:r>
      <w:r w:rsidR="00BE6E1B" w:rsidRPr="00BC3374">
        <w:rPr>
          <w:rFonts w:ascii="Times New Roman" w:eastAsia="Times New Roman" w:hAnsi="Times New Roman" w:cs="Times New Roman"/>
          <w:bCs/>
          <w:sz w:val="24"/>
          <w:szCs w:val="24"/>
          <w:lang w:eastAsia="lv-LV"/>
        </w:rPr>
        <w:t>veic pasažieru komercpārvadājumus ar taksometru vai ar vieglo automobili</w:t>
      </w:r>
      <w:r w:rsidR="00277ECD" w:rsidRPr="00BC3374">
        <w:rPr>
          <w:rFonts w:ascii="Times New Roman" w:eastAsia="Times New Roman" w:hAnsi="Times New Roman" w:cs="Times New Roman"/>
          <w:bCs/>
          <w:sz w:val="24"/>
          <w:szCs w:val="24"/>
          <w:lang w:eastAsia="lv-LV"/>
        </w:rPr>
        <w:t>,</w:t>
      </w:r>
      <w:r w:rsidR="00BE6E1B" w:rsidRPr="00BC3374">
        <w:rPr>
          <w:rFonts w:ascii="Times New Roman" w:eastAsia="Times New Roman" w:hAnsi="Times New Roman" w:cs="Times New Roman"/>
          <w:bCs/>
          <w:sz w:val="24"/>
          <w:szCs w:val="24"/>
          <w:lang w:eastAsia="lv-LV"/>
        </w:rPr>
        <w:t xml:space="preserve"> ir jāsaņem speciālā atļauja (licence)</w:t>
      </w:r>
      <w:r w:rsidRPr="00BC3374">
        <w:rPr>
          <w:rFonts w:ascii="Times New Roman" w:eastAsia="Times New Roman" w:hAnsi="Times New Roman" w:cs="Times New Roman"/>
          <w:bCs/>
          <w:sz w:val="24"/>
          <w:szCs w:val="24"/>
          <w:lang w:eastAsia="lv-LV"/>
        </w:rPr>
        <w:t xml:space="preserve">. Tātad tas attiecas arī uz gadījumiem, kad attiecīgie pārvadājumi tiek organizēti </w:t>
      </w:r>
      <w:r w:rsidR="00960E31">
        <w:rPr>
          <w:rFonts w:ascii="Times New Roman" w:eastAsia="Times New Roman" w:hAnsi="Times New Roman" w:cs="Times New Roman"/>
          <w:bCs/>
          <w:sz w:val="24"/>
          <w:szCs w:val="24"/>
          <w:lang w:eastAsia="lv-LV"/>
        </w:rPr>
        <w:t xml:space="preserve"> ar platformu starpniecību</w:t>
      </w:r>
      <w:r w:rsidRPr="00BC3374">
        <w:rPr>
          <w:rFonts w:ascii="Times New Roman" w:eastAsia="Times New Roman" w:hAnsi="Times New Roman" w:cs="Times New Roman"/>
          <w:bCs/>
          <w:sz w:val="24"/>
          <w:szCs w:val="24"/>
          <w:lang w:eastAsia="lv-LV"/>
        </w:rPr>
        <w:t xml:space="preserve">. </w:t>
      </w:r>
    </w:p>
    <w:p w14:paraId="0D337F92" w14:textId="50F1DC39" w:rsidR="00DF5708" w:rsidRPr="00BC3374" w:rsidRDefault="00BE6E1B" w:rsidP="00DF5708">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Atbilstoši </w:t>
      </w:r>
      <w:bookmarkStart w:id="9" w:name="_Hlk523082445"/>
      <w:r w:rsidRPr="00BC3374">
        <w:rPr>
          <w:rFonts w:ascii="Times New Roman" w:eastAsia="Times New Roman" w:hAnsi="Times New Roman" w:cs="Times New Roman"/>
          <w:bCs/>
          <w:sz w:val="24"/>
          <w:szCs w:val="24"/>
          <w:lang w:eastAsia="lv-LV"/>
        </w:rPr>
        <w:t>Autopārvadājuma likumam pārvadātājs ir</w:t>
      </w:r>
      <w:r w:rsidRPr="00BC3374">
        <w:rPr>
          <w:sz w:val="24"/>
          <w:szCs w:val="24"/>
        </w:rPr>
        <w:t xml:space="preserve"> </w:t>
      </w:r>
      <w:r w:rsidRPr="00BC3374">
        <w:rPr>
          <w:rFonts w:ascii="Times New Roman" w:eastAsia="Times New Roman" w:hAnsi="Times New Roman" w:cs="Times New Roman"/>
          <w:bCs/>
          <w:sz w:val="24"/>
          <w:szCs w:val="24"/>
          <w:lang w:eastAsia="lv-LV"/>
        </w:rPr>
        <w:t>komersants, zemnieku vai zvejnieku saimniecība, kas pēc pasūtījuma vai līguma ar nosūtītāju, pasažieri vai uz cita tiesiska pamata uzņemas pārvadājuma saistību, līdz ar to p</w:t>
      </w:r>
      <w:r w:rsidR="00DF5708" w:rsidRPr="00BC3374">
        <w:rPr>
          <w:rFonts w:ascii="Times New Roman" w:eastAsia="Times New Roman" w:hAnsi="Times New Roman" w:cs="Times New Roman"/>
          <w:bCs/>
          <w:sz w:val="24"/>
          <w:szCs w:val="24"/>
          <w:lang w:eastAsia="lv-LV"/>
        </w:rPr>
        <w:t>ārvadājumus var veikt tikai komersants, izslēdzot fiziskām personām iespējas veikt pārvadājumus</w:t>
      </w:r>
      <w:bookmarkEnd w:id="9"/>
      <w:r w:rsidR="00DF5708" w:rsidRPr="00BC3374">
        <w:rPr>
          <w:rFonts w:ascii="Times New Roman" w:eastAsia="Times New Roman" w:hAnsi="Times New Roman" w:cs="Times New Roman"/>
          <w:bCs/>
          <w:sz w:val="24"/>
          <w:szCs w:val="24"/>
          <w:lang w:eastAsia="lv-LV"/>
        </w:rPr>
        <w:t xml:space="preserve">, tādejādi būtiski </w:t>
      </w:r>
      <w:r w:rsidR="000F3C9F" w:rsidRPr="00BC3374">
        <w:rPr>
          <w:rFonts w:ascii="Times New Roman" w:eastAsia="Times New Roman" w:hAnsi="Times New Roman" w:cs="Times New Roman"/>
          <w:bCs/>
          <w:sz w:val="24"/>
          <w:szCs w:val="24"/>
          <w:lang w:eastAsia="lv-LV"/>
        </w:rPr>
        <w:t xml:space="preserve">palielinot </w:t>
      </w:r>
      <w:r w:rsidR="00DF5708" w:rsidRPr="00BC3374">
        <w:rPr>
          <w:rFonts w:ascii="Times New Roman" w:eastAsia="Times New Roman" w:hAnsi="Times New Roman" w:cs="Times New Roman"/>
          <w:bCs/>
          <w:sz w:val="24"/>
          <w:szCs w:val="24"/>
          <w:lang w:eastAsia="lv-LV"/>
        </w:rPr>
        <w:t xml:space="preserve">barjera </w:t>
      </w:r>
      <w:r w:rsidR="000F3C9F" w:rsidRPr="00BC3374">
        <w:rPr>
          <w:rFonts w:ascii="Times New Roman" w:eastAsia="Times New Roman" w:hAnsi="Times New Roman" w:cs="Times New Roman"/>
          <w:bCs/>
          <w:sz w:val="24"/>
          <w:szCs w:val="24"/>
          <w:lang w:eastAsia="lv-LV"/>
        </w:rPr>
        <w:t xml:space="preserve">jaunu dalībnieku ienākšanai un </w:t>
      </w:r>
      <w:r w:rsidR="00DF5708" w:rsidRPr="00BC3374">
        <w:rPr>
          <w:rFonts w:ascii="Times New Roman" w:eastAsia="Times New Roman" w:hAnsi="Times New Roman" w:cs="Times New Roman"/>
          <w:bCs/>
          <w:sz w:val="24"/>
          <w:szCs w:val="24"/>
          <w:lang w:eastAsia="lv-LV"/>
        </w:rPr>
        <w:t>sadarbības ekonomikas attīstībai.</w:t>
      </w:r>
      <w:bookmarkStart w:id="10" w:name="_Hlk519803094"/>
      <w:r w:rsidR="00DF5708" w:rsidRPr="00BC3374">
        <w:rPr>
          <w:rFonts w:ascii="Times New Roman" w:eastAsia="Times New Roman" w:hAnsi="Times New Roman" w:cs="Times New Roman"/>
          <w:bCs/>
          <w:sz w:val="24"/>
          <w:szCs w:val="24"/>
          <w:lang w:eastAsia="lv-LV"/>
        </w:rPr>
        <w:t xml:space="preserve"> </w:t>
      </w:r>
      <w:bookmarkEnd w:id="10"/>
    </w:p>
    <w:p w14:paraId="14AFB42E" w14:textId="3547193E" w:rsidR="00E65AD9" w:rsidRDefault="00DF5708" w:rsidP="00C01D03">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Esošais </w:t>
      </w:r>
      <w:r w:rsidR="000F3C9F" w:rsidRPr="00BC3374">
        <w:rPr>
          <w:rFonts w:ascii="Times New Roman" w:eastAsia="Times New Roman" w:hAnsi="Times New Roman" w:cs="Times New Roman"/>
          <w:bCs/>
          <w:sz w:val="24"/>
          <w:szCs w:val="24"/>
          <w:lang w:eastAsia="lv-LV"/>
        </w:rPr>
        <w:t xml:space="preserve">Autopārvadājumu likuma </w:t>
      </w:r>
      <w:r w:rsidRPr="00BC3374">
        <w:rPr>
          <w:rFonts w:ascii="Times New Roman" w:eastAsia="Times New Roman" w:hAnsi="Times New Roman" w:cs="Times New Roman"/>
          <w:bCs/>
          <w:sz w:val="24"/>
          <w:szCs w:val="24"/>
          <w:lang w:eastAsia="lv-LV"/>
        </w:rPr>
        <w:t>regulējums nosaka, ka viegl</w:t>
      </w:r>
      <w:r w:rsidR="000F3C9F" w:rsidRPr="00BC3374">
        <w:rPr>
          <w:rFonts w:ascii="Times New Roman" w:eastAsia="Times New Roman" w:hAnsi="Times New Roman" w:cs="Times New Roman"/>
          <w:bCs/>
          <w:sz w:val="24"/>
          <w:szCs w:val="24"/>
          <w:lang w:eastAsia="lv-LV"/>
        </w:rPr>
        <w:t xml:space="preserve">ie pasažieru </w:t>
      </w:r>
      <w:r w:rsidRPr="00BC3374">
        <w:rPr>
          <w:rFonts w:ascii="Times New Roman" w:eastAsia="Times New Roman" w:hAnsi="Times New Roman" w:cs="Times New Roman"/>
          <w:bCs/>
          <w:sz w:val="24"/>
          <w:szCs w:val="24"/>
          <w:lang w:eastAsia="lv-LV"/>
        </w:rPr>
        <w:t xml:space="preserve"> pārvadājum</w:t>
      </w:r>
      <w:r w:rsidR="000F3C9F" w:rsidRPr="00BC3374">
        <w:rPr>
          <w:rFonts w:ascii="Times New Roman" w:eastAsia="Times New Roman" w:hAnsi="Times New Roman" w:cs="Times New Roman"/>
          <w:bCs/>
          <w:sz w:val="24"/>
          <w:szCs w:val="24"/>
          <w:lang w:eastAsia="lv-LV"/>
        </w:rPr>
        <w:t>i ir uzskatāmi par komercdarbību, t.i.</w:t>
      </w:r>
      <w:r w:rsidRPr="00BC3374">
        <w:rPr>
          <w:rFonts w:ascii="Times New Roman" w:eastAsia="Times New Roman" w:hAnsi="Times New Roman" w:cs="Times New Roman"/>
          <w:bCs/>
          <w:sz w:val="24"/>
          <w:szCs w:val="24"/>
          <w:lang w:eastAsia="lv-LV"/>
        </w:rPr>
        <w:t xml:space="preserve"> </w:t>
      </w:r>
      <w:r w:rsidR="00331BCF" w:rsidRPr="00BC3374">
        <w:rPr>
          <w:rFonts w:ascii="Times New Roman" w:eastAsia="Times New Roman" w:hAnsi="Times New Roman" w:cs="Times New Roman"/>
          <w:bCs/>
          <w:sz w:val="24"/>
          <w:szCs w:val="24"/>
          <w:lang w:eastAsia="lv-LV"/>
        </w:rPr>
        <w:t xml:space="preserve">tiek veikti </w:t>
      </w:r>
      <w:r w:rsidRPr="00BC3374">
        <w:rPr>
          <w:rFonts w:ascii="Times New Roman" w:eastAsia="Times New Roman" w:hAnsi="Times New Roman" w:cs="Times New Roman"/>
          <w:bCs/>
          <w:sz w:val="24"/>
          <w:szCs w:val="24"/>
          <w:lang w:eastAsia="lv-LV"/>
        </w:rPr>
        <w:t xml:space="preserve">ar mērķi gūt peļņu, līdz ar to pārvadājumu jomā </w:t>
      </w:r>
      <w:r w:rsidR="00C47C24">
        <w:rPr>
          <w:rFonts w:ascii="Times New Roman" w:eastAsia="Times New Roman" w:hAnsi="Times New Roman" w:cs="Times New Roman"/>
          <w:bCs/>
          <w:sz w:val="24"/>
          <w:szCs w:val="24"/>
          <w:lang w:eastAsia="lv-LV"/>
        </w:rPr>
        <w:t xml:space="preserve">šobrīd </w:t>
      </w:r>
      <w:r w:rsidRPr="00BC3374">
        <w:rPr>
          <w:rFonts w:ascii="Times New Roman" w:eastAsia="Times New Roman" w:hAnsi="Times New Roman" w:cs="Times New Roman"/>
          <w:bCs/>
          <w:sz w:val="24"/>
          <w:szCs w:val="24"/>
          <w:lang w:eastAsia="lv-LV"/>
        </w:rPr>
        <w:t>netiek paredzēts viens no sadarbības ekonomikas principiem</w:t>
      </w:r>
      <w:r w:rsidR="00B25422">
        <w:rPr>
          <w:rFonts w:ascii="Times New Roman" w:eastAsia="Times New Roman" w:hAnsi="Times New Roman" w:cs="Times New Roman"/>
          <w:bCs/>
          <w:sz w:val="24"/>
          <w:szCs w:val="24"/>
          <w:lang w:eastAsia="lv-LV"/>
        </w:rPr>
        <w:t xml:space="preserve"> </w:t>
      </w:r>
      <w:proofErr w:type="spellStart"/>
      <w:r w:rsidR="00B25422">
        <w:rPr>
          <w:rFonts w:ascii="Times New Roman" w:eastAsia="Times New Roman" w:hAnsi="Times New Roman" w:cs="Times New Roman"/>
          <w:bCs/>
          <w:sz w:val="24"/>
          <w:szCs w:val="24"/>
          <w:lang w:eastAsia="lv-LV"/>
        </w:rPr>
        <w:t>kopbraukšana</w:t>
      </w:r>
      <w:proofErr w:type="spellEnd"/>
      <w:r w:rsidR="00B25422">
        <w:rPr>
          <w:rFonts w:ascii="Times New Roman" w:eastAsia="Times New Roman" w:hAnsi="Times New Roman" w:cs="Times New Roman"/>
          <w:bCs/>
          <w:sz w:val="24"/>
          <w:szCs w:val="24"/>
          <w:lang w:eastAsia="lv-LV"/>
        </w:rPr>
        <w:t xml:space="preserve"> </w:t>
      </w:r>
      <w:r w:rsidR="00C47C24">
        <w:rPr>
          <w:rFonts w:ascii="Times New Roman" w:eastAsia="Times New Roman" w:hAnsi="Times New Roman" w:cs="Times New Roman"/>
          <w:bCs/>
          <w:sz w:val="24"/>
          <w:szCs w:val="24"/>
          <w:lang w:eastAsia="lv-LV"/>
        </w:rPr>
        <w:t xml:space="preserve">– situācija, kad transporta līdzekļa vadītājs, </w:t>
      </w:r>
      <w:r w:rsidR="001E1E25">
        <w:rPr>
          <w:rFonts w:ascii="Times New Roman" w:eastAsia="Times New Roman" w:hAnsi="Times New Roman" w:cs="Times New Roman"/>
          <w:bCs/>
          <w:sz w:val="24"/>
          <w:szCs w:val="24"/>
          <w:lang w:eastAsia="lv-LV"/>
        </w:rPr>
        <w:t xml:space="preserve">pamatojoties tikai uz savām vajadzībām </w:t>
      </w:r>
      <w:r w:rsidR="00C47C24">
        <w:rPr>
          <w:rFonts w:ascii="Times New Roman" w:eastAsia="Times New Roman" w:hAnsi="Times New Roman" w:cs="Times New Roman"/>
          <w:bCs/>
          <w:sz w:val="24"/>
          <w:szCs w:val="24"/>
          <w:lang w:eastAsia="lv-LV"/>
        </w:rPr>
        <w:t xml:space="preserve">nosaka sava brauciena galamērķi, , </w:t>
      </w:r>
      <w:r w:rsidR="001E1E25">
        <w:rPr>
          <w:rFonts w:ascii="Times New Roman" w:eastAsia="Times New Roman" w:hAnsi="Times New Roman" w:cs="Times New Roman"/>
          <w:bCs/>
          <w:sz w:val="24"/>
          <w:szCs w:val="24"/>
          <w:lang w:eastAsia="lv-LV"/>
        </w:rPr>
        <w:t xml:space="preserve">informējot par savu plānoto braucienu, </w:t>
      </w:r>
      <w:r w:rsidR="00C47C24">
        <w:rPr>
          <w:rFonts w:ascii="Times New Roman" w:eastAsia="Times New Roman" w:hAnsi="Times New Roman" w:cs="Times New Roman"/>
          <w:bCs/>
          <w:sz w:val="24"/>
          <w:szCs w:val="24"/>
          <w:lang w:eastAsia="lv-LV"/>
        </w:rPr>
        <w:t xml:space="preserve">tam var pievienoties </w:t>
      </w:r>
      <w:r w:rsidR="001E1E25">
        <w:rPr>
          <w:rFonts w:ascii="Times New Roman" w:eastAsia="Times New Roman" w:hAnsi="Times New Roman" w:cs="Times New Roman"/>
          <w:bCs/>
          <w:sz w:val="24"/>
          <w:szCs w:val="24"/>
          <w:lang w:eastAsia="lv-LV"/>
        </w:rPr>
        <w:t>līdzbraucēji</w:t>
      </w:r>
      <w:r w:rsidR="00C47C24">
        <w:rPr>
          <w:rFonts w:ascii="Times New Roman" w:eastAsia="Times New Roman" w:hAnsi="Times New Roman" w:cs="Times New Roman"/>
          <w:bCs/>
          <w:sz w:val="24"/>
          <w:szCs w:val="24"/>
          <w:lang w:eastAsia="lv-LV"/>
        </w:rPr>
        <w:t>, kuriem ir nepieciešams nokļūt vadītāja norādītājā vietā</w:t>
      </w:r>
      <w:r w:rsidR="001E1E25">
        <w:rPr>
          <w:rFonts w:ascii="Times New Roman" w:eastAsia="Times New Roman" w:hAnsi="Times New Roman" w:cs="Times New Roman"/>
          <w:bCs/>
          <w:sz w:val="24"/>
          <w:szCs w:val="24"/>
          <w:lang w:eastAsia="lv-LV"/>
        </w:rPr>
        <w:t xml:space="preserve"> (kopīgi dalot ceļa izdevumus, piemēram, izmaksas par degvielu</w:t>
      </w:r>
      <w:r w:rsidR="00060B2D">
        <w:rPr>
          <w:rFonts w:ascii="Times New Roman" w:eastAsia="Times New Roman" w:hAnsi="Times New Roman" w:cs="Times New Roman"/>
          <w:bCs/>
          <w:sz w:val="24"/>
          <w:szCs w:val="24"/>
          <w:lang w:eastAsia="lv-LV"/>
        </w:rPr>
        <w:t>)</w:t>
      </w:r>
      <w:r w:rsidR="00C47C24">
        <w:rPr>
          <w:rFonts w:ascii="Times New Roman" w:eastAsia="Times New Roman" w:hAnsi="Times New Roman" w:cs="Times New Roman"/>
          <w:bCs/>
          <w:sz w:val="24"/>
          <w:szCs w:val="24"/>
          <w:lang w:eastAsia="lv-LV"/>
        </w:rPr>
        <w:t>.</w:t>
      </w:r>
      <w:r w:rsidR="00B25422">
        <w:rPr>
          <w:rFonts w:ascii="Times New Roman" w:eastAsia="Times New Roman" w:hAnsi="Times New Roman" w:cs="Times New Roman"/>
          <w:bCs/>
          <w:sz w:val="24"/>
          <w:szCs w:val="24"/>
          <w:lang w:eastAsia="lv-LV"/>
        </w:rPr>
        <w:t xml:space="preserve"> </w:t>
      </w:r>
      <w:r w:rsidR="00C47C24">
        <w:rPr>
          <w:rFonts w:ascii="Times New Roman" w:eastAsia="Times New Roman" w:hAnsi="Times New Roman" w:cs="Times New Roman"/>
          <w:bCs/>
          <w:sz w:val="24"/>
          <w:szCs w:val="24"/>
          <w:lang w:eastAsia="lv-LV"/>
        </w:rPr>
        <w:t xml:space="preserve">Šāda </w:t>
      </w:r>
      <w:r w:rsidRPr="00BC3374">
        <w:rPr>
          <w:rFonts w:ascii="Times New Roman" w:eastAsia="Times New Roman" w:hAnsi="Times New Roman" w:cs="Times New Roman"/>
          <w:bCs/>
          <w:sz w:val="24"/>
          <w:szCs w:val="24"/>
          <w:lang w:eastAsia="lv-LV"/>
        </w:rPr>
        <w:t xml:space="preserve"> darījumu mērķis nav gūt peļņu, </w:t>
      </w:r>
      <w:r w:rsidR="00C47C24">
        <w:rPr>
          <w:rFonts w:ascii="Times New Roman" w:eastAsia="Times New Roman" w:hAnsi="Times New Roman" w:cs="Times New Roman"/>
          <w:bCs/>
          <w:sz w:val="24"/>
          <w:szCs w:val="24"/>
          <w:lang w:eastAsia="lv-LV"/>
        </w:rPr>
        <w:t>bet</w:t>
      </w:r>
      <w:r w:rsidRPr="00BC3374">
        <w:rPr>
          <w:rFonts w:ascii="Times New Roman" w:eastAsia="Times New Roman" w:hAnsi="Times New Roman" w:cs="Times New Roman"/>
          <w:bCs/>
          <w:sz w:val="24"/>
          <w:szCs w:val="24"/>
          <w:lang w:eastAsia="lv-LV"/>
        </w:rPr>
        <w:t xml:space="preserve"> dalīties ceļa izdevumu segšanā. </w:t>
      </w:r>
      <w:r w:rsidR="00060B2D">
        <w:rPr>
          <w:rFonts w:ascii="Times New Roman" w:eastAsia="Times New Roman" w:hAnsi="Times New Roman" w:cs="Times New Roman"/>
          <w:bCs/>
          <w:sz w:val="24"/>
          <w:szCs w:val="24"/>
          <w:lang w:eastAsia="lv-LV"/>
        </w:rPr>
        <w:t xml:space="preserve">Tomēr ņemot vērā, ka šādus darījumus ir grūti nošķirt no pasažieru komercpārvadājumiem ar vieglo automobili, kur brauciena gala mērķi nosaka pasažieris nevis mašīnas vadītājs, Finanšu ministrija piesardzīgi raugās uz šo regulējumu. </w:t>
      </w:r>
      <w:r w:rsidRPr="00BC3374">
        <w:rPr>
          <w:rFonts w:ascii="Times New Roman" w:eastAsia="Times New Roman" w:hAnsi="Times New Roman" w:cs="Times New Roman"/>
          <w:bCs/>
          <w:sz w:val="24"/>
          <w:szCs w:val="24"/>
          <w:lang w:eastAsia="lv-LV"/>
        </w:rPr>
        <w:t xml:space="preserve">Ekonomikas ministrijas ieskatā šādiem darījumiem, kuru mērķis nav tieša peļņas gūšana nevajadzētu noteikt </w:t>
      </w:r>
      <w:r w:rsidRPr="00BC3374">
        <w:rPr>
          <w:rFonts w:ascii="Times New Roman" w:eastAsia="Times New Roman" w:hAnsi="Times New Roman" w:cs="Times New Roman"/>
          <w:bCs/>
          <w:sz w:val="24"/>
          <w:szCs w:val="24"/>
          <w:lang w:eastAsia="lv-LV"/>
        </w:rPr>
        <w:lastRenderedPageBreak/>
        <w:t xml:space="preserve">īpašu regulējumu, jo saskaņā ar Eiropas Komisijas sniegtajām rekomendācijām tā nav uzskatāma par profesionālu darbību un tā nav vērsta uz peļņas gūšanu. </w:t>
      </w:r>
    </w:p>
    <w:p w14:paraId="43BA0177" w14:textId="0D0591DA" w:rsidR="00FE2F15" w:rsidRDefault="00FE2F15" w:rsidP="00FE2F15">
      <w:pPr>
        <w:spacing w:after="0" w:line="240" w:lineRule="auto"/>
        <w:ind w:firstLine="709"/>
        <w:jc w:val="both"/>
        <w:rPr>
          <w:rFonts w:ascii="Times New Roman" w:eastAsia="Times New Roman" w:hAnsi="Times New Roman" w:cs="Times New Roman"/>
          <w:bCs/>
          <w:sz w:val="24"/>
          <w:szCs w:val="24"/>
          <w:lang w:eastAsia="lv-LV"/>
        </w:rPr>
      </w:pPr>
      <w:r w:rsidRPr="00C546D9">
        <w:rPr>
          <w:rFonts w:ascii="Times New Roman" w:eastAsia="Times New Roman" w:hAnsi="Times New Roman" w:cs="Times New Roman"/>
          <w:bCs/>
          <w:sz w:val="24"/>
          <w:szCs w:val="24"/>
          <w:lang w:eastAsia="lv-LV"/>
        </w:rPr>
        <w:t xml:space="preserve">Vienlaikus mazinot barjeras sadarbības ekonomikas dalībniekiem un paredzot iespēju fiziskām personām veikt vieglo pasažieru pārvadājumus, nepieciešams </w:t>
      </w:r>
      <w:r>
        <w:rPr>
          <w:rFonts w:ascii="Times New Roman" w:eastAsia="Times New Roman" w:hAnsi="Times New Roman" w:cs="Times New Roman"/>
          <w:bCs/>
          <w:sz w:val="24"/>
          <w:szCs w:val="24"/>
          <w:lang w:eastAsia="lv-LV"/>
        </w:rPr>
        <w:t xml:space="preserve">izvērtēt un </w:t>
      </w:r>
      <w:r w:rsidRPr="00C546D9">
        <w:rPr>
          <w:rFonts w:ascii="Times New Roman" w:eastAsia="Times New Roman" w:hAnsi="Times New Roman" w:cs="Times New Roman"/>
          <w:bCs/>
          <w:sz w:val="24"/>
          <w:szCs w:val="24"/>
          <w:lang w:eastAsia="lv-LV"/>
        </w:rPr>
        <w:t>pārskatīt Autopārvadājumu likum</w:t>
      </w:r>
      <w:r>
        <w:rPr>
          <w:rFonts w:ascii="Times New Roman" w:eastAsia="Times New Roman" w:hAnsi="Times New Roman" w:cs="Times New Roman"/>
          <w:bCs/>
          <w:sz w:val="24"/>
          <w:szCs w:val="24"/>
          <w:lang w:eastAsia="lv-LV"/>
        </w:rPr>
        <w:t xml:space="preserve">u, </w:t>
      </w:r>
      <w:r w:rsidRPr="00C546D9">
        <w:rPr>
          <w:rFonts w:ascii="Times New Roman" w:eastAsia="Times New Roman" w:hAnsi="Times New Roman" w:cs="Times New Roman"/>
          <w:bCs/>
          <w:sz w:val="24"/>
          <w:szCs w:val="24"/>
          <w:lang w:eastAsia="lv-LV"/>
        </w:rPr>
        <w:t>paredzot, ka fiziska persona</w:t>
      </w:r>
      <w:r>
        <w:rPr>
          <w:rFonts w:ascii="Times New Roman" w:eastAsia="Times New Roman" w:hAnsi="Times New Roman" w:cs="Times New Roman"/>
          <w:bCs/>
          <w:sz w:val="24"/>
          <w:szCs w:val="24"/>
          <w:lang w:eastAsia="lv-LV"/>
        </w:rPr>
        <w:t xml:space="preserve"> var saņemt licenci </w:t>
      </w:r>
      <w:r w:rsidRPr="00C546D9">
        <w:rPr>
          <w:rFonts w:ascii="Times New Roman" w:eastAsia="Times New Roman" w:hAnsi="Times New Roman" w:cs="Times New Roman"/>
          <w:bCs/>
          <w:sz w:val="24"/>
          <w:szCs w:val="24"/>
          <w:lang w:eastAsia="lv-LV"/>
        </w:rPr>
        <w:t xml:space="preserve">pasažieru </w:t>
      </w:r>
      <w:r>
        <w:rPr>
          <w:rFonts w:ascii="Times New Roman" w:eastAsia="Times New Roman" w:hAnsi="Times New Roman" w:cs="Times New Roman"/>
          <w:bCs/>
          <w:sz w:val="24"/>
          <w:szCs w:val="24"/>
          <w:lang w:eastAsia="lv-LV"/>
        </w:rPr>
        <w:t>komerc</w:t>
      </w:r>
      <w:r w:rsidRPr="00C546D9">
        <w:rPr>
          <w:rFonts w:ascii="Times New Roman" w:eastAsia="Times New Roman" w:hAnsi="Times New Roman" w:cs="Times New Roman"/>
          <w:bCs/>
          <w:sz w:val="24"/>
          <w:szCs w:val="24"/>
          <w:lang w:eastAsia="lv-LV"/>
        </w:rPr>
        <w:t>pārvadājum</w:t>
      </w:r>
      <w:r>
        <w:rPr>
          <w:rFonts w:ascii="Times New Roman" w:eastAsia="Times New Roman" w:hAnsi="Times New Roman" w:cs="Times New Roman"/>
          <w:bCs/>
          <w:sz w:val="24"/>
          <w:szCs w:val="24"/>
          <w:lang w:eastAsia="lv-LV"/>
        </w:rPr>
        <w:t xml:space="preserve">iem ar vieglo automobili, ja fiziskā persona ir reģistrējusies kā saimnieciskās darbības veicējs </w:t>
      </w:r>
      <w:r w:rsidRPr="00C546D9">
        <w:rPr>
          <w:rFonts w:ascii="Times New Roman" w:eastAsia="Times New Roman" w:hAnsi="Times New Roman" w:cs="Times New Roman"/>
          <w:bCs/>
          <w:sz w:val="24"/>
          <w:szCs w:val="24"/>
          <w:lang w:eastAsia="lv-LV"/>
        </w:rPr>
        <w:t>Valsts ieņēmumu dienest</w:t>
      </w:r>
      <w:r>
        <w:rPr>
          <w:rFonts w:ascii="Times New Roman" w:eastAsia="Times New Roman" w:hAnsi="Times New Roman" w:cs="Times New Roman"/>
          <w:bCs/>
          <w:sz w:val="24"/>
          <w:szCs w:val="24"/>
          <w:lang w:eastAsia="lv-LV"/>
        </w:rPr>
        <w:t xml:space="preserve">ā.  </w:t>
      </w:r>
    </w:p>
    <w:p w14:paraId="27356066" w14:textId="77777777" w:rsidR="00CA058B" w:rsidRDefault="00CA058B" w:rsidP="00C01D03">
      <w:pPr>
        <w:spacing w:after="0" w:line="240" w:lineRule="auto"/>
        <w:ind w:firstLine="709"/>
        <w:jc w:val="both"/>
        <w:rPr>
          <w:rFonts w:ascii="Times New Roman" w:eastAsia="Times New Roman" w:hAnsi="Times New Roman" w:cs="Times New Roman"/>
          <w:bCs/>
          <w:sz w:val="24"/>
          <w:szCs w:val="24"/>
          <w:lang w:eastAsia="lv-LV"/>
        </w:rPr>
      </w:pPr>
    </w:p>
    <w:p w14:paraId="67C80542" w14:textId="6DC7C6CE" w:rsidR="00CA058B" w:rsidRPr="00CA058B" w:rsidRDefault="00CA058B" w:rsidP="00CA058B">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CA058B">
        <w:rPr>
          <w:rFonts w:ascii="Times New Roman" w:eastAsia="Times New Roman" w:hAnsi="Times New Roman" w:cs="Times New Roman"/>
          <w:b/>
          <w:bCs/>
          <w:sz w:val="24"/>
          <w:szCs w:val="24"/>
          <w:lang w:eastAsia="lv-LV"/>
        </w:rPr>
        <w:t xml:space="preserve">Piekļuve tirgum izmitināšanas sektorā </w:t>
      </w:r>
    </w:p>
    <w:p w14:paraId="0CD4C996" w14:textId="48E23B60" w:rsidR="00A369D1" w:rsidRPr="00BC3374" w:rsidRDefault="00F72DDE" w:rsidP="00C01D03">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Kaut arī </w:t>
      </w:r>
      <w:r w:rsidR="00255CF1" w:rsidRPr="00BC3374">
        <w:rPr>
          <w:rFonts w:ascii="Times New Roman" w:eastAsia="Times New Roman" w:hAnsi="Times New Roman" w:cs="Times New Roman"/>
          <w:bCs/>
          <w:sz w:val="24"/>
          <w:szCs w:val="24"/>
          <w:lang w:eastAsia="lv-LV"/>
        </w:rPr>
        <w:t>izmitināšanas sektorā</w:t>
      </w:r>
      <w:r w:rsidR="00B56161" w:rsidRPr="00BC3374">
        <w:rPr>
          <w:rFonts w:ascii="Times New Roman" w:eastAsia="Times New Roman" w:hAnsi="Times New Roman" w:cs="Times New Roman"/>
          <w:bCs/>
          <w:sz w:val="24"/>
          <w:szCs w:val="24"/>
          <w:lang w:eastAsia="lv-LV"/>
        </w:rPr>
        <w:t xml:space="preserve"> netiek</w:t>
      </w:r>
      <w:r w:rsidRPr="00BC3374">
        <w:rPr>
          <w:rFonts w:ascii="Times New Roman" w:eastAsia="Times New Roman" w:hAnsi="Times New Roman" w:cs="Times New Roman"/>
          <w:bCs/>
          <w:sz w:val="24"/>
          <w:szCs w:val="24"/>
          <w:lang w:eastAsia="lv-LV"/>
        </w:rPr>
        <w:t xml:space="preserve"> atsevišķi regulēta piekļuve tirgum, nav nepieciešamas licenc</w:t>
      </w:r>
      <w:r w:rsidR="00DD3D80" w:rsidRPr="00BC3374">
        <w:rPr>
          <w:rFonts w:ascii="Times New Roman" w:eastAsia="Times New Roman" w:hAnsi="Times New Roman" w:cs="Times New Roman"/>
          <w:bCs/>
          <w:sz w:val="24"/>
          <w:szCs w:val="24"/>
          <w:lang w:eastAsia="lv-LV"/>
        </w:rPr>
        <w:t xml:space="preserve">es vai atļaujas, tūristu mītnēm, lai varētu veikt viesu izmitināšanu, ir jāievēro </w:t>
      </w:r>
      <w:r w:rsidRPr="00BC3374">
        <w:rPr>
          <w:rFonts w:ascii="Times New Roman" w:eastAsia="Times New Roman" w:hAnsi="Times New Roman" w:cs="Times New Roman"/>
          <w:bCs/>
          <w:sz w:val="24"/>
          <w:szCs w:val="24"/>
          <w:lang w:eastAsia="lv-LV"/>
        </w:rPr>
        <w:t>specifiski noteikumi attiecībā uz</w:t>
      </w:r>
      <w:r w:rsidR="00DD3D80" w:rsidRPr="00BC3374">
        <w:rPr>
          <w:rFonts w:ascii="Times New Roman" w:eastAsia="Times New Roman" w:hAnsi="Times New Roman" w:cs="Times New Roman"/>
          <w:bCs/>
          <w:sz w:val="24"/>
          <w:szCs w:val="24"/>
          <w:lang w:eastAsia="lv-LV"/>
        </w:rPr>
        <w:t xml:space="preserve"> tādām prasībām, kā</w:t>
      </w:r>
      <w:r w:rsidRPr="00BC3374">
        <w:rPr>
          <w:rFonts w:ascii="Times New Roman" w:eastAsia="Times New Roman" w:hAnsi="Times New Roman" w:cs="Times New Roman"/>
          <w:bCs/>
          <w:sz w:val="24"/>
          <w:szCs w:val="24"/>
          <w:lang w:eastAsia="lv-LV"/>
        </w:rPr>
        <w:t xml:space="preserve"> </w:t>
      </w:r>
      <w:r w:rsidR="00DD3D80" w:rsidRPr="00BC3374">
        <w:rPr>
          <w:rFonts w:ascii="Times New Roman" w:eastAsia="Times New Roman" w:hAnsi="Times New Roman" w:cs="Times New Roman"/>
          <w:bCs/>
          <w:sz w:val="24"/>
          <w:szCs w:val="24"/>
          <w:lang w:eastAsia="lv-LV"/>
        </w:rPr>
        <w:t xml:space="preserve">ugunsdrošība vai higiēna. </w:t>
      </w:r>
      <w:r w:rsidRPr="00BC3374">
        <w:rPr>
          <w:rFonts w:ascii="Times New Roman" w:eastAsia="Times New Roman" w:hAnsi="Times New Roman" w:cs="Times New Roman"/>
          <w:bCs/>
          <w:sz w:val="24"/>
          <w:szCs w:val="24"/>
          <w:lang w:eastAsia="lv-LV"/>
        </w:rPr>
        <w:t>Savukārt</w:t>
      </w:r>
      <w:r w:rsidR="00177F79" w:rsidRPr="00BC3374">
        <w:rPr>
          <w:rFonts w:ascii="Times New Roman" w:eastAsia="Times New Roman" w:hAnsi="Times New Roman" w:cs="Times New Roman"/>
          <w:bCs/>
          <w:sz w:val="24"/>
          <w:szCs w:val="24"/>
          <w:lang w:eastAsia="lv-LV"/>
        </w:rPr>
        <w:t>, lai varētu izīrēt savu dzīvokli īrniekam, šādas prasības nav jānodrošina. Faktiski ī</w:t>
      </w:r>
      <w:r w:rsidR="00127C59" w:rsidRPr="00BC3374">
        <w:rPr>
          <w:rFonts w:ascii="Times New Roman" w:eastAsia="Times New Roman" w:hAnsi="Times New Roman" w:cs="Times New Roman"/>
          <w:bCs/>
          <w:sz w:val="24"/>
          <w:szCs w:val="24"/>
          <w:lang w:eastAsia="lv-LV"/>
        </w:rPr>
        <w:t>pašnieks d</w:t>
      </w:r>
      <w:r w:rsidRPr="00BC3374">
        <w:rPr>
          <w:rFonts w:ascii="Times New Roman" w:eastAsia="Times New Roman" w:hAnsi="Times New Roman" w:cs="Times New Roman"/>
          <w:bCs/>
          <w:sz w:val="24"/>
          <w:szCs w:val="24"/>
          <w:lang w:eastAsia="lv-LV"/>
        </w:rPr>
        <w:t>zīvokli var izīrēt</w:t>
      </w:r>
      <w:r w:rsidR="00177F79" w:rsidRPr="00BC3374">
        <w:rPr>
          <w:rFonts w:ascii="Times New Roman" w:eastAsia="Times New Roman" w:hAnsi="Times New Roman" w:cs="Times New Roman"/>
          <w:bCs/>
          <w:sz w:val="24"/>
          <w:szCs w:val="24"/>
          <w:lang w:eastAsia="lv-LV"/>
        </w:rPr>
        <w:t xml:space="preserve"> </w:t>
      </w:r>
      <w:r w:rsidR="00127C59" w:rsidRPr="00BC3374">
        <w:rPr>
          <w:rFonts w:ascii="Times New Roman" w:eastAsia="Times New Roman" w:hAnsi="Times New Roman" w:cs="Times New Roman"/>
          <w:bCs/>
          <w:sz w:val="24"/>
          <w:szCs w:val="24"/>
          <w:lang w:eastAsia="lv-LV"/>
        </w:rPr>
        <w:t xml:space="preserve">bez </w:t>
      </w:r>
      <w:r w:rsidR="00347D2D" w:rsidRPr="00BC3374">
        <w:rPr>
          <w:rFonts w:ascii="Times New Roman" w:eastAsia="Times New Roman" w:hAnsi="Times New Roman" w:cs="Times New Roman"/>
          <w:bCs/>
          <w:sz w:val="24"/>
          <w:szCs w:val="24"/>
          <w:lang w:eastAsia="lv-LV"/>
        </w:rPr>
        <w:t>specifiskiem</w:t>
      </w:r>
      <w:r w:rsidR="00127C59" w:rsidRPr="00BC3374">
        <w:rPr>
          <w:rFonts w:ascii="Times New Roman" w:eastAsia="Times New Roman" w:hAnsi="Times New Roman" w:cs="Times New Roman"/>
          <w:bCs/>
          <w:sz w:val="24"/>
          <w:szCs w:val="24"/>
          <w:lang w:eastAsia="lv-LV"/>
        </w:rPr>
        <w:t xml:space="preserve"> ierobežojumiem</w:t>
      </w:r>
      <w:r w:rsidR="00177F79" w:rsidRPr="00BC3374">
        <w:rPr>
          <w:rFonts w:ascii="Times New Roman" w:eastAsia="Times New Roman" w:hAnsi="Times New Roman" w:cs="Times New Roman"/>
          <w:bCs/>
          <w:sz w:val="24"/>
          <w:szCs w:val="24"/>
          <w:lang w:eastAsia="lv-LV"/>
        </w:rPr>
        <w:t xml:space="preserve"> gan pa tiešo, gan ar sadarbības ekonomikas platformu starpniecību</w:t>
      </w:r>
      <w:r w:rsidR="00127C59" w:rsidRPr="00BC3374">
        <w:rPr>
          <w:rFonts w:ascii="Times New Roman" w:eastAsia="Times New Roman" w:hAnsi="Times New Roman" w:cs="Times New Roman"/>
          <w:bCs/>
          <w:sz w:val="24"/>
          <w:szCs w:val="24"/>
          <w:lang w:eastAsia="lv-LV"/>
        </w:rPr>
        <w:t>. Turklāt Civillikums un likums “Par dzīvojamo telpu īri” ļauj</w:t>
      </w:r>
      <w:r w:rsidR="00347D2D" w:rsidRPr="00BC3374">
        <w:rPr>
          <w:rFonts w:ascii="Times New Roman" w:eastAsia="Times New Roman" w:hAnsi="Times New Roman" w:cs="Times New Roman"/>
          <w:bCs/>
          <w:sz w:val="24"/>
          <w:szCs w:val="24"/>
          <w:lang w:eastAsia="lv-LV"/>
        </w:rPr>
        <w:t xml:space="preserve"> arī pašam</w:t>
      </w:r>
      <w:r w:rsidR="00127C59" w:rsidRPr="00BC3374">
        <w:rPr>
          <w:rFonts w:ascii="Times New Roman" w:eastAsia="Times New Roman" w:hAnsi="Times New Roman" w:cs="Times New Roman"/>
          <w:bCs/>
          <w:sz w:val="24"/>
          <w:szCs w:val="24"/>
          <w:lang w:eastAsia="lv-LV"/>
        </w:rPr>
        <w:t xml:space="preserve"> īrniekam nodot apakšīrē viņa īrēto telpu vai tās daļu, ja izīrētājs tam piekrīt</w:t>
      </w:r>
      <w:r w:rsidR="00347D2D" w:rsidRPr="00BC3374">
        <w:rPr>
          <w:rFonts w:ascii="Times New Roman" w:eastAsia="Times New Roman" w:hAnsi="Times New Roman" w:cs="Times New Roman"/>
          <w:bCs/>
          <w:sz w:val="24"/>
          <w:szCs w:val="24"/>
          <w:lang w:eastAsia="lv-LV"/>
        </w:rPr>
        <w:t>.</w:t>
      </w:r>
    </w:p>
    <w:p w14:paraId="729D4CEC" w14:textId="3F9AE6FA" w:rsidR="00A369D1" w:rsidRPr="00BC3374" w:rsidRDefault="00A369D1" w:rsidP="00C01D03">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Ņemot vērā minēto un to, ka Eiropas Komisija neatbalsta sadarbības ekonomikas piekļuves tirgum ierobežošanu, Ekonomikas ministrija neuzskata, ka apartamentu izīrēšanai būtu jāpiemēro kāds no tirgus ierobežo</w:t>
      </w:r>
      <w:r w:rsidR="00BE2A8B" w:rsidRPr="00BC3374">
        <w:rPr>
          <w:rFonts w:ascii="Times New Roman" w:eastAsia="Times New Roman" w:hAnsi="Times New Roman" w:cs="Times New Roman"/>
          <w:bCs/>
          <w:sz w:val="24"/>
          <w:szCs w:val="24"/>
          <w:lang w:eastAsia="lv-LV"/>
        </w:rPr>
        <w:t>šanas</w:t>
      </w:r>
      <w:r w:rsidRPr="00BC3374">
        <w:rPr>
          <w:rFonts w:ascii="Times New Roman" w:eastAsia="Times New Roman" w:hAnsi="Times New Roman" w:cs="Times New Roman"/>
          <w:bCs/>
          <w:sz w:val="24"/>
          <w:szCs w:val="24"/>
          <w:lang w:eastAsia="lv-LV"/>
        </w:rPr>
        <w:t xml:space="preserve"> veidiem. Tomēr atsevišķos gadījumos, kur tiek novērota augsta ekonomiskā darbība, ir jāizvērtē nepieciešamība piemērot līdzīgas ugunsdrošības vai higiēnas prasības, kādas tās ir klasiskajām tūristu mītnēm (viesnīcām, hosteļiem, viesu namiem). Šādu prasību piemērošana var būt tikai gadījumos, kur apartamentus izīrē fiziska vai juridiska persona </w:t>
      </w:r>
      <w:r w:rsidR="00543021" w:rsidRPr="00BC3374">
        <w:rPr>
          <w:rFonts w:ascii="Times New Roman" w:eastAsia="Times New Roman" w:hAnsi="Times New Roman" w:cs="Times New Roman"/>
          <w:bCs/>
          <w:sz w:val="24"/>
          <w:szCs w:val="24"/>
          <w:lang w:eastAsia="lv-LV"/>
        </w:rPr>
        <w:t xml:space="preserve">peļņas gūšanas </w:t>
      </w:r>
      <w:r w:rsidRPr="00BC3374">
        <w:rPr>
          <w:rFonts w:ascii="Times New Roman" w:eastAsia="Times New Roman" w:hAnsi="Times New Roman" w:cs="Times New Roman"/>
          <w:bCs/>
          <w:sz w:val="24"/>
          <w:szCs w:val="24"/>
          <w:lang w:eastAsia="lv-LV"/>
        </w:rPr>
        <w:t>nolūkā</w:t>
      </w:r>
      <w:r w:rsidR="00CD0CC9">
        <w:rPr>
          <w:rFonts w:ascii="Times New Roman" w:eastAsia="Times New Roman" w:hAnsi="Times New Roman" w:cs="Times New Roman"/>
          <w:bCs/>
          <w:sz w:val="24"/>
          <w:szCs w:val="24"/>
          <w:lang w:eastAsia="lv-LV"/>
        </w:rPr>
        <w:t>, tā nedrīkst būt diskriminējoša un tai jābūt pamatotai</w:t>
      </w:r>
      <w:r w:rsidRPr="00BC3374">
        <w:rPr>
          <w:rFonts w:ascii="Times New Roman" w:eastAsia="Times New Roman" w:hAnsi="Times New Roman" w:cs="Times New Roman"/>
          <w:bCs/>
          <w:sz w:val="24"/>
          <w:szCs w:val="24"/>
          <w:lang w:eastAsia="lv-LV"/>
        </w:rPr>
        <w:t>.</w:t>
      </w:r>
    </w:p>
    <w:p w14:paraId="147DA9B5" w14:textId="79A8C192" w:rsidR="00EC3ED0" w:rsidRDefault="00EC3ED0" w:rsidP="00EC3ED0">
      <w:pPr>
        <w:spacing w:after="0" w:line="240" w:lineRule="auto"/>
        <w:jc w:val="both"/>
        <w:rPr>
          <w:rFonts w:ascii="Times New Roman" w:eastAsia="Times New Roman" w:hAnsi="Times New Roman" w:cs="Times New Roman"/>
          <w:b/>
          <w:bCs/>
          <w:sz w:val="24"/>
          <w:szCs w:val="24"/>
          <w:u w:val="single"/>
          <w:lang w:eastAsia="lv-LV"/>
        </w:rPr>
      </w:pPr>
    </w:p>
    <w:p w14:paraId="380DF632" w14:textId="2DF46970" w:rsidR="00EF0D75" w:rsidRPr="00EC3ED0" w:rsidRDefault="00EF0D75" w:rsidP="00EC3ED0">
      <w:pPr>
        <w:spacing w:after="0" w:line="240" w:lineRule="auto"/>
        <w:jc w:val="both"/>
        <w:rPr>
          <w:rFonts w:ascii="Times New Roman" w:eastAsia="Times New Roman" w:hAnsi="Times New Roman" w:cs="Times New Roman"/>
          <w:bCs/>
          <w:sz w:val="24"/>
          <w:szCs w:val="24"/>
          <w:lang w:eastAsia="lv-LV"/>
        </w:rPr>
      </w:pPr>
      <w:r w:rsidRPr="00EC3ED0">
        <w:rPr>
          <w:rFonts w:ascii="Times New Roman" w:eastAsia="Times New Roman" w:hAnsi="Times New Roman" w:cs="Times New Roman"/>
          <w:b/>
          <w:bCs/>
          <w:sz w:val="24"/>
          <w:szCs w:val="24"/>
          <w:u w:val="single"/>
          <w:lang w:eastAsia="lv-LV"/>
        </w:rPr>
        <w:t>Atbildības sadalījums</w:t>
      </w:r>
    </w:p>
    <w:p w14:paraId="099A8E9A" w14:textId="77777777" w:rsidR="00E65AD9" w:rsidRPr="00027AAD" w:rsidRDefault="00E65AD9" w:rsidP="00EF0D75">
      <w:pPr>
        <w:spacing w:after="0" w:line="240" w:lineRule="auto"/>
        <w:jc w:val="both"/>
        <w:rPr>
          <w:rFonts w:ascii="Times New Roman" w:eastAsia="Times New Roman" w:hAnsi="Times New Roman" w:cs="Times New Roman"/>
          <w:bCs/>
          <w:sz w:val="24"/>
          <w:szCs w:val="24"/>
          <w:lang w:eastAsia="lv-LV"/>
        </w:rPr>
      </w:pPr>
    </w:p>
    <w:p w14:paraId="00646AD2" w14:textId="25F865FF" w:rsidR="009A2221" w:rsidRDefault="00EF0D75" w:rsidP="009A2221">
      <w:pPr>
        <w:spacing w:after="0" w:line="240" w:lineRule="auto"/>
        <w:ind w:firstLine="709"/>
        <w:jc w:val="both"/>
        <w:rPr>
          <w:rFonts w:ascii="Times New Roman" w:eastAsia="Times New Roman" w:hAnsi="Times New Roman" w:cs="Times New Roman"/>
          <w:bCs/>
          <w:sz w:val="24"/>
          <w:szCs w:val="24"/>
          <w:lang w:eastAsia="lv-LV"/>
        </w:rPr>
      </w:pPr>
      <w:r w:rsidRPr="00027AAD">
        <w:rPr>
          <w:rFonts w:ascii="Times New Roman" w:eastAsia="Times New Roman" w:hAnsi="Times New Roman" w:cs="Times New Roman"/>
          <w:bCs/>
          <w:sz w:val="24"/>
          <w:szCs w:val="24"/>
          <w:lang w:eastAsia="lv-LV"/>
        </w:rPr>
        <w:t xml:space="preserve">Tā kā sadarbības ekonomikā iesaistītām personām jāievēro atbilstoši normatīvie akti, tad arī tie atbild par attiecīgo normu neievērošanu. </w:t>
      </w:r>
      <w:r w:rsidR="009A2221" w:rsidRPr="00027AAD">
        <w:rPr>
          <w:rFonts w:ascii="Times New Roman" w:eastAsia="Times New Roman" w:hAnsi="Times New Roman" w:cs="Times New Roman"/>
          <w:bCs/>
          <w:sz w:val="24"/>
          <w:szCs w:val="24"/>
          <w:lang w:eastAsia="lv-LV"/>
        </w:rPr>
        <w:t xml:space="preserve">Līdz ar to var secināt, ka attiecībā uz atbildības sadalījumu nav identificētu problēmu sadarbības ekonomikā. </w:t>
      </w:r>
      <w:r w:rsidRPr="00027AAD">
        <w:rPr>
          <w:rFonts w:ascii="Times New Roman" w:eastAsia="Times New Roman" w:hAnsi="Times New Roman" w:cs="Times New Roman"/>
          <w:bCs/>
          <w:sz w:val="24"/>
          <w:szCs w:val="24"/>
          <w:lang w:eastAsia="lv-LV"/>
        </w:rPr>
        <w:t xml:space="preserve">Tomēr, tā kā sadarbības ekonomikā parādās jauni subjekti, piemēram, (platforma), ir jāizvērtē, vai un kādi pienākumi un atbildība ir noteikta šādām personām un nepieciešamības gadījumā ir </w:t>
      </w:r>
      <w:r w:rsidR="000B18B4" w:rsidRPr="00027AAD">
        <w:rPr>
          <w:rFonts w:ascii="Times New Roman" w:eastAsia="Times New Roman" w:hAnsi="Times New Roman" w:cs="Times New Roman"/>
          <w:bCs/>
          <w:sz w:val="24"/>
          <w:szCs w:val="24"/>
          <w:lang w:eastAsia="lv-LV"/>
        </w:rPr>
        <w:t xml:space="preserve">jāpilnveido </w:t>
      </w:r>
      <w:r w:rsidRPr="00027AAD">
        <w:rPr>
          <w:rFonts w:ascii="Times New Roman" w:eastAsia="Times New Roman" w:hAnsi="Times New Roman" w:cs="Times New Roman"/>
          <w:bCs/>
          <w:sz w:val="24"/>
          <w:szCs w:val="24"/>
          <w:lang w:eastAsia="lv-LV"/>
        </w:rPr>
        <w:t>regulējums.</w:t>
      </w:r>
      <w:r w:rsidR="009A2221" w:rsidRPr="00027AAD">
        <w:rPr>
          <w:rFonts w:ascii="Times New Roman" w:eastAsia="Times New Roman" w:hAnsi="Times New Roman" w:cs="Times New Roman"/>
          <w:bCs/>
          <w:sz w:val="24"/>
          <w:szCs w:val="24"/>
          <w:lang w:eastAsia="lv-LV"/>
        </w:rPr>
        <w:t xml:space="preserve"> </w:t>
      </w:r>
    </w:p>
    <w:p w14:paraId="1CF36855" w14:textId="77777777" w:rsidR="00C96BD0" w:rsidRDefault="00C96BD0" w:rsidP="009A2221">
      <w:pPr>
        <w:spacing w:after="0" w:line="240" w:lineRule="auto"/>
        <w:ind w:firstLine="709"/>
        <w:jc w:val="both"/>
        <w:rPr>
          <w:rFonts w:ascii="Times New Roman" w:eastAsia="Times New Roman" w:hAnsi="Times New Roman" w:cs="Times New Roman"/>
          <w:bCs/>
          <w:sz w:val="24"/>
          <w:szCs w:val="24"/>
          <w:lang w:eastAsia="lv-LV"/>
        </w:rPr>
      </w:pPr>
    </w:p>
    <w:p w14:paraId="7B4351B8" w14:textId="1BA6BB7D" w:rsidR="004465F7" w:rsidRPr="004465F7" w:rsidRDefault="004465F7" w:rsidP="004465F7">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4465F7">
        <w:rPr>
          <w:rFonts w:ascii="Times New Roman" w:eastAsia="Times New Roman" w:hAnsi="Times New Roman" w:cs="Times New Roman"/>
          <w:b/>
          <w:bCs/>
          <w:sz w:val="24"/>
          <w:szCs w:val="24"/>
          <w:lang w:eastAsia="lv-LV"/>
        </w:rPr>
        <w:t xml:space="preserve">Atbildības sadalījums </w:t>
      </w:r>
      <w:r w:rsidR="00A00E2E">
        <w:rPr>
          <w:rFonts w:ascii="Times New Roman" w:eastAsia="Times New Roman" w:hAnsi="Times New Roman" w:cs="Times New Roman"/>
          <w:b/>
          <w:bCs/>
          <w:sz w:val="24"/>
          <w:szCs w:val="24"/>
          <w:lang w:eastAsia="lv-LV"/>
        </w:rPr>
        <w:t xml:space="preserve">vieglo pasažieru </w:t>
      </w:r>
      <w:r w:rsidR="00E10D43">
        <w:rPr>
          <w:rFonts w:ascii="Times New Roman" w:eastAsia="Times New Roman" w:hAnsi="Times New Roman" w:cs="Times New Roman"/>
          <w:b/>
          <w:bCs/>
          <w:sz w:val="24"/>
          <w:szCs w:val="24"/>
          <w:lang w:eastAsia="lv-LV"/>
        </w:rPr>
        <w:t>komerc</w:t>
      </w:r>
      <w:r w:rsidR="00A00E2E">
        <w:rPr>
          <w:rFonts w:ascii="Times New Roman" w:eastAsia="Times New Roman" w:hAnsi="Times New Roman" w:cs="Times New Roman"/>
          <w:b/>
          <w:bCs/>
          <w:sz w:val="24"/>
          <w:szCs w:val="24"/>
          <w:lang w:eastAsia="lv-LV"/>
        </w:rPr>
        <w:t>pārvadājumu</w:t>
      </w:r>
      <w:r w:rsidRPr="004465F7">
        <w:rPr>
          <w:rFonts w:ascii="Times New Roman" w:eastAsia="Times New Roman" w:hAnsi="Times New Roman" w:cs="Times New Roman"/>
          <w:b/>
          <w:bCs/>
          <w:sz w:val="24"/>
          <w:szCs w:val="24"/>
          <w:lang w:eastAsia="lv-LV"/>
        </w:rPr>
        <w:t xml:space="preserve"> jomā</w:t>
      </w:r>
    </w:p>
    <w:p w14:paraId="090E7DB7" w14:textId="77777777" w:rsidR="003C4B2E" w:rsidRDefault="00716E6D" w:rsidP="009A2221">
      <w:pPr>
        <w:spacing w:after="0" w:line="240" w:lineRule="auto"/>
        <w:ind w:firstLine="709"/>
        <w:jc w:val="both"/>
        <w:rPr>
          <w:rFonts w:ascii="Times New Roman" w:eastAsia="Times New Roman" w:hAnsi="Times New Roman" w:cs="Times New Roman"/>
          <w:bCs/>
          <w:sz w:val="24"/>
          <w:szCs w:val="24"/>
          <w:lang w:eastAsia="lv-LV"/>
        </w:rPr>
      </w:pPr>
      <w:r w:rsidRPr="00027AAD">
        <w:rPr>
          <w:rFonts w:ascii="Times New Roman" w:eastAsia="Times New Roman" w:hAnsi="Times New Roman" w:cs="Times New Roman"/>
          <w:bCs/>
          <w:sz w:val="24"/>
          <w:szCs w:val="24"/>
          <w:lang w:eastAsia="lv-LV"/>
        </w:rPr>
        <w:t>Esošais regulējums</w:t>
      </w:r>
      <w:r w:rsidRPr="00027AAD">
        <w:rPr>
          <w:rStyle w:val="FootnoteReference"/>
          <w:rFonts w:ascii="Times New Roman" w:eastAsia="Times New Roman" w:hAnsi="Times New Roman" w:cs="Times New Roman"/>
          <w:bCs/>
          <w:sz w:val="24"/>
          <w:szCs w:val="24"/>
          <w:lang w:eastAsia="lv-LV"/>
        </w:rPr>
        <w:footnoteReference w:id="22"/>
      </w:r>
      <w:r w:rsidR="00C01D03" w:rsidRPr="00027AAD">
        <w:rPr>
          <w:rFonts w:ascii="Times New Roman" w:eastAsia="Times New Roman" w:hAnsi="Times New Roman" w:cs="Times New Roman"/>
          <w:bCs/>
          <w:sz w:val="24"/>
          <w:szCs w:val="24"/>
          <w:lang w:eastAsia="lv-LV"/>
        </w:rPr>
        <w:t xml:space="preserve"> </w:t>
      </w:r>
      <w:r w:rsidR="00E10D43">
        <w:rPr>
          <w:rFonts w:ascii="Times New Roman" w:eastAsia="Times New Roman" w:hAnsi="Times New Roman" w:cs="Times New Roman"/>
          <w:bCs/>
          <w:sz w:val="24"/>
          <w:szCs w:val="24"/>
          <w:lang w:eastAsia="lv-LV"/>
        </w:rPr>
        <w:t>vieglo pasažieru komercpārvadājumu jomā</w:t>
      </w:r>
      <w:r w:rsidR="00E10D43" w:rsidRPr="00027AAD">
        <w:rPr>
          <w:rFonts w:ascii="Times New Roman" w:eastAsia="Times New Roman" w:hAnsi="Times New Roman" w:cs="Times New Roman"/>
          <w:bCs/>
          <w:sz w:val="24"/>
          <w:szCs w:val="24"/>
          <w:lang w:eastAsia="lv-LV"/>
        </w:rPr>
        <w:t xml:space="preserve"> </w:t>
      </w:r>
      <w:r w:rsidR="00C01D03" w:rsidRPr="00027AAD">
        <w:rPr>
          <w:rFonts w:ascii="Times New Roman" w:eastAsia="Times New Roman" w:hAnsi="Times New Roman" w:cs="Times New Roman"/>
          <w:bCs/>
          <w:sz w:val="24"/>
          <w:szCs w:val="24"/>
          <w:lang w:eastAsia="lv-LV"/>
        </w:rPr>
        <w:t xml:space="preserve">nosaka, ka datu apmaiņa notiek starp pārvadātāju un </w:t>
      </w:r>
      <w:r w:rsidR="003B56E1" w:rsidRPr="00027AAD">
        <w:rPr>
          <w:rFonts w:ascii="Times New Roman" w:eastAsia="Times New Roman" w:hAnsi="Times New Roman" w:cs="Times New Roman"/>
          <w:bCs/>
          <w:sz w:val="24"/>
          <w:szCs w:val="24"/>
          <w:lang w:eastAsia="lv-LV"/>
        </w:rPr>
        <w:t>Valsts ieņēmumu dienest</w:t>
      </w:r>
      <w:bookmarkStart w:id="11" w:name="_Hlk522781906"/>
      <w:r w:rsidR="003B56E1" w:rsidRPr="00027AAD">
        <w:rPr>
          <w:rFonts w:ascii="Times New Roman" w:eastAsia="Times New Roman" w:hAnsi="Times New Roman" w:cs="Times New Roman"/>
          <w:bCs/>
          <w:sz w:val="24"/>
          <w:szCs w:val="24"/>
          <w:lang w:eastAsia="lv-LV"/>
        </w:rPr>
        <w:t>u</w:t>
      </w:r>
      <w:bookmarkEnd w:id="11"/>
      <w:r w:rsidR="00484824" w:rsidRPr="00027AAD">
        <w:rPr>
          <w:rFonts w:ascii="Times New Roman" w:eastAsia="Times New Roman" w:hAnsi="Times New Roman" w:cs="Times New Roman"/>
          <w:bCs/>
          <w:sz w:val="24"/>
          <w:szCs w:val="24"/>
          <w:lang w:eastAsia="lv-LV"/>
        </w:rPr>
        <w:t xml:space="preserve"> (turpmāk </w:t>
      </w:r>
      <w:bookmarkStart w:id="12" w:name="_Hlk522781683"/>
      <w:r w:rsidR="00484824" w:rsidRPr="00027AAD">
        <w:rPr>
          <w:rFonts w:ascii="Times New Roman" w:eastAsia="Times New Roman" w:hAnsi="Times New Roman" w:cs="Times New Roman"/>
          <w:bCs/>
          <w:sz w:val="24"/>
          <w:szCs w:val="24"/>
          <w:lang w:eastAsia="lv-LV"/>
        </w:rPr>
        <w:t>–</w:t>
      </w:r>
      <w:bookmarkEnd w:id="12"/>
      <w:r w:rsidR="00484824" w:rsidRPr="00027AAD">
        <w:rPr>
          <w:rFonts w:ascii="Times New Roman" w:eastAsia="Times New Roman" w:hAnsi="Times New Roman" w:cs="Times New Roman"/>
          <w:bCs/>
          <w:sz w:val="24"/>
          <w:szCs w:val="24"/>
          <w:lang w:eastAsia="lv-LV"/>
        </w:rPr>
        <w:t xml:space="preserve"> VID)</w:t>
      </w:r>
      <w:r w:rsidR="00C01D03" w:rsidRPr="00027AAD">
        <w:rPr>
          <w:rFonts w:ascii="Times New Roman" w:eastAsia="Times New Roman" w:hAnsi="Times New Roman" w:cs="Times New Roman"/>
          <w:bCs/>
          <w:sz w:val="24"/>
          <w:szCs w:val="24"/>
          <w:lang w:eastAsia="lv-LV"/>
        </w:rPr>
        <w:t xml:space="preserve">, taču faktiski pārvadātājam nav pieejami visi dati, jo tos </w:t>
      </w:r>
      <w:proofErr w:type="spellStart"/>
      <w:r w:rsidR="00C01D03" w:rsidRPr="00027AAD">
        <w:rPr>
          <w:rFonts w:ascii="Times New Roman" w:eastAsia="Times New Roman" w:hAnsi="Times New Roman" w:cs="Times New Roman"/>
          <w:bCs/>
          <w:sz w:val="24"/>
          <w:szCs w:val="24"/>
          <w:lang w:eastAsia="lv-LV"/>
        </w:rPr>
        <w:t>monitorē</w:t>
      </w:r>
      <w:proofErr w:type="spellEnd"/>
      <w:r w:rsidR="00C01D03" w:rsidRPr="00027AAD">
        <w:rPr>
          <w:rFonts w:ascii="Times New Roman" w:eastAsia="Times New Roman" w:hAnsi="Times New Roman" w:cs="Times New Roman"/>
          <w:bCs/>
          <w:sz w:val="24"/>
          <w:szCs w:val="24"/>
          <w:lang w:eastAsia="lv-LV"/>
        </w:rPr>
        <w:t xml:space="preserve"> platformas, līdz ar to </w:t>
      </w:r>
      <w:r w:rsidR="002D3FD3" w:rsidRPr="00027AAD">
        <w:rPr>
          <w:rFonts w:ascii="Times New Roman" w:eastAsia="Times New Roman" w:hAnsi="Times New Roman" w:cs="Times New Roman"/>
          <w:bCs/>
          <w:sz w:val="24"/>
          <w:szCs w:val="24"/>
          <w:lang w:eastAsia="lv-LV"/>
        </w:rPr>
        <w:t xml:space="preserve">pārvadātāji nav datu īpašnieki vai turētāji un </w:t>
      </w:r>
      <w:r w:rsidR="00C01D03" w:rsidRPr="00027AAD">
        <w:rPr>
          <w:rFonts w:ascii="Times New Roman" w:eastAsia="Times New Roman" w:hAnsi="Times New Roman" w:cs="Times New Roman"/>
          <w:bCs/>
          <w:sz w:val="24"/>
          <w:szCs w:val="24"/>
          <w:lang w:eastAsia="lv-LV"/>
        </w:rPr>
        <w:t xml:space="preserve">pastāv būtisks risks, ka pārvadātajam nebūs pieejami dati par sniegtajiem pakalpojumiem un faktiski veiktajiem darījumiem. </w:t>
      </w:r>
      <w:r w:rsidR="002D3FD3" w:rsidRPr="00027AAD">
        <w:rPr>
          <w:rFonts w:ascii="Times New Roman" w:eastAsia="Times New Roman" w:hAnsi="Times New Roman" w:cs="Times New Roman"/>
          <w:bCs/>
          <w:sz w:val="24"/>
          <w:szCs w:val="24"/>
          <w:lang w:eastAsia="lv-LV"/>
        </w:rPr>
        <w:t xml:space="preserve">Tādējādi pārvadātājs nevar nodrošināt iepriekš minētajos noteikumos paredzēto pienākumu izpildi, jo nevar uzņemties atbildību par trešās personas (tīmekļa vietnes, mobilās lietotnes, zvana centra) rīcību. </w:t>
      </w:r>
      <w:r w:rsidR="00706EED">
        <w:rPr>
          <w:rFonts w:ascii="Times New Roman" w:eastAsia="Times New Roman" w:hAnsi="Times New Roman" w:cs="Times New Roman"/>
          <w:bCs/>
          <w:sz w:val="24"/>
          <w:szCs w:val="24"/>
          <w:lang w:eastAsia="lv-LV"/>
        </w:rPr>
        <w:t xml:space="preserve">Satiksmes ministrija konceptuālā ziņojuma izstrādes laikā ir sagatavojusi likumprojektu “Grozījumi Autopārvadājumu likumā”, kas paredz, ka turpmāk visus datus VID iesniedz platformas, līdz ar to konstatēto trūkumu plānots novērsts līdz ar likumprojekta apstiprināšanu. </w:t>
      </w:r>
    </w:p>
    <w:p w14:paraId="373BD5E5" w14:textId="32C6A0AB" w:rsidR="00C01D03" w:rsidRDefault="003C4B2E" w:rsidP="009A2221">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Vienlaikus ir konstatēts, ka nepieciešams izvērtēt un pilnveidot atbildības jautājumus pārkāpumu gadījumā, t.sk. jautājumus, kas saistīti ar uzraudzības pasākumiem. </w:t>
      </w:r>
    </w:p>
    <w:p w14:paraId="41D121BD" w14:textId="77777777" w:rsidR="00C96BD0" w:rsidRDefault="00C96BD0" w:rsidP="009A2221">
      <w:pPr>
        <w:spacing w:after="0" w:line="240" w:lineRule="auto"/>
        <w:ind w:firstLine="709"/>
        <w:jc w:val="both"/>
        <w:rPr>
          <w:rFonts w:ascii="Times New Roman" w:eastAsia="Times New Roman" w:hAnsi="Times New Roman" w:cs="Times New Roman"/>
          <w:bCs/>
          <w:sz w:val="24"/>
          <w:szCs w:val="24"/>
          <w:lang w:eastAsia="lv-LV"/>
        </w:rPr>
      </w:pPr>
    </w:p>
    <w:p w14:paraId="2B1B715E" w14:textId="4BA96AE3" w:rsidR="004465F7" w:rsidRPr="004465F7" w:rsidRDefault="004465F7" w:rsidP="004465F7">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4465F7">
        <w:rPr>
          <w:rFonts w:ascii="Times New Roman" w:eastAsia="Times New Roman" w:hAnsi="Times New Roman" w:cs="Times New Roman"/>
          <w:b/>
          <w:bCs/>
          <w:sz w:val="24"/>
          <w:szCs w:val="24"/>
          <w:lang w:eastAsia="lv-LV"/>
        </w:rPr>
        <w:t xml:space="preserve">Atbildības sadalījums izmitināšanas sektorā </w:t>
      </w:r>
    </w:p>
    <w:p w14:paraId="12960343" w14:textId="456D9F02" w:rsidR="000A2A4F" w:rsidRPr="00027AAD" w:rsidRDefault="00941175" w:rsidP="00144FEB">
      <w:pPr>
        <w:spacing w:after="0" w:line="240" w:lineRule="auto"/>
        <w:ind w:firstLine="709"/>
        <w:jc w:val="both"/>
        <w:rPr>
          <w:rFonts w:ascii="Times New Roman" w:eastAsia="Times New Roman" w:hAnsi="Times New Roman" w:cs="Times New Roman"/>
          <w:bCs/>
          <w:sz w:val="24"/>
          <w:szCs w:val="24"/>
          <w:lang w:eastAsia="lv-LV"/>
        </w:rPr>
      </w:pPr>
      <w:r w:rsidRPr="00027AAD">
        <w:rPr>
          <w:rFonts w:ascii="Times New Roman" w:eastAsia="Times New Roman" w:hAnsi="Times New Roman" w:cs="Times New Roman"/>
          <w:bCs/>
          <w:sz w:val="24"/>
          <w:szCs w:val="24"/>
          <w:lang w:eastAsia="lv-LV"/>
        </w:rPr>
        <w:lastRenderedPageBreak/>
        <w:t>Izmitin</w:t>
      </w:r>
      <w:r w:rsidR="00025A82" w:rsidRPr="00027AAD">
        <w:rPr>
          <w:rFonts w:ascii="Times New Roman" w:eastAsia="Times New Roman" w:hAnsi="Times New Roman" w:cs="Times New Roman"/>
          <w:bCs/>
          <w:sz w:val="24"/>
          <w:szCs w:val="24"/>
          <w:lang w:eastAsia="lv-LV"/>
        </w:rPr>
        <w:t xml:space="preserve">āšanas </w:t>
      </w:r>
      <w:r w:rsidR="00144FEB" w:rsidRPr="00027AAD">
        <w:rPr>
          <w:rFonts w:ascii="Times New Roman" w:eastAsia="Times New Roman" w:hAnsi="Times New Roman" w:cs="Times New Roman"/>
          <w:bCs/>
          <w:sz w:val="24"/>
          <w:szCs w:val="24"/>
          <w:lang w:eastAsia="lv-LV"/>
        </w:rPr>
        <w:t xml:space="preserve">sektorā </w:t>
      </w:r>
      <w:r w:rsidR="000A2A4F" w:rsidRPr="00027AAD">
        <w:rPr>
          <w:rFonts w:ascii="Times New Roman" w:eastAsia="Times New Roman" w:hAnsi="Times New Roman" w:cs="Times New Roman"/>
          <w:bCs/>
          <w:sz w:val="24"/>
          <w:szCs w:val="24"/>
          <w:lang w:eastAsia="lv-LV"/>
        </w:rPr>
        <w:t xml:space="preserve">Tūrisma likuma 11. panta </w:t>
      </w:r>
      <w:r w:rsidR="00CE4B0B" w:rsidRPr="00027AAD">
        <w:rPr>
          <w:rFonts w:ascii="Times New Roman" w:eastAsia="Times New Roman" w:hAnsi="Times New Roman" w:cs="Times New Roman"/>
          <w:bCs/>
          <w:sz w:val="24"/>
          <w:szCs w:val="24"/>
          <w:lang w:eastAsia="lv-LV"/>
        </w:rPr>
        <w:t>septītā</w:t>
      </w:r>
      <w:r w:rsidR="000A2A4F" w:rsidRPr="00027AAD">
        <w:rPr>
          <w:rFonts w:ascii="Times New Roman" w:eastAsia="Times New Roman" w:hAnsi="Times New Roman" w:cs="Times New Roman"/>
          <w:bCs/>
          <w:sz w:val="24"/>
          <w:szCs w:val="24"/>
          <w:lang w:eastAsia="lv-LV"/>
        </w:rPr>
        <w:t xml:space="preserve"> daļa</w:t>
      </w:r>
      <w:r w:rsidR="00144FEB" w:rsidRPr="00027AAD">
        <w:rPr>
          <w:rFonts w:ascii="Times New Roman" w:eastAsia="Times New Roman" w:hAnsi="Times New Roman" w:cs="Times New Roman"/>
          <w:bCs/>
          <w:sz w:val="24"/>
          <w:szCs w:val="24"/>
          <w:lang w:eastAsia="lv-LV"/>
        </w:rPr>
        <w:t xml:space="preserve"> nosaka, ka</w:t>
      </w:r>
      <w:r w:rsidR="000A2A4F" w:rsidRPr="00027AAD">
        <w:rPr>
          <w:rFonts w:ascii="Times New Roman" w:eastAsia="Times New Roman" w:hAnsi="Times New Roman" w:cs="Times New Roman"/>
          <w:bCs/>
          <w:sz w:val="24"/>
          <w:szCs w:val="24"/>
          <w:lang w:eastAsia="lv-LV"/>
        </w:rPr>
        <w:t xml:space="preserve"> komersanti un saimnieciskās darbības veicēji nodrošina, ka tūristu mītnēs izmitinātie ārzemnieki personīgi aizpilda un paraksta deklarācijas veidlapu un pierāda savu identitāti, uzrādot derīgu, identitāti apliecinošu dokumentu.</w:t>
      </w:r>
      <w:r w:rsidR="00091F76" w:rsidRPr="00027AAD">
        <w:rPr>
          <w:sz w:val="24"/>
          <w:szCs w:val="24"/>
        </w:rPr>
        <w:t xml:space="preserve"> </w:t>
      </w:r>
      <w:r w:rsidR="00091F76" w:rsidRPr="00027AAD">
        <w:rPr>
          <w:rFonts w:ascii="Times New Roman" w:eastAsia="Times New Roman" w:hAnsi="Times New Roman" w:cs="Times New Roman"/>
          <w:bCs/>
          <w:sz w:val="24"/>
          <w:szCs w:val="24"/>
          <w:lang w:eastAsia="lv-LV"/>
        </w:rPr>
        <w:t>Saskaņā ar Ministru kabineta 2007. gada 3. aprīļa noteikumiem Nr. 226 “Noteikumi par ārzemnieka deklarācijas veidlapas aizpildīšanas, glabāšanas un nodošanas kārtību” komersantam vai saimnieciskās darbības veicējiem deklarācijas ir jāglabā vienu gadu no tās aizpildīšanas dienas un tās pēc rakstiska pieprasījuma jāizsniedz Valsts policijai vai Valsts robežsardzei. Iepriekš minētā  prasība izriet no Šengenas konvencijas</w:t>
      </w:r>
      <w:r w:rsidR="006E1674" w:rsidRPr="00027AAD">
        <w:rPr>
          <w:rStyle w:val="FootnoteReference"/>
          <w:rFonts w:ascii="Times New Roman" w:eastAsia="Times New Roman" w:hAnsi="Times New Roman" w:cs="Times New Roman"/>
          <w:bCs/>
          <w:sz w:val="24"/>
          <w:szCs w:val="24"/>
          <w:lang w:eastAsia="lv-LV"/>
        </w:rPr>
        <w:footnoteReference w:id="23"/>
      </w:r>
      <w:r w:rsidR="00091F76" w:rsidRPr="00027AAD">
        <w:rPr>
          <w:rFonts w:ascii="Times New Roman" w:eastAsia="Times New Roman" w:hAnsi="Times New Roman" w:cs="Times New Roman"/>
          <w:bCs/>
          <w:sz w:val="24"/>
          <w:szCs w:val="24"/>
          <w:lang w:eastAsia="lv-LV"/>
        </w:rPr>
        <w:t xml:space="preserve"> 45. panta</w:t>
      </w:r>
      <w:r w:rsidR="00C171C2" w:rsidRPr="00027AAD">
        <w:rPr>
          <w:rFonts w:ascii="Times New Roman" w:eastAsia="Times New Roman" w:hAnsi="Times New Roman" w:cs="Times New Roman"/>
          <w:bCs/>
          <w:sz w:val="24"/>
          <w:szCs w:val="24"/>
          <w:lang w:eastAsia="lv-LV"/>
        </w:rPr>
        <w:t>, kura mērķis ir sniegt attiecīgām tiesību aizsardzības iestādēm informāciju, lai novērstu apdraudējumus, veiktu tiesvedību krimināllietās vai noskaidrotu pazudušo vai nelaimes gadījumos cietušo personu likteni.</w:t>
      </w:r>
    </w:p>
    <w:p w14:paraId="196A0099" w14:textId="765841F4" w:rsidR="00CB1190" w:rsidRPr="003932B7" w:rsidRDefault="000A2A4F" w:rsidP="003932B7">
      <w:pPr>
        <w:spacing w:after="0" w:line="240" w:lineRule="auto"/>
        <w:ind w:firstLine="709"/>
        <w:jc w:val="both"/>
        <w:rPr>
          <w:rFonts w:ascii="Times New Roman" w:eastAsia="Times New Roman" w:hAnsi="Times New Roman" w:cs="Times New Roman"/>
          <w:bCs/>
          <w:sz w:val="24"/>
          <w:szCs w:val="24"/>
          <w:lang w:eastAsia="lv-LV"/>
        </w:rPr>
      </w:pPr>
      <w:r w:rsidRPr="00027AAD">
        <w:rPr>
          <w:rFonts w:ascii="Times New Roman" w:eastAsia="Times New Roman" w:hAnsi="Times New Roman" w:cs="Times New Roman"/>
          <w:bCs/>
          <w:sz w:val="24"/>
          <w:szCs w:val="24"/>
          <w:lang w:eastAsia="lv-LV"/>
        </w:rPr>
        <w:t>Tūrisma likuma 1. panta pirmās daļas 17. punkt</w:t>
      </w:r>
      <w:r w:rsidR="00C00914" w:rsidRPr="00027AAD">
        <w:rPr>
          <w:rFonts w:ascii="Times New Roman" w:eastAsia="Times New Roman" w:hAnsi="Times New Roman" w:cs="Times New Roman"/>
          <w:bCs/>
          <w:sz w:val="24"/>
          <w:szCs w:val="24"/>
          <w:lang w:eastAsia="lv-LV"/>
        </w:rPr>
        <w:t>s nosaka, ka</w:t>
      </w:r>
      <w:r w:rsidRPr="00027AAD">
        <w:rPr>
          <w:rFonts w:ascii="Times New Roman" w:eastAsia="Times New Roman" w:hAnsi="Times New Roman" w:cs="Times New Roman"/>
          <w:bCs/>
          <w:sz w:val="24"/>
          <w:szCs w:val="24"/>
          <w:lang w:eastAsia="lv-LV"/>
        </w:rPr>
        <w:t xml:space="preserve"> tūristu mītne ir ēka, ēku grupa vai labiekārtota vieta (teritorija), kurā komersants vai saimnieciskās darbības veicējs nodrošina tūristu diennakts izmitināšanu un apkalpošanu</w:t>
      </w:r>
      <w:r w:rsidR="00C00914" w:rsidRPr="00027AAD">
        <w:rPr>
          <w:rFonts w:ascii="Times New Roman" w:eastAsia="Times New Roman" w:hAnsi="Times New Roman" w:cs="Times New Roman"/>
          <w:bCs/>
          <w:sz w:val="24"/>
          <w:szCs w:val="24"/>
          <w:lang w:eastAsia="lv-LV"/>
        </w:rPr>
        <w:t xml:space="preserve">. Līdz ar to no Tūrisma likuma </w:t>
      </w:r>
      <w:r w:rsidR="00091F76" w:rsidRPr="00027AAD">
        <w:rPr>
          <w:rFonts w:ascii="Times New Roman" w:eastAsia="Times New Roman" w:hAnsi="Times New Roman" w:cs="Times New Roman"/>
          <w:bCs/>
          <w:sz w:val="24"/>
          <w:szCs w:val="24"/>
          <w:lang w:eastAsia="lv-LV"/>
        </w:rPr>
        <w:t xml:space="preserve">pašreizējā regulējuma neizriet pienākums apartamentu izīrētājiem nodrošināt, ka ārzemnieki aizpilda un paraksta deklarācijas veidlapu atbilstoši Ministru kabineta 2007. gada 3. aprīļa noteikumiem Nr. 226 “Noteikumi par ārzemnieka deklarācijas veidlapas aizpildīšanas, glabāšanas un nodošanas kārtību”. </w:t>
      </w:r>
      <w:r w:rsidR="002B429A" w:rsidRPr="00027AAD">
        <w:rPr>
          <w:rFonts w:ascii="Times New Roman" w:eastAsia="Times New Roman" w:hAnsi="Times New Roman" w:cs="Times New Roman"/>
          <w:bCs/>
          <w:sz w:val="24"/>
          <w:szCs w:val="24"/>
          <w:lang w:eastAsia="lv-LV"/>
        </w:rPr>
        <w:t>Šengenas konvencijas 45. panta 2.</w:t>
      </w:r>
      <w:r w:rsidR="00C8673A" w:rsidRPr="00027AAD">
        <w:rPr>
          <w:rFonts w:ascii="Times New Roman" w:eastAsia="Times New Roman" w:hAnsi="Times New Roman" w:cs="Times New Roman"/>
          <w:bCs/>
          <w:sz w:val="24"/>
          <w:szCs w:val="24"/>
          <w:lang w:eastAsia="lv-LV"/>
        </w:rPr>
        <w:t> </w:t>
      </w:r>
      <w:r w:rsidR="002B429A" w:rsidRPr="00027AAD">
        <w:rPr>
          <w:rFonts w:ascii="Times New Roman" w:eastAsia="Times New Roman" w:hAnsi="Times New Roman" w:cs="Times New Roman"/>
          <w:bCs/>
          <w:sz w:val="24"/>
          <w:szCs w:val="24"/>
          <w:lang w:eastAsia="lv-LV"/>
        </w:rPr>
        <w:t xml:space="preserve">punkts paredz, ka attiecīgā prasība par ārzemnieka deklarācijas veidlapas aizpildīšanu ir piemērojama personām, kas uzturas kādā komerciālos nolūkos izīrētā mītnē, tostarp teltīs, autofurgonos un kuģos. Līdz ar to ir jāveic izmaiņas normatīvajos aktos, </w:t>
      </w:r>
      <w:r w:rsidR="00CE4B0B">
        <w:rPr>
          <w:rFonts w:ascii="Times New Roman" w:eastAsia="Times New Roman" w:hAnsi="Times New Roman" w:cs="Times New Roman"/>
          <w:bCs/>
          <w:sz w:val="24"/>
          <w:szCs w:val="24"/>
          <w:lang w:eastAsia="lv-LV"/>
        </w:rPr>
        <w:t>precizējot</w:t>
      </w:r>
      <w:r w:rsidR="00B6392B">
        <w:rPr>
          <w:rFonts w:ascii="Times New Roman" w:eastAsia="Times New Roman" w:hAnsi="Times New Roman" w:cs="Times New Roman"/>
          <w:bCs/>
          <w:sz w:val="24"/>
          <w:szCs w:val="24"/>
          <w:lang w:eastAsia="lv-LV"/>
        </w:rPr>
        <w:t xml:space="preserve"> tūrisma mītņu vai apartamentu definīciju</w:t>
      </w:r>
      <w:r w:rsidR="002B429A" w:rsidRPr="00027AAD">
        <w:rPr>
          <w:rFonts w:ascii="Times New Roman" w:eastAsia="Times New Roman" w:hAnsi="Times New Roman" w:cs="Times New Roman"/>
          <w:bCs/>
          <w:sz w:val="24"/>
          <w:szCs w:val="24"/>
          <w:lang w:eastAsia="lv-LV"/>
        </w:rPr>
        <w:t>,</w:t>
      </w:r>
      <w:r w:rsidR="00B6392B">
        <w:rPr>
          <w:rFonts w:ascii="Times New Roman" w:eastAsia="Times New Roman" w:hAnsi="Times New Roman" w:cs="Times New Roman"/>
          <w:bCs/>
          <w:sz w:val="24"/>
          <w:szCs w:val="24"/>
          <w:lang w:eastAsia="lv-LV"/>
        </w:rPr>
        <w:t xml:space="preserve"> lai nodrošinātu,</w:t>
      </w:r>
      <w:r w:rsidR="002B429A" w:rsidRPr="00027AAD">
        <w:rPr>
          <w:rFonts w:ascii="Times New Roman" w:eastAsia="Times New Roman" w:hAnsi="Times New Roman" w:cs="Times New Roman"/>
          <w:bCs/>
          <w:sz w:val="24"/>
          <w:szCs w:val="24"/>
          <w:lang w:eastAsia="lv-LV"/>
        </w:rPr>
        <w:t xml:space="preserve"> ka arī apartamentos izmitinātie ārzemnieki aizpilda attiecīgo deklarāciju.</w:t>
      </w:r>
    </w:p>
    <w:p w14:paraId="7B1FE014" w14:textId="77777777" w:rsidR="00CB1190" w:rsidRDefault="00CB1190" w:rsidP="008678DF">
      <w:pPr>
        <w:spacing w:after="0" w:line="240" w:lineRule="auto"/>
        <w:rPr>
          <w:rFonts w:ascii="Times New Roman" w:eastAsia="Times New Roman" w:hAnsi="Times New Roman" w:cs="Times New Roman"/>
          <w:b/>
          <w:bCs/>
          <w:sz w:val="24"/>
          <w:szCs w:val="24"/>
          <w:u w:val="single"/>
          <w:lang w:eastAsia="lv-LV"/>
        </w:rPr>
      </w:pPr>
    </w:p>
    <w:p w14:paraId="7261CEE8" w14:textId="12A5BBBC" w:rsidR="00EF0D75" w:rsidRPr="00021291" w:rsidRDefault="00EF0D75" w:rsidP="008678DF">
      <w:pPr>
        <w:spacing w:after="0" w:line="240" w:lineRule="auto"/>
        <w:rPr>
          <w:rFonts w:ascii="Times New Roman" w:eastAsia="Times New Roman" w:hAnsi="Times New Roman" w:cs="Times New Roman"/>
          <w:b/>
          <w:bCs/>
          <w:sz w:val="24"/>
          <w:szCs w:val="24"/>
          <w:u w:val="single"/>
          <w:lang w:eastAsia="lv-LV"/>
        </w:rPr>
      </w:pPr>
      <w:r w:rsidRPr="00021291">
        <w:rPr>
          <w:rFonts w:ascii="Times New Roman" w:eastAsia="Times New Roman" w:hAnsi="Times New Roman" w:cs="Times New Roman"/>
          <w:b/>
          <w:bCs/>
          <w:sz w:val="24"/>
          <w:szCs w:val="24"/>
          <w:u w:val="single"/>
          <w:lang w:eastAsia="lv-LV"/>
        </w:rPr>
        <w:t xml:space="preserve">Patērētāju aizsardzība </w:t>
      </w:r>
    </w:p>
    <w:p w14:paraId="6BA46745" w14:textId="77777777" w:rsidR="00E65AD9" w:rsidRPr="00C50AD8" w:rsidRDefault="00E65AD9" w:rsidP="00EF0D75">
      <w:pPr>
        <w:spacing w:after="0" w:line="240" w:lineRule="auto"/>
        <w:jc w:val="both"/>
        <w:rPr>
          <w:rFonts w:ascii="Times New Roman" w:eastAsia="Times New Roman" w:hAnsi="Times New Roman" w:cs="Times New Roman"/>
          <w:bCs/>
          <w:sz w:val="28"/>
          <w:szCs w:val="28"/>
          <w:lang w:eastAsia="lv-LV"/>
        </w:rPr>
      </w:pPr>
    </w:p>
    <w:p w14:paraId="67721314" w14:textId="651B4A61" w:rsidR="009147E1" w:rsidRDefault="00EF0D75" w:rsidP="006B3B18">
      <w:pPr>
        <w:spacing w:after="0" w:line="240" w:lineRule="auto"/>
        <w:ind w:firstLine="709"/>
        <w:jc w:val="both"/>
        <w:rPr>
          <w:rFonts w:ascii="Times New Roman" w:eastAsia="Times New Roman" w:hAnsi="Times New Roman" w:cs="Times New Roman"/>
          <w:bCs/>
          <w:sz w:val="24"/>
          <w:szCs w:val="24"/>
          <w:lang w:eastAsia="lv-LV"/>
        </w:rPr>
      </w:pPr>
      <w:r w:rsidRPr="00021291">
        <w:rPr>
          <w:rFonts w:ascii="Times New Roman" w:eastAsia="Times New Roman" w:hAnsi="Times New Roman" w:cs="Times New Roman"/>
          <w:bCs/>
          <w:sz w:val="24"/>
          <w:szCs w:val="24"/>
          <w:lang w:eastAsia="lv-LV"/>
        </w:rPr>
        <w:t xml:space="preserve">Latvijā darbojās vispārējs patērētāju aizsardzības regulējums saskaņā ar Patērētāju tiesību aizsardzības likumu, kā arī papildu </w:t>
      </w:r>
      <w:r w:rsidR="000417E8" w:rsidRPr="00021291">
        <w:rPr>
          <w:rFonts w:ascii="Times New Roman" w:eastAsia="Times New Roman" w:hAnsi="Times New Roman" w:cs="Times New Roman"/>
          <w:bCs/>
          <w:sz w:val="24"/>
          <w:szCs w:val="24"/>
          <w:lang w:eastAsia="lv-LV"/>
        </w:rPr>
        <w:t xml:space="preserve">patērētāju tiesību aizsardzības normas </w:t>
      </w:r>
      <w:r w:rsidRPr="00021291">
        <w:rPr>
          <w:rFonts w:ascii="Times New Roman" w:eastAsia="Times New Roman" w:hAnsi="Times New Roman" w:cs="Times New Roman"/>
          <w:bCs/>
          <w:sz w:val="24"/>
          <w:szCs w:val="24"/>
          <w:lang w:eastAsia="lv-LV"/>
        </w:rPr>
        <w:t xml:space="preserve"> ir noteikt</w:t>
      </w:r>
      <w:r w:rsidR="000417E8" w:rsidRPr="00021291">
        <w:rPr>
          <w:rFonts w:ascii="Times New Roman" w:eastAsia="Times New Roman" w:hAnsi="Times New Roman" w:cs="Times New Roman"/>
          <w:bCs/>
          <w:sz w:val="24"/>
          <w:szCs w:val="24"/>
          <w:lang w:eastAsia="lv-LV"/>
        </w:rPr>
        <w:t>as</w:t>
      </w:r>
      <w:r w:rsidRPr="00021291">
        <w:rPr>
          <w:rFonts w:ascii="Times New Roman" w:eastAsia="Times New Roman" w:hAnsi="Times New Roman" w:cs="Times New Roman"/>
          <w:bCs/>
          <w:sz w:val="24"/>
          <w:szCs w:val="24"/>
          <w:lang w:eastAsia="lv-LV"/>
        </w:rPr>
        <w:t xml:space="preserve"> </w:t>
      </w:r>
      <w:r w:rsidR="000417E8" w:rsidRPr="00021291">
        <w:rPr>
          <w:rFonts w:ascii="Times New Roman" w:eastAsia="Times New Roman" w:hAnsi="Times New Roman" w:cs="Times New Roman"/>
          <w:bCs/>
          <w:sz w:val="24"/>
          <w:szCs w:val="24"/>
          <w:lang w:eastAsia="lv-LV"/>
        </w:rPr>
        <w:t xml:space="preserve">attiecīgo </w:t>
      </w:r>
      <w:r w:rsidRPr="00021291">
        <w:rPr>
          <w:rFonts w:ascii="Times New Roman" w:eastAsia="Times New Roman" w:hAnsi="Times New Roman" w:cs="Times New Roman"/>
          <w:bCs/>
          <w:sz w:val="24"/>
          <w:szCs w:val="24"/>
          <w:lang w:eastAsia="lv-LV"/>
        </w:rPr>
        <w:t xml:space="preserve">nozaru regulējumā. </w:t>
      </w:r>
    </w:p>
    <w:p w14:paraId="630148AC" w14:textId="77777777" w:rsidR="00C96BD0" w:rsidRDefault="00C96BD0" w:rsidP="006B3B18">
      <w:pPr>
        <w:spacing w:after="0" w:line="240" w:lineRule="auto"/>
        <w:ind w:firstLine="709"/>
        <w:jc w:val="both"/>
        <w:rPr>
          <w:rFonts w:ascii="Times New Roman" w:eastAsia="Times New Roman" w:hAnsi="Times New Roman" w:cs="Times New Roman"/>
          <w:bCs/>
          <w:sz w:val="24"/>
          <w:szCs w:val="24"/>
          <w:lang w:eastAsia="lv-LV"/>
        </w:rPr>
      </w:pPr>
    </w:p>
    <w:p w14:paraId="22B9A128" w14:textId="013FD83C" w:rsidR="00CB1190" w:rsidRPr="00CB1190" w:rsidRDefault="00CB1190" w:rsidP="00CB1190">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CB1190">
        <w:rPr>
          <w:rFonts w:ascii="Times New Roman" w:eastAsia="Times New Roman" w:hAnsi="Times New Roman" w:cs="Times New Roman"/>
          <w:b/>
          <w:bCs/>
          <w:sz w:val="24"/>
          <w:szCs w:val="24"/>
          <w:lang w:eastAsia="lv-LV"/>
        </w:rPr>
        <w:t xml:space="preserve">Patērētāju aizsardzība </w:t>
      </w:r>
      <w:r w:rsidR="00C60C18">
        <w:rPr>
          <w:rFonts w:ascii="Times New Roman" w:eastAsia="Times New Roman" w:hAnsi="Times New Roman" w:cs="Times New Roman"/>
          <w:b/>
          <w:bCs/>
          <w:sz w:val="24"/>
          <w:szCs w:val="24"/>
          <w:lang w:eastAsia="lv-LV"/>
        </w:rPr>
        <w:t>vieglo pasažieru pārvadājumu</w:t>
      </w:r>
      <w:r w:rsidRPr="00CB1190">
        <w:rPr>
          <w:rFonts w:ascii="Times New Roman" w:eastAsia="Times New Roman" w:hAnsi="Times New Roman" w:cs="Times New Roman"/>
          <w:b/>
          <w:bCs/>
          <w:sz w:val="24"/>
          <w:szCs w:val="24"/>
          <w:lang w:eastAsia="lv-LV"/>
        </w:rPr>
        <w:t xml:space="preserve"> jomā </w:t>
      </w:r>
    </w:p>
    <w:p w14:paraId="55278EFF" w14:textId="21B999F4" w:rsidR="009711F7" w:rsidRPr="00021291" w:rsidRDefault="009147E1" w:rsidP="006B3B18">
      <w:pPr>
        <w:spacing w:after="0" w:line="240" w:lineRule="auto"/>
        <w:ind w:firstLine="709"/>
        <w:jc w:val="both"/>
        <w:rPr>
          <w:rFonts w:ascii="Times New Roman" w:eastAsia="Times New Roman" w:hAnsi="Times New Roman" w:cs="Times New Roman"/>
          <w:bCs/>
          <w:sz w:val="24"/>
          <w:szCs w:val="24"/>
          <w:lang w:eastAsia="lv-LV"/>
        </w:rPr>
      </w:pPr>
      <w:r w:rsidRPr="00021291">
        <w:rPr>
          <w:rFonts w:ascii="Times New Roman" w:eastAsia="Times New Roman" w:hAnsi="Times New Roman" w:cs="Times New Roman"/>
          <w:bCs/>
          <w:sz w:val="24"/>
          <w:szCs w:val="24"/>
          <w:lang w:eastAsia="lv-LV"/>
        </w:rPr>
        <w:t xml:space="preserve">Attiecībā uz vieglo pasažieru komercpārvadājumiem esošais </w:t>
      </w:r>
      <w:r w:rsidR="00EF0D75" w:rsidRPr="00021291">
        <w:rPr>
          <w:rFonts w:ascii="Times New Roman" w:eastAsia="Times New Roman" w:hAnsi="Times New Roman" w:cs="Times New Roman"/>
          <w:bCs/>
          <w:sz w:val="24"/>
          <w:szCs w:val="24"/>
          <w:lang w:eastAsia="lv-LV"/>
        </w:rPr>
        <w:t xml:space="preserve">regulējums </w:t>
      </w:r>
      <w:r w:rsidRPr="00021291">
        <w:rPr>
          <w:rFonts w:ascii="Times New Roman" w:eastAsia="Times New Roman" w:hAnsi="Times New Roman" w:cs="Times New Roman"/>
          <w:bCs/>
          <w:sz w:val="24"/>
          <w:szCs w:val="24"/>
          <w:lang w:eastAsia="lv-LV"/>
        </w:rPr>
        <w:t xml:space="preserve">nosaka, ka pasūtītājs pirms braucienu saņem informācija par pakalpojumu, kā arī </w:t>
      </w:r>
      <w:r w:rsidR="00EF0D75" w:rsidRPr="00021291">
        <w:rPr>
          <w:rFonts w:ascii="Times New Roman" w:eastAsia="Times New Roman" w:hAnsi="Times New Roman" w:cs="Times New Roman"/>
          <w:bCs/>
          <w:sz w:val="24"/>
          <w:szCs w:val="24"/>
          <w:lang w:eastAsia="lv-LV"/>
        </w:rPr>
        <w:t xml:space="preserve">uzreiz pēc pārvadājumu pakalpojuma pabeigšanas (maršrutu, laiku, pakalpojuma summu un tā aprēķināšanu, apmaksas veidu, </w:t>
      </w:r>
      <w:r w:rsidR="006F05CE">
        <w:rPr>
          <w:rFonts w:ascii="Times New Roman" w:eastAsia="Times New Roman" w:hAnsi="Times New Roman" w:cs="Times New Roman"/>
          <w:bCs/>
          <w:sz w:val="24"/>
          <w:szCs w:val="24"/>
          <w:lang w:eastAsia="lv-LV"/>
        </w:rPr>
        <w:t xml:space="preserve">kā arī </w:t>
      </w:r>
      <w:r w:rsidR="006F05CE" w:rsidRPr="00021291">
        <w:rPr>
          <w:rFonts w:ascii="Times New Roman" w:eastAsia="Times New Roman" w:hAnsi="Times New Roman" w:cs="Times New Roman"/>
          <w:bCs/>
          <w:sz w:val="24"/>
          <w:szCs w:val="24"/>
          <w:lang w:eastAsia="lv-LV"/>
        </w:rPr>
        <w:t>kontaktinformācij</w:t>
      </w:r>
      <w:r w:rsidR="006F05CE">
        <w:rPr>
          <w:rFonts w:ascii="Times New Roman" w:eastAsia="Times New Roman" w:hAnsi="Times New Roman" w:cs="Times New Roman"/>
          <w:bCs/>
          <w:sz w:val="24"/>
          <w:szCs w:val="24"/>
          <w:lang w:eastAsia="lv-LV"/>
        </w:rPr>
        <w:t>u</w:t>
      </w:r>
      <w:r w:rsidR="006F05CE" w:rsidRPr="00021291">
        <w:rPr>
          <w:rFonts w:ascii="Times New Roman" w:eastAsia="Times New Roman" w:hAnsi="Times New Roman" w:cs="Times New Roman"/>
          <w:bCs/>
          <w:sz w:val="24"/>
          <w:szCs w:val="24"/>
          <w:lang w:eastAsia="lv-LV"/>
        </w:rPr>
        <w:t xml:space="preserve"> </w:t>
      </w:r>
      <w:r w:rsidR="00EF0D75" w:rsidRPr="00021291">
        <w:rPr>
          <w:rFonts w:ascii="Times New Roman" w:eastAsia="Times New Roman" w:hAnsi="Times New Roman" w:cs="Times New Roman"/>
          <w:bCs/>
          <w:sz w:val="24"/>
          <w:szCs w:val="24"/>
          <w:lang w:eastAsia="lv-LV"/>
        </w:rPr>
        <w:t xml:space="preserve">patērētāju sūdzību iesniegšanai). </w:t>
      </w:r>
    </w:p>
    <w:p w14:paraId="6E5EA50B" w14:textId="618FCBC4" w:rsidR="00C60C18" w:rsidRDefault="00C60C18" w:rsidP="00C60C18">
      <w:pPr>
        <w:spacing w:after="0" w:line="240" w:lineRule="auto"/>
        <w:jc w:val="both"/>
        <w:rPr>
          <w:rFonts w:ascii="Times New Roman" w:eastAsia="Times New Roman" w:hAnsi="Times New Roman" w:cs="Times New Roman"/>
          <w:bCs/>
          <w:sz w:val="24"/>
          <w:szCs w:val="24"/>
          <w:lang w:eastAsia="lv-LV"/>
        </w:rPr>
      </w:pPr>
    </w:p>
    <w:p w14:paraId="64890DB2" w14:textId="6A14EB31" w:rsidR="00C60C18" w:rsidRPr="00C60C18" w:rsidRDefault="00C60C18" w:rsidP="00C60C18">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C60C18">
        <w:rPr>
          <w:rFonts w:ascii="Times New Roman" w:eastAsia="Times New Roman" w:hAnsi="Times New Roman" w:cs="Times New Roman"/>
          <w:b/>
          <w:bCs/>
          <w:sz w:val="24"/>
          <w:szCs w:val="24"/>
          <w:lang w:eastAsia="lv-LV"/>
        </w:rPr>
        <w:t xml:space="preserve">Patērētāju aizsardzība izmitināšanas sektorā </w:t>
      </w:r>
    </w:p>
    <w:p w14:paraId="2D4B94DE" w14:textId="09571F76" w:rsidR="00EF0D75" w:rsidRPr="00021291" w:rsidRDefault="00EF0D75" w:rsidP="00C974DD">
      <w:pPr>
        <w:spacing w:after="0" w:line="240" w:lineRule="auto"/>
        <w:ind w:firstLine="709"/>
        <w:jc w:val="both"/>
        <w:rPr>
          <w:rFonts w:ascii="Times New Roman" w:eastAsia="Times New Roman" w:hAnsi="Times New Roman" w:cs="Times New Roman"/>
          <w:bCs/>
          <w:sz w:val="24"/>
          <w:szCs w:val="24"/>
          <w:lang w:eastAsia="lv-LV"/>
        </w:rPr>
      </w:pPr>
      <w:r w:rsidRPr="00021291">
        <w:rPr>
          <w:rFonts w:ascii="Times New Roman" w:eastAsia="Times New Roman" w:hAnsi="Times New Roman" w:cs="Times New Roman"/>
          <w:bCs/>
          <w:sz w:val="24"/>
          <w:szCs w:val="24"/>
          <w:lang w:eastAsia="lv-LV"/>
        </w:rPr>
        <w:t>Patērētāju tiesības jānodrošina neatkarīgi no tā, vai pakalpojums sniegts tradicionālās ekonomikas vai sadarbības ekonomikas ietvaros.</w:t>
      </w:r>
      <w:r w:rsidR="00BE660F" w:rsidRPr="00021291">
        <w:rPr>
          <w:rFonts w:ascii="Times New Roman" w:eastAsia="Times New Roman" w:hAnsi="Times New Roman" w:cs="Times New Roman"/>
          <w:bCs/>
          <w:sz w:val="24"/>
          <w:szCs w:val="24"/>
          <w:lang w:eastAsia="lv-LV"/>
        </w:rPr>
        <w:t xml:space="preserve"> </w:t>
      </w:r>
      <w:r w:rsidR="00B96F04" w:rsidRPr="00021291">
        <w:rPr>
          <w:rFonts w:ascii="Times New Roman" w:eastAsia="Times New Roman" w:hAnsi="Times New Roman" w:cs="Times New Roman"/>
          <w:bCs/>
          <w:sz w:val="24"/>
          <w:szCs w:val="24"/>
          <w:lang w:eastAsia="lv-LV"/>
        </w:rPr>
        <w:t xml:space="preserve">Patērētāju tiesību aizsardzības likumā ir ietvertas speciālās normas attiecībā uz brīvdienu mītnes </w:t>
      </w:r>
      <w:r w:rsidR="00901508" w:rsidRPr="00021291">
        <w:rPr>
          <w:rFonts w:ascii="Times New Roman" w:eastAsia="Times New Roman" w:hAnsi="Times New Roman" w:cs="Times New Roman"/>
          <w:bCs/>
          <w:sz w:val="24"/>
          <w:szCs w:val="24"/>
          <w:lang w:eastAsia="lv-LV"/>
        </w:rPr>
        <w:t>ilgtermiņa lietošanas</w:t>
      </w:r>
      <w:r w:rsidR="00B96F04" w:rsidRPr="00021291">
        <w:rPr>
          <w:rFonts w:ascii="Times New Roman" w:eastAsia="Times New Roman" w:hAnsi="Times New Roman" w:cs="Times New Roman"/>
          <w:bCs/>
          <w:sz w:val="24"/>
          <w:szCs w:val="24"/>
          <w:lang w:eastAsia="lv-LV"/>
        </w:rPr>
        <w:t xml:space="preserve"> līgumiem, kas ir speciāls īres līgumu paveids un uz to nav attiecināmas likumā “Par dzīvojamo telpu īri” noteikta</w:t>
      </w:r>
      <w:r w:rsidR="00082A93" w:rsidRPr="00021291">
        <w:rPr>
          <w:rFonts w:ascii="Times New Roman" w:eastAsia="Times New Roman" w:hAnsi="Times New Roman" w:cs="Times New Roman"/>
          <w:bCs/>
          <w:sz w:val="24"/>
          <w:szCs w:val="24"/>
          <w:lang w:eastAsia="lv-LV"/>
        </w:rPr>
        <w:t>i</w:t>
      </w:r>
      <w:r w:rsidR="00B96F04" w:rsidRPr="00021291">
        <w:rPr>
          <w:rFonts w:ascii="Times New Roman" w:eastAsia="Times New Roman" w:hAnsi="Times New Roman" w:cs="Times New Roman"/>
          <w:bCs/>
          <w:sz w:val="24"/>
          <w:szCs w:val="24"/>
          <w:lang w:eastAsia="lv-LV"/>
        </w:rPr>
        <w:t>s.</w:t>
      </w:r>
      <w:r w:rsidR="00B96F04" w:rsidRPr="00021291">
        <w:rPr>
          <w:rStyle w:val="FootnoteReference"/>
          <w:rFonts w:ascii="Times New Roman" w:eastAsia="Times New Roman" w:hAnsi="Times New Roman" w:cs="Times New Roman"/>
          <w:bCs/>
          <w:sz w:val="24"/>
          <w:szCs w:val="24"/>
          <w:lang w:eastAsia="lv-LV"/>
        </w:rPr>
        <w:footnoteReference w:id="24"/>
      </w:r>
      <w:r w:rsidR="00B96F04" w:rsidRPr="00021291">
        <w:rPr>
          <w:rFonts w:ascii="Times New Roman" w:eastAsia="Times New Roman" w:hAnsi="Times New Roman" w:cs="Times New Roman"/>
          <w:bCs/>
          <w:sz w:val="24"/>
          <w:szCs w:val="24"/>
          <w:lang w:eastAsia="lv-LV"/>
        </w:rPr>
        <w:t xml:space="preserve"> Vienlaikus judikatūrā ir atzīts, ka kaut arī uz standart</w:t>
      </w:r>
      <w:r w:rsidR="004A7134" w:rsidRPr="00021291">
        <w:rPr>
          <w:rFonts w:ascii="Times New Roman" w:eastAsia="Times New Roman" w:hAnsi="Times New Roman" w:cs="Times New Roman"/>
          <w:bCs/>
          <w:sz w:val="24"/>
          <w:szCs w:val="24"/>
          <w:lang w:eastAsia="lv-LV"/>
        </w:rPr>
        <w:t>a</w:t>
      </w:r>
      <w:r w:rsidR="00B96F04" w:rsidRPr="00021291">
        <w:rPr>
          <w:rFonts w:ascii="Times New Roman" w:eastAsia="Times New Roman" w:hAnsi="Times New Roman" w:cs="Times New Roman"/>
          <w:bCs/>
          <w:sz w:val="24"/>
          <w:szCs w:val="24"/>
          <w:lang w:eastAsia="lv-LV"/>
        </w:rPr>
        <w:t xml:space="preserve"> dzīvojamo telpu īres līgumiem Patērētāju tiesību aizsardzības likuma 11. pants nav attiecināms, taču arī no šāda īres līguma izrietošās pušu tiesiskās attiecības  var tikt uzskatītas par tādām, kurām ir piemērojamas patērētāju tiesību aizsardzības normas.</w:t>
      </w:r>
      <w:r w:rsidR="00B96F04" w:rsidRPr="00021291">
        <w:rPr>
          <w:rStyle w:val="FootnoteReference"/>
          <w:rFonts w:ascii="Times New Roman" w:eastAsia="Times New Roman" w:hAnsi="Times New Roman" w:cs="Times New Roman"/>
          <w:bCs/>
          <w:sz w:val="24"/>
          <w:szCs w:val="24"/>
          <w:lang w:eastAsia="lv-LV"/>
        </w:rPr>
        <w:footnoteReference w:id="25"/>
      </w:r>
      <w:r w:rsidR="006B3B18" w:rsidRPr="00021291">
        <w:rPr>
          <w:rFonts w:ascii="Times New Roman" w:eastAsia="Times New Roman" w:hAnsi="Times New Roman" w:cs="Times New Roman"/>
          <w:bCs/>
          <w:sz w:val="24"/>
          <w:szCs w:val="24"/>
          <w:lang w:eastAsia="lv-LV"/>
        </w:rPr>
        <w:t xml:space="preserve"> </w:t>
      </w:r>
      <w:r w:rsidR="00BE660F" w:rsidRPr="00021291">
        <w:rPr>
          <w:rFonts w:ascii="Times New Roman" w:eastAsia="Times New Roman" w:hAnsi="Times New Roman" w:cs="Times New Roman"/>
          <w:bCs/>
          <w:sz w:val="24"/>
          <w:szCs w:val="24"/>
          <w:lang w:eastAsia="lv-LV"/>
        </w:rPr>
        <w:t xml:space="preserve">Atbilstoši Patērētāju tiesību aizsardzības likumam uz noslēgtiem īres līgumiem var tikt attiecinātas normas par netaisnīgiem līguma noteikumiem, ja </w:t>
      </w:r>
      <w:r w:rsidR="00BE660F" w:rsidRPr="00021291">
        <w:rPr>
          <w:rFonts w:ascii="Times New Roman" w:eastAsia="Times New Roman" w:hAnsi="Times New Roman" w:cs="Times New Roman"/>
          <w:bCs/>
          <w:sz w:val="24"/>
          <w:szCs w:val="24"/>
          <w:lang w:eastAsia="lv-LV"/>
        </w:rPr>
        <w:lastRenderedPageBreak/>
        <w:t>īres līgums ir noslēgts starp patērētāju un pakalpojuma sniedzēju</w:t>
      </w:r>
      <w:r w:rsidR="004C3533" w:rsidRPr="00021291">
        <w:rPr>
          <w:rFonts w:ascii="Times New Roman" w:eastAsia="Times New Roman" w:hAnsi="Times New Roman" w:cs="Times New Roman"/>
          <w:bCs/>
          <w:sz w:val="24"/>
          <w:szCs w:val="24"/>
          <w:lang w:eastAsia="lv-LV"/>
        </w:rPr>
        <w:t>.</w:t>
      </w:r>
      <w:r w:rsidR="00B96F04" w:rsidRPr="00021291">
        <w:rPr>
          <w:rFonts w:ascii="Times New Roman" w:eastAsia="Times New Roman" w:hAnsi="Times New Roman" w:cs="Times New Roman"/>
          <w:bCs/>
          <w:sz w:val="24"/>
          <w:szCs w:val="24"/>
          <w:lang w:eastAsia="lv-LV"/>
        </w:rPr>
        <w:t xml:space="preserve"> </w:t>
      </w:r>
      <w:r w:rsidRPr="00021291">
        <w:rPr>
          <w:rFonts w:ascii="Times New Roman" w:eastAsia="Times New Roman" w:hAnsi="Times New Roman" w:cs="Times New Roman"/>
          <w:bCs/>
          <w:sz w:val="24"/>
          <w:szCs w:val="24"/>
          <w:lang w:eastAsia="lv-LV"/>
        </w:rPr>
        <w:t xml:space="preserve">Līdz ar to </w:t>
      </w:r>
      <w:r w:rsidR="00C01D03" w:rsidRPr="00021291">
        <w:rPr>
          <w:rFonts w:ascii="Times New Roman" w:eastAsia="Times New Roman" w:hAnsi="Times New Roman" w:cs="Times New Roman"/>
          <w:bCs/>
          <w:sz w:val="24"/>
          <w:szCs w:val="24"/>
          <w:lang w:eastAsia="lv-LV"/>
        </w:rPr>
        <w:t xml:space="preserve">Ekonomikas ministrija uzskata, ka </w:t>
      </w:r>
      <w:r w:rsidRPr="00021291">
        <w:rPr>
          <w:rFonts w:ascii="Times New Roman" w:eastAsia="Times New Roman" w:hAnsi="Times New Roman" w:cs="Times New Roman"/>
          <w:bCs/>
          <w:sz w:val="24"/>
          <w:szCs w:val="24"/>
          <w:lang w:eastAsia="lv-LV"/>
        </w:rPr>
        <w:t xml:space="preserve">Latvijā šajā </w:t>
      </w:r>
      <w:r w:rsidR="00C50AD8" w:rsidRPr="00021291">
        <w:rPr>
          <w:rFonts w:ascii="Times New Roman" w:eastAsia="Times New Roman" w:hAnsi="Times New Roman" w:cs="Times New Roman"/>
          <w:bCs/>
          <w:sz w:val="24"/>
          <w:szCs w:val="24"/>
          <w:lang w:eastAsia="lv-LV"/>
        </w:rPr>
        <w:t xml:space="preserve">jautājumā </w:t>
      </w:r>
      <w:r w:rsidRPr="00021291">
        <w:rPr>
          <w:rFonts w:ascii="Times New Roman" w:eastAsia="Times New Roman" w:hAnsi="Times New Roman" w:cs="Times New Roman"/>
          <w:bCs/>
          <w:sz w:val="24"/>
          <w:szCs w:val="24"/>
          <w:lang w:eastAsia="lv-LV"/>
        </w:rPr>
        <w:t xml:space="preserve">izmaiņas vai papildinājumi </w:t>
      </w:r>
      <w:r w:rsidR="00C50AD8" w:rsidRPr="00021291">
        <w:rPr>
          <w:rFonts w:ascii="Times New Roman" w:eastAsia="Times New Roman" w:hAnsi="Times New Roman" w:cs="Times New Roman"/>
          <w:bCs/>
          <w:sz w:val="24"/>
          <w:szCs w:val="24"/>
          <w:lang w:eastAsia="lv-LV"/>
        </w:rPr>
        <w:t xml:space="preserve">normatīvajos aktos </w:t>
      </w:r>
      <w:r w:rsidRPr="00021291">
        <w:rPr>
          <w:rFonts w:ascii="Times New Roman" w:eastAsia="Times New Roman" w:hAnsi="Times New Roman" w:cs="Times New Roman"/>
          <w:bCs/>
          <w:sz w:val="24"/>
          <w:szCs w:val="24"/>
          <w:lang w:eastAsia="lv-LV"/>
        </w:rPr>
        <w:t>nav nepieciešami.</w:t>
      </w:r>
    </w:p>
    <w:p w14:paraId="479AC26B" w14:textId="32E735B6" w:rsidR="00EF0D75" w:rsidRPr="00021291" w:rsidRDefault="0022689A" w:rsidP="00EF0D75">
      <w:pPr>
        <w:spacing w:after="0" w:line="240" w:lineRule="auto"/>
        <w:jc w:val="both"/>
        <w:rPr>
          <w:rFonts w:ascii="Times New Roman" w:eastAsia="Times New Roman" w:hAnsi="Times New Roman" w:cs="Times New Roman"/>
          <w:bCs/>
          <w:sz w:val="24"/>
          <w:szCs w:val="24"/>
          <w:lang w:eastAsia="lv-LV"/>
        </w:rPr>
      </w:pPr>
      <w:r w:rsidRPr="00021291">
        <w:rPr>
          <w:rFonts w:ascii="Times New Roman" w:eastAsia="Times New Roman" w:hAnsi="Times New Roman" w:cs="Times New Roman"/>
          <w:bCs/>
          <w:sz w:val="24"/>
          <w:szCs w:val="24"/>
          <w:lang w:eastAsia="lv-LV"/>
        </w:rPr>
        <w:tab/>
      </w:r>
      <w:r w:rsidR="00956227" w:rsidRPr="00021291">
        <w:rPr>
          <w:rFonts w:ascii="Times New Roman" w:eastAsia="Times New Roman" w:hAnsi="Times New Roman" w:cs="Times New Roman"/>
          <w:bCs/>
          <w:sz w:val="24"/>
          <w:szCs w:val="24"/>
          <w:lang w:eastAsia="lv-LV"/>
        </w:rPr>
        <w:t>Ņemot vērā, ka viesu izmitināšanas sektorā tiek iegūti un apstrādāti fizisko personu dati, tad attiecīgo datu pārziņiem ir jāievēro normatīvo aktu prasības fizisko personu datu aizsardzības jomā. Vispārīgo datu aizsardzības regulu</w:t>
      </w:r>
      <w:r w:rsidR="00956227" w:rsidRPr="00021291">
        <w:rPr>
          <w:rStyle w:val="FootnoteReference"/>
          <w:rFonts w:ascii="Times New Roman" w:eastAsia="Times New Roman" w:hAnsi="Times New Roman" w:cs="Times New Roman"/>
          <w:bCs/>
          <w:sz w:val="24"/>
          <w:szCs w:val="24"/>
          <w:lang w:eastAsia="lv-LV"/>
        </w:rPr>
        <w:footnoteReference w:id="26"/>
      </w:r>
      <w:r w:rsidR="00956227" w:rsidRPr="00021291">
        <w:rPr>
          <w:rFonts w:ascii="Times New Roman" w:eastAsia="Times New Roman" w:hAnsi="Times New Roman" w:cs="Times New Roman"/>
          <w:bCs/>
          <w:sz w:val="24"/>
          <w:szCs w:val="24"/>
          <w:lang w:eastAsia="lv-LV"/>
        </w:rPr>
        <w:t xml:space="preserve"> nepiemēro personas datu apstrādei, kuru veic fiziska persona tikai personiska vai </w:t>
      </w:r>
      <w:proofErr w:type="spellStart"/>
      <w:r w:rsidR="00956227" w:rsidRPr="00021291">
        <w:rPr>
          <w:rFonts w:ascii="Times New Roman" w:eastAsia="Times New Roman" w:hAnsi="Times New Roman" w:cs="Times New Roman"/>
          <w:bCs/>
          <w:sz w:val="24"/>
          <w:szCs w:val="24"/>
          <w:lang w:eastAsia="lv-LV"/>
        </w:rPr>
        <w:t>mājsaimnieciska</w:t>
      </w:r>
      <w:proofErr w:type="spellEnd"/>
      <w:r w:rsidR="00956227" w:rsidRPr="00021291">
        <w:rPr>
          <w:rFonts w:ascii="Times New Roman" w:eastAsia="Times New Roman" w:hAnsi="Times New Roman" w:cs="Times New Roman"/>
          <w:bCs/>
          <w:sz w:val="24"/>
          <w:szCs w:val="24"/>
          <w:lang w:eastAsia="lv-LV"/>
        </w:rPr>
        <w:t xml:space="preserve"> pasākuma gaitā un kura tādējādi nav saistīta ar profesionālu vai komerciālu darbību. Līdz ar to arī apartamentu izīrēšanas gadījumā, ja tas tiek darīts peļņas gūšanas nolūkā un tiek iegūti un apstrādāti fiziskās personas dati</w:t>
      </w:r>
      <w:r w:rsidR="00CE4B0B">
        <w:rPr>
          <w:rFonts w:ascii="Times New Roman" w:eastAsia="Times New Roman" w:hAnsi="Times New Roman" w:cs="Times New Roman"/>
          <w:bCs/>
          <w:sz w:val="24"/>
          <w:szCs w:val="24"/>
          <w:lang w:eastAsia="lv-LV"/>
        </w:rPr>
        <w:t>,</w:t>
      </w:r>
      <w:r w:rsidR="00956227" w:rsidRPr="00021291">
        <w:rPr>
          <w:rFonts w:ascii="Times New Roman" w:eastAsia="Times New Roman" w:hAnsi="Times New Roman" w:cs="Times New Roman"/>
          <w:bCs/>
          <w:sz w:val="24"/>
          <w:szCs w:val="24"/>
          <w:lang w:eastAsia="lv-LV"/>
        </w:rPr>
        <w:t xml:space="preserve"> ir jāievēro Vispārīgās datu regulas un Fizisko personu datu apstrādes likuma prasības.</w:t>
      </w:r>
    </w:p>
    <w:p w14:paraId="594E9E55" w14:textId="268D2879" w:rsidR="009711F7" w:rsidRPr="00021291" w:rsidRDefault="009711F7" w:rsidP="00EF0D75">
      <w:pPr>
        <w:spacing w:after="0" w:line="240" w:lineRule="auto"/>
        <w:jc w:val="both"/>
        <w:rPr>
          <w:rFonts w:ascii="Times New Roman" w:eastAsia="Times New Roman" w:hAnsi="Times New Roman" w:cs="Times New Roman"/>
          <w:bCs/>
          <w:sz w:val="24"/>
          <w:szCs w:val="24"/>
          <w:lang w:eastAsia="lv-LV"/>
        </w:rPr>
      </w:pPr>
    </w:p>
    <w:p w14:paraId="17215E70" w14:textId="02E20DCD" w:rsidR="00EF0D75" w:rsidRPr="00021291" w:rsidRDefault="00EF0D75" w:rsidP="008678DF">
      <w:pPr>
        <w:spacing w:after="0" w:line="240" w:lineRule="auto"/>
        <w:rPr>
          <w:rFonts w:ascii="Times New Roman" w:eastAsia="Times New Roman" w:hAnsi="Times New Roman" w:cs="Times New Roman"/>
          <w:b/>
          <w:bCs/>
          <w:sz w:val="24"/>
          <w:szCs w:val="24"/>
          <w:u w:val="single"/>
          <w:lang w:eastAsia="lv-LV"/>
        </w:rPr>
      </w:pPr>
      <w:r w:rsidRPr="00021291">
        <w:rPr>
          <w:rFonts w:ascii="Times New Roman" w:eastAsia="Times New Roman" w:hAnsi="Times New Roman" w:cs="Times New Roman"/>
          <w:b/>
          <w:bCs/>
          <w:sz w:val="24"/>
          <w:szCs w:val="24"/>
          <w:u w:val="single"/>
          <w:lang w:eastAsia="lv-LV"/>
        </w:rPr>
        <w:t>Nodarbinātība</w:t>
      </w:r>
    </w:p>
    <w:p w14:paraId="4BB50A1E" w14:textId="77777777" w:rsidR="00E65AD9" w:rsidRPr="00C50AD8" w:rsidRDefault="00E65AD9" w:rsidP="00E65AD9">
      <w:pPr>
        <w:spacing w:after="0" w:line="240" w:lineRule="auto"/>
        <w:jc w:val="center"/>
        <w:rPr>
          <w:rFonts w:ascii="Times New Roman" w:eastAsia="Times New Roman" w:hAnsi="Times New Roman" w:cs="Times New Roman"/>
          <w:b/>
          <w:bCs/>
          <w:sz w:val="28"/>
          <w:szCs w:val="28"/>
          <w:lang w:eastAsia="lv-LV"/>
        </w:rPr>
      </w:pPr>
    </w:p>
    <w:p w14:paraId="05F3E3FB" w14:textId="3B1DF469" w:rsidR="00C60C18" w:rsidRPr="00F93748" w:rsidRDefault="00EF0D75" w:rsidP="00C60C18">
      <w:pPr>
        <w:spacing w:after="0" w:line="240" w:lineRule="auto"/>
        <w:ind w:firstLine="709"/>
        <w:jc w:val="both"/>
        <w:rPr>
          <w:rFonts w:ascii="Times New Roman" w:eastAsia="Times New Roman" w:hAnsi="Times New Roman" w:cs="Times New Roman"/>
          <w:bCs/>
          <w:sz w:val="24"/>
          <w:szCs w:val="24"/>
          <w:lang w:eastAsia="lv-LV"/>
        </w:rPr>
      </w:pPr>
      <w:r w:rsidRPr="00F93748">
        <w:rPr>
          <w:rFonts w:ascii="Times New Roman" w:eastAsia="Times New Roman" w:hAnsi="Times New Roman" w:cs="Times New Roman"/>
          <w:bCs/>
          <w:sz w:val="24"/>
          <w:szCs w:val="24"/>
          <w:lang w:eastAsia="lv-LV"/>
        </w:rPr>
        <w:t xml:space="preserve">Latvijā </w:t>
      </w:r>
      <w:r w:rsidR="00AF67EE" w:rsidRPr="00F93748">
        <w:rPr>
          <w:rFonts w:ascii="Times New Roman" w:eastAsia="Times New Roman" w:hAnsi="Times New Roman" w:cs="Times New Roman"/>
          <w:bCs/>
          <w:sz w:val="24"/>
          <w:szCs w:val="24"/>
          <w:lang w:eastAsia="lv-LV"/>
        </w:rPr>
        <w:t xml:space="preserve">ir </w:t>
      </w:r>
      <w:r w:rsidRPr="00F93748">
        <w:rPr>
          <w:rFonts w:ascii="Times New Roman" w:eastAsia="Times New Roman" w:hAnsi="Times New Roman" w:cs="Times New Roman"/>
          <w:bCs/>
          <w:sz w:val="24"/>
          <w:szCs w:val="24"/>
          <w:lang w:eastAsia="lv-LV"/>
        </w:rPr>
        <w:t>vispārējs regulējums gan darba ties</w:t>
      </w:r>
      <w:r w:rsidR="000417E8" w:rsidRPr="00F93748">
        <w:rPr>
          <w:rFonts w:ascii="Times New Roman" w:eastAsia="Times New Roman" w:hAnsi="Times New Roman" w:cs="Times New Roman"/>
          <w:bCs/>
          <w:sz w:val="24"/>
          <w:szCs w:val="24"/>
          <w:lang w:eastAsia="lv-LV"/>
        </w:rPr>
        <w:t>isk</w:t>
      </w:r>
      <w:r w:rsidR="007E6EAB" w:rsidRPr="00F93748">
        <w:rPr>
          <w:rFonts w:ascii="Times New Roman" w:eastAsia="Times New Roman" w:hAnsi="Times New Roman" w:cs="Times New Roman"/>
          <w:bCs/>
          <w:sz w:val="24"/>
          <w:szCs w:val="24"/>
          <w:lang w:eastAsia="lv-LV"/>
        </w:rPr>
        <w:t>o</w:t>
      </w:r>
      <w:r w:rsidR="000417E8" w:rsidRPr="00F93748">
        <w:rPr>
          <w:rFonts w:ascii="Times New Roman" w:eastAsia="Times New Roman" w:hAnsi="Times New Roman" w:cs="Times New Roman"/>
          <w:bCs/>
          <w:sz w:val="24"/>
          <w:szCs w:val="24"/>
          <w:lang w:eastAsia="lv-LV"/>
        </w:rPr>
        <w:t xml:space="preserve"> attiecīb</w:t>
      </w:r>
      <w:r w:rsidR="007E6EAB" w:rsidRPr="00F93748">
        <w:rPr>
          <w:rFonts w:ascii="Times New Roman" w:eastAsia="Times New Roman" w:hAnsi="Times New Roman" w:cs="Times New Roman"/>
          <w:bCs/>
          <w:sz w:val="24"/>
          <w:szCs w:val="24"/>
          <w:lang w:eastAsia="lv-LV"/>
        </w:rPr>
        <w:t>u jomā</w:t>
      </w:r>
      <w:r w:rsidRPr="00F93748">
        <w:rPr>
          <w:rFonts w:ascii="Times New Roman" w:eastAsia="Times New Roman" w:hAnsi="Times New Roman" w:cs="Times New Roman"/>
          <w:bCs/>
          <w:sz w:val="24"/>
          <w:szCs w:val="24"/>
          <w:lang w:eastAsia="lv-LV"/>
        </w:rPr>
        <w:t>, gan darba aizsardzīb</w:t>
      </w:r>
      <w:r w:rsidR="007E6EAB" w:rsidRPr="00F93748">
        <w:rPr>
          <w:rFonts w:ascii="Times New Roman" w:eastAsia="Times New Roman" w:hAnsi="Times New Roman" w:cs="Times New Roman"/>
          <w:bCs/>
          <w:sz w:val="24"/>
          <w:szCs w:val="24"/>
          <w:lang w:eastAsia="lv-LV"/>
        </w:rPr>
        <w:t>as jomā</w:t>
      </w:r>
      <w:r w:rsidR="000417E8" w:rsidRPr="00F93748">
        <w:rPr>
          <w:rFonts w:ascii="Times New Roman" w:eastAsia="Times New Roman" w:hAnsi="Times New Roman" w:cs="Times New Roman"/>
          <w:bCs/>
          <w:sz w:val="24"/>
          <w:szCs w:val="24"/>
          <w:lang w:eastAsia="lv-LV"/>
        </w:rPr>
        <w:t>,</w:t>
      </w:r>
      <w:r w:rsidRPr="00F93748">
        <w:rPr>
          <w:rFonts w:ascii="Times New Roman" w:eastAsia="Times New Roman" w:hAnsi="Times New Roman" w:cs="Times New Roman"/>
          <w:bCs/>
          <w:sz w:val="24"/>
          <w:szCs w:val="24"/>
          <w:lang w:eastAsia="lv-LV"/>
        </w:rPr>
        <w:t xml:space="preserve"> gan citi normatīvie akti, kas jāievēro arī nodarbinot personas sadarbības ekonomikas ietvaros. Tas attiecas gan uz darba laiku, </w:t>
      </w:r>
      <w:r w:rsidR="007E6EAB" w:rsidRPr="00F93748">
        <w:rPr>
          <w:rFonts w:ascii="Times New Roman" w:eastAsia="Times New Roman" w:hAnsi="Times New Roman" w:cs="Times New Roman"/>
          <w:bCs/>
          <w:sz w:val="24"/>
          <w:szCs w:val="24"/>
          <w:lang w:eastAsia="lv-LV"/>
        </w:rPr>
        <w:t xml:space="preserve">darba </w:t>
      </w:r>
      <w:r w:rsidRPr="00F93748">
        <w:rPr>
          <w:rFonts w:ascii="Times New Roman" w:eastAsia="Times New Roman" w:hAnsi="Times New Roman" w:cs="Times New Roman"/>
          <w:bCs/>
          <w:sz w:val="24"/>
          <w:szCs w:val="24"/>
          <w:lang w:eastAsia="lv-LV"/>
        </w:rPr>
        <w:t>apstākļiem, darbinieku nosūtī</w:t>
      </w:r>
      <w:r w:rsidR="007E6EAB" w:rsidRPr="00F93748">
        <w:rPr>
          <w:rFonts w:ascii="Times New Roman" w:eastAsia="Times New Roman" w:hAnsi="Times New Roman" w:cs="Times New Roman"/>
          <w:bCs/>
          <w:sz w:val="24"/>
          <w:szCs w:val="24"/>
          <w:lang w:eastAsia="lv-LV"/>
        </w:rPr>
        <w:t>šanu</w:t>
      </w:r>
      <w:r w:rsidRPr="00F93748">
        <w:rPr>
          <w:rFonts w:ascii="Times New Roman" w:eastAsia="Times New Roman" w:hAnsi="Times New Roman" w:cs="Times New Roman"/>
          <w:bCs/>
          <w:sz w:val="24"/>
          <w:szCs w:val="24"/>
          <w:lang w:eastAsia="lv-LV"/>
        </w:rPr>
        <w:t xml:space="preserve"> un jebkurām citām prasībām</w:t>
      </w:r>
      <w:r w:rsidR="007E6EAB" w:rsidRPr="00F93748">
        <w:rPr>
          <w:rFonts w:ascii="Times New Roman" w:eastAsia="Times New Roman" w:hAnsi="Times New Roman" w:cs="Times New Roman"/>
          <w:bCs/>
          <w:sz w:val="24"/>
          <w:szCs w:val="24"/>
          <w:lang w:eastAsia="lv-LV"/>
        </w:rPr>
        <w:t xml:space="preserve"> darba tiesību jomā</w:t>
      </w:r>
      <w:r w:rsidR="00630DC1">
        <w:rPr>
          <w:rFonts w:ascii="Times New Roman" w:eastAsia="Times New Roman" w:hAnsi="Times New Roman" w:cs="Times New Roman"/>
          <w:bCs/>
          <w:sz w:val="24"/>
          <w:szCs w:val="24"/>
          <w:lang w:eastAsia="lv-LV"/>
        </w:rPr>
        <w:t>, līdz ar to uz s</w:t>
      </w:r>
      <w:r w:rsidRPr="00F93748">
        <w:rPr>
          <w:rFonts w:ascii="Times New Roman" w:eastAsia="Times New Roman" w:hAnsi="Times New Roman" w:cs="Times New Roman"/>
          <w:bCs/>
          <w:sz w:val="24"/>
          <w:szCs w:val="24"/>
          <w:lang w:eastAsia="lv-LV"/>
        </w:rPr>
        <w:t xml:space="preserve">adarbības </w:t>
      </w:r>
      <w:r w:rsidR="00630DC1" w:rsidRPr="00F93748">
        <w:rPr>
          <w:rFonts w:ascii="Times New Roman" w:eastAsia="Times New Roman" w:hAnsi="Times New Roman" w:cs="Times New Roman"/>
          <w:bCs/>
          <w:sz w:val="24"/>
          <w:szCs w:val="24"/>
          <w:lang w:eastAsia="lv-LV"/>
        </w:rPr>
        <w:t>ekonomik</w:t>
      </w:r>
      <w:r w:rsidR="00630DC1">
        <w:rPr>
          <w:rFonts w:ascii="Times New Roman" w:eastAsia="Times New Roman" w:hAnsi="Times New Roman" w:cs="Times New Roman"/>
          <w:bCs/>
          <w:sz w:val="24"/>
          <w:szCs w:val="24"/>
          <w:lang w:eastAsia="lv-LV"/>
        </w:rPr>
        <w:t xml:space="preserve">u attiecas šīs pašas normas. </w:t>
      </w:r>
      <w:r w:rsidR="00630DC1" w:rsidRPr="00F93748">
        <w:rPr>
          <w:rFonts w:ascii="Times New Roman" w:eastAsia="Times New Roman" w:hAnsi="Times New Roman" w:cs="Times New Roman"/>
          <w:bCs/>
          <w:sz w:val="24"/>
          <w:szCs w:val="24"/>
          <w:lang w:eastAsia="lv-LV"/>
        </w:rPr>
        <w:t xml:space="preserve"> </w:t>
      </w:r>
      <w:r w:rsidR="00630DC1">
        <w:rPr>
          <w:rFonts w:ascii="Times New Roman" w:eastAsia="Times New Roman" w:hAnsi="Times New Roman" w:cs="Times New Roman"/>
          <w:bCs/>
          <w:sz w:val="24"/>
          <w:szCs w:val="24"/>
          <w:lang w:eastAsia="lv-LV"/>
        </w:rPr>
        <w:t xml:space="preserve"> Ekonomikas ministrijas ieskatā i</w:t>
      </w:r>
      <w:r w:rsidRPr="00F93748">
        <w:rPr>
          <w:rFonts w:ascii="Times New Roman" w:eastAsia="Times New Roman" w:hAnsi="Times New Roman" w:cs="Times New Roman"/>
          <w:bCs/>
          <w:sz w:val="24"/>
          <w:szCs w:val="24"/>
          <w:lang w:eastAsia="lv-LV"/>
        </w:rPr>
        <w:t xml:space="preserve">zvērtējams ir jautājums par attālināto darbu, </w:t>
      </w:r>
      <w:r w:rsidR="008678DF" w:rsidRPr="00F93748">
        <w:rPr>
          <w:rFonts w:ascii="Times New Roman" w:eastAsia="Times New Roman" w:hAnsi="Times New Roman" w:cs="Times New Roman"/>
          <w:bCs/>
          <w:sz w:val="24"/>
          <w:szCs w:val="24"/>
          <w:lang w:eastAsia="lv-LV"/>
        </w:rPr>
        <w:t>tomēr</w:t>
      </w:r>
      <w:r w:rsidRPr="00F93748">
        <w:rPr>
          <w:rFonts w:ascii="Times New Roman" w:eastAsia="Times New Roman" w:hAnsi="Times New Roman" w:cs="Times New Roman"/>
          <w:bCs/>
          <w:sz w:val="24"/>
          <w:szCs w:val="24"/>
          <w:lang w:eastAsia="lv-LV"/>
        </w:rPr>
        <w:t xml:space="preserve"> šāds mūsdienīgs darba pienākumu veikšanas veids var tik</w:t>
      </w:r>
      <w:r w:rsidR="00AF67EE" w:rsidRPr="00F93748">
        <w:rPr>
          <w:rFonts w:ascii="Times New Roman" w:eastAsia="Times New Roman" w:hAnsi="Times New Roman" w:cs="Times New Roman"/>
          <w:bCs/>
          <w:sz w:val="24"/>
          <w:szCs w:val="24"/>
          <w:lang w:eastAsia="lv-LV"/>
        </w:rPr>
        <w:t>t</w:t>
      </w:r>
      <w:r w:rsidRPr="00F93748">
        <w:rPr>
          <w:rFonts w:ascii="Times New Roman" w:eastAsia="Times New Roman" w:hAnsi="Times New Roman" w:cs="Times New Roman"/>
          <w:bCs/>
          <w:sz w:val="24"/>
          <w:szCs w:val="24"/>
          <w:lang w:eastAsia="lv-LV"/>
        </w:rPr>
        <w:t xml:space="preserve"> izmantots arī tradicionālajā ekonomikā, tādēļ </w:t>
      </w:r>
      <w:r w:rsidR="001E680B" w:rsidRPr="00F93748">
        <w:rPr>
          <w:rFonts w:ascii="Times New Roman" w:eastAsia="Times New Roman" w:hAnsi="Times New Roman" w:cs="Times New Roman"/>
          <w:bCs/>
          <w:sz w:val="24"/>
          <w:szCs w:val="24"/>
          <w:lang w:eastAsia="lv-LV"/>
        </w:rPr>
        <w:t xml:space="preserve">šis jautājums </w:t>
      </w:r>
      <w:r w:rsidRPr="00F93748">
        <w:rPr>
          <w:rFonts w:ascii="Times New Roman" w:eastAsia="Times New Roman" w:hAnsi="Times New Roman" w:cs="Times New Roman"/>
          <w:bCs/>
          <w:sz w:val="24"/>
          <w:szCs w:val="24"/>
          <w:lang w:eastAsia="lv-LV"/>
        </w:rPr>
        <w:t>nav skatām</w:t>
      </w:r>
      <w:r w:rsidR="008678DF" w:rsidRPr="00F93748">
        <w:rPr>
          <w:rFonts w:ascii="Times New Roman" w:eastAsia="Times New Roman" w:hAnsi="Times New Roman" w:cs="Times New Roman"/>
          <w:bCs/>
          <w:sz w:val="24"/>
          <w:szCs w:val="24"/>
          <w:lang w:eastAsia="lv-LV"/>
        </w:rPr>
        <w:t>s</w:t>
      </w:r>
      <w:r w:rsidRPr="00F93748">
        <w:rPr>
          <w:rFonts w:ascii="Times New Roman" w:eastAsia="Times New Roman" w:hAnsi="Times New Roman" w:cs="Times New Roman"/>
          <w:bCs/>
          <w:sz w:val="24"/>
          <w:szCs w:val="24"/>
          <w:lang w:eastAsia="lv-LV"/>
        </w:rPr>
        <w:t xml:space="preserve"> atrauti no darba tiesību vispārējā regulējuma.</w:t>
      </w:r>
      <w:r w:rsidR="001E680B" w:rsidRPr="00F93748">
        <w:rPr>
          <w:rFonts w:ascii="Times New Roman" w:eastAsia="Times New Roman" w:hAnsi="Times New Roman" w:cs="Times New Roman"/>
          <w:bCs/>
          <w:sz w:val="24"/>
          <w:szCs w:val="24"/>
          <w:lang w:eastAsia="lv-LV"/>
        </w:rPr>
        <w:t xml:space="preserve"> </w:t>
      </w:r>
    </w:p>
    <w:p w14:paraId="036DBE82" w14:textId="21736D29" w:rsidR="002C6B98" w:rsidRPr="00C50AD8" w:rsidRDefault="002C6B98" w:rsidP="002C6B98">
      <w:pPr>
        <w:spacing w:after="0" w:line="240" w:lineRule="auto"/>
        <w:jc w:val="both"/>
        <w:rPr>
          <w:rFonts w:ascii="Times New Roman" w:eastAsia="Times New Roman" w:hAnsi="Times New Roman" w:cs="Times New Roman"/>
          <w:bCs/>
          <w:sz w:val="28"/>
          <w:szCs w:val="28"/>
          <w:lang w:eastAsia="lv-LV"/>
        </w:rPr>
      </w:pPr>
    </w:p>
    <w:p w14:paraId="0CED2B3E" w14:textId="7E68FA03" w:rsidR="009C5D97" w:rsidRPr="00F93748" w:rsidRDefault="009C5D97" w:rsidP="001E680B">
      <w:pPr>
        <w:spacing w:after="0" w:line="240" w:lineRule="auto"/>
        <w:rPr>
          <w:rFonts w:ascii="Times New Roman" w:eastAsia="Times New Roman" w:hAnsi="Times New Roman" w:cs="Times New Roman"/>
          <w:b/>
          <w:bCs/>
          <w:sz w:val="24"/>
          <w:szCs w:val="24"/>
          <w:u w:val="single"/>
          <w:lang w:eastAsia="lv-LV"/>
        </w:rPr>
      </w:pPr>
      <w:r w:rsidRPr="00F93748">
        <w:rPr>
          <w:rFonts w:ascii="Times New Roman" w:eastAsia="Times New Roman" w:hAnsi="Times New Roman" w:cs="Times New Roman"/>
          <w:b/>
          <w:bCs/>
          <w:sz w:val="24"/>
          <w:szCs w:val="24"/>
          <w:u w:val="single"/>
          <w:lang w:eastAsia="lv-LV"/>
        </w:rPr>
        <w:t>Nodokļu nomaksa</w:t>
      </w:r>
    </w:p>
    <w:p w14:paraId="297C705F" w14:textId="77777777" w:rsidR="00E65AD9" w:rsidRPr="00C50AD8" w:rsidRDefault="00E65AD9" w:rsidP="009C5D97">
      <w:pPr>
        <w:spacing w:after="0" w:line="240" w:lineRule="auto"/>
        <w:ind w:firstLine="709"/>
        <w:jc w:val="both"/>
        <w:rPr>
          <w:rFonts w:ascii="Times New Roman" w:eastAsia="Times New Roman" w:hAnsi="Times New Roman" w:cs="Times New Roman"/>
          <w:bCs/>
          <w:sz w:val="28"/>
          <w:szCs w:val="28"/>
          <w:lang w:eastAsia="lv-LV"/>
        </w:rPr>
      </w:pPr>
    </w:p>
    <w:p w14:paraId="08A9F6B8" w14:textId="7D030C1C" w:rsidR="00E65AD9" w:rsidRPr="00F93748" w:rsidRDefault="009C5D97" w:rsidP="00E65AD9">
      <w:pPr>
        <w:spacing w:after="0" w:line="240" w:lineRule="auto"/>
        <w:ind w:firstLine="709"/>
        <w:jc w:val="both"/>
        <w:rPr>
          <w:rFonts w:ascii="Times New Roman" w:eastAsia="Times New Roman" w:hAnsi="Times New Roman" w:cs="Times New Roman"/>
          <w:b/>
          <w:bCs/>
          <w:i/>
          <w:sz w:val="24"/>
          <w:szCs w:val="24"/>
          <w:lang w:eastAsia="lv-LV"/>
        </w:rPr>
      </w:pPr>
      <w:r w:rsidRPr="00F93748">
        <w:rPr>
          <w:rFonts w:ascii="Times New Roman" w:eastAsia="Times New Roman" w:hAnsi="Times New Roman" w:cs="Times New Roman"/>
          <w:bCs/>
          <w:sz w:val="24"/>
          <w:szCs w:val="24"/>
          <w:lang w:eastAsia="lv-LV"/>
        </w:rPr>
        <w:t xml:space="preserve">Attiecībā uz </w:t>
      </w:r>
      <w:r w:rsidRPr="007A3290">
        <w:rPr>
          <w:rFonts w:ascii="Times New Roman" w:eastAsia="Times New Roman" w:hAnsi="Times New Roman" w:cs="Times New Roman"/>
          <w:b/>
          <w:bCs/>
          <w:sz w:val="24"/>
          <w:szCs w:val="24"/>
          <w:lang w:eastAsia="lv-LV"/>
        </w:rPr>
        <w:t xml:space="preserve">nodokļu nomaksu nepastāv </w:t>
      </w:r>
      <w:r w:rsidR="00EB455E" w:rsidRPr="007A3290">
        <w:rPr>
          <w:rFonts w:ascii="Times New Roman" w:eastAsia="Times New Roman" w:hAnsi="Times New Roman" w:cs="Times New Roman"/>
          <w:b/>
          <w:bCs/>
          <w:sz w:val="24"/>
          <w:szCs w:val="24"/>
          <w:lang w:eastAsia="lv-LV"/>
        </w:rPr>
        <w:t xml:space="preserve">īpašs </w:t>
      </w:r>
      <w:r w:rsidRPr="007A3290">
        <w:rPr>
          <w:rFonts w:ascii="Times New Roman" w:eastAsia="Times New Roman" w:hAnsi="Times New Roman" w:cs="Times New Roman"/>
          <w:b/>
          <w:bCs/>
          <w:sz w:val="24"/>
          <w:szCs w:val="24"/>
          <w:lang w:eastAsia="lv-LV"/>
        </w:rPr>
        <w:t xml:space="preserve">nodokļu regulējums </w:t>
      </w:r>
      <w:r w:rsidR="00404EDA" w:rsidRPr="007A3290">
        <w:rPr>
          <w:rFonts w:ascii="Times New Roman" w:eastAsia="Times New Roman" w:hAnsi="Times New Roman" w:cs="Times New Roman"/>
          <w:b/>
          <w:bCs/>
          <w:sz w:val="24"/>
          <w:szCs w:val="24"/>
          <w:lang w:eastAsia="lv-LV"/>
        </w:rPr>
        <w:t xml:space="preserve">sadarbības </w:t>
      </w:r>
      <w:r w:rsidRPr="007A3290">
        <w:rPr>
          <w:rFonts w:ascii="Times New Roman" w:eastAsia="Times New Roman" w:hAnsi="Times New Roman" w:cs="Times New Roman"/>
          <w:b/>
          <w:bCs/>
          <w:sz w:val="24"/>
          <w:szCs w:val="24"/>
          <w:lang w:eastAsia="lv-LV"/>
        </w:rPr>
        <w:t>ekonomikā iesaistītām personām.</w:t>
      </w:r>
      <w:r w:rsidRPr="00F93748">
        <w:rPr>
          <w:rFonts w:ascii="Times New Roman" w:eastAsia="Times New Roman" w:hAnsi="Times New Roman" w:cs="Times New Roman"/>
          <w:bCs/>
          <w:sz w:val="24"/>
          <w:szCs w:val="24"/>
          <w:lang w:eastAsia="lv-LV"/>
        </w:rPr>
        <w:t xml:space="preserve"> </w:t>
      </w:r>
      <w:r w:rsidRPr="007A3290">
        <w:rPr>
          <w:rFonts w:ascii="Times New Roman" w:eastAsia="Times New Roman" w:hAnsi="Times New Roman" w:cs="Times New Roman"/>
          <w:bCs/>
          <w:sz w:val="24"/>
          <w:szCs w:val="24"/>
          <w:lang w:eastAsia="lv-LV"/>
        </w:rPr>
        <w:t xml:space="preserve">Gan </w:t>
      </w:r>
      <w:r w:rsidR="00964BCE">
        <w:rPr>
          <w:rFonts w:ascii="Times New Roman" w:eastAsia="Times New Roman" w:hAnsi="Times New Roman" w:cs="Times New Roman"/>
          <w:bCs/>
          <w:sz w:val="24"/>
          <w:szCs w:val="24"/>
          <w:lang w:eastAsia="lv-LV"/>
        </w:rPr>
        <w:t>juridiskām personām</w:t>
      </w:r>
      <w:r w:rsidRPr="007A3290">
        <w:rPr>
          <w:rFonts w:ascii="Times New Roman" w:eastAsia="Times New Roman" w:hAnsi="Times New Roman" w:cs="Times New Roman"/>
          <w:bCs/>
          <w:sz w:val="24"/>
          <w:szCs w:val="24"/>
          <w:lang w:eastAsia="lv-LV"/>
        </w:rPr>
        <w:t xml:space="preserve">, gan fiziskām personām, kuras piedalās </w:t>
      </w:r>
      <w:r w:rsidR="00404EDA" w:rsidRPr="007A3290">
        <w:rPr>
          <w:rFonts w:ascii="Times New Roman" w:eastAsia="Times New Roman" w:hAnsi="Times New Roman" w:cs="Times New Roman"/>
          <w:bCs/>
          <w:sz w:val="24"/>
          <w:szCs w:val="24"/>
          <w:lang w:eastAsia="lv-LV"/>
        </w:rPr>
        <w:t xml:space="preserve">sadarbības </w:t>
      </w:r>
      <w:r w:rsidRPr="007A3290">
        <w:rPr>
          <w:rFonts w:ascii="Times New Roman" w:eastAsia="Times New Roman" w:hAnsi="Times New Roman" w:cs="Times New Roman"/>
          <w:bCs/>
          <w:sz w:val="24"/>
          <w:szCs w:val="24"/>
          <w:lang w:eastAsia="lv-LV"/>
        </w:rPr>
        <w:t xml:space="preserve">ekonomikā, </w:t>
      </w:r>
      <w:r w:rsidRPr="007A3290">
        <w:rPr>
          <w:rFonts w:ascii="Times New Roman" w:eastAsia="Times New Roman" w:hAnsi="Times New Roman" w:cs="Times New Roman"/>
          <w:b/>
          <w:bCs/>
          <w:sz w:val="24"/>
          <w:szCs w:val="24"/>
          <w:lang w:eastAsia="lv-LV"/>
        </w:rPr>
        <w:t xml:space="preserve">ir jāmaksā nodokļi atbilstoši </w:t>
      </w:r>
      <w:r w:rsidR="00AF67EE" w:rsidRPr="007A3290">
        <w:rPr>
          <w:rFonts w:ascii="Times New Roman" w:eastAsia="Times New Roman" w:hAnsi="Times New Roman" w:cs="Times New Roman"/>
          <w:b/>
          <w:bCs/>
          <w:sz w:val="24"/>
          <w:szCs w:val="24"/>
          <w:lang w:eastAsia="lv-LV"/>
        </w:rPr>
        <w:t>esošajiem normatīvajiem aktiem</w:t>
      </w:r>
      <w:r w:rsidR="00AF67EE" w:rsidRPr="00F93748">
        <w:rPr>
          <w:rFonts w:ascii="Times New Roman" w:eastAsia="Times New Roman" w:hAnsi="Times New Roman" w:cs="Times New Roman"/>
          <w:bCs/>
          <w:sz w:val="24"/>
          <w:szCs w:val="24"/>
          <w:lang w:eastAsia="lv-LV"/>
        </w:rPr>
        <w:t xml:space="preserve"> </w:t>
      </w:r>
      <w:r w:rsidRPr="00F93748">
        <w:rPr>
          <w:rFonts w:ascii="Times New Roman" w:eastAsia="Times New Roman" w:hAnsi="Times New Roman" w:cs="Times New Roman"/>
          <w:bCs/>
          <w:sz w:val="24"/>
          <w:szCs w:val="24"/>
          <w:lang w:eastAsia="lv-LV"/>
        </w:rPr>
        <w:t xml:space="preserve">nodokļu </w:t>
      </w:r>
      <w:r w:rsidR="00AF67EE" w:rsidRPr="00F93748">
        <w:rPr>
          <w:rFonts w:ascii="Times New Roman" w:eastAsia="Times New Roman" w:hAnsi="Times New Roman" w:cs="Times New Roman"/>
          <w:bCs/>
          <w:sz w:val="24"/>
          <w:szCs w:val="24"/>
          <w:lang w:eastAsia="lv-LV"/>
        </w:rPr>
        <w:t>tiesību jomā</w:t>
      </w:r>
      <w:r w:rsidR="00E65AD9" w:rsidRPr="00F93748">
        <w:rPr>
          <w:rFonts w:ascii="Times New Roman" w:eastAsia="Times New Roman" w:hAnsi="Times New Roman" w:cs="Times New Roman"/>
          <w:bCs/>
          <w:sz w:val="24"/>
          <w:szCs w:val="24"/>
          <w:lang w:eastAsia="lv-LV"/>
        </w:rPr>
        <w:t>.</w:t>
      </w:r>
    </w:p>
    <w:p w14:paraId="079A52DC" w14:textId="15E62423" w:rsidR="009C5D97" w:rsidRPr="00F93748" w:rsidRDefault="009C5D97" w:rsidP="00E65AD9">
      <w:pPr>
        <w:spacing w:after="0" w:line="240" w:lineRule="auto"/>
        <w:ind w:firstLine="709"/>
        <w:jc w:val="both"/>
        <w:rPr>
          <w:rFonts w:ascii="Times New Roman" w:eastAsia="Times New Roman" w:hAnsi="Times New Roman" w:cs="Times New Roman"/>
          <w:b/>
          <w:bCs/>
          <w:i/>
          <w:sz w:val="24"/>
          <w:szCs w:val="24"/>
          <w:lang w:eastAsia="lv-LV"/>
        </w:rPr>
      </w:pPr>
      <w:r w:rsidRPr="00F93748">
        <w:rPr>
          <w:rFonts w:ascii="Times New Roman" w:eastAsia="Times New Roman" w:hAnsi="Times New Roman" w:cs="Times New Roman"/>
          <w:bCs/>
          <w:sz w:val="24"/>
          <w:szCs w:val="24"/>
          <w:lang w:eastAsia="lv-LV"/>
        </w:rPr>
        <w:t xml:space="preserve">Piemēram, </w:t>
      </w:r>
      <w:r w:rsidR="00964BCE">
        <w:rPr>
          <w:rFonts w:ascii="Times New Roman" w:eastAsia="Times New Roman" w:hAnsi="Times New Roman" w:cs="Times New Roman"/>
          <w:bCs/>
          <w:sz w:val="24"/>
          <w:szCs w:val="24"/>
          <w:lang w:eastAsia="lv-LV"/>
        </w:rPr>
        <w:t>komersanti</w:t>
      </w:r>
      <w:r w:rsidRPr="00F93748">
        <w:rPr>
          <w:rFonts w:ascii="Times New Roman" w:eastAsia="Times New Roman" w:hAnsi="Times New Roman" w:cs="Times New Roman"/>
          <w:bCs/>
          <w:sz w:val="24"/>
          <w:szCs w:val="24"/>
          <w:lang w:eastAsia="lv-LV"/>
        </w:rPr>
        <w:t xml:space="preserve">, </w:t>
      </w:r>
      <w:r w:rsidR="00AF67EE" w:rsidRPr="00F93748">
        <w:rPr>
          <w:rFonts w:ascii="Times New Roman" w:eastAsia="Times New Roman" w:hAnsi="Times New Roman" w:cs="Times New Roman"/>
          <w:bCs/>
          <w:sz w:val="24"/>
          <w:szCs w:val="24"/>
          <w:lang w:eastAsia="lv-LV"/>
        </w:rPr>
        <w:t xml:space="preserve">kas </w:t>
      </w:r>
      <w:r w:rsidRPr="00F93748">
        <w:rPr>
          <w:rFonts w:ascii="Times New Roman" w:eastAsia="Times New Roman" w:hAnsi="Times New Roman" w:cs="Times New Roman"/>
          <w:bCs/>
          <w:sz w:val="24"/>
          <w:szCs w:val="24"/>
          <w:lang w:eastAsia="lv-LV"/>
        </w:rPr>
        <w:t>sniedz vieglo pasažieru pārvadājumu pakalpojumus, var būt mikrouzņēmumu nodokļa (</w:t>
      </w:r>
      <w:r w:rsidR="00E65AD9" w:rsidRPr="00F93748">
        <w:rPr>
          <w:rFonts w:ascii="Times New Roman" w:eastAsia="Times New Roman" w:hAnsi="Times New Roman" w:cs="Times New Roman"/>
          <w:bCs/>
          <w:sz w:val="24"/>
          <w:szCs w:val="24"/>
          <w:lang w:eastAsia="lv-LV"/>
        </w:rPr>
        <w:t xml:space="preserve">turpmāk </w:t>
      </w:r>
      <w:bookmarkStart w:id="13" w:name="_Hlk520817239"/>
      <w:r w:rsidR="00AF67EE" w:rsidRPr="00F93748">
        <w:rPr>
          <w:rFonts w:ascii="Times New Roman" w:eastAsia="Times New Roman" w:hAnsi="Times New Roman" w:cs="Times New Roman"/>
          <w:bCs/>
          <w:sz w:val="24"/>
          <w:szCs w:val="24"/>
          <w:lang w:eastAsia="lv-LV"/>
        </w:rPr>
        <w:t>–</w:t>
      </w:r>
      <w:bookmarkEnd w:id="13"/>
      <w:r w:rsidR="00AF67EE" w:rsidRPr="00F93748">
        <w:rPr>
          <w:rFonts w:ascii="Times New Roman" w:eastAsia="Times New Roman" w:hAnsi="Times New Roman" w:cs="Times New Roman"/>
          <w:bCs/>
          <w:sz w:val="24"/>
          <w:szCs w:val="24"/>
          <w:lang w:eastAsia="lv-LV"/>
        </w:rPr>
        <w:t xml:space="preserve"> </w:t>
      </w:r>
      <w:r w:rsidRPr="00F93748">
        <w:rPr>
          <w:rFonts w:ascii="Times New Roman" w:eastAsia="Times New Roman" w:hAnsi="Times New Roman" w:cs="Times New Roman"/>
          <w:bCs/>
          <w:sz w:val="24"/>
          <w:szCs w:val="24"/>
          <w:lang w:eastAsia="lv-LV"/>
        </w:rPr>
        <w:t>MUN) maksātāji, ja tie atbilst noteiktiem kritērijiem (apgrozījums zem 40 tūkst.</w:t>
      </w:r>
      <w:r w:rsidR="007B4781" w:rsidRPr="00F93748">
        <w:rPr>
          <w:rFonts w:ascii="Times New Roman" w:eastAsia="Times New Roman" w:hAnsi="Times New Roman" w:cs="Times New Roman"/>
          <w:bCs/>
          <w:sz w:val="24"/>
          <w:szCs w:val="24"/>
          <w:lang w:eastAsia="lv-LV"/>
        </w:rPr>
        <w:t xml:space="preserve"> </w:t>
      </w:r>
      <w:r w:rsidRPr="00F93748">
        <w:rPr>
          <w:rFonts w:ascii="Times New Roman" w:eastAsia="Times New Roman" w:hAnsi="Times New Roman" w:cs="Times New Roman"/>
          <w:bCs/>
          <w:sz w:val="24"/>
          <w:szCs w:val="24"/>
          <w:lang w:eastAsia="lv-LV"/>
        </w:rPr>
        <w:t xml:space="preserve">EUR, </w:t>
      </w:r>
      <w:r w:rsidR="007B4781" w:rsidRPr="00F93748">
        <w:rPr>
          <w:rFonts w:ascii="Times New Roman" w:eastAsia="Times New Roman" w:hAnsi="Times New Roman" w:cs="Times New Roman"/>
          <w:bCs/>
          <w:sz w:val="24"/>
          <w:szCs w:val="24"/>
          <w:lang w:eastAsia="lv-LV"/>
        </w:rPr>
        <w:t xml:space="preserve">nodarbināti </w:t>
      </w:r>
      <w:r w:rsidRPr="00F93748">
        <w:rPr>
          <w:rFonts w:ascii="Times New Roman" w:eastAsia="Times New Roman" w:hAnsi="Times New Roman" w:cs="Times New Roman"/>
          <w:bCs/>
          <w:sz w:val="24"/>
          <w:szCs w:val="24"/>
          <w:lang w:eastAsia="lv-LV"/>
        </w:rPr>
        <w:t xml:space="preserve">ne vairāk par 5 darbiniekiem, alga zem 720 </w:t>
      </w:r>
      <w:r w:rsidR="00D52E80" w:rsidRPr="00F93748">
        <w:rPr>
          <w:rFonts w:ascii="Times New Roman" w:eastAsia="Times New Roman" w:hAnsi="Times New Roman" w:cs="Times New Roman"/>
          <w:bCs/>
          <w:sz w:val="24"/>
          <w:szCs w:val="24"/>
          <w:lang w:eastAsia="lv-LV"/>
        </w:rPr>
        <w:t xml:space="preserve">EUR </w:t>
      </w:r>
      <w:r w:rsidRPr="00F93748">
        <w:rPr>
          <w:rFonts w:ascii="Times New Roman" w:eastAsia="Times New Roman" w:hAnsi="Times New Roman" w:cs="Times New Roman"/>
          <w:bCs/>
          <w:sz w:val="24"/>
          <w:szCs w:val="24"/>
          <w:lang w:eastAsia="lv-LV"/>
        </w:rPr>
        <w:t>mēnesī u</w:t>
      </w:r>
      <w:r w:rsidR="007B4781" w:rsidRPr="00F93748">
        <w:rPr>
          <w:rFonts w:ascii="Times New Roman" w:eastAsia="Times New Roman" w:hAnsi="Times New Roman" w:cs="Times New Roman"/>
          <w:bCs/>
          <w:sz w:val="24"/>
          <w:szCs w:val="24"/>
          <w:lang w:eastAsia="lv-LV"/>
        </w:rPr>
        <w:t>.</w:t>
      </w:r>
      <w:r w:rsidRPr="00F93748">
        <w:rPr>
          <w:rFonts w:ascii="Times New Roman" w:eastAsia="Times New Roman" w:hAnsi="Times New Roman" w:cs="Times New Roman"/>
          <w:bCs/>
          <w:sz w:val="24"/>
          <w:szCs w:val="24"/>
          <w:lang w:eastAsia="lv-LV"/>
        </w:rPr>
        <w:t xml:space="preserve">c.) vai tie maksā nodokļus vispārējā režīmā (uzņēmumu ienākumu nodokli, </w:t>
      </w:r>
      <w:r w:rsidR="0099360B" w:rsidRPr="00F93748">
        <w:rPr>
          <w:rFonts w:ascii="Times New Roman" w:eastAsia="Times New Roman" w:hAnsi="Times New Roman" w:cs="Times New Roman"/>
          <w:bCs/>
          <w:sz w:val="24"/>
          <w:szCs w:val="24"/>
          <w:lang w:eastAsia="lv-LV"/>
        </w:rPr>
        <w:t>pievienotās vērt</w:t>
      </w:r>
      <w:r w:rsidR="00484824" w:rsidRPr="00F93748">
        <w:rPr>
          <w:rFonts w:ascii="Times New Roman" w:eastAsia="Times New Roman" w:hAnsi="Times New Roman" w:cs="Times New Roman"/>
          <w:bCs/>
          <w:sz w:val="24"/>
          <w:szCs w:val="24"/>
          <w:lang w:eastAsia="lv-LV"/>
        </w:rPr>
        <w:t>ības nodokli</w:t>
      </w:r>
      <w:r w:rsidRPr="00F93748">
        <w:rPr>
          <w:rFonts w:ascii="Times New Roman" w:eastAsia="Times New Roman" w:hAnsi="Times New Roman" w:cs="Times New Roman"/>
          <w:bCs/>
          <w:sz w:val="24"/>
          <w:szCs w:val="24"/>
          <w:lang w:eastAsia="lv-LV"/>
        </w:rPr>
        <w:t>, darbaspēka nodokļus). Arī uzņēmumi, kuri sniedz viesu izmitināšanas pakalpojumus</w:t>
      </w:r>
      <w:r w:rsidR="007B4781" w:rsidRPr="00F93748">
        <w:rPr>
          <w:rFonts w:ascii="Times New Roman" w:eastAsia="Times New Roman" w:hAnsi="Times New Roman" w:cs="Times New Roman"/>
          <w:bCs/>
          <w:sz w:val="24"/>
          <w:szCs w:val="24"/>
          <w:lang w:eastAsia="lv-LV"/>
        </w:rPr>
        <w:t>,</w:t>
      </w:r>
      <w:r w:rsidRPr="00F93748">
        <w:rPr>
          <w:rFonts w:ascii="Times New Roman" w:eastAsia="Times New Roman" w:hAnsi="Times New Roman" w:cs="Times New Roman"/>
          <w:bCs/>
          <w:sz w:val="24"/>
          <w:szCs w:val="24"/>
          <w:lang w:eastAsia="lv-LV"/>
        </w:rPr>
        <w:t xml:space="preserve"> var darboties MUN režīmā vai vispārējā režīmā. </w:t>
      </w:r>
      <w:r w:rsidR="00D56273" w:rsidRPr="00F93748">
        <w:rPr>
          <w:rFonts w:ascii="Times New Roman" w:eastAsia="Times New Roman" w:hAnsi="Times New Roman" w:cs="Times New Roman"/>
          <w:bCs/>
          <w:sz w:val="24"/>
          <w:szCs w:val="24"/>
          <w:lang w:eastAsia="lv-LV"/>
        </w:rPr>
        <w:t xml:space="preserve">Personām, kuru saimnieciskās darbības ienākumi pārsniedz 40 tūkst. EUR, jāreģistrējas par </w:t>
      </w:r>
      <w:r w:rsidR="00484824" w:rsidRPr="00F93748">
        <w:rPr>
          <w:rFonts w:ascii="Times New Roman" w:eastAsia="Times New Roman" w:hAnsi="Times New Roman" w:cs="Times New Roman"/>
          <w:bCs/>
          <w:sz w:val="24"/>
          <w:szCs w:val="24"/>
          <w:lang w:eastAsia="lv-LV"/>
        </w:rPr>
        <w:t xml:space="preserve">pievienotās vērtības nodokļa </w:t>
      </w:r>
      <w:r w:rsidR="00D56273" w:rsidRPr="00F93748">
        <w:rPr>
          <w:rFonts w:ascii="Times New Roman" w:eastAsia="Times New Roman" w:hAnsi="Times New Roman" w:cs="Times New Roman"/>
          <w:bCs/>
          <w:sz w:val="24"/>
          <w:szCs w:val="24"/>
          <w:lang w:eastAsia="lv-LV"/>
        </w:rPr>
        <w:t xml:space="preserve">maksātājiem. Tātad nelielie </w:t>
      </w:r>
      <w:r w:rsidR="00DD3A5E">
        <w:rPr>
          <w:rFonts w:ascii="Times New Roman" w:eastAsia="Times New Roman" w:hAnsi="Times New Roman" w:cs="Times New Roman"/>
          <w:bCs/>
          <w:sz w:val="24"/>
          <w:szCs w:val="24"/>
          <w:lang w:eastAsia="lv-LV"/>
        </w:rPr>
        <w:t>komersanti</w:t>
      </w:r>
      <w:r w:rsidR="00DD3A5E" w:rsidRPr="00964BCE">
        <w:rPr>
          <w:rFonts w:ascii="Times New Roman" w:eastAsia="Times New Roman" w:hAnsi="Times New Roman" w:cs="Times New Roman"/>
          <w:bCs/>
          <w:sz w:val="24"/>
          <w:szCs w:val="24"/>
          <w:lang w:eastAsia="lv-LV"/>
        </w:rPr>
        <w:t xml:space="preserve"> </w:t>
      </w:r>
      <w:r w:rsidR="00964BCE">
        <w:rPr>
          <w:rFonts w:ascii="Times New Roman" w:eastAsia="Times New Roman" w:hAnsi="Times New Roman" w:cs="Times New Roman"/>
          <w:bCs/>
          <w:sz w:val="24"/>
          <w:szCs w:val="24"/>
          <w:lang w:eastAsia="lv-LV"/>
        </w:rPr>
        <w:t>(</w:t>
      </w:r>
      <w:r w:rsidR="00192391">
        <w:rPr>
          <w:rFonts w:ascii="Times New Roman" w:eastAsia="Times New Roman" w:hAnsi="Times New Roman" w:cs="Times New Roman"/>
          <w:bCs/>
          <w:sz w:val="24"/>
          <w:szCs w:val="24"/>
          <w:lang w:eastAsia="lv-LV"/>
        </w:rPr>
        <w:t xml:space="preserve">vai </w:t>
      </w:r>
      <w:r w:rsidR="00964BCE">
        <w:rPr>
          <w:rFonts w:ascii="Times New Roman" w:eastAsia="Times New Roman" w:hAnsi="Times New Roman" w:cs="Times New Roman"/>
          <w:bCs/>
          <w:sz w:val="24"/>
          <w:szCs w:val="24"/>
          <w:lang w:eastAsia="lv-LV"/>
        </w:rPr>
        <w:t xml:space="preserve">arī </w:t>
      </w:r>
      <w:r w:rsidR="00964BCE" w:rsidRPr="00F93748">
        <w:rPr>
          <w:rFonts w:ascii="Times New Roman" w:eastAsia="Times New Roman" w:hAnsi="Times New Roman" w:cs="Times New Roman"/>
          <w:bCs/>
          <w:sz w:val="24"/>
          <w:szCs w:val="24"/>
          <w:lang w:eastAsia="lv-LV"/>
        </w:rPr>
        <w:t>fiziskās personas</w:t>
      </w:r>
      <w:r w:rsidR="00964BCE">
        <w:rPr>
          <w:rFonts w:ascii="Times New Roman" w:eastAsia="Times New Roman" w:hAnsi="Times New Roman" w:cs="Times New Roman"/>
          <w:bCs/>
          <w:sz w:val="24"/>
          <w:szCs w:val="24"/>
          <w:lang w:eastAsia="lv-LV"/>
        </w:rPr>
        <w:t xml:space="preserve"> – saimnieciskās darbības veicēji)</w:t>
      </w:r>
      <w:r w:rsidR="00D56273" w:rsidRPr="00F93748">
        <w:rPr>
          <w:rFonts w:ascii="Times New Roman" w:eastAsia="Times New Roman" w:hAnsi="Times New Roman" w:cs="Times New Roman"/>
          <w:bCs/>
          <w:sz w:val="24"/>
          <w:szCs w:val="24"/>
          <w:lang w:eastAsia="lv-LV"/>
        </w:rPr>
        <w:t>, kuri sniedz pakalpojumus līdz 40 tūkst.</w:t>
      </w:r>
      <w:r w:rsidR="007B4781" w:rsidRPr="00F93748">
        <w:rPr>
          <w:rFonts w:ascii="Times New Roman" w:eastAsia="Times New Roman" w:hAnsi="Times New Roman" w:cs="Times New Roman"/>
          <w:bCs/>
          <w:sz w:val="24"/>
          <w:szCs w:val="24"/>
          <w:lang w:eastAsia="lv-LV"/>
        </w:rPr>
        <w:t xml:space="preserve"> </w:t>
      </w:r>
      <w:r w:rsidR="00D56273" w:rsidRPr="00F93748">
        <w:rPr>
          <w:rFonts w:ascii="Times New Roman" w:eastAsia="Times New Roman" w:hAnsi="Times New Roman" w:cs="Times New Roman"/>
          <w:bCs/>
          <w:sz w:val="24"/>
          <w:szCs w:val="24"/>
          <w:lang w:eastAsia="lv-LV"/>
        </w:rPr>
        <w:t>EUR</w:t>
      </w:r>
      <w:r w:rsidR="007B4781" w:rsidRPr="00F93748">
        <w:rPr>
          <w:rFonts w:ascii="Times New Roman" w:eastAsia="Times New Roman" w:hAnsi="Times New Roman" w:cs="Times New Roman"/>
          <w:bCs/>
          <w:sz w:val="24"/>
          <w:szCs w:val="24"/>
          <w:lang w:eastAsia="lv-LV"/>
        </w:rPr>
        <w:t>,</w:t>
      </w:r>
      <w:r w:rsidR="00D56273" w:rsidRPr="00F93748">
        <w:rPr>
          <w:rFonts w:ascii="Times New Roman" w:eastAsia="Times New Roman" w:hAnsi="Times New Roman" w:cs="Times New Roman"/>
          <w:bCs/>
          <w:sz w:val="24"/>
          <w:szCs w:val="24"/>
          <w:lang w:eastAsia="lv-LV"/>
        </w:rPr>
        <w:t xml:space="preserve"> var nereģistrēties kā PVN maksātāji.</w:t>
      </w:r>
    </w:p>
    <w:p w14:paraId="429F19C4" w14:textId="39051FE4" w:rsidR="002E7DC8" w:rsidRDefault="00375DB0" w:rsidP="00E0004D">
      <w:pPr>
        <w:spacing w:after="0" w:line="240" w:lineRule="auto"/>
        <w:ind w:firstLine="709"/>
        <w:jc w:val="both"/>
        <w:rPr>
          <w:rFonts w:ascii="Times New Roman" w:eastAsia="Times New Roman" w:hAnsi="Times New Roman" w:cs="Times New Roman"/>
          <w:bCs/>
          <w:sz w:val="24"/>
          <w:szCs w:val="24"/>
          <w:lang w:eastAsia="lv-LV"/>
        </w:rPr>
      </w:pPr>
      <w:bookmarkStart w:id="14" w:name="_Hlk520281337"/>
      <w:r w:rsidRPr="00F93748">
        <w:rPr>
          <w:rFonts w:ascii="Times New Roman" w:eastAsia="Times New Roman" w:hAnsi="Times New Roman" w:cs="Times New Roman"/>
          <w:bCs/>
          <w:sz w:val="24"/>
          <w:szCs w:val="24"/>
          <w:lang w:eastAsia="lv-LV"/>
        </w:rPr>
        <w:t>F</w:t>
      </w:r>
      <w:r w:rsidR="009C5D97" w:rsidRPr="00F93748">
        <w:rPr>
          <w:rFonts w:ascii="Times New Roman" w:eastAsia="Times New Roman" w:hAnsi="Times New Roman" w:cs="Times New Roman"/>
          <w:bCs/>
          <w:sz w:val="24"/>
          <w:szCs w:val="24"/>
          <w:lang w:eastAsia="lv-LV"/>
        </w:rPr>
        <w:t>iziskās</w:t>
      </w:r>
      <w:r w:rsidRPr="00F93748">
        <w:rPr>
          <w:rFonts w:ascii="Times New Roman" w:eastAsia="Times New Roman" w:hAnsi="Times New Roman" w:cs="Times New Roman"/>
          <w:bCs/>
          <w:sz w:val="24"/>
          <w:szCs w:val="24"/>
          <w:lang w:eastAsia="lv-LV"/>
        </w:rPr>
        <w:t xml:space="preserve"> </w:t>
      </w:r>
      <w:r w:rsidR="009C5D97" w:rsidRPr="00F93748">
        <w:rPr>
          <w:rFonts w:ascii="Times New Roman" w:eastAsia="Times New Roman" w:hAnsi="Times New Roman" w:cs="Times New Roman"/>
          <w:bCs/>
          <w:sz w:val="24"/>
          <w:szCs w:val="24"/>
          <w:lang w:eastAsia="lv-LV"/>
        </w:rPr>
        <w:t xml:space="preserve">personas </w:t>
      </w:r>
      <w:bookmarkEnd w:id="14"/>
      <w:r w:rsidR="009C5D97" w:rsidRPr="00F93748">
        <w:rPr>
          <w:rFonts w:ascii="Times New Roman" w:eastAsia="Times New Roman" w:hAnsi="Times New Roman" w:cs="Times New Roman"/>
          <w:bCs/>
          <w:sz w:val="24"/>
          <w:szCs w:val="24"/>
          <w:lang w:eastAsia="lv-LV"/>
        </w:rPr>
        <w:t xml:space="preserve">var </w:t>
      </w:r>
      <w:r w:rsidR="00DD3A5E">
        <w:rPr>
          <w:rFonts w:ascii="Times New Roman" w:eastAsia="Times New Roman" w:hAnsi="Times New Roman" w:cs="Times New Roman"/>
          <w:bCs/>
          <w:sz w:val="24"/>
          <w:szCs w:val="24"/>
          <w:lang w:eastAsia="lv-LV"/>
        </w:rPr>
        <w:t>veikt saimniecisko darbību</w:t>
      </w:r>
      <w:r w:rsidR="009C5D97" w:rsidRPr="00F93748">
        <w:rPr>
          <w:rFonts w:ascii="Times New Roman" w:eastAsia="Times New Roman" w:hAnsi="Times New Roman" w:cs="Times New Roman"/>
          <w:bCs/>
          <w:sz w:val="24"/>
          <w:szCs w:val="24"/>
          <w:lang w:eastAsia="lv-LV"/>
        </w:rPr>
        <w:t xml:space="preserve">, </w:t>
      </w:r>
      <w:r w:rsidR="00DD3A5E">
        <w:rPr>
          <w:rFonts w:ascii="Times New Roman" w:eastAsia="Times New Roman" w:hAnsi="Times New Roman" w:cs="Times New Roman"/>
          <w:bCs/>
          <w:sz w:val="24"/>
          <w:szCs w:val="24"/>
          <w:lang w:eastAsia="lv-LV"/>
        </w:rPr>
        <w:t xml:space="preserve">pirms tam </w:t>
      </w:r>
      <w:r w:rsidR="009C5D97" w:rsidRPr="00F93748">
        <w:rPr>
          <w:rFonts w:ascii="Times New Roman" w:eastAsia="Times New Roman" w:hAnsi="Times New Roman" w:cs="Times New Roman"/>
          <w:bCs/>
          <w:sz w:val="24"/>
          <w:szCs w:val="24"/>
          <w:lang w:eastAsia="lv-LV"/>
        </w:rPr>
        <w:t>reģistrējoties kā saimnieciskās darbības veicēji VID un par ienākumiem maksāt iedzīvotāju ienākuma nodokli (</w:t>
      </w:r>
      <w:r w:rsidR="00E65AD9" w:rsidRPr="00F93748">
        <w:rPr>
          <w:rFonts w:ascii="Times New Roman" w:eastAsia="Times New Roman" w:hAnsi="Times New Roman" w:cs="Times New Roman"/>
          <w:bCs/>
          <w:sz w:val="24"/>
          <w:szCs w:val="24"/>
          <w:lang w:eastAsia="lv-LV"/>
        </w:rPr>
        <w:t xml:space="preserve">turpmāk </w:t>
      </w:r>
      <w:r w:rsidR="007B4781" w:rsidRPr="00F93748">
        <w:rPr>
          <w:rFonts w:ascii="Times New Roman" w:eastAsia="Times New Roman" w:hAnsi="Times New Roman" w:cs="Times New Roman"/>
          <w:bCs/>
          <w:sz w:val="24"/>
          <w:szCs w:val="24"/>
          <w:lang w:eastAsia="lv-LV"/>
        </w:rPr>
        <w:t>–</w:t>
      </w:r>
      <w:r w:rsidR="00E65AD9" w:rsidRPr="00F93748">
        <w:rPr>
          <w:rFonts w:ascii="Times New Roman" w:eastAsia="Times New Roman" w:hAnsi="Times New Roman" w:cs="Times New Roman"/>
          <w:bCs/>
          <w:sz w:val="24"/>
          <w:szCs w:val="24"/>
          <w:lang w:eastAsia="lv-LV"/>
        </w:rPr>
        <w:t xml:space="preserve"> </w:t>
      </w:r>
      <w:r w:rsidR="009C5D97" w:rsidRPr="00F93748">
        <w:rPr>
          <w:rFonts w:ascii="Times New Roman" w:eastAsia="Times New Roman" w:hAnsi="Times New Roman" w:cs="Times New Roman"/>
          <w:bCs/>
          <w:sz w:val="24"/>
          <w:szCs w:val="24"/>
          <w:lang w:eastAsia="lv-LV"/>
        </w:rPr>
        <w:t>IIN) no saimnieciskās darbības</w:t>
      </w:r>
      <w:r w:rsidR="00DD3A5E">
        <w:rPr>
          <w:rFonts w:ascii="Times New Roman" w:eastAsia="Times New Roman" w:hAnsi="Times New Roman" w:cs="Times New Roman"/>
          <w:bCs/>
          <w:sz w:val="24"/>
          <w:szCs w:val="24"/>
          <w:lang w:eastAsia="lv-LV"/>
        </w:rPr>
        <w:t>.</w:t>
      </w:r>
      <w:r w:rsidR="009C5D97" w:rsidRPr="00F93748">
        <w:rPr>
          <w:rFonts w:ascii="Times New Roman" w:eastAsia="Times New Roman" w:hAnsi="Times New Roman" w:cs="Times New Roman"/>
          <w:bCs/>
          <w:sz w:val="24"/>
          <w:szCs w:val="24"/>
          <w:lang w:eastAsia="lv-LV"/>
        </w:rPr>
        <w:t xml:space="preserve"> </w:t>
      </w:r>
      <w:r w:rsidR="002E7DC8">
        <w:rPr>
          <w:rFonts w:ascii="Times New Roman" w:eastAsia="Times New Roman" w:hAnsi="Times New Roman" w:cs="Times New Roman"/>
          <w:bCs/>
          <w:sz w:val="24"/>
          <w:szCs w:val="24"/>
          <w:lang w:eastAsia="lv-LV"/>
        </w:rPr>
        <w:t>Tas attiecas arī uz ienākumiem, kas gūti</w:t>
      </w:r>
      <w:r w:rsidR="002E7DC8" w:rsidRPr="006B2372">
        <w:rPr>
          <w:rFonts w:ascii="Times New Roman" w:eastAsia="Times New Roman" w:hAnsi="Times New Roman" w:cs="Times New Roman"/>
          <w:bCs/>
          <w:sz w:val="24"/>
          <w:szCs w:val="24"/>
          <w:lang w:eastAsia="lv-LV"/>
        </w:rPr>
        <w:t xml:space="preserve"> sadarbības ekonomikas ietvaros, izmantojot tiešsaistes platformas</w:t>
      </w:r>
      <w:r w:rsidR="002E7DC8">
        <w:rPr>
          <w:rFonts w:ascii="Times New Roman" w:eastAsia="Times New Roman" w:hAnsi="Times New Roman" w:cs="Times New Roman"/>
          <w:bCs/>
          <w:sz w:val="24"/>
          <w:szCs w:val="24"/>
          <w:lang w:eastAsia="lv-LV"/>
        </w:rPr>
        <w:t>.</w:t>
      </w:r>
    </w:p>
    <w:p w14:paraId="49208F0F" w14:textId="4E2AB158" w:rsidR="002E7DC8" w:rsidRDefault="002E7DC8" w:rsidP="002E7DC8">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Piemēram, j</w:t>
      </w:r>
      <w:r w:rsidR="00D56273" w:rsidRPr="008F1F02">
        <w:rPr>
          <w:rFonts w:ascii="Times New Roman" w:eastAsia="Times New Roman" w:hAnsi="Times New Roman" w:cs="Times New Roman"/>
          <w:bCs/>
          <w:sz w:val="24"/>
          <w:szCs w:val="24"/>
          <w:lang w:eastAsia="lv-LV"/>
        </w:rPr>
        <w:t xml:space="preserve">a persona nodarbojas ar </w:t>
      </w:r>
      <w:r w:rsidR="00E0004D" w:rsidRPr="008F1F02">
        <w:rPr>
          <w:rFonts w:ascii="Times New Roman" w:eastAsia="Times New Roman" w:hAnsi="Times New Roman" w:cs="Times New Roman"/>
          <w:bCs/>
          <w:sz w:val="24"/>
          <w:szCs w:val="24"/>
          <w:lang w:eastAsia="lv-LV"/>
        </w:rPr>
        <w:t xml:space="preserve">(regulāru, īstermiņa) īpašuma iznomāšanu (izīrēšanu) kā </w:t>
      </w:r>
      <w:r w:rsidR="00D56273" w:rsidRPr="008F1F02">
        <w:rPr>
          <w:rFonts w:ascii="Times New Roman" w:eastAsia="Times New Roman" w:hAnsi="Times New Roman" w:cs="Times New Roman"/>
          <w:bCs/>
          <w:sz w:val="24"/>
          <w:szCs w:val="24"/>
          <w:lang w:eastAsia="lv-LV"/>
        </w:rPr>
        <w:t>saimniecisko darbību</w:t>
      </w:r>
      <w:r w:rsidR="00E0004D" w:rsidRPr="008F1F02">
        <w:rPr>
          <w:rFonts w:ascii="Times New Roman" w:eastAsia="Times New Roman" w:hAnsi="Times New Roman" w:cs="Times New Roman"/>
          <w:bCs/>
          <w:sz w:val="24"/>
          <w:szCs w:val="24"/>
          <w:lang w:eastAsia="lv-LV"/>
        </w:rPr>
        <w:t xml:space="preserve"> (arī sadarbības ekonomikas ietvaros, izmantojot tiešsaistes platformas)</w:t>
      </w:r>
      <w:r w:rsidR="00D56273" w:rsidRPr="008F1F02">
        <w:rPr>
          <w:rFonts w:ascii="Times New Roman" w:eastAsia="Times New Roman" w:hAnsi="Times New Roman" w:cs="Times New Roman"/>
          <w:bCs/>
          <w:sz w:val="24"/>
          <w:szCs w:val="24"/>
          <w:lang w:eastAsia="lv-LV"/>
        </w:rPr>
        <w:t>, tai ir dažādi ar šo saimniecisko darbību saistīti izdevumi (vai investīcija) piemēram, ēkas vai telpu remonts, samaksa par uzko</w:t>
      </w:r>
      <w:r w:rsidR="00FE42FF" w:rsidRPr="008F1F02">
        <w:rPr>
          <w:rFonts w:ascii="Times New Roman" w:eastAsia="Times New Roman" w:hAnsi="Times New Roman" w:cs="Times New Roman"/>
          <w:bCs/>
          <w:sz w:val="24"/>
          <w:szCs w:val="24"/>
          <w:lang w:eastAsia="lv-LV"/>
        </w:rPr>
        <w:t>p</w:t>
      </w:r>
      <w:r w:rsidR="00D56273" w:rsidRPr="008F1F02">
        <w:rPr>
          <w:rFonts w:ascii="Times New Roman" w:eastAsia="Times New Roman" w:hAnsi="Times New Roman" w:cs="Times New Roman"/>
          <w:bCs/>
          <w:sz w:val="24"/>
          <w:szCs w:val="24"/>
          <w:lang w:eastAsia="lv-LV"/>
        </w:rPr>
        <w:t>šanu vai citiem pakalpojumiem, ieguldījumi pamatlīdzekļos utt</w:t>
      </w:r>
      <w:r w:rsidR="00993852" w:rsidRPr="008F1F02">
        <w:rPr>
          <w:rFonts w:ascii="Times New Roman" w:eastAsia="Times New Roman" w:hAnsi="Times New Roman" w:cs="Times New Roman"/>
          <w:bCs/>
          <w:sz w:val="24"/>
          <w:szCs w:val="24"/>
          <w:lang w:eastAsia="lv-LV"/>
        </w:rPr>
        <w:t>.</w:t>
      </w:r>
      <w:r w:rsidR="00D56273" w:rsidRPr="008F1F02">
        <w:rPr>
          <w:rFonts w:ascii="Times New Roman" w:eastAsia="Times New Roman" w:hAnsi="Times New Roman" w:cs="Times New Roman"/>
          <w:bCs/>
          <w:sz w:val="24"/>
          <w:szCs w:val="24"/>
          <w:lang w:eastAsia="lv-LV"/>
        </w:rPr>
        <w:t>, tad persona reģistrē šo saimniecisko darbību, veic atbilstošu ienākumu un izdevumu uzskaiti, aprēķina un maksā iedzīvotāju ienākuma nodokli. Fiziskā</w:t>
      </w:r>
      <w:r w:rsidR="00231C56" w:rsidRPr="008F1F02">
        <w:rPr>
          <w:rFonts w:ascii="Times New Roman" w:eastAsia="Times New Roman" w:hAnsi="Times New Roman" w:cs="Times New Roman"/>
          <w:bCs/>
          <w:sz w:val="24"/>
          <w:szCs w:val="24"/>
          <w:lang w:eastAsia="lv-LV"/>
        </w:rPr>
        <w:t>m</w:t>
      </w:r>
      <w:r w:rsidR="00D56273" w:rsidRPr="008F1F02">
        <w:rPr>
          <w:rFonts w:ascii="Times New Roman" w:eastAsia="Times New Roman" w:hAnsi="Times New Roman" w:cs="Times New Roman"/>
          <w:bCs/>
          <w:sz w:val="24"/>
          <w:szCs w:val="24"/>
          <w:lang w:eastAsia="lv-LV"/>
        </w:rPr>
        <w:t xml:space="preserve"> </w:t>
      </w:r>
      <w:r w:rsidR="00D56273" w:rsidRPr="008F1F02">
        <w:rPr>
          <w:rFonts w:ascii="Times New Roman" w:eastAsia="Times New Roman" w:hAnsi="Times New Roman" w:cs="Times New Roman"/>
          <w:bCs/>
          <w:sz w:val="24"/>
          <w:szCs w:val="24"/>
          <w:lang w:eastAsia="lv-LV"/>
        </w:rPr>
        <w:lastRenderedPageBreak/>
        <w:t xml:space="preserve">personām, kuras veic saimniecisko darbību, ir jāmaksā arī </w:t>
      </w:r>
      <w:r w:rsidR="00D52E80" w:rsidRPr="008F1F02">
        <w:rPr>
          <w:rFonts w:ascii="Times New Roman" w:eastAsia="Times New Roman" w:hAnsi="Times New Roman" w:cs="Times New Roman"/>
          <w:bCs/>
          <w:sz w:val="24"/>
          <w:szCs w:val="24"/>
          <w:lang w:eastAsia="lv-LV"/>
        </w:rPr>
        <w:t>valsts sociālās apdrošināšanas obligāt</w:t>
      </w:r>
      <w:r w:rsidR="00DD584A" w:rsidRPr="008F1F02">
        <w:rPr>
          <w:rFonts w:ascii="Times New Roman" w:eastAsia="Times New Roman" w:hAnsi="Times New Roman" w:cs="Times New Roman"/>
          <w:bCs/>
          <w:sz w:val="24"/>
          <w:szCs w:val="24"/>
          <w:lang w:eastAsia="lv-LV"/>
        </w:rPr>
        <w:t>ās</w:t>
      </w:r>
      <w:r w:rsidR="00D52E80" w:rsidRPr="008F1F02">
        <w:rPr>
          <w:rFonts w:ascii="Times New Roman" w:eastAsia="Times New Roman" w:hAnsi="Times New Roman" w:cs="Times New Roman"/>
          <w:bCs/>
          <w:sz w:val="24"/>
          <w:szCs w:val="24"/>
          <w:lang w:eastAsia="lv-LV"/>
        </w:rPr>
        <w:t xml:space="preserve"> iemaksas </w:t>
      </w:r>
      <w:r w:rsidR="00D56273" w:rsidRPr="008F1F02">
        <w:rPr>
          <w:rFonts w:ascii="Times New Roman" w:eastAsia="Times New Roman" w:hAnsi="Times New Roman" w:cs="Times New Roman"/>
          <w:bCs/>
          <w:sz w:val="24"/>
          <w:szCs w:val="24"/>
          <w:lang w:eastAsia="lv-LV"/>
        </w:rPr>
        <w:t xml:space="preserve">noteiktā kārtībā. </w:t>
      </w:r>
    </w:p>
    <w:p w14:paraId="2400BD95" w14:textId="33D6C643" w:rsidR="00EB67B8" w:rsidRPr="00EB67B8" w:rsidRDefault="00FE1C38" w:rsidP="00EB67B8">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w:t>
      </w:r>
      <w:r w:rsidR="002159D6">
        <w:rPr>
          <w:rFonts w:ascii="Times New Roman" w:eastAsia="Times New Roman" w:hAnsi="Times New Roman" w:cs="Times New Roman"/>
          <w:bCs/>
          <w:sz w:val="24"/>
          <w:szCs w:val="24"/>
          <w:lang w:eastAsia="lv-LV"/>
        </w:rPr>
        <w:t>treiz</w:t>
      </w:r>
      <w:r>
        <w:rPr>
          <w:rFonts w:ascii="Times New Roman" w:eastAsia="Times New Roman" w:hAnsi="Times New Roman" w:cs="Times New Roman"/>
          <w:bCs/>
          <w:sz w:val="24"/>
          <w:szCs w:val="24"/>
          <w:lang w:eastAsia="lv-LV"/>
        </w:rPr>
        <w:t xml:space="preserve"> </w:t>
      </w:r>
      <w:r w:rsidRPr="00FE1C38">
        <w:rPr>
          <w:rFonts w:ascii="Times New Roman" w:eastAsia="Times New Roman" w:hAnsi="Times New Roman" w:cs="Times New Roman"/>
          <w:bCs/>
          <w:sz w:val="24"/>
          <w:szCs w:val="24"/>
          <w:lang w:eastAsia="lv-LV"/>
        </w:rPr>
        <w:t>Autopārvadājumu likum</w:t>
      </w:r>
      <w:r>
        <w:rPr>
          <w:rFonts w:ascii="Times New Roman" w:eastAsia="Times New Roman" w:hAnsi="Times New Roman" w:cs="Times New Roman"/>
          <w:bCs/>
          <w:sz w:val="24"/>
          <w:szCs w:val="24"/>
          <w:lang w:eastAsia="lv-LV"/>
        </w:rPr>
        <w:t>s nosaka ierobežojums fiziskām personām</w:t>
      </w:r>
      <w:r w:rsidR="002159D6" w:rsidRPr="002159D6">
        <w:t xml:space="preserve"> </w:t>
      </w:r>
      <w:r w:rsidR="002159D6" w:rsidRPr="002159D6">
        <w:rPr>
          <w:rFonts w:ascii="Times New Roman" w:eastAsia="Times New Roman" w:hAnsi="Times New Roman" w:cs="Times New Roman"/>
          <w:bCs/>
          <w:sz w:val="24"/>
          <w:szCs w:val="24"/>
          <w:lang w:eastAsia="lv-LV"/>
        </w:rPr>
        <w:t>veikt komercpārvadājumus ar vieglajiem transportlīdzekļiem</w:t>
      </w:r>
      <w:r w:rsidR="002159D6">
        <w:rPr>
          <w:rFonts w:ascii="Times New Roman" w:eastAsia="Times New Roman" w:hAnsi="Times New Roman" w:cs="Times New Roman"/>
          <w:bCs/>
          <w:sz w:val="24"/>
          <w:szCs w:val="24"/>
          <w:lang w:eastAsia="lv-LV"/>
        </w:rPr>
        <w:t>, to var veik</w:t>
      </w:r>
      <w:r w:rsidR="001E7CC7">
        <w:rPr>
          <w:rFonts w:ascii="Times New Roman" w:eastAsia="Times New Roman" w:hAnsi="Times New Roman" w:cs="Times New Roman"/>
          <w:bCs/>
          <w:sz w:val="24"/>
          <w:szCs w:val="24"/>
          <w:lang w:eastAsia="lv-LV"/>
        </w:rPr>
        <w:t>t</w:t>
      </w:r>
      <w:r w:rsidR="002159D6">
        <w:rPr>
          <w:rFonts w:ascii="Times New Roman" w:eastAsia="Times New Roman" w:hAnsi="Times New Roman" w:cs="Times New Roman"/>
          <w:bCs/>
          <w:sz w:val="24"/>
          <w:szCs w:val="24"/>
          <w:lang w:eastAsia="lv-LV"/>
        </w:rPr>
        <w:t xml:space="preserve"> tikai komersanti.</w:t>
      </w:r>
      <w:r>
        <w:rPr>
          <w:rFonts w:ascii="Times New Roman" w:eastAsia="Times New Roman" w:hAnsi="Times New Roman" w:cs="Times New Roman"/>
          <w:bCs/>
          <w:sz w:val="24"/>
          <w:szCs w:val="24"/>
          <w:lang w:eastAsia="lv-LV"/>
        </w:rPr>
        <w:t xml:space="preserve"> </w:t>
      </w:r>
      <w:r w:rsidR="002159D6">
        <w:rPr>
          <w:rFonts w:ascii="Times New Roman" w:eastAsia="Times New Roman" w:hAnsi="Times New Roman" w:cs="Times New Roman"/>
          <w:bCs/>
          <w:sz w:val="24"/>
          <w:szCs w:val="24"/>
          <w:lang w:eastAsia="lv-LV"/>
        </w:rPr>
        <w:t xml:space="preserve">Lai attīstītu sadarbības ekonomikas iespējas, būtu </w:t>
      </w:r>
      <w:r w:rsidR="006A08AB">
        <w:rPr>
          <w:rFonts w:ascii="Times New Roman" w:eastAsia="Times New Roman" w:hAnsi="Times New Roman" w:cs="Times New Roman"/>
          <w:bCs/>
          <w:sz w:val="24"/>
          <w:szCs w:val="24"/>
          <w:lang w:eastAsia="lv-LV"/>
        </w:rPr>
        <w:t>izvērtējamas</w:t>
      </w:r>
      <w:r w:rsidR="006A08AB" w:rsidRPr="00EB67B8">
        <w:rPr>
          <w:rFonts w:ascii="Times New Roman" w:eastAsia="Times New Roman" w:hAnsi="Times New Roman" w:cs="Times New Roman"/>
          <w:bCs/>
          <w:sz w:val="24"/>
          <w:szCs w:val="24"/>
          <w:lang w:eastAsia="lv-LV"/>
        </w:rPr>
        <w:t xml:space="preserve"> </w:t>
      </w:r>
      <w:r w:rsidR="00EB67B8" w:rsidRPr="00EB67B8">
        <w:rPr>
          <w:rFonts w:ascii="Times New Roman" w:eastAsia="Times New Roman" w:hAnsi="Times New Roman" w:cs="Times New Roman"/>
          <w:bCs/>
          <w:sz w:val="24"/>
          <w:szCs w:val="24"/>
          <w:lang w:eastAsia="lv-LV"/>
        </w:rPr>
        <w:t>izmaiņas Autopārvadājumu likumā</w:t>
      </w:r>
      <w:r w:rsidR="002159D6">
        <w:rPr>
          <w:rFonts w:ascii="Times New Roman" w:eastAsia="Times New Roman" w:hAnsi="Times New Roman" w:cs="Times New Roman"/>
          <w:bCs/>
          <w:sz w:val="24"/>
          <w:szCs w:val="24"/>
          <w:lang w:eastAsia="lv-LV"/>
        </w:rPr>
        <w:t>,</w:t>
      </w:r>
      <w:r w:rsidR="00EB67B8" w:rsidRPr="00EB67B8">
        <w:rPr>
          <w:rFonts w:ascii="Times New Roman" w:eastAsia="Times New Roman" w:hAnsi="Times New Roman" w:cs="Times New Roman"/>
          <w:bCs/>
          <w:sz w:val="24"/>
          <w:szCs w:val="24"/>
          <w:lang w:eastAsia="lv-LV"/>
        </w:rPr>
        <w:t xml:space="preserve"> </w:t>
      </w:r>
      <w:r w:rsidR="002159D6">
        <w:rPr>
          <w:rFonts w:ascii="Times New Roman" w:eastAsia="Times New Roman" w:hAnsi="Times New Roman" w:cs="Times New Roman"/>
          <w:bCs/>
          <w:sz w:val="24"/>
          <w:szCs w:val="24"/>
          <w:lang w:eastAsia="lv-LV"/>
        </w:rPr>
        <w:t>atļaujot</w:t>
      </w:r>
      <w:r w:rsidR="00EB67B8" w:rsidRPr="00EB67B8">
        <w:rPr>
          <w:rFonts w:ascii="Times New Roman" w:eastAsia="Times New Roman" w:hAnsi="Times New Roman" w:cs="Times New Roman"/>
          <w:bCs/>
          <w:sz w:val="24"/>
          <w:szCs w:val="24"/>
          <w:lang w:eastAsia="lv-LV"/>
        </w:rPr>
        <w:t xml:space="preserve"> fiziskām personām veikt pasažieru </w:t>
      </w:r>
      <w:r w:rsidR="002159D6">
        <w:rPr>
          <w:rFonts w:ascii="Times New Roman" w:eastAsia="Times New Roman" w:hAnsi="Times New Roman" w:cs="Times New Roman"/>
          <w:bCs/>
          <w:sz w:val="24"/>
          <w:szCs w:val="24"/>
          <w:lang w:eastAsia="lv-LV"/>
        </w:rPr>
        <w:t>komer</w:t>
      </w:r>
      <w:r w:rsidR="002159D6" w:rsidRPr="00EB67B8">
        <w:rPr>
          <w:rFonts w:ascii="Times New Roman" w:eastAsia="Times New Roman" w:hAnsi="Times New Roman" w:cs="Times New Roman"/>
          <w:bCs/>
          <w:sz w:val="24"/>
          <w:szCs w:val="24"/>
          <w:lang w:eastAsia="lv-LV"/>
        </w:rPr>
        <w:t>cpārvadājumus</w:t>
      </w:r>
      <w:r w:rsidR="002159D6">
        <w:rPr>
          <w:rFonts w:ascii="Times New Roman" w:eastAsia="Times New Roman" w:hAnsi="Times New Roman" w:cs="Times New Roman"/>
          <w:bCs/>
          <w:sz w:val="24"/>
          <w:szCs w:val="24"/>
          <w:lang w:eastAsia="lv-LV"/>
        </w:rPr>
        <w:t xml:space="preserve"> ar</w:t>
      </w:r>
      <w:r w:rsidR="002159D6" w:rsidRPr="002159D6">
        <w:rPr>
          <w:rFonts w:ascii="Times New Roman" w:eastAsia="Times New Roman" w:hAnsi="Times New Roman" w:cs="Times New Roman"/>
          <w:bCs/>
          <w:sz w:val="24"/>
          <w:szCs w:val="24"/>
          <w:lang w:eastAsia="lv-LV"/>
        </w:rPr>
        <w:t xml:space="preserve"> </w:t>
      </w:r>
      <w:r w:rsidR="002159D6" w:rsidRPr="00EB67B8">
        <w:rPr>
          <w:rFonts w:ascii="Times New Roman" w:eastAsia="Times New Roman" w:hAnsi="Times New Roman" w:cs="Times New Roman"/>
          <w:bCs/>
          <w:sz w:val="24"/>
          <w:szCs w:val="24"/>
          <w:lang w:eastAsia="lv-LV"/>
        </w:rPr>
        <w:t>viegl</w:t>
      </w:r>
      <w:r w:rsidR="002159D6">
        <w:rPr>
          <w:rFonts w:ascii="Times New Roman" w:eastAsia="Times New Roman" w:hAnsi="Times New Roman" w:cs="Times New Roman"/>
          <w:bCs/>
          <w:sz w:val="24"/>
          <w:szCs w:val="24"/>
          <w:lang w:eastAsia="lv-LV"/>
        </w:rPr>
        <w:t>ajiem transportlīdzekļiem.</w:t>
      </w:r>
      <w:r w:rsidR="00EB67B8" w:rsidRPr="00EB67B8">
        <w:rPr>
          <w:rFonts w:ascii="Times New Roman" w:eastAsia="Times New Roman" w:hAnsi="Times New Roman" w:cs="Times New Roman"/>
          <w:bCs/>
          <w:sz w:val="24"/>
          <w:szCs w:val="24"/>
          <w:lang w:eastAsia="lv-LV"/>
        </w:rPr>
        <w:t xml:space="preserve"> </w:t>
      </w:r>
      <w:r w:rsidR="002159D6">
        <w:rPr>
          <w:rFonts w:ascii="Times New Roman" w:eastAsia="Times New Roman" w:hAnsi="Times New Roman" w:cs="Times New Roman"/>
          <w:bCs/>
          <w:sz w:val="24"/>
          <w:szCs w:val="24"/>
          <w:lang w:eastAsia="lv-LV"/>
        </w:rPr>
        <w:t>Šādos gadījumos</w:t>
      </w:r>
      <w:r w:rsidR="00EB67B8" w:rsidRPr="00EB67B8">
        <w:rPr>
          <w:rFonts w:ascii="Times New Roman" w:eastAsia="Times New Roman" w:hAnsi="Times New Roman" w:cs="Times New Roman"/>
          <w:bCs/>
          <w:sz w:val="24"/>
          <w:szCs w:val="24"/>
          <w:lang w:eastAsia="lv-LV"/>
        </w:rPr>
        <w:t xml:space="preserve"> </w:t>
      </w:r>
      <w:r w:rsidR="005A184B">
        <w:rPr>
          <w:rFonts w:ascii="Times New Roman" w:eastAsia="Times New Roman" w:hAnsi="Times New Roman" w:cs="Times New Roman"/>
          <w:bCs/>
          <w:sz w:val="24"/>
          <w:szCs w:val="24"/>
          <w:lang w:eastAsia="lv-LV"/>
        </w:rPr>
        <w:t xml:space="preserve">fiziskām personām IIN nomaksai </w:t>
      </w:r>
      <w:r w:rsidR="002E7DC8">
        <w:rPr>
          <w:rFonts w:ascii="Times New Roman" w:eastAsia="Times New Roman" w:hAnsi="Times New Roman" w:cs="Times New Roman"/>
          <w:bCs/>
          <w:sz w:val="24"/>
          <w:szCs w:val="24"/>
          <w:lang w:eastAsia="lv-LV"/>
        </w:rPr>
        <w:t xml:space="preserve">arī </w:t>
      </w:r>
      <w:r w:rsidR="003C4B2E">
        <w:rPr>
          <w:rFonts w:ascii="Times New Roman" w:eastAsia="Times New Roman" w:hAnsi="Times New Roman" w:cs="Times New Roman"/>
          <w:bCs/>
          <w:sz w:val="24"/>
          <w:szCs w:val="24"/>
          <w:lang w:eastAsia="lv-LV"/>
        </w:rPr>
        <w:t xml:space="preserve">būtu </w:t>
      </w:r>
      <w:r w:rsidR="005A184B">
        <w:rPr>
          <w:rFonts w:ascii="Times New Roman" w:eastAsia="Times New Roman" w:hAnsi="Times New Roman" w:cs="Times New Roman"/>
          <w:bCs/>
          <w:sz w:val="24"/>
          <w:szCs w:val="24"/>
          <w:lang w:eastAsia="lv-LV"/>
        </w:rPr>
        <w:t>jāreģistrējas kā saimnieciskās darbības veicējiem</w:t>
      </w:r>
      <w:r w:rsidR="0084299C">
        <w:rPr>
          <w:rFonts w:ascii="Times New Roman" w:eastAsia="Times New Roman" w:hAnsi="Times New Roman" w:cs="Times New Roman"/>
          <w:bCs/>
          <w:sz w:val="24"/>
          <w:szCs w:val="24"/>
          <w:lang w:eastAsia="lv-LV"/>
        </w:rPr>
        <w:t xml:space="preserve">, kā arī jāmaksā </w:t>
      </w:r>
      <w:r w:rsidR="0084299C" w:rsidRPr="0084299C">
        <w:rPr>
          <w:rFonts w:ascii="Times New Roman" w:eastAsia="Times New Roman" w:hAnsi="Times New Roman" w:cs="Times New Roman"/>
          <w:bCs/>
          <w:sz w:val="24"/>
          <w:szCs w:val="24"/>
          <w:lang w:eastAsia="lv-LV"/>
        </w:rPr>
        <w:t>valsts sociālās apdrošināšanas obligātās iemaksas</w:t>
      </w:r>
      <w:r w:rsidR="00D96C10">
        <w:rPr>
          <w:rFonts w:ascii="Times New Roman" w:eastAsia="Times New Roman" w:hAnsi="Times New Roman" w:cs="Times New Roman"/>
          <w:bCs/>
          <w:sz w:val="24"/>
          <w:szCs w:val="24"/>
          <w:lang w:eastAsia="lv-LV"/>
        </w:rPr>
        <w:t xml:space="preserve"> noteiktajā kārtībā</w:t>
      </w:r>
      <w:r w:rsidR="0084299C">
        <w:rPr>
          <w:rFonts w:ascii="Times New Roman" w:eastAsia="Times New Roman" w:hAnsi="Times New Roman" w:cs="Times New Roman"/>
          <w:bCs/>
          <w:sz w:val="24"/>
          <w:szCs w:val="24"/>
          <w:lang w:eastAsia="lv-LV"/>
        </w:rPr>
        <w:t xml:space="preserve">. </w:t>
      </w:r>
      <w:r w:rsidR="000350C2">
        <w:rPr>
          <w:rFonts w:ascii="Times New Roman" w:eastAsia="Times New Roman" w:hAnsi="Times New Roman" w:cs="Times New Roman"/>
          <w:bCs/>
          <w:sz w:val="24"/>
          <w:szCs w:val="24"/>
          <w:lang w:eastAsia="lv-LV"/>
        </w:rPr>
        <w:t>Fiziskā person</w:t>
      </w:r>
      <w:r w:rsidR="00EF62EA">
        <w:rPr>
          <w:rFonts w:ascii="Times New Roman" w:eastAsia="Times New Roman" w:hAnsi="Times New Roman" w:cs="Times New Roman"/>
          <w:bCs/>
          <w:sz w:val="24"/>
          <w:szCs w:val="24"/>
          <w:lang w:eastAsia="lv-LV"/>
        </w:rPr>
        <w:t>a</w:t>
      </w:r>
      <w:r w:rsidR="000350C2">
        <w:rPr>
          <w:rFonts w:ascii="Times New Roman" w:eastAsia="Times New Roman" w:hAnsi="Times New Roman" w:cs="Times New Roman"/>
          <w:bCs/>
          <w:sz w:val="24"/>
          <w:szCs w:val="24"/>
          <w:lang w:eastAsia="lv-LV"/>
        </w:rPr>
        <w:t xml:space="preserve"> – saimnieciskās darbības veicēj</w:t>
      </w:r>
      <w:r w:rsidR="00EF62EA">
        <w:rPr>
          <w:rFonts w:ascii="Times New Roman" w:eastAsia="Times New Roman" w:hAnsi="Times New Roman" w:cs="Times New Roman"/>
          <w:bCs/>
          <w:sz w:val="24"/>
          <w:szCs w:val="24"/>
          <w:lang w:eastAsia="lv-LV"/>
        </w:rPr>
        <w:t>s</w:t>
      </w:r>
      <w:r w:rsidR="000350C2">
        <w:rPr>
          <w:rFonts w:ascii="Times New Roman" w:eastAsia="Times New Roman" w:hAnsi="Times New Roman" w:cs="Times New Roman"/>
          <w:bCs/>
          <w:sz w:val="24"/>
          <w:szCs w:val="24"/>
          <w:lang w:eastAsia="lv-LV"/>
        </w:rPr>
        <w:t xml:space="preserve"> </w:t>
      </w:r>
      <w:r w:rsidR="00075F36">
        <w:rPr>
          <w:rFonts w:ascii="Times New Roman" w:eastAsia="Times New Roman" w:hAnsi="Times New Roman" w:cs="Times New Roman"/>
          <w:bCs/>
          <w:sz w:val="24"/>
          <w:szCs w:val="24"/>
          <w:lang w:eastAsia="lv-LV"/>
        </w:rPr>
        <w:t>atbild</w:t>
      </w:r>
      <w:r w:rsidR="003C4B2E">
        <w:rPr>
          <w:rFonts w:ascii="Times New Roman" w:eastAsia="Times New Roman" w:hAnsi="Times New Roman" w:cs="Times New Roman"/>
          <w:bCs/>
          <w:sz w:val="24"/>
          <w:szCs w:val="24"/>
          <w:lang w:eastAsia="lv-LV"/>
        </w:rPr>
        <w:t>ētu</w:t>
      </w:r>
      <w:r w:rsidR="00075F36">
        <w:rPr>
          <w:rFonts w:ascii="Times New Roman" w:eastAsia="Times New Roman" w:hAnsi="Times New Roman" w:cs="Times New Roman"/>
          <w:bCs/>
          <w:sz w:val="24"/>
          <w:szCs w:val="24"/>
          <w:lang w:eastAsia="lv-LV"/>
        </w:rPr>
        <w:t xml:space="preserve"> </w:t>
      </w:r>
      <w:r w:rsidR="000350C2">
        <w:rPr>
          <w:rFonts w:ascii="Times New Roman" w:eastAsia="Times New Roman" w:hAnsi="Times New Roman" w:cs="Times New Roman"/>
          <w:bCs/>
          <w:sz w:val="24"/>
          <w:szCs w:val="24"/>
          <w:lang w:eastAsia="lv-LV"/>
        </w:rPr>
        <w:t xml:space="preserve">pilnībā ar savu mantu par nodokļu saistību izpildi, turklāt tai </w:t>
      </w:r>
      <w:r w:rsidR="003C4B2E">
        <w:rPr>
          <w:rFonts w:ascii="Times New Roman" w:eastAsia="Times New Roman" w:hAnsi="Times New Roman" w:cs="Times New Roman"/>
          <w:bCs/>
          <w:sz w:val="24"/>
          <w:szCs w:val="24"/>
          <w:lang w:eastAsia="lv-LV"/>
        </w:rPr>
        <w:t xml:space="preserve">būtu </w:t>
      </w:r>
      <w:r w:rsidR="000350C2">
        <w:rPr>
          <w:rFonts w:ascii="Times New Roman" w:eastAsia="Times New Roman" w:hAnsi="Times New Roman" w:cs="Times New Roman"/>
          <w:bCs/>
          <w:sz w:val="24"/>
          <w:szCs w:val="24"/>
          <w:lang w:eastAsia="lv-LV"/>
        </w:rPr>
        <w:t>jāievēro un tā atbild</w:t>
      </w:r>
      <w:r w:rsidR="003C4B2E">
        <w:rPr>
          <w:rFonts w:ascii="Times New Roman" w:eastAsia="Times New Roman" w:hAnsi="Times New Roman" w:cs="Times New Roman"/>
          <w:bCs/>
          <w:sz w:val="24"/>
          <w:szCs w:val="24"/>
          <w:lang w:eastAsia="lv-LV"/>
        </w:rPr>
        <w:t>ētu</w:t>
      </w:r>
      <w:r w:rsidR="000350C2">
        <w:rPr>
          <w:rFonts w:ascii="Times New Roman" w:eastAsia="Times New Roman" w:hAnsi="Times New Roman" w:cs="Times New Roman"/>
          <w:bCs/>
          <w:sz w:val="24"/>
          <w:szCs w:val="24"/>
          <w:lang w:eastAsia="lv-LV"/>
        </w:rPr>
        <w:t xml:space="preserve"> par jebkuru citu normatīvo aktu ievērošanu, piemērojot noteikto atbildību</w:t>
      </w:r>
      <w:r w:rsidR="00EB67B8" w:rsidRPr="00EB67B8">
        <w:rPr>
          <w:rFonts w:ascii="Times New Roman" w:eastAsia="Times New Roman" w:hAnsi="Times New Roman" w:cs="Times New Roman"/>
          <w:bCs/>
          <w:sz w:val="24"/>
          <w:szCs w:val="24"/>
          <w:lang w:eastAsia="lv-LV"/>
        </w:rPr>
        <w:t>.</w:t>
      </w:r>
    </w:p>
    <w:p w14:paraId="04C5E59A" w14:textId="60C66648" w:rsidR="00C6237D" w:rsidRDefault="00AE3D7E" w:rsidP="002452F2">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9424CB">
        <w:rPr>
          <w:rFonts w:ascii="Times New Roman" w:eastAsia="Times New Roman" w:hAnsi="Times New Roman" w:cs="Times New Roman"/>
          <w:bCs/>
          <w:sz w:val="24"/>
          <w:szCs w:val="24"/>
          <w:lang w:eastAsia="lv-LV"/>
        </w:rPr>
        <w:t>ai vienkāršotu nodokļu administrēšanu</w:t>
      </w:r>
      <w:r w:rsidR="00D96C10">
        <w:rPr>
          <w:rFonts w:ascii="Times New Roman" w:eastAsia="Times New Roman" w:hAnsi="Times New Roman" w:cs="Times New Roman"/>
          <w:bCs/>
          <w:sz w:val="24"/>
          <w:szCs w:val="24"/>
          <w:lang w:eastAsia="lv-LV"/>
        </w:rPr>
        <w:t>,</w:t>
      </w:r>
      <w:r w:rsidR="00EB67B8" w:rsidRPr="00EB67B8">
        <w:rPr>
          <w:rFonts w:ascii="Times New Roman" w:eastAsia="Times New Roman" w:hAnsi="Times New Roman" w:cs="Times New Roman"/>
          <w:bCs/>
          <w:sz w:val="24"/>
          <w:szCs w:val="24"/>
          <w:lang w:eastAsia="lv-LV"/>
        </w:rPr>
        <w:t xml:space="preserve"> izvērtējama iespēja fiziskām personām, kuras sniedz </w:t>
      </w:r>
      <w:r w:rsidR="007914D9">
        <w:rPr>
          <w:rFonts w:ascii="Times New Roman" w:eastAsia="Times New Roman" w:hAnsi="Times New Roman" w:cs="Times New Roman"/>
          <w:bCs/>
          <w:sz w:val="24"/>
          <w:szCs w:val="24"/>
          <w:lang w:eastAsia="lv-LV"/>
        </w:rPr>
        <w:t xml:space="preserve">pasažieru </w:t>
      </w:r>
      <w:r>
        <w:rPr>
          <w:rFonts w:ascii="Times New Roman" w:eastAsia="Times New Roman" w:hAnsi="Times New Roman" w:cs="Times New Roman"/>
          <w:bCs/>
          <w:sz w:val="24"/>
          <w:szCs w:val="24"/>
          <w:lang w:eastAsia="lv-LV"/>
        </w:rPr>
        <w:t>komerc</w:t>
      </w:r>
      <w:r w:rsidRPr="00AE3D7E">
        <w:rPr>
          <w:rFonts w:ascii="Times New Roman" w:eastAsia="Times New Roman" w:hAnsi="Times New Roman" w:cs="Times New Roman"/>
          <w:bCs/>
          <w:sz w:val="24"/>
          <w:szCs w:val="24"/>
          <w:lang w:eastAsia="lv-LV"/>
        </w:rPr>
        <w:t>pārvadājuma pakalpojumus ar vieglo transportlīdzekli</w:t>
      </w:r>
      <w:r>
        <w:rPr>
          <w:rFonts w:ascii="Times New Roman" w:eastAsia="Times New Roman" w:hAnsi="Times New Roman" w:cs="Times New Roman"/>
          <w:bCs/>
          <w:sz w:val="24"/>
          <w:szCs w:val="24"/>
          <w:lang w:eastAsia="lv-LV"/>
        </w:rPr>
        <w:t xml:space="preserve"> </w:t>
      </w:r>
      <w:r w:rsidR="00EB67B8" w:rsidRPr="00EB67B8">
        <w:rPr>
          <w:rFonts w:ascii="Times New Roman" w:eastAsia="Times New Roman" w:hAnsi="Times New Roman" w:cs="Times New Roman"/>
          <w:bCs/>
          <w:sz w:val="24"/>
          <w:szCs w:val="24"/>
          <w:lang w:eastAsia="lv-LV"/>
        </w:rPr>
        <w:t>sadarbības ekonomikas ietvaros, piemērot vienkāršotu nodokļ</w:t>
      </w:r>
      <w:r w:rsidR="00945AE9">
        <w:rPr>
          <w:rFonts w:ascii="Times New Roman" w:eastAsia="Times New Roman" w:hAnsi="Times New Roman" w:cs="Times New Roman"/>
          <w:bCs/>
          <w:sz w:val="24"/>
          <w:szCs w:val="24"/>
          <w:lang w:eastAsia="lv-LV"/>
        </w:rPr>
        <w:t>u</w:t>
      </w:r>
      <w:r w:rsidR="00EB67B8" w:rsidRPr="00EB67B8">
        <w:rPr>
          <w:rFonts w:ascii="Times New Roman" w:eastAsia="Times New Roman" w:hAnsi="Times New Roman" w:cs="Times New Roman"/>
          <w:bCs/>
          <w:sz w:val="24"/>
          <w:szCs w:val="24"/>
          <w:lang w:eastAsia="lv-LV"/>
        </w:rPr>
        <w:t xml:space="preserve"> nomaksu</w:t>
      </w:r>
      <w:r w:rsidR="00F46235">
        <w:rPr>
          <w:rFonts w:ascii="Times New Roman" w:eastAsia="Times New Roman" w:hAnsi="Times New Roman" w:cs="Times New Roman"/>
          <w:bCs/>
          <w:sz w:val="24"/>
          <w:szCs w:val="24"/>
          <w:lang w:eastAsia="lv-LV"/>
        </w:rPr>
        <w:t>.</w:t>
      </w:r>
      <w:r w:rsidR="009C6BBF">
        <w:rPr>
          <w:rFonts w:ascii="Times New Roman" w:eastAsia="Times New Roman" w:hAnsi="Times New Roman" w:cs="Times New Roman"/>
          <w:bCs/>
          <w:sz w:val="24"/>
          <w:szCs w:val="24"/>
          <w:lang w:eastAsia="lv-LV"/>
        </w:rPr>
        <w:t xml:space="preserve"> </w:t>
      </w:r>
      <w:r w:rsidR="00561B1D" w:rsidRPr="00561B1D">
        <w:rPr>
          <w:rFonts w:ascii="Times New Roman" w:eastAsia="Times New Roman" w:hAnsi="Times New Roman" w:cs="Times New Roman"/>
          <w:bCs/>
          <w:sz w:val="24"/>
          <w:szCs w:val="24"/>
          <w:lang w:eastAsia="lv-LV"/>
        </w:rPr>
        <w:t xml:space="preserve">Izvērtējot iespēju ieviest vienkāršotas nodokļu nomaksas risinājuma ieviešanas iespējas pasažieru komercpārvadājuma pakalpojumos ar vieglo transportlīdzekli sadarbības ekonomikas ietvaros, ir jāņem vērā nodokļu normatīvajos aktos noteiktais regulējums, jo gan juridiskām personām, gan fiziskām personām, kuras piedalās sadarbības ekonomikā, ir jāmaksā nodokļi atbilstoši esošajiem normatīvajiem aktiem nodokļu tiesību jomā.  </w:t>
      </w:r>
    </w:p>
    <w:p w14:paraId="7B80676A" w14:textId="06CCB5C2" w:rsidR="000254FA" w:rsidRDefault="00C6237D" w:rsidP="002452F2">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Jāatzīmē, ka </w:t>
      </w:r>
      <w:r w:rsidR="00D56B7E">
        <w:rPr>
          <w:rFonts w:ascii="Times New Roman" w:eastAsia="Times New Roman" w:hAnsi="Times New Roman" w:cs="Times New Roman"/>
          <w:bCs/>
          <w:sz w:val="24"/>
          <w:szCs w:val="24"/>
          <w:lang w:eastAsia="lv-LV"/>
        </w:rPr>
        <w:t>jau no 2018.gada Igaunijā</w:t>
      </w:r>
      <w:r w:rsidRPr="00C6237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ir spēkā regulējums par </w:t>
      </w:r>
      <w:r w:rsidR="009424CB" w:rsidRPr="00754D85">
        <w:rPr>
          <w:rFonts w:ascii="Times New Roman" w:eastAsia="Times New Roman" w:hAnsi="Times New Roman" w:cs="Times New Roman"/>
          <w:bCs/>
          <w:sz w:val="24"/>
          <w:szCs w:val="24"/>
          <w:lang w:eastAsia="lv-LV"/>
        </w:rPr>
        <w:t>fizis</w:t>
      </w:r>
      <w:r w:rsidR="009424CB">
        <w:rPr>
          <w:rFonts w:ascii="Times New Roman" w:eastAsia="Times New Roman" w:hAnsi="Times New Roman" w:cs="Times New Roman"/>
          <w:bCs/>
          <w:sz w:val="24"/>
          <w:szCs w:val="24"/>
          <w:lang w:eastAsia="lv-LV"/>
        </w:rPr>
        <w:t>ko</w:t>
      </w:r>
      <w:r w:rsidR="009424CB" w:rsidRPr="00754D85">
        <w:rPr>
          <w:rFonts w:ascii="Times New Roman" w:eastAsia="Times New Roman" w:hAnsi="Times New Roman" w:cs="Times New Roman"/>
          <w:bCs/>
          <w:sz w:val="24"/>
          <w:szCs w:val="24"/>
          <w:lang w:eastAsia="lv-LV"/>
        </w:rPr>
        <w:t xml:space="preserve"> perso</w:t>
      </w:r>
      <w:r w:rsidR="009424CB">
        <w:rPr>
          <w:rFonts w:ascii="Times New Roman" w:eastAsia="Times New Roman" w:hAnsi="Times New Roman" w:cs="Times New Roman"/>
          <w:bCs/>
          <w:sz w:val="24"/>
          <w:szCs w:val="24"/>
          <w:lang w:eastAsia="lv-LV"/>
        </w:rPr>
        <w:t>nu</w:t>
      </w:r>
      <w:r w:rsidR="009424CB" w:rsidRPr="009424CB">
        <w:rPr>
          <w:rFonts w:ascii="Times New Roman" w:eastAsia="Times New Roman" w:hAnsi="Times New Roman" w:cs="Times New Roman"/>
          <w:bCs/>
          <w:sz w:val="24"/>
          <w:szCs w:val="24"/>
          <w:lang w:eastAsia="lv-LV"/>
        </w:rPr>
        <w:t xml:space="preserve"> </w:t>
      </w:r>
      <w:r w:rsidR="009424CB">
        <w:rPr>
          <w:rFonts w:ascii="Times New Roman" w:eastAsia="Times New Roman" w:hAnsi="Times New Roman" w:cs="Times New Roman"/>
          <w:bCs/>
          <w:sz w:val="24"/>
          <w:szCs w:val="24"/>
          <w:lang w:eastAsia="lv-LV"/>
        </w:rPr>
        <w:t xml:space="preserve">veiktās </w:t>
      </w:r>
      <w:r w:rsidR="009424CB" w:rsidRPr="009424CB">
        <w:rPr>
          <w:rFonts w:ascii="Times New Roman" w:eastAsia="Times New Roman" w:hAnsi="Times New Roman" w:cs="Times New Roman"/>
          <w:bCs/>
          <w:sz w:val="24"/>
          <w:szCs w:val="24"/>
          <w:lang w:eastAsia="lv-LV"/>
        </w:rPr>
        <w:t>uzņēmējdarbības vienkāršotu aplikšanu ar ienākuma nodokli</w:t>
      </w:r>
      <w:r>
        <w:rPr>
          <w:rFonts w:ascii="Times New Roman" w:eastAsia="Times New Roman" w:hAnsi="Times New Roman" w:cs="Times New Roman"/>
          <w:bCs/>
          <w:sz w:val="24"/>
          <w:szCs w:val="24"/>
          <w:lang w:eastAsia="lv-LV"/>
        </w:rPr>
        <w:t>.</w:t>
      </w:r>
      <w:r>
        <w:rPr>
          <w:rStyle w:val="FootnoteReference"/>
          <w:rFonts w:ascii="Times New Roman" w:eastAsia="Times New Roman" w:hAnsi="Times New Roman" w:cs="Times New Roman"/>
          <w:bCs/>
          <w:sz w:val="24"/>
          <w:szCs w:val="24"/>
          <w:lang w:eastAsia="lv-LV"/>
        </w:rPr>
        <w:footnoteReference w:id="27"/>
      </w:r>
      <w:r w:rsidR="00754D85">
        <w:rPr>
          <w:rFonts w:ascii="Times New Roman" w:eastAsia="Times New Roman" w:hAnsi="Times New Roman" w:cs="Times New Roman"/>
          <w:bCs/>
          <w:sz w:val="24"/>
          <w:szCs w:val="24"/>
          <w:lang w:eastAsia="lv-LV"/>
        </w:rPr>
        <w:t xml:space="preserve"> Pastāv dažādi ierobežojumi (personas nenodarbina citus, sniedz pakalpojumus tikai fiziskām personām, apgrozījumam līdz 25 tūkst. EUR likme ir 20%, jā pārsniedz, tad 40%, persona nav PVN maksātājs). Nodokļa </w:t>
      </w:r>
      <w:r w:rsidR="00333C71">
        <w:rPr>
          <w:rFonts w:ascii="Times New Roman" w:eastAsia="Times New Roman" w:hAnsi="Times New Roman" w:cs="Times New Roman"/>
          <w:bCs/>
          <w:sz w:val="24"/>
          <w:szCs w:val="24"/>
          <w:lang w:eastAsia="lv-LV"/>
        </w:rPr>
        <w:t>piemērošanai</w:t>
      </w:r>
      <w:r w:rsidR="00754D85">
        <w:rPr>
          <w:rFonts w:ascii="Times New Roman" w:eastAsia="Times New Roman" w:hAnsi="Times New Roman" w:cs="Times New Roman"/>
          <w:bCs/>
          <w:sz w:val="24"/>
          <w:szCs w:val="24"/>
          <w:lang w:eastAsia="lv-LV"/>
        </w:rPr>
        <w:t xml:space="preserve"> persona atver īpašu kontu banka un izmanto kontu tikai ieņēmumiem (bezskaidras vai skaidras naudas iemaksām). Banka </w:t>
      </w:r>
      <w:r w:rsidR="003F6773">
        <w:rPr>
          <w:rFonts w:ascii="Times New Roman" w:eastAsia="Times New Roman" w:hAnsi="Times New Roman" w:cs="Times New Roman"/>
          <w:bCs/>
          <w:sz w:val="24"/>
          <w:szCs w:val="24"/>
          <w:lang w:eastAsia="lv-LV"/>
        </w:rPr>
        <w:t xml:space="preserve">apmainās ar  </w:t>
      </w:r>
      <w:r w:rsidR="00754D85">
        <w:rPr>
          <w:rFonts w:ascii="Times New Roman" w:eastAsia="Times New Roman" w:hAnsi="Times New Roman" w:cs="Times New Roman"/>
          <w:bCs/>
          <w:sz w:val="24"/>
          <w:szCs w:val="24"/>
          <w:lang w:eastAsia="lv-LV"/>
        </w:rPr>
        <w:t xml:space="preserve">nodokļu administrāciju </w:t>
      </w:r>
      <w:r w:rsidR="003F6773" w:rsidRPr="003F6773">
        <w:rPr>
          <w:rFonts w:ascii="Times New Roman" w:eastAsia="Times New Roman" w:hAnsi="Times New Roman" w:cs="Times New Roman"/>
          <w:bCs/>
          <w:sz w:val="24"/>
          <w:szCs w:val="24"/>
          <w:lang w:eastAsia="lv-LV"/>
        </w:rPr>
        <w:t xml:space="preserve">ar informāciju gan </w:t>
      </w:r>
      <w:r w:rsidR="00754D85">
        <w:rPr>
          <w:rFonts w:ascii="Times New Roman" w:eastAsia="Times New Roman" w:hAnsi="Times New Roman" w:cs="Times New Roman"/>
          <w:bCs/>
          <w:sz w:val="24"/>
          <w:szCs w:val="24"/>
          <w:lang w:eastAsia="lv-LV"/>
        </w:rPr>
        <w:t>par šādu kontu</w:t>
      </w:r>
      <w:r w:rsidR="003F6773">
        <w:rPr>
          <w:rFonts w:ascii="Times New Roman" w:eastAsia="Times New Roman" w:hAnsi="Times New Roman" w:cs="Times New Roman"/>
          <w:bCs/>
          <w:sz w:val="24"/>
          <w:szCs w:val="24"/>
          <w:lang w:eastAsia="lv-LV"/>
        </w:rPr>
        <w:t xml:space="preserve">, </w:t>
      </w:r>
      <w:r w:rsidR="003F6773" w:rsidRPr="003F6773">
        <w:rPr>
          <w:rFonts w:ascii="Times New Roman" w:eastAsia="Times New Roman" w:hAnsi="Times New Roman" w:cs="Times New Roman"/>
          <w:bCs/>
          <w:sz w:val="24"/>
          <w:szCs w:val="24"/>
          <w:lang w:eastAsia="lv-LV"/>
        </w:rPr>
        <w:t>gan par katru kontā saņemto maksājumu</w:t>
      </w:r>
      <w:r w:rsidR="00754D85">
        <w:rPr>
          <w:rFonts w:ascii="Times New Roman" w:eastAsia="Times New Roman" w:hAnsi="Times New Roman" w:cs="Times New Roman"/>
          <w:bCs/>
          <w:sz w:val="24"/>
          <w:szCs w:val="24"/>
          <w:lang w:eastAsia="lv-LV"/>
        </w:rPr>
        <w:t xml:space="preserve">. </w:t>
      </w:r>
      <w:r w:rsidR="002452F2">
        <w:rPr>
          <w:rFonts w:ascii="Times New Roman" w:eastAsia="Times New Roman" w:hAnsi="Times New Roman" w:cs="Times New Roman"/>
          <w:bCs/>
          <w:sz w:val="24"/>
          <w:szCs w:val="24"/>
          <w:lang w:eastAsia="lv-LV"/>
        </w:rPr>
        <w:t>Banka</w:t>
      </w:r>
      <w:r w:rsidR="00371E14">
        <w:rPr>
          <w:rFonts w:ascii="Times New Roman" w:eastAsia="Times New Roman" w:hAnsi="Times New Roman" w:cs="Times New Roman"/>
          <w:bCs/>
          <w:sz w:val="24"/>
          <w:szCs w:val="24"/>
          <w:lang w:eastAsia="lv-LV"/>
        </w:rPr>
        <w:t xml:space="preserve">, </w:t>
      </w:r>
      <w:r w:rsidR="00371E14" w:rsidRPr="00371E14">
        <w:rPr>
          <w:rFonts w:ascii="Times New Roman" w:eastAsia="Times New Roman" w:hAnsi="Times New Roman" w:cs="Times New Roman"/>
          <w:bCs/>
          <w:sz w:val="24"/>
          <w:szCs w:val="24"/>
          <w:lang w:eastAsia="lv-LV"/>
        </w:rPr>
        <w:t>pamatojoties uz saņemto informāciju no nodokļu administrācijas,</w:t>
      </w:r>
      <w:r w:rsidR="002452F2">
        <w:rPr>
          <w:rFonts w:ascii="Times New Roman" w:eastAsia="Times New Roman" w:hAnsi="Times New Roman" w:cs="Times New Roman"/>
          <w:bCs/>
          <w:sz w:val="24"/>
          <w:szCs w:val="24"/>
          <w:lang w:eastAsia="lv-LV"/>
        </w:rPr>
        <w:t xml:space="preserve"> </w:t>
      </w:r>
      <w:r w:rsidR="00754D85">
        <w:rPr>
          <w:rFonts w:ascii="Times New Roman" w:eastAsia="Times New Roman" w:hAnsi="Times New Roman" w:cs="Times New Roman"/>
          <w:bCs/>
          <w:sz w:val="24"/>
          <w:szCs w:val="24"/>
          <w:lang w:eastAsia="lv-LV"/>
        </w:rPr>
        <w:t xml:space="preserve">ietur </w:t>
      </w:r>
      <w:r w:rsidR="002452F2">
        <w:rPr>
          <w:rFonts w:ascii="Times New Roman" w:eastAsia="Times New Roman" w:hAnsi="Times New Roman" w:cs="Times New Roman"/>
          <w:bCs/>
          <w:sz w:val="24"/>
          <w:szCs w:val="24"/>
          <w:lang w:eastAsia="lv-LV"/>
        </w:rPr>
        <w:t xml:space="preserve">(rezervē) nodokļa apmēru </w:t>
      </w:r>
      <w:r w:rsidR="00754D85">
        <w:rPr>
          <w:rFonts w:ascii="Times New Roman" w:eastAsia="Times New Roman" w:hAnsi="Times New Roman" w:cs="Times New Roman"/>
          <w:bCs/>
          <w:sz w:val="24"/>
          <w:szCs w:val="24"/>
          <w:lang w:eastAsia="lv-LV"/>
        </w:rPr>
        <w:t xml:space="preserve">no </w:t>
      </w:r>
      <w:r w:rsidR="002452F2">
        <w:rPr>
          <w:rFonts w:ascii="Times New Roman" w:eastAsia="Times New Roman" w:hAnsi="Times New Roman" w:cs="Times New Roman"/>
          <w:bCs/>
          <w:sz w:val="24"/>
          <w:szCs w:val="24"/>
          <w:lang w:eastAsia="lv-LV"/>
        </w:rPr>
        <w:t xml:space="preserve">katras ienākošās summas un pārskaita vienu reizi līdz 10.datumam valsts budžetā. Pašai fiziskai personai nav jāiesniedz ne deklarācijas, ne citas formalitātes jākārto. </w:t>
      </w:r>
      <w:r w:rsidR="002452F2" w:rsidRPr="00754D85">
        <w:rPr>
          <w:rFonts w:ascii="Times New Roman" w:eastAsia="Times New Roman" w:hAnsi="Times New Roman" w:cs="Times New Roman"/>
          <w:bCs/>
          <w:sz w:val="24"/>
          <w:szCs w:val="24"/>
          <w:lang w:eastAsia="lv-LV"/>
        </w:rPr>
        <w:t>P</w:t>
      </w:r>
      <w:r w:rsidR="00754D85" w:rsidRPr="00754D85">
        <w:rPr>
          <w:rFonts w:ascii="Times New Roman" w:eastAsia="Times New Roman" w:hAnsi="Times New Roman" w:cs="Times New Roman"/>
          <w:bCs/>
          <w:sz w:val="24"/>
          <w:szCs w:val="24"/>
          <w:lang w:eastAsia="lv-LV"/>
        </w:rPr>
        <w:t>raksē</w:t>
      </w:r>
      <w:r w:rsidR="002452F2">
        <w:rPr>
          <w:rFonts w:ascii="Times New Roman" w:eastAsia="Times New Roman" w:hAnsi="Times New Roman" w:cs="Times New Roman"/>
          <w:bCs/>
          <w:sz w:val="24"/>
          <w:szCs w:val="24"/>
          <w:lang w:eastAsia="lv-LV"/>
        </w:rPr>
        <w:t xml:space="preserve"> pagaidām </w:t>
      </w:r>
      <w:r w:rsidR="00754D85" w:rsidRPr="00754D85">
        <w:rPr>
          <w:rFonts w:ascii="Times New Roman" w:eastAsia="Times New Roman" w:hAnsi="Times New Roman" w:cs="Times New Roman"/>
          <w:bCs/>
          <w:sz w:val="24"/>
          <w:szCs w:val="24"/>
          <w:lang w:eastAsia="lv-LV"/>
        </w:rPr>
        <w:t xml:space="preserve">tikai viena </w:t>
      </w:r>
      <w:r w:rsidR="00D244D9">
        <w:rPr>
          <w:rFonts w:ascii="Times New Roman" w:eastAsia="Times New Roman" w:hAnsi="Times New Roman" w:cs="Times New Roman"/>
          <w:bCs/>
          <w:sz w:val="24"/>
          <w:szCs w:val="24"/>
          <w:lang w:eastAsia="lv-LV"/>
        </w:rPr>
        <w:t xml:space="preserve">kredītiestāde </w:t>
      </w:r>
      <w:r w:rsidR="00754D85" w:rsidRPr="00754D85">
        <w:rPr>
          <w:rFonts w:ascii="Times New Roman" w:eastAsia="Times New Roman" w:hAnsi="Times New Roman" w:cs="Times New Roman"/>
          <w:bCs/>
          <w:sz w:val="24"/>
          <w:szCs w:val="24"/>
          <w:lang w:eastAsia="lv-LV"/>
        </w:rPr>
        <w:t xml:space="preserve">plāno piedāvāt </w:t>
      </w:r>
      <w:r w:rsidR="002452F2">
        <w:rPr>
          <w:rFonts w:ascii="Times New Roman" w:eastAsia="Times New Roman" w:hAnsi="Times New Roman" w:cs="Times New Roman"/>
          <w:bCs/>
          <w:sz w:val="24"/>
          <w:szCs w:val="24"/>
          <w:lang w:eastAsia="lv-LV"/>
        </w:rPr>
        <w:t>šādu pakalpojumu</w:t>
      </w:r>
      <w:r w:rsidR="00754D85" w:rsidRPr="00754D85">
        <w:rPr>
          <w:rFonts w:ascii="Times New Roman" w:eastAsia="Times New Roman" w:hAnsi="Times New Roman" w:cs="Times New Roman"/>
          <w:bCs/>
          <w:sz w:val="24"/>
          <w:szCs w:val="24"/>
          <w:lang w:eastAsia="lv-LV"/>
        </w:rPr>
        <w:t>.</w:t>
      </w:r>
      <w:r w:rsidR="0084299C">
        <w:rPr>
          <w:rFonts w:ascii="Times New Roman" w:eastAsia="Times New Roman" w:hAnsi="Times New Roman" w:cs="Times New Roman"/>
          <w:bCs/>
          <w:sz w:val="24"/>
          <w:szCs w:val="24"/>
          <w:lang w:eastAsia="lv-LV"/>
        </w:rPr>
        <w:t xml:space="preserve"> </w:t>
      </w:r>
    </w:p>
    <w:p w14:paraId="089A56CD" w14:textId="18DE7EEB" w:rsidR="00EB67B8" w:rsidRPr="00EB67B8" w:rsidRDefault="00F33CAD" w:rsidP="002452F2">
      <w:pPr>
        <w:spacing w:after="0" w:line="240" w:lineRule="auto"/>
        <w:ind w:firstLine="709"/>
        <w:jc w:val="both"/>
        <w:rPr>
          <w:rFonts w:ascii="Times New Roman" w:eastAsia="Times New Roman" w:hAnsi="Times New Roman" w:cs="Times New Roman"/>
          <w:bCs/>
          <w:sz w:val="24"/>
          <w:szCs w:val="24"/>
          <w:lang w:eastAsia="lv-LV"/>
        </w:rPr>
      </w:pPr>
      <w:r w:rsidRPr="00F33CAD">
        <w:rPr>
          <w:rFonts w:ascii="Times New Roman" w:eastAsia="Times New Roman" w:hAnsi="Times New Roman" w:cs="Times New Roman"/>
          <w:bCs/>
          <w:sz w:val="24"/>
          <w:szCs w:val="24"/>
          <w:lang w:eastAsia="lv-LV"/>
        </w:rPr>
        <w:t xml:space="preserve">Finanšu ministrija, ievērojot Valsts nodokļu politikas pamatnostādnes 2018.-2021.gadam, turpina darbu pie saimnieciskās darbības ieņēmumu konta risinājuma, </w:t>
      </w:r>
      <w:r w:rsidR="00B6392B">
        <w:rPr>
          <w:rFonts w:ascii="Times New Roman" w:eastAsia="Times New Roman" w:hAnsi="Times New Roman" w:cs="Times New Roman"/>
          <w:bCs/>
          <w:sz w:val="24"/>
          <w:szCs w:val="24"/>
          <w:lang w:eastAsia="lv-LV"/>
        </w:rPr>
        <w:t>t</w:t>
      </w:r>
      <w:r w:rsidRPr="00F33CAD">
        <w:rPr>
          <w:rFonts w:ascii="Times New Roman" w:eastAsia="Times New Roman" w:hAnsi="Times New Roman" w:cs="Times New Roman"/>
          <w:bCs/>
          <w:sz w:val="24"/>
          <w:szCs w:val="24"/>
          <w:lang w:eastAsia="lv-LV"/>
        </w:rPr>
        <w:t>.i., brīvprātīga risinājuma nodokļu maksātājiem, kuri maksā nodokli no apgrozījuma, izstrādes un nosacījumu definēšanas</w:t>
      </w:r>
      <w:r>
        <w:rPr>
          <w:rFonts w:ascii="Times New Roman" w:eastAsia="Times New Roman" w:hAnsi="Times New Roman" w:cs="Times New Roman"/>
          <w:bCs/>
          <w:sz w:val="24"/>
          <w:szCs w:val="24"/>
          <w:lang w:eastAsia="lv-LV"/>
        </w:rPr>
        <w:t xml:space="preserve">. </w:t>
      </w:r>
      <w:r w:rsidR="0084299C">
        <w:rPr>
          <w:rFonts w:ascii="Times New Roman" w:eastAsia="Times New Roman" w:hAnsi="Times New Roman" w:cs="Times New Roman"/>
          <w:bCs/>
          <w:sz w:val="24"/>
          <w:szCs w:val="24"/>
          <w:lang w:eastAsia="lv-LV"/>
        </w:rPr>
        <w:t xml:space="preserve">Diemžēl, pagaidām </w:t>
      </w:r>
      <w:r w:rsidR="0084299C" w:rsidRPr="0084299C">
        <w:rPr>
          <w:rFonts w:ascii="Times New Roman" w:eastAsia="Times New Roman" w:hAnsi="Times New Roman" w:cs="Times New Roman"/>
          <w:bCs/>
          <w:sz w:val="24"/>
          <w:szCs w:val="24"/>
          <w:lang w:eastAsia="lv-LV"/>
        </w:rPr>
        <w:t xml:space="preserve">Latvijā neviena no kredītiestādēm līdz šim nav piekritusi izstrādāt un piedāvāt tehnisko atbalstu saimnieciskās darbības ieņēmumu konta risinājuma īstenošanai, tikai atsevišķas kredītiestādes vērtē plānoto risinājumu un sniegs atbildi par to, vai tās ir ieinteresētas minēto atbalstīt. </w:t>
      </w:r>
    </w:p>
    <w:p w14:paraId="30E29878" w14:textId="1DA4E566" w:rsidR="00DD3A5E" w:rsidRPr="00F93748" w:rsidRDefault="00DD3A5E" w:rsidP="00DD3A5E">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Komersanti</w:t>
      </w:r>
      <w:r w:rsidRPr="00F93748">
        <w:rPr>
          <w:rFonts w:ascii="Times New Roman" w:eastAsia="Times New Roman" w:hAnsi="Times New Roman" w:cs="Times New Roman"/>
          <w:bCs/>
          <w:sz w:val="24"/>
          <w:szCs w:val="24"/>
          <w:lang w:eastAsia="lv-LV"/>
        </w:rPr>
        <w:t xml:space="preserve">, kuri sniedz </w:t>
      </w:r>
      <w:r w:rsidR="002159D6" w:rsidRPr="00350EFE">
        <w:rPr>
          <w:rFonts w:ascii="Times New Roman" w:eastAsia="Times New Roman" w:hAnsi="Times New Roman" w:cs="Times New Roman"/>
          <w:bCs/>
          <w:sz w:val="24"/>
          <w:szCs w:val="24"/>
          <w:lang w:eastAsia="lv-LV"/>
        </w:rPr>
        <w:t>tiešsaistes platformas</w:t>
      </w:r>
      <w:r w:rsidR="002159D6" w:rsidRPr="00F93748">
        <w:rPr>
          <w:rFonts w:ascii="Times New Roman" w:eastAsia="Times New Roman" w:hAnsi="Times New Roman" w:cs="Times New Roman"/>
          <w:bCs/>
          <w:sz w:val="24"/>
          <w:szCs w:val="24"/>
          <w:lang w:eastAsia="lv-LV"/>
        </w:rPr>
        <w:t xml:space="preserve"> </w:t>
      </w:r>
      <w:r w:rsidRPr="00F93748">
        <w:rPr>
          <w:rFonts w:ascii="Times New Roman" w:eastAsia="Times New Roman" w:hAnsi="Times New Roman" w:cs="Times New Roman"/>
          <w:bCs/>
          <w:sz w:val="24"/>
          <w:szCs w:val="24"/>
          <w:lang w:eastAsia="lv-LV"/>
        </w:rPr>
        <w:t>pakalpojumus sadarbības ekonomikas ietvaros pēc būtības ir starpnieki pakalpojuma nodrošināšanai, tādēļ tie maksā nodokļus par saviem ienākumiem.</w:t>
      </w:r>
    </w:p>
    <w:p w14:paraId="58648B1C" w14:textId="656701CB" w:rsidR="00D56273" w:rsidRPr="00F93748" w:rsidRDefault="00D56273" w:rsidP="00D56273">
      <w:pPr>
        <w:spacing w:after="0" w:line="240" w:lineRule="auto"/>
        <w:ind w:firstLine="709"/>
        <w:jc w:val="both"/>
        <w:rPr>
          <w:rFonts w:ascii="Times New Roman" w:eastAsia="Times New Roman" w:hAnsi="Times New Roman" w:cs="Times New Roman"/>
          <w:bCs/>
          <w:sz w:val="24"/>
          <w:szCs w:val="24"/>
          <w:lang w:eastAsia="lv-LV"/>
        </w:rPr>
      </w:pPr>
      <w:r w:rsidRPr="00F93748">
        <w:rPr>
          <w:rFonts w:ascii="Times New Roman" w:eastAsia="Times New Roman" w:hAnsi="Times New Roman" w:cs="Times New Roman"/>
          <w:bCs/>
          <w:sz w:val="24"/>
          <w:szCs w:val="24"/>
          <w:lang w:eastAsia="lv-LV"/>
        </w:rPr>
        <w:t>Preču pārdošanas un pakalpojumu sniegšanas darījumu noformēšanā ir jāizmanto atbilstoši attaisnojuma dokumenti. Atbilstoši regulējumam pamatā izmantojami attiecīgi noformēti kases čeki. Regulējums paredz, ka attaisnojuma dokuments var būt arī elektroniskā formā, tomēr ir noteikti ierobežojumi (tam jābūt parakstītam ar elektronisko parakstu, saimnieciskā darījuma esamību jāpamato ar citu ārējo dokument</w:t>
      </w:r>
      <w:r w:rsidR="00231C56" w:rsidRPr="00F93748">
        <w:rPr>
          <w:rFonts w:ascii="Times New Roman" w:eastAsia="Times New Roman" w:hAnsi="Times New Roman" w:cs="Times New Roman"/>
          <w:bCs/>
          <w:sz w:val="24"/>
          <w:szCs w:val="24"/>
          <w:lang w:eastAsia="lv-LV"/>
        </w:rPr>
        <w:t>u</w:t>
      </w:r>
      <w:r w:rsidRPr="00F93748">
        <w:rPr>
          <w:rFonts w:ascii="Times New Roman" w:eastAsia="Times New Roman" w:hAnsi="Times New Roman" w:cs="Times New Roman"/>
          <w:bCs/>
          <w:sz w:val="24"/>
          <w:szCs w:val="24"/>
          <w:lang w:eastAsia="lv-LV"/>
        </w:rPr>
        <w:t>, kam ir juridisks spēks</w:t>
      </w:r>
      <w:r w:rsidR="00231C56" w:rsidRPr="00F93748">
        <w:rPr>
          <w:rFonts w:ascii="Times New Roman" w:eastAsia="Times New Roman" w:hAnsi="Times New Roman" w:cs="Times New Roman"/>
          <w:bCs/>
          <w:sz w:val="24"/>
          <w:szCs w:val="24"/>
          <w:lang w:eastAsia="lv-LV"/>
        </w:rPr>
        <w:t>,</w:t>
      </w:r>
      <w:r w:rsidRPr="00F93748">
        <w:rPr>
          <w:rFonts w:ascii="Times New Roman" w:eastAsia="Times New Roman" w:hAnsi="Times New Roman" w:cs="Times New Roman"/>
          <w:bCs/>
          <w:sz w:val="24"/>
          <w:szCs w:val="24"/>
          <w:lang w:eastAsia="lv-LV"/>
        </w:rPr>
        <w:t xml:space="preserve"> vai attaisnojuma dokumentā sniegtās informācijas pareizību jāapliecina dokumenta saņēmēja (uzņēmuma) atbildīg</w:t>
      </w:r>
      <w:r w:rsidR="00231C56" w:rsidRPr="00F93748">
        <w:rPr>
          <w:rFonts w:ascii="Times New Roman" w:eastAsia="Times New Roman" w:hAnsi="Times New Roman" w:cs="Times New Roman"/>
          <w:bCs/>
          <w:sz w:val="24"/>
          <w:szCs w:val="24"/>
          <w:lang w:eastAsia="lv-LV"/>
        </w:rPr>
        <w:t>ajai</w:t>
      </w:r>
      <w:r w:rsidRPr="00F93748">
        <w:rPr>
          <w:rFonts w:ascii="Times New Roman" w:eastAsia="Times New Roman" w:hAnsi="Times New Roman" w:cs="Times New Roman"/>
          <w:bCs/>
          <w:sz w:val="24"/>
          <w:szCs w:val="24"/>
          <w:lang w:eastAsia="lv-LV"/>
        </w:rPr>
        <w:t xml:space="preserve"> personai). Atbilstoši likuma “Par nodokļiem un nodevām” 28.</w:t>
      </w:r>
      <w:r w:rsidRPr="00F93748">
        <w:rPr>
          <w:rFonts w:ascii="Times New Roman" w:eastAsia="Times New Roman" w:hAnsi="Times New Roman" w:cs="Times New Roman"/>
          <w:bCs/>
          <w:sz w:val="24"/>
          <w:szCs w:val="24"/>
          <w:vertAlign w:val="superscript"/>
          <w:lang w:eastAsia="lv-LV"/>
        </w:rPr>
        <w:t>1</w:t>
      </w:r>
      <w:r w:rsidRPr="00F93748">
        <w:rPr>
          <w:rFonts w:ascii="Times New Roman" w:eastAsia="Times New Roman" w:hAnsi="Times New Roman" w:cs="Times New Roman"/>
          <w:bCs/>
          <w:sz w:val="24"/>
          <w:szCs w:val="24"/>
          <w:lang w:eastAsia="lv-LV"/>
        </w:rPr>
        <w:t>panta 4.</w:t>
      </w:r>
      <w:r w:rsidRPr="00F93748">
        <w:rPr>
          <w:rFonts w:ascii="Times New Roman" w:eastAsia="Times New Roman" w:hAnsi="Times New Roman" w:cs="Times New Roman"/>
          <w:bCs/>
          <w:sz w:val="24"/>
          <w:szCs w:val="24"/>
          <w:vertAlign w:val="superscript"/>
          <w:lang w:eastAsia="lv-LV"/>
        </w:rPr>
        <w:t>1</w:t>
      </w:r>
      <w:r w:rsidRPr="00F93748">
        <w:rPr>
          <w:rFonts w:ascii="Times New Roman" w:eastAsia="Times New Roman" w:hAnsi="Times New Roman" w:cs="Times New Roman"/>
          <w:bCs/>
          <w:sz w:val="24"/>
          <w:szCs w:val="24"/>
          <w:lang w:eastAsia="lv-LV"/>
        </w:rPr>
        <w:t xml:space="preserve">daļai nodokļu maksātāji drīkst lietot elektroniskās ierīces un iekārtas, kuras atbilst nodokļu un citu maksājumu reģistrēšanas elektronisko ierīču un iekārtu tehniskajām prasībām un kurām ir veikta atbilstības pārbaude. </w:t>
      </w:r>
    </w:p>
    <w:p w14:paraId="3C67F6E1" w14:textId="1681D361" w:rsidR="00D56273" w:rsidRPr="00F93748" w:rsidRDefault="00D56273" w:rsidP="00D56273">
      <w:pPr>
        <w:spacing w:after="0" w:line="240" w:lineRule="auto"/>
        <w:ind w:firstLine="709"/>
        <w:jc w:val="both"/>
        <w:rPr>
          <w:rFonts w:ascii="Times New Roman" w:eastAsia="Times New Roman" w:hAnsi="Times New Roman" w:cs="Times New Roman"/>
          <w:bCs/>
          <w:sz w:val="24"/>
          <w:szCs w:val="24"/>
          <w:lang w:eastAsia="lv-LV"/>
        </w:rPr>
      </w:pPr>
      <w:r w:rsidRPr="00F93748">
        <w:rPr>
          <w:rFonts w:ascii="Times New Roman" w:eastAsia="Times New Roman" w:hAnsi="Times New Roman" w:cs="Times New Roman"/>
          <w:bCs/>
          <w:sz w:val="24"/>
          <w:szCs w:val="24"/>
          <w:lang w:eastAsia="lv-LV"/>
        </w:rPr>
        <w:lastRenderedPageBreak/>
        <w:t>Iepriekš minēt</w:t>
      </w:r>
      <w:r w:rsidR="007E6EAB" w:rsidRPr="00F93748">
        <w:rPr>
          <w:rFonts w:ascii="Times New Roman" w:eastAsia="Times New Roman" w:hAnsi="Times New Roman" w:cs="Times New Roman"/>
          <w:bCs/>
          <w:sz w:val="24"/>
          <w:szCs w:val="24"/>
          <w:lang w:eastAsia="lv-LV"/>
        </w:rPr>
        <w:t xml:space="preserve">ās normas </w:t>
      </w:r>
      <w:r w:rsidRPr="00F93748">
        <w:rPr>
          <w:rFonts w:ascii="Times New Roman" w:eastAsia="Times New Roman" w:hAnsi="Times New Roman" w:cs="Times New Roman"/>
          <w:bCs/>
          <w:sz w:val="24"/>
          <w:szCs w:val="24"/>
          <w:lang w:eastAsia="lv-LV"/>
        </w:rPr>
        <w:t>nebūtu attiecināma</w:t>
      </w:r>
      <w:r w:rsidR="007218C2" w:rsidRPr="00F93748">
        <w:rPr>
          <w:rFonts w:ascii="Times New Roman" w:eastAsia="Times New Roman" w:hAnsi="Times New Roman" w:cs="Times New Roman"/>
          <w:bCs/>
          <w:sz w:val="24"/>
          <w:szCs w:val="24"/>
          <w:lang w:eastAsia="lv-LV"/>
        </w:rPr>
        <w:t>s</w:t>
      </w:r>
      <w:r w:rsidRPr="00F93748">
        <w:rPr>
          <w:rFonts w:ascii="Times New Roman" w:eastAsia="Times New Roman" w:hAnsi="Times New Roman" w:cs="Times New Roman"/>
          <w:bCs/>
          <w:sz w:val="24"/>
          <w:szCs w:val="24"/>
          <w:lang w:eastAsia="lv-LV"/>
        </w:rPr>
        <w:t xml:space="preserve"> uz sadarbības ekonomikas darījumu apliecināšanu, kurā darījumu uzskaite un pierādīšana tiek nodrošināta ar tiešsaistes platformu starpniecību, proti, darījumu apliecinošs attaisnojuma dokuments tiek automātiski nosūtīts pakalpojuma saņēmējam elektroniski pēc nepieciešamības un nav nepieciešams vēl īpašas vienošanās pirms tam vai citi apliecinājumi, kā arī nebūtu nepieciešami elektroniskās ierīces un iekārtas (kases aparāti), kas dubultā nodrošinātu pakalpojuma uzskaiti un čeka sagatavošanu.</w:t>
      </w:r>
      <w:r w:rsidR="00A2546B" w:rsidRPr="00F93748">
        <w:rPr>
          <w:rFonts w:ascii="Times New Roman" w:eastAsia="Times New Roman" w:hAnsi="Times New Roman" w:cs="Times New Roman"/>
          <w:bCs/>
          <w:sz w:val="24"/>
          <w:szCs w:val="24"/>
          <w:lang w:eastAsia="lv-LV"/>
        </w:rPr>
        <w:t xml:space="preserve"> Tā vietā nepieciešams pilnveidot regulējumu, kas uzliek par pienākumu sadarbības platformām nosūtīt nepieciešamo informāciju par veiktajiem darījumiem </w:t>
      </w:r>
      <w:r w:rsidR="00D52E80" w:rsidRPr="00F93748">
        <w:rPr>
          <w:rFonts w:ascii="Times New Roman" w:eastAsia="Times New Roman" w:hAnsi="Times New Roman" w:cs="Times New Roman"/>
          <w:bCs/>
          <w:sz w:val="24"/>
          <w:szCs w:val="24"/>
          <w:lang w:eastAsia="lv-LV"/>
        </w:rPr>
        <w:t>VID</w:t>
      </w:r>
      <w:r w:rsidR="00A2546B" w:rsidRPr="00F93748">
        <w:rPr>
          <w:rFonts w:ascii="Times New Roman" w:eastAsia="Times New Roman" w:hAnsi="Times New Roman" w:cs="Times New Roman"/>
          <w:bCs/>
          <w:sz w:val="24"/>
          <w:szCs w:val="24"/>
          <w:lang w:eastAsia="lv-LV"/>
        </w:rPr>
        <w:t>. Tas ļaus vienkāršot nodokļu administrēšanu, neprasot papildu informāciju pakalpojuma sniedzējiem un ienākuma guvējiem, kā arī mazinās izvairīšanos no nodokļiem.</w:t>
      </w:r>
    </w:p>
    <w:p w14:paraId="3813AC76" w14:textId="251DF704" w:rsidR="00EB67B8" w:rsidRPr="00C50AD8" w:rsidRDefault="00EB67B8" w:rsidP="003933F5">
      <w:pPr>
        <w:spacing w:after="0" w:line="240" w:lineRule="auto"/>
        <w:rPr>
          <w:rFonts w:ascii="Times New Roman" w:eastAsia="Times New Roman" w:hAnsi="Times New Roman" w:cs="Times New Roman"/>
          <w:b/>
          <w:sz w:val="28"/>
          <w:szCs w:val="28"/>
          <w:lang w:eastAsia="lv-LV"/>
        </w:rPr>
      </w:pPr>
    </w:p>
    <w:p w14:paraId="338C2F55" w14:textId="2A9EEACD" w:rsidR="004C75CC" w:rsidRPr="003329B0" w:rsidRDefault="004C75CC" w:rsidP="00724BE3">
      <w:pPr>
        <w:spacing w:after="0" w:line="240" w:lineRule="auto"/>
        <w:ind w:firstLine="709"/>
        <w:jc w:val="center"/>
        <w:rPr>
          <w:rFonts w:ascii="Times New Roman" w:eastAsia="Times New Roman" w:hAnsi="Times New Roman" w:cs="Times New Roman"/>
          <w:b/>
          <w:sz w:val="24"/>
          <w:szCs w:val="24"/>
          <w:lang w:eastAsia="lv-LV"/>
        </w:rPr>
      </w:pPr>
      <w:r w:rsidRPr="003329B0">
        <w:rPr>
          <w:rFonts w:ascii="Times New Roman" w:eastAsia="Times New Roman" w:hAnsi="Times New Roman" w:cs="Times New Roman"/>
          <w:b/>
          <w:sz w:val="24"/>
          <w:szCs w:val="24"/>
          <w:lang w:eastAsia="lv-LV"/>
        </w:rPr>
        <w:t>3.</w:t>
      </w:r>
      <w:r w:rsidR="008F53F0" w:rsidRPr="003329B0">
        <w:rPr>
          <w:rFonts w:ascii="Times New Roman" w:eastAsia="Times New Roman" w:hAnsi="Times New Roman" w:cs="Times New Roman"/>
          <w:b/>
          <w:sz w:val="24"/>
          <w:szCs w:val="24"/>
          <w:lang w:eastAsia="lv-LV"/>
        </w:rPr>
        <w:t> </w:t>
      </w:r>
      <w:r w:rsidRPr="003329B0">
        <w:rPr>
          <w:rFonts w:ascii="Times New Roman" w:eastAsia="Times New Roman" w:hAnsi="Times New Roman" w:cs="Times New Roman"/>
          <w:b/>
          <w:sz w:val="24"/>
          <w:szCs w:val="24"/>
          <w:lang w:eastAsia="lv-LV"/>
        </w:rPr>
        <w:t xml:space="preserve">Piedāvātais risinājums </w:t>
      </w:r>
    </w:p>
    <w:p w14:paraId="240096C3" w14:textId="77777777" w:rsidR="009012BD" w:rsidRPr="005B4E95" w:rsidRDefault="009012BD" w:rsidP="00B404D4">
      <w:pPr>
        <w:shd w:val="clear" w:color="auto" w:fill="FFFFFF" w:themeFill="background1"/>
        <w:spacing w:after="0" w:line="240" w:lineRule="auto"/>
        <w:ind w:firstLine="709"/>
        <w:jc w:val="center"/>
        <w:rPr>
          <w:rFonts w:ascii="Times New Roman" w:eastAsia="Times New Roman" w:hAnsi="Times New Roman" w:cs="Times New Roman"/>
          <w:b/>
          <w:sz w:val="24"/>
          <w:szCs w:val="24"/>
          <w:lang w:eastAsia="lv-LV"/>
        </w:rPr>
      </w:pPr>
    </w:p>
    <w:p w14:paraId="172BF1CB" w14:textId="6763BFD5" w:rsidR="0029277C" w:rsidRDefault="007218C2" w:rsidP="00B404D4">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lv-LV"/>
        </w:rPr>
      </w:pPr>
      <w:r w:rsidRPr="005B4E95">
        <w:rPr>
          <w:rFonts w:ascii="Times New Roman" w:eastAsia="Times New Roman" w:hAnsi="Times New Roman" w:cs="Times New Roman"/>
          <w:bCs/>
          <w:sz w:val="24"/>
          <w:szCs w:val="24"/>
          <w:shd w:val="clear" w:color="auto" w:fill="FFFFFF" w:themeFill="background1"/>
          <w:lang w:eastAsia="lv-LV"/>
        </w:rPr>
        <w:t xml:space="preserve">Ņemot vērā </w:t>
      </w:r>
      <w:r w:rsidR="003C23EB">
        <w:rPr>
          <w:rFonts w:ascii="Times New Roman" w:eastAsia="Times New Roman" w:hAnsi="Times New Roman" w:cs="Times New Roman"/>
          <w:bCs/>
          <w:sz w:val="24"/>
          <w:szCs w:val="24"/>
          <w:shd w:val="clear" w:color="auto" w:fill="FFFFFF" w:themeFill="background1"/>
          <w:lang w:eastAsia="lv-LV"/>
        </w:rPr>
        <w:t xml:space="preserve">sadarbības ekonomikas specifiku, nozaru atšķirības, </w:t>
      </w:r>
      <w:r w:rsidR="003C23EB" w:rsidRPr="005B4E95">
        <w:rPr>
          <w:rFonts w:ascii="Times New Roman" w:eastAsia="Times New Roman" w:hAnsi="Times New Roman" w:cs="Times New Roman"/>
          <w:bCs/>
          <w:sz w:val="24"/>
          <w:szCs w:val="24"/>
          <w:shd w:val="clear" w:color="auto" w:fill="FFFFFF" w:themeFill="background1"/>
          <w:lang w:eastAsia="lv-LV"/>
        </w:rPr>
        <w:t>identificētās problēmas</w:t>
      </w:r>
      <w:r w:rsidR="003C23EB">
        <w:rPr>
          <w:rFonts w:ascii="Times New Roman" w:eastAsia="Times New Roman" w:hAnsi="Times New Roman" w:cs="Times New Roman"/>
          <w:bCs/>
          <w:sz w:val="24"/>
          <w:szCs w:val="24"/>
          <w:shd w:val="clear" w:color="auto" w:fill="FFFFFF" w:themeFill="background1"/>
          <w:lang w:eastAsia="lv-LV"/>
        </w:rPr>
        <w:t xml:space="preserve">, kā arī </w:t>
      </w:r>
      <w:r w:rsidR="00394125" w:rsidRPr="005B4E95">
        <w:rPr>
          <w:rFonts w:ascii="Times New Roman" w:eastAsia="Times New Roman" w:hAnsi="Times New Roman" w:cs="Times New Roman"/>
          <w:bCs/>
          <w:sz w:val="24"/>
          <w:szCs w:val="24"/>
          <w:shd w:val="clear" w:color="auto" w:fill="FFFFFF" w:themeFill="background1"/>
          <w:lang w:eastAsia="lv-LV"/>
        </w:rPr>
        <w:t>Eiropas Komisijas ieteikumus</w:t>
      </w:r>
      <w:r w:rsidR="003C23EB">
        <w:rPr>
          <w:rFonts w:ascii="Times New Roman" w:eastAsia="Times New Roman" w:hAnsi="Times New Roman" w:cs="Times New Roman"/>
          <w:bCs/>
          <w:sz w:val="24"/>
          <w:szCs w:val="24"/>
          <w:shd w:val="clear" w:color="auto" w:fill="FFFFFF" w:themeFill="background1"/>
          <w:lang w:eastAsia="lv-LV"/>
        </w:rPr>
        <w:t xml:space="preserve"> un</w:t>
      </w:r>
      <w:r w:rsidR="00394125" w:rsidRPr="005B4E95">
        <w:rPr>
          <w:rFonts w:ascii="Times New Roman" w:eastAsia="Times New Roman" w:hAnsi="Times New Roman" w:cs="Times New Roman"/>
          <w:bCs/>
          <w:sz w:val="24"/>
          <w:szCs w:val="24"/>
          <w:shd w:val="clear" w:color="auto" w:fill="FFFFFF" w:themeFill="background1"/>
          <w:lang w:eastAsia="lv-LV"/>
        </w:rPr>
        <w:t xml:space="preserve"> citu valstu pieredzi, būtu </w:t>
      </w:r>
      <w:r w:rsidR="007458CE" w:rsidRPr="005B4E95">
        <w:rPr>
          <w:rFonts w:ascii="Times New Roman" w:eastAsia="Times New Roman" w:hAnsi="Times New Roman" w:cs="Times New Roman"/>
          <w:bCs/>
          <w:sz w:val="24"/>
          <w:szCs w:val="24"/>
          <w:shd w:val="clear" w:color="auto" w:fill="FFFFFF" w:themeFill="background1"/>
          <w:lang w:eastAsia="lv-LV"/>
        </w:rPr>
        <w:t xml:space="preserve">pilnveidojams esošais </w:t>
      </w:r>
      <w:r w:rsidR="00394125" w:rsidRPr="005B4E95">
        <w:rPr>
          <w:rFonts w:ascii="Times New Roman" w:eastAsia="Times New Roman" w:hAnsi="Times New Roman" w:cs="Times New Roman"/>
          <w:bCs/>
          <w:sz w:val="24"/>
          <w:szCs w:val="24"/>
          <w:shd w:val="clear" w:color="auto" w:fill="FFFFFF" w:themeFill="background1"/>
          <w:lang w:eastAsia="lv-LV"/>
        </w:rPr>
        <w:t xml:space="preserve">nozaru </w:t>
      </w:r>
      <w:r w:rsidR="007458CE" w:rsidRPr="005B4E95">
        <w:rPr>
          <w:rFonts w:ascii="Times New Roman" w:eastAsia="Times New Roman" w:hAnsi="Times New Roman" w:cs="Times New Roman"/>
          <w:bCs/>
          <w:sz w:val="24"/>
          <w:szCs w:val="24"/>
          <w:shd w:val="clear" w:color="auto" w:fill="FFFFFF" w:themeFill="background1"/>
          <w:lang w:eastAsia="lv-LV"/>
        </w:rPr>
        <w:t>regulējums</w:t>
      </w:r>
      <w:r w:rsidR="00394125" w:rsidRPr="005B4E95">
        <w:rPr>
          <w:rFonts w:ascii="Times New Roman" w:eastAsia="Times New Roman" w:hAnsi="Times New Roman" w:cs="Times New Roman"/>
          <w:bCs/>
          <w:sz w:val="24"/>
          <w:szCs w:val="24"/>
          <w:shd w:val="clear" w:color="auto" w:fill="FFFFFF" w:themeFill="background1"/>
          <w:lang w:eastAsia="lv-LV"/>
        </w:rPr>
        <w:t>,</w:t>
      </w:r>
      <w:r w:rsidR="00394125" w:rsidRPr="005B4E95" w:rsidDel="00394125">
        <w:rPr>
          <w:rFonts w:ascii="Times New Roman" w:eastAsia="Times New Roman" w:hAnsi="Times New Roman" w:cs="Times New Roman"/>
          <w:bCs/>
          <w:sz w:val="24"/>
          <w:szCs w:val="24"/>
          <w:shd w:val="clear" w:color="auto" w:fill="FFFFFF" w:themeFill="background1"/>
          <w:lang w:eastAsia="lv-LV"/>
        </w:rPr>
        <w:t xml:space="preserve"> </w:t>
      </w:r>
      <w:r w:rsidR="00394125" w:rsidRPr="005B4E95">
        <w:rPr>
          <w:rFonts w:ascii="Times New Roman" w:eastAsia="Times New Roman" w:hAnsi="Times New Roman" w:cs="Times New Roman"/>
          <w:bCs/>
          <w:sz w:val="24"/>
          <w:szCs w:val="24"/>
          <w:shd w:val="clear" w:color="auto" w:fill="FFFFFF" w:themeFill="background1"/>
          <w:lang w:eastAsia="lv-LV"/>
        </w:rPr>
        <w:t>nevis veidojams jauns, kopīgs sadarbības ekonomiku regulējošs normatīvais</w:t>
      </w:r>
      <w:r w:rsidR="00394125" w:rsidRPr="005B4E95">
        <w:rPr>
          <w:rFonts w:ascii="Times New Roman" w:eastAsia="Times New Roman" w:hAnsi="Times New Roman" w:cs="Times New Roman"/>
          <w:bCs/>
          <w:sz w:val="24"/>
          <w:szCs w:val="24"/>
          <w:lang w:eastAsia="lv-LV"/>
        </w:rPr>
        <w:t xml:space="preserve"> akts</w:t>
      </w:r>
      <w:r w:rsidR="003C23EB">
        <w:rPr>
          <w:rFonts w:ascii="Times New Roman" w:eastAsia="Times New Roman" w:hAnsi="Times New Roman" w:cs="Times New Roman"/>
          <w:bCs/>
          <w:sz w:val="24"/>
          <w:szCs w:val="24"/>
          <w:lang w:eastAsia="lv-LV"/>
        </w:rPr>
        <w:t>, līdz ar to nepieciešams a</w:t>
      </w:r>
      <w:r w:rsidR="003C23EB" w:rsidRPr="003C23EB">
        <w:rPr>
          <w:rFonts w:ascii="Times New Roman" w:eastAsia="Times New Roman" w:hAnsi="Times New Roman" w:cs="Times New Roman"/>
          <w:bCs/>
          <w:sz w:val="24"/>
          <w:szCs w:val="24"/>
          <w:lang w:eastAsia="lv-LV"/>
        </w:rPr>
        <w:t>tzīt Ministru kabineta 2017. gada 14. marta sēdes protokola Nr.12 9.§ Likumprojekts “Grozījumi Autopārvadājumu likumā” 4. punktu par aktualitāti zaudējušu</w:t>
      </w:r>
      <w:r w:rsidR="00907A2A">
        <w:rPr>
          <w:rFonts w:ascii="Times New Roman" w:eastAsia="Times New Roman" w:hAnsi="Times New Roman" w:cs="Times New Roman"/>
          <w:bCs/>
          <w:sz w:val="24"/>
          <w:szCs w:val="24"/>
          <w:lang w:eastAsia="lv-LV"/>
        </w:rPr>
        <w:t>.</w:t>
      </w:r>
      <w:r w:rsidR="00BB7F99">
        <w:rPr>
          <w:rFonts w:ascii="Times New Roman" w:eastAsia="Times New Roman" w:hAnsi="Times New Roman" w:cs="Times New Roman"/>
          <w:bCs/>
          <w:sz w:val="24"/>
          <w:szCs w:val="24"/>
          <w:lang w:eastAsia="lv-LV"/>
        </w:rPr>
        <w:t xml:space="preserve"> </w:t>
      </w:r>
    </w:p>
    <w:p w14:paraId="418A8D06" w14:textId="77777777" w:rsidR="0029277C" w:rsidRDefault="0029277C" w:rsidP="00B404D4">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lv-LV"/>
        </w:rPr>
      </w:pPr>
    </w:p>
    <w:p w14:paraId="51793BDF" w14:textId="7E1C7DC9" w:rsidR="0029277C" w:rsidRDefault="0029277C" w:rsidP="00373AD9">
      <w:pPr>
        <w:shd w:val="clear" w:color="auto" w:fill="FFFFFF" w:themeFill="background1"/>
        <w:spacing w:after="0" w:line="240" w:lineRule="auto"/>
        <w:ind w:firstLine="709"/>
        <w:jc w:val="center"/>
        <w:rPr>
          <w:rFonts w:ascii="Times New Roman" w:eastAsia="Times New Roman" w:hAnsi="Times New Roman" w:cs="Times New Roman"/>
          <w:b/>
          <w:bCs/>
          <w:sz w:val="24"/>
          <w:szCs w:val="24"/>
          <w:lang w:eastAsia="lv-LV"/>
        </w:rPr>
      </w:pPr>
      <w:r w:rsidRPr="00373AD9">
        <w:rPr>
          <w:rFonts w:ascii="Times New Roman" w:eastAsia="Times New Roman" w:hAnsi="Times New Roman" w:cs="Times New Roman"/>
          <w:b/>
          <w:bCs/>
          <w:sz w:val="24"/>
          <w:szCs w:val="24"/>
          <w:lang w:eastAsia="lv-LV"/>
        </w:rPr>
        <w:t xml:space="preserve">Turpināt iesākto darbu pie sadarbības ekonomikas </w:t>
      </w:r>
      <w:r w:rsidR="0064322D">
        <w:rPr>
          <w:rFonts w:ascii="Times New Roman" w:eastAsia="Times New Roman" w:hAnsi="Times New Roman" w:cs="Times New Roman"/>
          <w:b/>
          <w:bCs/>
          <w:sz w:val="24"/>
          <w:szCs w:val="24"/>
          <w:lang w:eastAsia="lv-LV"/>
        </w:rPr>
        <w:t xml:space="preserve">attīstības Latvijā </w:t>
      </w:r>
    </w:p>
    <w:p w14:paraId="6C25C550" w14:textId="77777777" w:rsidR="0029277C" w:rsidRPr="00373AD9" w:rsidRDefault="0029277C" w:rsidP="00373AD9">
      <w:pPr>
        <w:shd w:val="clear" w:color="auto" w:fill="FFFFFF" w:themeFill="background1"/>
        <w:spacing w:after="0" w:line="240" w:lineRule="auto"/>
        <w:ind w:firstLine="709"/>
        <w:jc w:val="center"/>
        <w:rPr>
          <w:rFonts w:ascii="Times New Roman" w:eastAsia="Times New Roman" w:hAnsi="Times New Roman" w:cs="Times New Roman"/>
          <w:b/>
          <w:bCs/>
          <w:sz w:val="24"/>
          <w:szCs w:val="24"/>
          <w:lang w:eastAsia="lv-LV"/>
        </w:rPr>
      </w:pPr>
    </w:p>
    <w:p w14:paraId="2DA86627" w14:textId="0060B51C" w:rsidR="004725E6" w:rsidRPr="00525D8C" w:rsidRDefault="00CB2502" w:rsidP="00525D8C">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29277C">
        <w:rPr>
          <w:rFonts w:ascii="Times New Roman" w:eastAsia="Times New Roman" w:hAnsi="Times New Roman" w:cs="Times New Roman"/>
          <w:bCs/>
          <w:sz w:val="24"/>
          <w:szCs w:val="24"/>
          <w:lang w:eastAsia="lv-LV"/>
        </w:rPr>
        <w:t xml:space="preserve">ai veicinātu sadarbības ekonomikas attīstību Latvijā, Ekonomikas ministrijai </w:t>
      </w:r>
      <w:r w:rsidR="00262AC4">
        <w:rPr>
          <w:rFonts w:ascii="Times New Roman" w:eastAsia="Times New Roman" w:hAnsi="Times New Roman" w:cs="Times New Roman"/>
          <w:bCs/>
          <w:sz w:val="24"/>
          <w:szCs w:val="24"/>
          <w:lang w:eastAsia="lv-LV"/>
        </w:rPr>
        <w:t>sadarbībā ar Labklājības ministriju, Finanšu ministriju un Satiksmes ministriju</w:t>
      </w:r>
      <w:r w:rsidR="0029277C">
        <w:rPr>
          <w:rFonts w:ascii="Times New Roman" w:eastAsia="Times New Roman" w:hAnsi="Times New Roman" w:cs="Times New Roman"/>
          <w:bCs/>
          <w:sz w:val="24"/>
          <w:szCs w:val="24"/>
          <w:lang w:eastAsia="lv-LV"/>
        </w:rPr>
        <w:t>, kā arī</w:t>
      </w:r>
      <w:r w:rsidR="005F450F">
        <w:rPr>
          <w:rFonts w:ascii="Times New Roman" w:eastAsia="Times New Roman" w:hAnsi="Times New Roman" w:cs="Times New Roman"/>
          <w:bCs/>
          <w:sz w:val="24"/>
          <w:szCs w:val="24"/>
          <w:lang w:eastAsia="lv-LV"/>
        </w:rPr>
        <w:t>,</w:t>
      </w:r>
      <w:r w:rsidR="0029277C">
        <w:rPr>
          <w:rFonts w:ascii="Times New Roman" w:eastAsia="Times New Roman" w:hAnsi="Times New Roman" w:cs="Times New Roman"/>
          <w:bCs/>
          <w:sz w:val="24"/>
          <w:szCs w:val="24"/>
          <w:lang w:eastAsia="lv-LV"/>
        </w:rPr>
        <w:t xml:space="preserve"> nepieciešamības gadījumā piesaistot citas atbildīgās institūcijas un sociālos partnerus</w:t>
      </w:r>
      <w:r w:rsidR="005F450F">
        <w:rPr>
          <w:rFonts w:ascii="Times New Roman" w:eastAsia="Times New Roman" w:hAnsi="Times New Roman" w:cs="Times New Roman"/>
          <w:bCs/>
          <w:sz w:val="24"/>
          <w:szCs w:val="24"/>
          <w:lang w:eastAsia="lv-LV"/>
        </w:rPr>
        <w:t>,</w:t>
      </w:r>
      <w:r w:rsidR="0029277C">
        <w:rPr>
          <w:rFonts w:ascii="Times New Roman" w:eastAsia="Times New Roman" w:hAnsi="Times New Roman" w:cs="Times New Roman"/>
          <w:bCs/>
          <w:sz w:val="24"/>
          <w:szCs w:val="24"/>
          <w:lang w:eastAsia="lv-LV"/>
        </w:rPr>
        <w:t xml:space="preserve"> turpināt iesākto darbu pie </w:t>
      </w:r>
      <w:r w:rsidR="000716B2">
        <w:rPr>
          <w:rFonts w:ascii="Times New Roman" w:eastAsia="Times New Roman" w:hAnsi="Times New Roman" w:cs="Times New Roman"/>
          <w:bCs/>
          <w:sz w:val="24"/>
          <w:szCs w:val="24"/>
          <w:lang w:eastAsia="lv-LV"/>
        </w:rPr>
        <w:t>jautājumiem</w:t>
      </w:r>
      <w:r w:rsidR="0046299F">
        <w:rPr>
          <w:rFonts w:ascii="Times New Roman" w:eastAsia="Times New Roman" w:hAnsi="Times New Roman" w:cs="Times New Roman"/>
          <w:bCs/>
          <w:sz w:val="24"/>
          <w:szCs w:val="24"/>
          <w:lang w:eastAsia="lv-LV"/>
        </w:rPr>
        <w:t>, kas saistīti</w:t>
      </w:r>
      <w:r w:rsidR="000716B2">
        <w:rPr>
          <w:rFonts w:ascii="Times New Roman" w:eastAsia="Times New Roman" w:hAnsi="Times New Roman" w:cs="Times New Roman"/>
          <w:bCs/>
          <w:sz w:val="24"/>
          <w:szCs w:val="24"/>
          <w:lang w:eastAsia="lv-LV"/>
        </w:rPr>
        <w:t xml:space="preserve"> ar </w:t>
      </w:r>
      <w:r w:rsidR="0029277C">
        <w:rPr>
          <w:rFonts w:ascii="Times New Roman" w:eastAsia="Times New Roman" w:hAnsi="Times New Roman" w:cs="Times New Roman"/>
          <w:bCs/>
          <w:sz w:val="24"/>
          <w:szCs w:val="24"/>
          <w:lang w:eastAsia="lv-LV"/>
        </w:rPr>
        <w:t xml:space="preserve">sadarbības ekonomikas </w:t>
      </w:r>
      <w:r w:rsidR="000716B2">
        <w:rPr>
          <w:rFonts w:ascii="Times New Roman" w:eastAsia="Times New Roman" w:hAnsi="Times New Roman" w:cs="Times New Roman"/>
          <w:bCs/>
          <w:sz w:val="24"/>
          <w:szCs w:val="24"/>
          <w:lang w:eastAsia="lv-LV"/>
        </w:rPr>
        <w:t xml:space="preserve">attīstību </w:t>
      </w:r>
      <w:r w:rsidR="006822C1">
        <w:rPr>
          <w:rFonts w:ascii="Times New Roman" w:eastAsia="Times New Roman" w:hAnsi="Times New Roman" w:cs="Times New Roman"/>
          <w:bCs/>
          <w:sz w:val="24"/>
          <w:szCs w:val="24"/>
          <w:lang w:eastAsia="lv-LV"/>
        </w:rPr>
        <w:t>un nozaru regulējuma pilnveidošanas</w:t>
      </w:r>
      <w:r w:rsidR="0029277C">
        <w:rPr>
          <w:rFonts w:ascii="Times New Roman" w:eastAsia="Times New Roman" w:hAnsi="Times New Roman" w:cs="Times New Roman"/>
          <w:bCs/>
          <w:sz w:val="24"/>
          <w:szCs w:val="24"/>
          <w:lang w:eastAsia="lv-LV"/>
        </w:rPr>
        <w:t xml:space="preserve">, </w:t>
      </w:r>
      <w:r w:rsidR="00262AC4">
        <w:rPr>
          <w:rFonts w:ascii="Times New Roman" w:eastAsia="Times New Roman" w:hAnsi="Times New Roman" w:cs="Times New Roman"/>
          <w:bCs/>
          <w:sz w:val="24"/>
          <w:szCs w:val="24"/>
          <w:lang w:eastAsia="lv-LV"/>
        </w:rPr>
        <w:t xml:space="preserve">par paveikto darbu </w:t>
      </w:r>
      <w:r w:rsidR="0029277C">
        <w:rPr>
          <w:rFonts w:ascii="Times New Roman" w:eastAsia="Times New Roman" w:hAnsi="Times New Roman" w:cs="Times New Roman"/>
          <w:bCs/>
          <w:sz w:val="24"/>
          <w:szCs w:val="24"/>
          <w:lang w:eastAsia="lv-LV"/>
        </w:rPr>
        <w:t>informējot Ministru kabinetu līdz 20</w:t>
      </w:r>
      <w:r w:rsidR="0056698B">
        <w:rPr>
          <w:rFonts w:ascii="Times New Roman" w:eastAsia="Times New Roman" w:hAnsi="Times New Roman" w:cs="Times New Roman"/>
          <w:bCs/>
          <w:sz w:val="24"/>
          <w:szCs w:val="24"/>
          <w:lang w:eastAsia="lv-LV"/>
        </w:rPr>
        <w:t>20</w:t>
      </w:r>
      <w:r w:rsidR="0029277C">
        <w:rPr>
          <w:rFonts w:ascii="Times New Roman" w:eastAsia="Times New Roman" w:hAnsi="Times New Roman" w:cs="Times New Roman"/>
          <w:bCs/>
          <w:sz w:val="24"/>
          <w:szCs w:val="24"/>
          <w:lang w:eastAsia="lv-LV"/>
        </w:rPr>
        <w:t xml:space="preserve">.gada </w:t>
      </w:r>
      <w:r w:rsidR="0056698B">
        <w:rPr>
          <w:rFonts w:ascii="Times New Roman" w:eastAsia="Times New Roman" w:hAnsi="Times New Roman" w:cs="Times New Roman"/>
          <w:bCs/>
          <w:sz w:val="24"/>
          <w:szCs w:val="24"/>
          <w:lang w:eastAsia="lv-LV"/>
        </w:rPr>
        <w:t>1.jūlijam</w:t>
      </w:r>
      <w:r w:rsidR="0029277C">
        <w:rPr>
          <w:rFonts w:ascii="Times New Roman" w:eastAsia="Times New Roman" w:hAnsi="Times New Roman" w:cs="Times New Roman"/>
          <w:bCs/>
          <w:sz w:val="24"/>
          <w:szCs w:val="24"/>
          <w:lang w:eastAsia="lv-LV"/>
        </w:rPr>
        <w:t xml:space="preserve">.  </w:t>
      </w:r>
    </w:p>
    <w:p w14:paraId="585F06E6" w14:textId="796814CE" w:rsidR="005F450F" w:rsidRDefault="00860DD5" w:rsidP="00373AD9">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Izstrādājot </w:t>
      </w:r>
      <w:r w:rsidR="00373AD9">
        <w:rPr>
          <w:rFonts w:ascii="Times New Roman" w:eastAsia="Times New Roman" w:hAnsi="Times New Roman" w:cs="Times New Roman"/>
          <w:bCs/>
          <w:sz w:val="24"/>
          <w:szCs w:val="24"/>
          <w:lang w:eastAsia="lv-LV"/>
        </w:rPr>
        <w:t xml:space="preserve">iespējamos </w:t>
      </w:r>
      <w:r>
        <w:rPr>
          <w:rFonts w:ascii="Times New Roman" w:eastAsia="Times New Roman" w:hAnsi="Times New Roman" w:cs="Times New Roman"/>
          <w:bCs/>
          <w:sz w:val="24"/>
          <w:szCs w:val="24"/>
          <w:lang w:eastAsia="lv-LV"/>
        </w:rPr>
        <w:t>risinājumus</w:t>
      </w:r>
      <w:r w:rsidR="00373AD9">
        <w:rPr>
          <w:rFonts w:ascii="Times New Roman" w:eastAsia="Times New Roman" w:hAnsi="Times New Roman" w:cs="Times New Roman"/>
          <w:bCs/>
          <w:sz w:val="24"/>
          <w:szCs w:val="24"/>
          <w:lang w:eastAsia="lv-LV"/>
        </w:rPr>
        <w:t xml:space="preserve"> nozaru regulējumā </w:t>
      </w:r>
      <w:r>
        <w:rPr>
          <w:rFonts w:ascii="Times New Roman" w:eastAsia="Times New Roman" w:hAnsi="Times New Roman" w:cs="Times New Roman"/>
          <w:bCs/>
          <w:sz w:val="24"/>
          <w:szCs w:val="24"/>
          <w:lang w:eastAsia="lv-LV"/>
        </w:rPr>
        <w:t xml:space="preserve">nepieciešams sociālo partneru saskaņojums. </w:t>
      </w:r>
      <w:r w:rsidR="007505A1" w:rsidRPr="005B4E95">
        <w:rPr>
          <w:rFonts w:ascii="Times New Roman" w:eastAsia="Times New Roman" w:hAnsi="Times New Roman" w:cs="Times New Roman"/>
          <w:bCs/>
          <w:sz w:val="24"/>
          <w:szCs w:val="24"/>
          <w:lang w:eastAsia="lv-LV"/>
        </w:rPr>
        <w:t xml:space="preserve"> </w:t>
      </w:r>
    </w:p>
    <w:p w14:paraId="71F6ACA8" w14:textId="18C488D8" w:rsidR="005F450F" w:rsidRDefault="005F450F" w:rsidP="00A5142F">
      <w:pPr>
        <w:spacing w:after="0" w:line="240" w:lineRule="auto"/>
        <w:jc w:val="both"/>
        <w:rPr>
          <w:rFonts w:ascii="Times New Roman" w:eastAsia="Times New Roman" w:hAnsi="Times New Roman" w:cs="Times New Roman"/>
          <w:sz w:val="24"/>
          <w:szCs w:val="24"/>
          <w:lang w:eastAsia="lv-LV"/>
        </w:rPr>
      </w:pPr>
    </w:p>
    <w:p w14:paraId="78211E8E" w14:textId="2C583BBD" w:rsidR="00DD4016" w:rsidRPr="00DD4016" w:rsidRDefault="00DD4016" w:rsidP="00DD4016">
      <w:pPr>
        <w:spacing w:after="0" w:line="240" w:lineRule="auto"/>
        <w:jc w:val="center"/>
        <w:rPr>
          <w:rFonts w:ascii="Times New Roman" w:eastAsia="Times New Roman" w:hAnsi="Times New Roman" w:cs="Times New Roman"/>
          <w:b/>
          <w:sz w:val="24"/>
          <w:szCs w:val="24"/>
          <w:lang w:eastAsia="lv-LV"/>
        </w:rPr>
      </w:pPr>
      <w:r w:rsidRPr="00DA10C4">
        <w:rPr>
          <w:rFonts w:ascii="Times New Roman" w:eastAsia="Times New Roman" w:hAnsi="Times New Roman" w:cs="Times New Roman"/>
          <w:b/>
          <w:sz w:val="24"/>
          <w:szCs w:val="24"/>
          <w:lang w:eastAsia="lv-LV"/>
        </w:rPr>
        <w:t>4. Piedāvāt</w:t>
      </w:r>
      <w:r w:rsidR="00373AD9">
        <w:rPr>
          <w:rFonts w:ascii="Times New Roman" w:eastAsia="Times New Roman" w:hAnsi="Times New Roman" w:cs="Times New Roman"/>
          <w:b/>
          <w:sz w:val="24"/>
          <w:szCs w:val="24"/>
          <w:lang w:eastAsia="lv-LV"/>
        </w:rPr>
        <w:t>ā</w:t>
      </w:r>
      <w:r w:rsidRPr="00DD4016">
        <w:rPr>
          <w:rFonts w:ascii="Times New Roman" w:eastAsia="Times New Roman" w:hAnsi="Times New Roman" w:cs="Times New Roman"/>
          <w:b/>
          <w:sz w:val="24"/>
          <w:szCs w:val="24"/>
          <w:lang w:eastAsia="lv-LV"/>
        </w:rPr>
        <w:t xml:space="preserve"> </w:t>
      </w:r>
      <w:r w:rsidR="00373AD9" w:rsidRPr="00DD4016">
        <w:rPr>
          <w:rFonts w:ascii="Times New Roman" w:eastAsia="Times New Roman" w:hAnsi="Times New Roman" w:cs="Times New Roman"/>
          <w:b/>
          <w:sz w:val="24"/>
          <w:szCs w:val="24"/>
          <w:lang w:eastAsia="lv-LV"/>
        </w:rPr>
        <w:t>risinājum</w:t>
      </w:r>
      <w:r w:rsidR="00373AD9">
        <w:rPr>
          <w:rFonts w:ascii="Times New Roman" w:eastAsia="Times New Roman" w:hAnsi="Times New Roman" w:cs="Times New Roman"/>
          <w:b/>
          <w:sz w:val="24"/>
          <w:szCs w:val="24"/>
          <w:lang w:eastAsia="lv-LV"/>
        </w:rPr>
        <w:t>a</w:t>
      </w:r>
      <w:r w:rsidR="00373AD9" w:rsidRPr="00DD4016">
        <w:rPr>
          <w:rFonts w:ascii="Times New Roman" w:eastAsia="Times New Roman" w:hAnsi="Times New Roman" w:cs="Times New Roman"/>
          <w:b/>
          <w:sz w:val="24"/>
          <w:szCs w:val="24"/>
          <w:lang w:eastAsia="lv-LV"/>
        </w:rPr>
        <w:t xml:space="preserve"> </w:t>
      </w:r>
      <w:r w:rsidRPr="00DD4016">
        <w:rPr>
          <w:rFonts w:ascii="Times New Roman" w:eastAsia="Times New Roman" w:hAnsi="Times New Roman" w:cs="Times New Roman"/>
          <w:b/>
          <w:sz w:val="24"/>
          <w:szCs w:val="24"/>
          <w:lang w:eastAsia="lv-LV"/>
        </w:rPr>
        <w:t>sākotnējais ietekmes izvērtējums</w:t>
      </w:r>
    </w:p>
    <w:p w14:paraId="299E1E81" w14:textId="77777777" w:rsidR="00DD4016" w:rsidRPr="00DD4016" w:rsidRDefault="00DD4016" w:rsidP="00DD4016">
      <w:pPr>
        <w:spacing w:after="0" w:line="240" w:lineRule="auto"/>
        <w:jc w:val="center"/>
        <w:rPr>
          <w:rFonts w:ascii="Times New Roman" w:eastAsia="Times New Roman" w:hAnsi="Times New Roman" w:cs="Times New Roman"/>
          <w:b/>
          <w:sz w:val="24"/>
          <w:szCs w:val="24"/>
          <w:lang w:eastAsia="lv-LV"/>
        </w:rPr>
      </w:pPr>
    </w:p>
    <w:p w14:paraId="45F91A10" w14:textId="1F8BC897" w:rsidR="008C63AA" w:rsidRPr="00DA10C4" w:rsidRDefault="00F33CAD" w:rsidP="00DD401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Ieviešot piedāvāto risinājumu</w:t>
      </w:r>
      <w:r w:rsidR="005F45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DA10C4">
        <w:rPr>
          <w:rFonts w:ascii="Times New Roman" w:eastAsia="Times New Roman" w:hAnsi="Times New Roman" w:cs="Times New Roman"/>
          <w:sz w:val="24"/>
          <w:szCs w:val="24"/>
          <w:lang w:eastAsia="lv-LV"/>
        </w:rPr>
        <w:t xml:space="preserve">tiktu nodrošināta sadarbības ekonomikas principu ieviešana nozaru regulējumā, radot pievilcīgāku vidi inovatīviem uzņēmējdarbības modeļiem un vienlaikus mazinot barjeras sadarbības ekonomikas ienākšanai. </w:t>
      </w:r>
      <w:r>
        <w:rPr>
          <w:rFonts w:ascii="Times New Roman" w:eastAsia="Times New Roman" w:hAnsi="Times New Roman" w:cs="Times New Roman"/>
          <w:sz w:val="24"/>
          <w:szCs w:val="24"/>
          <w:lang w:eastAsia="lv-LV"/>
        </w:rPr>
        <w:t>Vienlaikus</w:t>
      </w:r>
      <w:r w:rsidR="008C63AA" w:rsidRPr="00DA10C4">
        <w:rPr>
          <w:rFonts w:ascii="Times New Roman" w:eastAsia="Times New Roman" w:hAnsi="Times New Roman" w:cs="Times New Roman"/>
          <w:sz w:val="24"/>
          <w:szCs w:val="24"/>
          <w:lang w:eastAsia="lv-LV"/>
        </w:rPr>
        <w:t xml:space="preserve"> </w:t>
      </w:r>
      <w:r w:rsidR="00D90AE9">
        <w:rPr>
          <w:rFonts w:ascii="Times New Roman" w:eastAsia="Times New Roman" w:hAnsi="Times New Roman" w:cs="Times New Roman"/>
          <w:sz w:val="24"/>
          <w:szCs w:val="24"/>
          <w:lang w:eastAsia="lv-LV"/>
        </w:rPr>
        <w:t>tiks</w:t>
      </w:r>
      <w:r w:rsidR="003D2A00">
        <w:rPr>
          <w:rFonts w:ascii="Times New Roman" w:eastAsia="Times New Roman" w:hAnsi="Times New Roman" w:cs="Times New Roman"/>
          <w:sz w:val="24"/>
          <w:szCs w:val="24"/>
          <w:lang w:eastAsia="lv-LV"/>
        </w:rPr>
        <w:t xml:space="preserve"> turpināts līdz šim uzsāktais darbs pie</w:t>
      </w:r>
      <w:r w:rsidRPr="00DA10C4">
        <w:rPr>
          <w:rFonts w:ascii="Times New Roman" w:eastAsia="Times New Roman" w:hAnsi="Times New Roman" w:cs="Times New Roman"/>
          <w:sz w:val="24"/>
          <w:szCs w:val="24"/>
          <w:lang w:eastAsia="lv-LV"/>
        </w:rPr>
        <w:t xml:space="preserve"> modernas un tehnoloģiju veicinošas ekonomikas attīstība</w:t>
      </w:r>
      <w:r w:rsidR="005F450F">
        <w:rPr>
          <w:rFonts w:ascii="Times New Roman" w:eastAsia="Times New Roman" w:hAnsi="Times New Roman" w:cs="Times New Roman"/>
          <w:sz w:val="24"/>
          <w:szCs w:val="24"/>
          <w:lang w:eastAsia="lv-LV"/>
        </w:rPr>
        <w:t>s</w:t>
      </w:r>
      <w:r w:rsidRPr="00DA10C4">
        <w:rPr>
          <w:rFonts w:ascii="Times New Roman" w:eastAsia="Times New Roman" w:hAnsi="Times New Roman" w:cs="Times New Roman"/>
          <w:sz w:val="24"/>
          <w:szCs w:val="24"/>
          <w:lang w:eastAsia="lv-LV"/>
        </w:rPr>
        <w:t xml:space="preserve">, </w:t>
      </w:r>
      <w:r w:rsidR="00D90AE9">
        <w:rPr>
          <w:rFonts w:ascii="Times New Roman" w:eastAsia="Times New Roman" w:hAnsi="Times New Roman" w:cs="Times New Roman"/>
          <w:sz w:val="24"/>
          <w:szCs w:val="24"/>
          <w:lang w:eastAsia="lv-LV"/>
        </w:rPr>
        <w:t xml:space="preserve">identificējot aktuālos </w:t>
      </w:r>
      <w:proofErr w:type="spellStart"/>
      <w:r w:rsidR="00D90AE9">
        <w:rPr>
          <w:rFonts w:ascii="Times New Roman" w:eastAsia="Times New Roman" w:hAnsi="Times New Roman" w:cs="Times New Roman"/>
          <w:sz w:val="24"/>
          <w:szCs w:val="24"/>
          <w:lang w:eastAsia="lv-LV"/>
        </w:rPr>
        <w:t>problēmjautājumus</w:t>
      </w:r>
      <w:proofErr w:type="spellEnd"/>
      <w:r w:rsidR="00D90AE9">
        <w:rPr>
          <w:rFonts w:ascii="Times New Roman" w:eastAsia="Times New Roman" w:hAnsi="Times New Roman" w:cs="Times New Roman"/>
          <w:sz w:val="24"/>
          <w:szCs w:val="24"/>
          <w:lang w:eastAsia="lv-LV"/>
        </w:rPr>
        <w:t xml:space="preserve"> un izstrādājot risinājumus nozaru regulējuma pilnveidošanai, tādejādi </w:t>
      </w:r>
      <w:r w:rsidRPr="00DA10C4">
        <w:rPr>
          <w:rFonts w:ascii="Times New Roman" w:eastAsia="Times New Roman" w:hAnsi="Times New Roman" w:cs="Times New Roman"/>
          <w:sz w:val="24"/>
          <w:szCs w:val="24"/>
          <w:lang w:eastAsia="lv-LV"/>
        </w:rPr>
        <w:t>sekmējot caurskatāmu pakalpojumu sniegšanu gan patērētājiem un pakalpojuma sniedzējiem, gan tirgu uzraugošajām iestādēm</w:t>
      </w:r>
      <w:r>
        <w:rPr>
          <w:rFonts w:ascii="Times New Roman" w:eastAsia="Times New Roman" w:hAnsi="Times New Roman" w:cs="Times New Roman"/>
          <w:sz w:val="24"/>
          <w:szCs w:val="24"/>
          <w:lang w:eastAsia="lv-LV"/>
        </w:rPr>
        <w:t xml:space="preserve">. </w:t>
      </w:r>
      <w:r w:rsidR="008C63AA" w:rsidRPr="00DA10C4">
        <w:rPr>
          <w:rFonts w:ascii="Times New Roman" w:eastAsia="Times New Roman" w:hAnsi="Times New Roman" w:cs="Times New Roman"/>
          <w:sz w:val="24"/>
          <w:szCs w:val="24"/>
          <w:lang w:eastAsia="lv-LV"/>
        </w:rPr>
        <w:t xml:space="preserve"> </w:t>
      </w:r>
    </w:p>
    <w:p w14:paraId="5F069516" w14:textId="0FDD58AC" w:rsidR="008C63AA" w:rsidRPr="00DA10C4" w:rsidRDefault="008C63AA" w:rsidP="00A90623">
      <w:pPr>
        <w:shd w:val="clear" w:color="auto" w:fill="FFFFFF" w:themeFill="background1"/>
        <w:spacing w:after="0" w:line="240" w:lineRule="auto"/>
        <w:ind w:firstLine="720"/>
        <w:jc w:val="both"/>
        <w:rPr>
          <w:rFonts w:ascii="Times New Roman" w:eastAsia="Times New Roman" w:hAnsi="Times New Roman" w:cs="Times New Roman"/>
          <w:sz w:val="24"/>
          <w:szCs w:val="24"/>
          <w:lang w:eastAsia="lv-LV"/>
        </w:rPr>
      </w:pPr>
    </w:p>
    <w:p w14:paraId="257FB45B" w14:textId="12B2A473" w:rsidR="007C57A9" w:rsidRDefault="007C57A9" w:rsidP="00EB1CB2">
      <w:pPr>
        <w:shd w:val="clear" w:color="auto" w:fill="FFFFFF" w:themeFill="background1"/>
        <w:spacing w:after="0" w:line="240" w:lineRule="auto"/>
        <w:ind w:firstLine="720"/>
        <w:jc w:val="both"/>
        <w:rPr>
          <w:rFonts w:ascii="Times New Roman" w:eastAsia="Times New Roman" w:hAnsi="Times New Roman" w:cs="Times New Roman"/>
          <w:sz w:val="24"/>
          <w:szCs w:val="24"/>
          <w:lang w:eastAsia="lv-LV"/>
        </w:rPr>
      </w:pPr>
      <w:r w:rsidRPr="00DA10C4">
        <w:rPr>
          <w:rFonts w:ascii="Times New Roman" w:eastAsia="Times New Roman" w:hAnsi="Times New Roman" w:cs="Times New Roman"/>
          <w:sz w:val="24"/>
          <w:szCs w:val="24"/>
          <w:lang w:eastAsia="lv-LV"/>
        </w:rPr>
        <w:t>Arī Eiropas Komis</w:t>
      </w:r>
      <w:r w:rsidR="00E25EC3" w:rsidRPr="00DA10C4">
        <w:rPr>
          <w:rFonts w:ascii="Times New Roman" w:eastAsia="Times New Roman" w:hAnsi="Times New Roman" w:cs="Times New Roman"/>
          <w:sz w:val="24"/>
          <w:szCs w:val="24"/>
          <w:lang w:eastAsia="lv-LV"/>
        </w:rPr>
        <w:t xml:space="preserve">ija savās rekomendācijās vērš uzmanību, ka </w:t>
      </w:r>
      <w:r w:rsidR="00A90623" w:rsidRPr="00DA10C4">
        <w:rPr>
          <w:rFonts w:ascii="Times New Roman" w:eastAsia="Times New Roman" w:hAnsi="Times New Roman" w:cs="Times New Roman"/>
          <w:sz w:val="24"/>
          <w:szCs w:val="24"/>
          <w:lang w:eastAsia="lv-LV"/>
        </w:rPr>
        <w:t xml:space="preserve">šim jaunajam uzņēmējdarbības modelim ir nepieciešama skaidra un līdzsvarota normatīvā vide, vienlaikus jāņem vērā, ka elastīgs tiesiskais regulējums veicina augstāku produktivitāti pakalpojumu tirgū, atvieglo jaunu dalībnieku ienākšanu tajā, samazina pakalpojumu cenu un nodrošina plašākas izvēles iespējas patērētājiem. </w:t>
      </w:r>
    </w:p>
    <w:p w14:paraId="7F62CF0F" w14:textId="77777777" w:rsidR="00EB1CB2" w:rsidRDefault="00EB1CB2" w:rsidP="00A174D3">
      <w:pPr>
        <w:spacing w:after="0" w:line="240" w:lineRule="auto"/>
        <w:rPr>
          <w:rFonts w:ascii="Times New Roman" w:eastAsia="Times New Roman" w:hAnsi="Times New Roman" w:cs="Times New Roman"/>
          <w:b/>
          <w:sz w:val="24"/>
          <w:szCs w:val="24"/>
          <w:lang w:eastAsia="lv-LV"/>
        </w:rPr>
      </w:pPr>
    </w:p>
    <w:p w14:paraId="1A9F6BEF" w14:textId="4824EF46" w:rsidR="00EB1CB2" w:rsidRDefault="00EB1CB2" w:rsidP="00DD4016">
      <w:pPr>
        <w:spacing w:after="0" w:line="240" w:lineRule="auto"/>
        <w:jc w:val="center"/>
        <w:rPr>
          <w:rFonts w:ascii="Times New Roman" w:eastAsia="Times New Roman" w:hAnsi="Times New Roman" w:cs="Times New Roman"/>
          <w:b/>
          <w:sz w:val="24"/>
          <w:szCs w:val="24"/>
          <w:lang w:eastAsia="lv-LV"/>
        </w:rPr>
      </w:pPr>
    </w:p>
    <w:p w14:paraId="4BFC21E0" w14:textId="22AC793A" w:rsidR="00A174D3" w:rsidRDefault="00A174D3" w:rsidP="00DD4016">
      <w:pPr>
        <w:spacing w:after="0" w:line="240" w:lineRule="auto"/>
        <w:jc w:val="center"/>
        <w:rPr>
          <w:rFonts w:ascii="Times New Roman" w:eastAsia="Times New Roman" w:hAnsi="Times New Roman" w:cs="Times New Roman"/>
          <w:b/>
          <w:sz w:val="24"/>
          <w:szCs w:val="24"/>
          <w:lang w:eastAsia="lv-LV"/>
        </w:rPr>
      </w:pPr>
    </w:p>
    <w:p w14:paraId="4DB35A4B" w14:textId="749BE03C" w:rsidR="00A174D3" w:rsidRDefault="00A174D3" w:rsidP="00DD4016">
      <w:pPr>
        <w:spacing w:after="0" w:line="240" w:lineRule="auto"/>
        <w:jc w:val="center"/>
        <w:rPr>
          <w:rFonts w:ascii="Times New Roman" w:eastAsia="Times New Roman" w:hAnsi="Times New Roman" w:cs="Times New Roman"/>
          <w:b/>
          <w:sz w:val="24"/>
          <w:szCs w:val="24"/>
          <w:lang w:eastAsia="lv-LV"/>
        </w:rPr>
      </w:pPr>
    </w:p>
    <w:p w14:paraId="1AF65AB4" w14:textId="78027D6F" w:rsidR="00A174D3" w:rsidRDefault="00A174D3" w:rsidP="00DD4016">
      <w:pPr>
        <w:spacing w:after="0" w:line="240" w:lineRule="auto"/>
        <w:jc w:val="center"/>
        <w:rPr>
          <w:rFonts w:ascii="Times New Roman" w:eastAsia="Times New Roman" w:hAnsi="Times New Roman" w:cs="Times New Roman"/>
          <w:b/>
          <w:sz w:val="24"/>
          <w:szCs w:val="24"/>
          <w:lang w:eastAsia="lv-LV"/>
        </w:rPr>
      </w:pPr>
    </w:p>
    <w:p w14:paraId="1293078F" w14:textId="2D95B2B8" w:rsidR="00A174D3" w:rsidRDefault="00A174D3" w:rsidP="00DD4016">
      <w:pPr>
        <w:spacing w:after="0" w:line="240" w:lineRule="auto"/>
        <w:jc w:val="center"/>
        <w:rPr>
          <w:rFonts w:ascii="Times New Roman" w:eastAsia="Times New Roman" w:hAnsi="Times New Roman" w:cs="Times New Roman"/>
          <w:b/>
          <w:sz w:val="24"/>
          <w:szCs w:val="24"/>
          <w:lang w:eastAsia="lv-LV"/>
        </w:rPr>
      </w:pPr>
    </w:p>
    <w:p w14:paraId="62F61868" w14:textId="77777777" w:rsidR="00A174D3" w:rsidRDefault="00A174D3" w:rsidP="00DD4016">
      <w:pPr>
        <w:spacing w:after="0" w:line="240" w:lineRule="auto"/>
        <w:jc w:val="center"/>
        <w:rPr>
          <w:rFonts w:ascii="Times New Roman" w:eastAsia="Times New Roman" w:hAnsi="Times New Roman" w:cs="Times New Roman"/>
          <w:b/>
          <w:sz w:val="24"/>
          <w:szCs w:val="24"/>
          <w:lang w:eastAsia="lv-LV"/>
        </w:rPr>
      </w:pPr>
    </w:p>
    <w:p w14:paraId="3748C45F" w14:textId="0CAE6D2F" w:rsidR="00DD4016" w:rsidRPr="00DD4016" w:rsidRDefault="00DD4016" w:rsidP="00DD4016">
      <w:pPr>
        <w:spacing w:after="0" w:line="240" w:lineRule="auto"/>
        <w:jc w:val="center"/>
        <w:rPr>
          <w:rFonts w:ascii="Times New Roman" w:eastAsia="Times New Roman" w:hAnsi="Times New Roman" w:cs="Times New Roman"/>
          <w:b/>
          <w:sz w:val="24"/>
          <w:szCs w:val="24"/>
          <w:lang w:eastAsia="lv-LV"/>
        </w:rPr>
      </w:pPr>
      <w:r w:rsidRPr="00DA10C4">
        <w:rPr>
          <w:rFonts w:ascii="Times New Roman" w:eastAsia="Times New Roman" w:hAnsi="Times New Roman" w:cs="Times New Roman"/>
          <w:b/>
          <w:sz w:val="24"/>
          <w:szCs w:val="24"/>
          <w:lang w:eastAsia="lv-LV"/>
        </w:rPr>
        <w:lastRenderedPageBreak/>
        <w:t xml:space="preserve">5. </w:t>
      </w:r>
      <w:r w:rsidRPr="00DD4016">
        <w:rPr>
          <w:rFonts w:ascii="Times New Roman" w:eastAsia="Times New Roman" w:hAnsi="Times New Roman" w:cs="Times New Roman"/>
          <w:b/>
          <w:sz w:val="24"/>
          <w:szCs w:val="24"/>
          <w:lang w:eastAsia="lv-LV"/>
        </w:rPr>
        <w:t>Piedāvātā risinājuma ietekme uz valsts un pašvaldību budžetiem</w:t>
      </w:r>
    </w:p>
    <w:p w14:paraId="7DA238D0" w14:textId="77777777" w:rsidR="00DD4016" w:rsidRPr="00DD4016" w:rsidRDefault="00DD4016" w:rsidP="00DD4016">
      <w:pPr>
        <w:spacing w:after="0" w:line="240" w:lineRule="auto"/>
        <w:jc w:val="center"/>
        <w:rPr>
          <w:rFonts w:ascii="Times New Roman" w:eastAsia="Times New Roman" w:hAnsi="Times New Roman" w:cs="Times New Roman"/>
          <w:b/>
          <w:sz w:val="24"/>
          <w:szCs w:val="24"/>
          <w:lang w:eastAsia="lv-LV"/>
        </w:rPr>
      </w:pPr>
    </w:p>
    <w:p w14:paraId="536A8EA1" w14:textId="77777777" w:rsidR="00DD4016" w:rsidRPr="00DD4016" w:rsidRDefault="00DD4016" w:rsidP="00DD4016">
      <w:pPr>
        <w:spacing w:after="0" w:line="240" w:lineRule="auto"/>
        <w:ind w:firstLine="720"/>
        <w:jc w:val="both"/>
        <w:rPr>
          <w:rFonts w:ascii="Times New Roman" w:eastAsia="Times New Roman" w:hAnsi="Times New Roman" w:cs="Times New Roman"/>
          <w:sz w:val="24"/>
          <w:szCs w:val="24"/>
          <w:lang w:eastAsia="lv-LV"/>
        </w:rPr>
      </w:pPr>
      <w:r w:rsidRPr="00DD4016">
        <w:rPr>
          <w:rFonts w:ascii="Times New Roman" w:eastAsia="Times New Roman" w:hAnsi="Times New Roman" w:cs="Times New Roman"/>
          <w:sz w:val="24"/>
          <w:szCs w:val="24"/>
          <w:lang w:eastAsia="lv-LV"/>
        </w:rPr>
        <w:t>Piedāvātais risinājums tiks ieviests atbilstoši esošajam budžetam ar esošajiem informācijas tehnoloģiju risinājumiem.</w:t>
      </w:r>
    </w:p>
    <w:p w14:paraId="39EE9520" w14:textId="77777777" w:rsidR="00DD4016" w:rsidRPr="00DD4016" w:rsidRDefault="00DD4016" w:rsidP="00DD4016">
      <w:pPr>
        <w:spacing w:after="0" w:line="240" w:lineRule="auto"/>
        <w:ind w:firstLine="720"/>
        <w:jc w:val="both"/>
        <w:rPr>
          <w:rFonts w:ascii="Times New Roman" w:eastAsia="Times New Roman" w:hAnsi="Times New Roman" w:cs="Times New Roman"/>
          <w:sz w:val="26"/>
          <w:szCs w:val="26"/>
          <w:lang w:eastAsia="lv-LV"/>
        </w:rPr>
      </w:pPr>
    </w:p>
    <w:p w14:paraId="104613A9" w14:textId="51C7583E" w:rsidR="00DD4016" w:rsidRDefault="00DD4016" w:rsidP="00A5142F">
      <w:pPr>
        <w:spacing w:after="0" w:line="240" w:lineRule="auto"/>
        <w:jc w:val="both"/>
        <w:rPr>
          <w:rFonts w:ascii="Times New Roman" w:eastAsia="Times New Roman" w:hAnsi="Times New Roman" w:cs="Times New Roman"/>
          <w:sz w:val="24"/>
          <w:szCs w:val="24"/>
          <w:lang w:eastAsia="lv-LV"/>
        </w:rPr>
      </w:pPr>
    </w:p>
    <w:p w14:paraId="12179A85" w14:textId="4BA3EB94" w:rsidR="00A5142F" w:rsidRPr="005B4E95" w:rsidRDefault="00A5142F" w:rsidP="00A5142F">
      <w:pPr>
        <w:spacing w:after="0" w:line="240" w:lineRule="auto"/>
        <w:jc w:val="both"/>
        <w:rPr>
          <w:rFonts w:ascii="Times New Roman" w:eastAsia="Times New Roman" w:hAnsi="Times New Roman" w:cs="Times New Roman"/>
          <w:sz w:val="24"/>
          <w:szCs w:val="24"/>
          <w:lang w:eastAsia="lv-LV"/>
        </w:rPr>
      </w:pPr>
    </w:p>
    <w:p w14:paraId="5B003CAF" w14:textId="321D3E59" w:rsidR="00EB354C" w:rsidRPr="005B4E95" w:rsidRDefault="002E77B1" w:rsidP="00A514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DA54D3" w:rsidRPr="005B4E95">
        <w:rPr>
          <w:rFonts w:ascii="Times New Roman" w:eastAsia="Times New Roman" w:hAnsi="Times New Roman" w:cs="Times New Roman"/>
          <w:sz w:val="24"/>
          <w:szCs w:val="24"/>
          <w:lang w:eastAsia="lv-LV"/>
        </w:rPr>
        <w:t xml:space="preserve">konomikas ministrs </w:t>
      </w:r>
      <w:r w:rsidR="00DA54D3" w:rsidRPr="005B4E95">
        <w:rPr>
          <w:rFonts w:ascii="Times New Roman" w:eastAsia="Times New Roman" w:hAnsi="Times New Roman" w:cs="Times New Roman"/>
          <w:sz w:val="24"/>
          <w:szCs w:val="24"/>
          <w:lang w:eastAsia="lv-LV"/>
        </w:rPr>
        <w:tab/>
      </w:r>
      <w:r w:rsidR="00DA54D3" w:rsidRPr="005B4E95">
        <w:rPr>
          <w:rFonts w:ascii="Times New Roman" w:eastAsia="Times New Roman" w:hAnsi="Times New Roman" w:cs="Times New Roman"/>
          <w:sz w:val="24"/>
          <w:szCs w:val="24"/>
          <w:lang w:eastAsia="lv-LV"/>
        </w:rPr>
        <w:tab/>
      </w:r>
      <w:r w:rsidR="00DA54D3" w:rsidRPr="005B4E95">
        <w:rPr>
          <w:rFonts w:ascii="Times New Roman" w:eastAsia="Times New Roman" w:hAnsi="Times New Roman" w:cs="Times New Roman"/>
          <w:sz w:val="24"/>
          <w:szCs w:val="24"/>
          <w:lang w:eastAsia="lv-LV"/>
        </w:rPr>
        <w:tab/>
      </w:r>
      <w:r w:rsidR="00DA54D3" w:rsidRPr="005B4E95">
        <w:rPr>
          <w:rFonts w:ascii="Times New Roman" w:eastAsia="Times New Roman" w:hAnsi="Times New Roman" w:cs="Times New Roman"/>
          <w:sz w:val="24"/>
          <w:szCs w:val="24"/>
          <w:lang w:eastAsia="lv-LV"/>
        </w:rPr>
        <w:tab/>
      </w:r>
      <w:r w:rsidR="00DA54D3" w:rsidRPr="005B4E95">
        <w:rPr>
          <w:rFonts w:ascii="Times New Roman" w:eastAsia="Times New Roman" w:hAnsi="Times New Roman" w:cs="Times New Roman"/>
          <w:sz w:val="24"/>
          <w:szCs w:val="24"/>
          <w:lang w:eastAsia="lv-LV"/>
        </w:rPr>
        <w:tab/>
      </w:r>
      <w:r w:rsidR="00446D26" w:rsidRPr="005B4E9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t xml:space="preserve">Ralfs </w:t>
      </w:r>
      <w:proofErr w:type="spellStart"/>
      <w:r>
        <w:rPr>
          <w:rFonts w:ascii="Times New Roman" w:eastAsia="Times New Roman" w:hAnsi="Times New Roman" w:cs="Times New Roman"/>
          <w:sz w:val="24"/>
          <w:szCs w:val="24"/>
          <w:lang w:eastAsia="lv-LV"/>
        </w:rPr>
        <w:t>Nemiro</w:t>
      </w:r>
      <w:proofErr w:type="spellEnd"/>
    </w:p>
    <w:p w14:paraId="7C9D013A" w14:textId="2E44F745" w:rsidR="00EB354C" w:rsidRPr="005B4E95" w:rsidRDefault="00EB354C" w:rsidP="00EB354C">
      <w:pPr>
        <w:spacing w:after="0" w:line="240" w:lineRule="auto"/>
        <w:jc w:val="both"/>
        <w:rPr>
          <w:rFonts w:ascii="Times New Roman" w:eastAsia="Times New Roman" w:hAnsi="Times New Roman" w:cs="Times New Roman"/>
          <w:sz w:val="24"/>
          <w:szCs w:val="24"/>
          <w:lang w:eastAsia="lv-LV"/>
        </w:rPr>
      </w:pPr>
    </w:p>
    <w:p w14:paraId="47DB04B8" w14:textId="3850D9A4" w:rsidR="00EB354C" w:rsidRPr="005B4E95" w:rsidRDefault="00EB354C" w:rsidP="00EB354C">
      <w:pPr>
        <w:spacing w:after="0" w:line="240" w:lineRule="auto"/>
        <w:jc w:val="both"/>
        <w:rPr>
          <w:rFonts w:ascii="Times New Roman" w:eastAsia="Times New Roman" w:hAnsi="Times New Roman" w:cs="Times New Roman"/>
          <w:sz w:val="24"/>
          <w:szCs w:val="24"/>
          <w:lang w:eastAsia="lv-LV"/>
        </w:rPr>
      </w:pPr>
      <w:bookmarkStart w:id="15" w:name="_GoBack"/>
      <w:bookmarkEnd w:id="15"/>
    </w:p>
    <w:p w14:paraId="192AEB89" w14:textId="77777777" w:rsidR="00A5142F" w:rsidRPr="005B4E95" w:rsidRDefault="00A5142F" w:rsidP="00A5142F">
      <w:pPr>
        <w:spacing w:after="0" w:line="240" w:lineRule="auto"/>
        <w:jc w:val="both"/>
        <w:rPr>
          <w:rFonts w:ascii="Times New Roman" w:eastAsia="Times New Roman" w:hAnsi="Times New Roman" w:cs="Times New Roman"/>
          <w:sz w:val="24"/>
          <w:szCs w:val="24"/>
          <w:lang w:eastAsia="lv-LV"/>
        </w:rPr>
      </w:pPr>
      <w:r w:rsidRPr="005B4E95">
        <w:rPr>
          <w:rFonts w:ascii="Times New Roman" w:eastAsia="Times New Roman" w:hAnsi="Times New Roman" w:cs="Times New Roman"/>
          <w:sz w:val="24"/>
          <w:szCs w:val="24"/>
          <w:lang w:eastAsia="lv-LV"/>
        </w:rPr>
        <w:t xml:space="preserve">Vīza: </w:t>
      </w:r>
    </w:p>
    <w:p w14:paraId="115B5850" w14:textId="4116FBC4" w:rsidR="00A5142F" w:rsidRPr="005B4E95" w:rsidRDefault="00A5142F" w:rsidP="00A5142F">
      <w:pPr>
        <w:spacing w:after="0" w:line="240" w:lineRule="auto"/>
        <w:jc w:val="both"/>
        <w:rPr>
          <w:rFonts w:ascii="Times New Roman" w:eastAsia="Times New Roman" w:hAnsi="Times New Roman" w:cs="Times New Roman"/>
          <w:sz w:val="24"/>
          <w:szCs w:val="24"/>
          <w:lang w:eastAsia="lv-LV"/>
        </w:rPr>
      </w:pPr>
      <w:r w:rsidRPr="005B4E95">
        <w:rPr>
          <w:rFonts w:ascii="Times New Roman" w:eastAsia="Times New Roman" w:hAnsi="Times New Roman" w:cs="Times New Roman"/>
          <w:sz w:val="24"/>
          <w:szCs w:val="24"/>
          <w:lang w:eastAsia="lv-LV"/>
        </w:rPr>
        <w:t>Valsts sekretārs</w:t>
      </w:r>
      <w:r w:rsidRPr="005B4E95">
        <w:rPr>
          <w:rFonts w:ascii="Times New Roman" w:eastAsia="Times New Roman" w:hAnsi="Times New Roman" w:cs="Times New Roman"/>
          <w:sz w:val="24"/>
          <w:szCs w:val="24"/>
          <w:lang w:eastAsia="lv-LV"/>
        </w:rPr>
        <w:tab/>
      </w:r>
      <w:r w:rsidRPr="005B4E95">
        <w:rPr>
          <w:rFonts w:ascii="Times New Roman" w:eastAsia="Times New Roman" w:hAnsi="Times New Roman" w:cs="Times New Roman"/>
          <w:sz w:val="24"/>
          <w:szCs w:val="24"/>
          <w:lang w:eastAsia="lv-LV"/>
        </w:rPr>
        <w:tab/>
      </w:r>
      <w:r w:rsidRPr="005B4E95">
        <w:rPr>
          <w:rFonts w:ascii="Times New Roman" w:eastAsia="Times New Roman" w:hAnsi="Times New Roman" w:cs="Times New Roman"/>
          <w:sz w:val="24"/>
          <w:szCs w:val="24"/>
          <w:lang w:eastAsia="lv-LV"/>
        </w:rPr>
        <w:tab/>
      </w:r>
      <w:r w:rsidRPr="005B4E95">
        <w:rPr>
          <w:rFonts w:ascii="Times New Roman" w:eastAsia="Times New Roman" w:hAnsi="Times New Roman" w:cs="Times New Roman"/>
          <w:sz w:val="24"/>
          <w:szCs w:val="24"/>
          <w:lang w:eastAsia="lv-LV"/>
        </w:rPr>
        <w:tab/>
      </w:r>
      <w:r w:rsidRPr="005B4E95">
        <w:rPr>
          <w:rFonts w:ascii="Times New Roman" w:eastAsia="Times New Roman" w:hAnsi="Times New Roman" w:cs="Times New Roman"/>
          <w:sz w:val="24"/>
          <w:szCs w:val="24"/>
          <w:lang w:eastAsia="lv-LV"/>
        </w:rPr>
        <w:tab/>
      </w:r>
      <w:r w:rsidRPr="005B4E95">
        <w:rPr>
          <w:rFonts w:ascii="Times New Roman" w:eastAsia="Times New Roman" w:hAnsi="Times New Roman" w:cs="Times New Roman"/>
          <w:sz w:val="24"/>
          <w:szCs w:val="24"/>
          <w:lang w:eastAsia="lv-LV"/>
        </w:rPr>
        <w:tab/>
      </w:r>
      <w:r w:rsidR="002E77B1">
        <w:rPr>
          <w:rFonts w:ascii="Times New Roman" w:eastAsia="Times New Roman" w:hAnsi="Times New Roman" w:cs="Times New Roman"/>
          <w:sz w:val="24"/>
          <w:szCs w:val="24"/>
          <w:lang w:eastAsia="lv-LV"/>
        </w:rPr>
        <w:tab/>
      </w:r>
      <w:r w:rsidRPr="005B4E95">
        <w:rPr>
          <w:rFonts w:ascii="Times New Roman" w:eastAsia="Times New Roman" w:hAnsi="Times New Roman" w:cs="Times New Roman"/>
          <w:sz w:val="24"/>
          <w:szCs w:val="24"/>
          <w:lang w:eastAsia="lv-LV"/>
        </w:rPr>
        <w:t>Ēriks Eglītis</w:t>
      </w:r>
    </w:p>
    <w:p w14:paraId="06EEB7EF" w14:textId="45C4AB52" w:rsidR="00A5142F" w:rsidRPr="005B4E95" w:rsidRDefault="00A5142F" w:rsidP="00A5142F">
      <w:pPr>
        <w:spacing w:after="0" w:line="240" w:lineRule="auto"/>
        <w:jc w:val="both"/>
        <w:rPr>
          <w:rFonts w:ascii="Times New Roman" w:eastAsia="Times New Roman" w:hAnsi="Times New Roman" w:cs="Times New Roman"/>
          <w:sz w:val="24"/>
          <w:szCs w:val="24"/>
          <w:lang w:eastAsia="lv-LV"/>
        </w:rPr>
      </w:pPr>
    </w:p>
    <w:p w14:paraId="045C6C8A" w14:textId="77777777" w:rsidR="00446D26" w:rsidRPr="005B4E95" w:rsidRDefault="00446D26" w:rsidP="00A5142F">
      <w:pPr>
        <w:spacing w:after="0" w:line="240" w:lineRule="auto"/>
        <w:jc w:val="both"/>
        <w:rPr>
          <w:rFonts w:ascii="Times New Roman" w:eastAsia="Times New Roman" w:hAnsi="Times New Roman" w:cs="Times New Roman"/>
          <w:sz w:val="24"/>
          <w:szCs w:val="24"/>
          <w:lang w:eastAsia="lv-LV"/>
        </w:rPr>
      </w:pPr>
    </w:p>
    <w:p w14:paraId="41700412" w14:textId="77777777" w:rsidR="000B3419" w:rsidRDefault="000B3419" w:rsidP="000B3419">
      <w:pPr>
        <w:pStyle w:val="naisf"/>
        <w:tabs>
          <w:tab w:val="left" w:pos="6237"/>
          <w:tab w:val="right" w:pos="8820"/>
        </w:tabs>
        <w:spacing w:before="0" w:after="0"/>
        <w:ind w:firstLine="0"/>
        <w:jc w:val="left"/>
        <w:rPr>
          <w:sz w:val="20"/>
          <w:szCs w:val="28"/>
        </w:rPr>
      </w:pPr>
      <w:r>
        <w:rPr>
          <w:sz w:val="20"/>
          <w:szCs w:val="28"/>
        </w:rPr>
        <w:t>Ilze Baltābola</w:t>
      </w:r>
    </w:p>
    <w:p w14:paraId="0158F9DD" w14:textId="77777777" w:rsidR="000B3419" w:rsidRDefault="000B3419" w:rsidP="000B3419">
      <w:pPr>
        <w:pStyle w:val="naisf"/>
        <w:tabs>
          <w:tab w:val="left" w:pos="6237"/>
          <w:tab w:val="right" w:pos="8820"/>
        </w:tabs>
        <w:spacing w:before="0" w:after="0"/>
        <w:ind w:firstLine="0"/>
        <w:jc w:val="left"/>
        <w:rPr>
          <w:sz w:val="20"/>
          <w:szCs w:val="28"/>
        </w:rPr>
      </w:pPr>
      <w:r>
        <w:rPr>
          <w:sz w:val="20"/>
          <w:szCs w:val="28"/>
        </w:rPr>
        <w:t>67013271</w:t>
      </w:r>
    </w:p>
    <w:p w14:paraId="4D764629" w14:textId="77777777" w:rsidR="000B3419" w:rsidRDefault="002E77B1" w:rsidP="000B3419">
      <w:pPr>
        <w:pStyle w:val="naisf"/>
        <w:tabs>
          <w:tab w:val="left" w:pos="6237"/>
          <w:tab w:val="right" w:pos="8820"/>
        </w:tabs>
        <w:spacing w:before="0" w:after="0"/>
        <w:ind w:firstLine="0"/>
        <w:jc w:val="left"/>
        <w:rPr>
          <w:sz w:val="20"/>
          <w:szCs w:val="28"/>
        </w:rPr>
      </w:pPr>
      <w:hyperlink r:id="rId12" w:history="1">
        <w:r w:rsidR="000B3419">
          <w:rPr>
            <w:rStyle w:val="Hyperlink"/>
            <w:sz w:val="20"/>
            <w:szCs w:val="28"/>
          </w:rPr>
          <w:t>Ilze.Baltabola@em.gov.lv</w:t>
        </w:r>
      </w:hyperlink>
      <w:r w:rsidR="000B3419">
        <w:rPr>
          <w:sz w:val="20"/>
          <w:szCs w:val="28"/>
        </w:rPr>
        <w:t xml:space="preserve"> </w:t>
      </w:r>
    </w:p>
    <w:p w14:paraId="25C0C950" w14:textId="61273973" w:rsidR="00446D26" w:rsidRDefault="00446D26" w:rsidP="000B3419">
      <w:pPr>
        <w:spacing w:after="0" w:line="240" w:lineRule="auto"/>
        <w:rPr>
          <w:rFonts w:ascii="Times New Roman" w:eastAsia="Times New Roman" w:hAnsi="Times New Roman" w:cs="Times New Roman"/>
          <w:sz w:val="20"/>
          <w:szCs w:val="26"/>
          <w:lang w:eastAsia="lv-LV"/>
        </w:rPr>
      </w:pPr>
    </w:p>
    <w:p w14:paraId="38D3E837" w14:textId="34804DFD" w:rsidR="000B3419" w:rsidRDefault="000B3419" w:rsidP="000B3419">
      <w:pPr>
        <w:spacing w:after="0" w:line="240" w:lineRule="auto"/>
        <w:rPr>
          <w:rFonts w:ascii="Times New Roman" w:eastAsia="Times New Roman" w:hAnsi="Times New Roman" w:cs="Times New Roman"/>
          <w:sz w:val="20"/>
          <w:szCs w:val="26"/>
          <w:lang w:eastAsia="lv-LV"/>
        </w:rPr>
      </w:pPr>
    </w:p>
    <w:p w14:paraId="393CABBE" w14:textId="2B016A11" w:rsidR="000B3419" w:rsidRDefault="000B3419" w:rsidP="000B3419">
      <w:pPr>
        <w:spacing w:after="0" w:line="240" w:lineRule="auto"/>
        <w:rPr>
          <w:rFonts w:ascii="Times New Roman" w:eastAsia="Times New Roman" w:hAnsi="Times New Roman" w:cs="Times New Roman"/>
          <w:sz w:val="20"/>
          <w:szCs w:val="26"/>
          <w:lang w:eastAsia="lv-LV"/>
        </w:rPr>
      </w:pPr>
      <w:r>
        <w:rPr>
          <w:rFonts w:ascii="Times New Roman" w:eastAsia="Times New Roman" w:hAnsi="Times New Roman" w:cs="Times New Roman"/>
          <w:sz w:val="20"/>
          <w:szCs w:val="26"/>
          <w:lang w:eastAsia="lv-LV"/>
        </w:rPr>
        <w:t xml:space="preserve">Madara Lūka </w:t>
      </w:r>
    </w:p>
    <w:p w14:paraId="704EC911" w14:textId="64D0841D" w:rsidR="000B3419" w:rsidRDefault="000B3419" w:rsidP="000B3419">
      <w:pPr>
        <w:spacing w:after="0" w:line="240" w:lineRule="auto"/>
        <w:rPr>
          <w:rFonts w:ascii="Times New Roman" w:eastAsia="Times New Roman" w:hAnsi="Times New Roman" w:cs="Times New Roman"/>
          <w:sz w:val="20"/>
          <w:szCs w:val="26"/>
          <w:lang w:eastAsia="lv-LV"/>
        </w:rPr>
      </w:pPr>
      <w:r w:rsidRPr="000B3419">
        <w:rPr>
          <w:rFonts w:ascii="Times New Roman" w:eastAsia="Times New Roman" w:hAnsi="Times New Roman" w:cs="Times New Roman"/>
          <w:sz w:val="20"/>
          <w:szCs w:val="26"/>
          <w:lang w:eastAsia="lv-LV"/>
        </w:rPr>
        <w:t>67013256</w:t>
      </w:r>
    </w:p>
    <w:p w14:paraId="2E692AB9" w14:textId="69265BCC" w:rsidR="000B3419" w:rsidRDefault="002E77B1" w:rsidP="000B3419">
      <w:pPr>
        <w:spacing w:after="0" w:line="240" w:lineRule="auto"/>
        <w:rPr>
          <w:rFonts w:ascii="Times New Roman" w:eastAsia="Times New Roman" w:hAnsi="Times New Roman" w:cs="Times New Roman"/>
          <w:sz w:val="20"/>
          <w:szCs w:val="26"/>
          <w:lang w:eastAsia="lv-LV"/>
        </w:rPr>
      </w:pPr>
      <w:hyperlink r:id="rId13" w:history="1">
        <w:r w:rsidR="000B3419" w:rsidRPr="004D2814">
          <w:rPr>
            <w:rStyle w:val="Hyperlink"/>
            <w:rFonts w:ascii="Times New Roman" w:eastAsia="Times New Roman" w:hAnsi="Times New Roman" w:cs="Times New Roman"/>
            <w:sz w:val="20"/>
            <w:szCs w:val="26"/>
            <w:lang w:eastAsia="lv-LV"/>
          </w:rPr>
          <w:t>Madara.Luka@em.gov.lv</w:t>
        </w:r>
      </w:hyperlink>
      <w:r w:rsidR="000B3419">
        <w:rPr>
          <w:rFonts w:ascii="Times New Roman" w:eastAsia="Times New Roman" w:hAnsi="Times New Roman" w:cs="Times New Roman"/>
          <w:sz w:val="20"/>
          <w:szCs w:val="26"/>
          <w:lang w:eastAsia="lv-LV"/>
        </w:rPr>
        <w:t xml:space="preserve"> </w:t>
      </w:r>
    </w:p>
    <w:p w14:paraId="106059C0" w14:textId="7D9476D5" w:rsidR="00446D26" w:rsidRDefault="00446D26" w:rsidP="00A5142F">
      <w:pPr>
        <w:spacing w:after="0" w:line="240" w:lineRule="auto"/>
        <w:jc w:val="both"/>
        <w:rPr>
          <w:rFonts w:ascii="Times New Roman" w:eastAsia="Times New Roman" w:hAnsi="Times New Roman" w:cs="Times New Roman"/>
          <w:sz w:val="20"/>
          <w:szCs w:val="26"/>
          <w:lang w:eastAsia="lv-LV"/>
        </w:rPr>
      </w:pPr>
    </w:p>
    <w:p w14:paraId="439FCA08" w14:textId="64166A19" w:rsidR="000B3419" w:rsidRDefault="000B3419" w:rsidP="00A5142F">
      <w:pPr>
        <w:spacing w:after="0" w:line="240" w:lineRule="auto"/>
        <w:jc w:val="both"/>
        <w:rPr>
          <w:rFonts w:ascii="Times New Roman" w:eastAsia="Times New Roman" w:hAnsi="Times New Roman" w:cs="Times New Roman"/>
          <w:sz w:val="20"/>
          <w:szCs w:val="26"/>
          <w:lang w:eastAsia="lv-LV"/>
        </w:rPr>
      </w:pPr>
    </w:p>
    <w:p w14:paraId="4AF12F14" w14:textId="4FBC8E5E" w:rsidR="000B3419" w:rsidRDefault="000B3419" w:rsidP="00A5142F">
      <w:pPr>
        <w:spacing w:after="0" w:line="240" w:lineRule="auto"/>
        <w:jc w:val="both"/>
        <w:rPr>
          <w:rFonts w:ascii="Times New Roman" w:eastAsia="Times New Roman" w:hAnsi="Times New Roman" w:cs="Times New Roman"/>
          <w:sz w:val="20"/>
          <w:szCs w:val="26"/>
          <w:lang w:eastAsia="lv-LV"/>
        </w:rPr>
      </w:pPr>
      <w:r>
        <w:rPr>
          <w:rFonts w:ascii="Times New Roman" w:eastAsia="Times New Roman" w:hAnsi="Times New Roman" w:cs="Times New Roman"/>
          <w:sz w:val="20"/>
          <w:szCs w:val="26"/>
          <w:lang w:eastAsia="lv-LV"/>
        </w:rPr>
        <w:t>Māris Jurušs</w:t>
      </w:r>
    </w:p>
    <w:p w14:paraId="0FAE81F2" w14:textId="2C9376F7" w:rsidR="000B3419" w:rsidRDefault="000B3419" w:rsidP="00A5142F">
      <w:pPr>
        <w:spacing w:after="0" w:line="240" w:lineRule="auto"/>
        <w:jc w:val="both"/>
        <w:rPr>
          <w:rFonts w:ascii="Times New Roman" w:eastAsia="Times New Roman" w:hAnsi="Times New Roman" w:cs="Times New Roman"/>
          <w:sz w:val="20"/>
          <w:szCs w:val="26"/>
          <w:lang w:eastAsia="lv-LV"/>
        </w:rPr>
      </w:pPr>
      <w:r w:rsidRPr="000B3419">
        <w:rPr>
          <w:rFonts w:ascii="Times New Roman" w:eastAsia="Times New Roman" w:hAnsi="Times New Roman" w:cs="Times New Roman"/>
          <w:sz w:val="20"/>
          <w:szCs w:val="26"/>
          <w:lang w:eastAsia="lv-LV"/>
        </w:rPr>
        <w:t>67013044</w:t>
      </w:r>
    </w:p>
    <w:p w14:paraId="3047B8B9" w14:textId="4FE292BF" w:rsidR="000B3419" w:rsidRDefault="002E77B1" w:rsidP="00A5142F">
      <w:pPr>
        <w:spacing w:after="0" w:line="240" w:lineRule="auto"/>
        <w:jc w:val="both"/>
        <w:rPr>
          <w:rFonts w:ascii="Times New Roman" w:eastAsia="Times New Roman" w:hAnsi="Times New Roman" w:cs="Times New Roman"/>
          <w:sz w:val="20"/>
          <w:szCs w:val="26"/>
          <w:lang w:eastAsia="lv-LV"/>
        </w:rPr>
      </w:pPr>
      <w:hyperlink r:id="rId14" w:history="1">
        <w:r w:rsidR="000B3419" w:rsidRPr="004D2814">
          <w:rPr>
            <w:rStyle w:val="Hyperlink"/>
            <w:rFonts w:ascii="Times New Roman" w:eastAsia="Times New Roman" w:hAnsi="Times New Roman" w:cs="Times New Roman"/>
            <w:sz w:val="20"/>
            <w:szCs w:val="26"/>
            <w:lang w:eastAsia="lv-LV"/>
          </w:rPr>
          <w:t>Māris.Juruss@em.gov.lv</w:t>
        </w:r>
      </w:hyperlink>
      <w:r w:rsidR="000B3419">
        <w:rPr>
          <w:rFonts w:ascii="Times New Roman" w:eastAsia="Times New Roman" w:hAnsi="Times New Roman" w:cs="Times New Roman"/>
          <w:sz w:val="20"/>
          <w:szCs w:val="26"/>
          <w:lang w:eastAsia="lv-LV"/>
        </w:rPr>
        <w:t xml:space="preserve"> </w:t>
      </w:r>
    </w:p>
    <w:p w14:paraId="456F4B82" w14:textId="3EE2452C" w:rsidR="00446D26" w:rsidRDefault="00446D26" w:rsidP="00A5142F">
      <w:pPr>
        <w:spacing w:after="0" w:line="240" w:lineRule="auto"/>
        <w:jc w:val="both"/>
        <w:rPr>
          <w:rFonts w:ascii="Times New Roman" w:eastAsia="Times New Roman" w:hAnsi="Times New Roman" w:cs="Times New Roman"/>
          <w:sz w:val="20"/>
          <w:szCs w:val="26"/>
          <w:lang w:eastAsia="lv-LV"/>
        </w:rPr>
      </w:pPr>
    </w:p>
    <w:sectPr w:rsidR="00446D26" w:rsidSect="00EC3ED0">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E494" w14:textId="77777777" w:rsidR="00F06908" w:rsidRDefault="00F06908" w:rsidP="009A69C6">
      <w:pPr>
        <w:spacing w:after="0" w:line="240" w:lineRule="auto"/>
      </w:pPr>
      <w:r>
        <w:separator/>
      </w:r>
    </w:p>
  </w:endnote>
  <w:endnote w:type="continuationSeparator" w:id="0">
    <w:p w14:paraId="78EACFBE" w14:textId="77777777" w:rsidR="00F06908" w:rsidRDefault="00F06908" w:rsidP="009A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14D9" w14:textId="7192C90A" w:rsidR="00062BBB" w:rsidRPr="000218FD" w:rsidRDefault="00062BBB">
    <w:pPr>
      <w:pStyle w:val="Footer"/>
      <w:rPr>
        <w:rFonts w:ascii="Times New Roman" w:hAnsi="Times New Roman" w:cs="Times New Roman"/>
        <w:sz w:val="20"/>
        <w:szCs w:val="20"/>
      </w:rPr>
    </w:pPr>
    <w:r>
      <w:rPr>
        <w:rFonts w:ascii="Times New Roman" w:hAnsi="Times New Roman" w:cs="Times New Roman"/>
        <w:sz w:val="20"/>
        <w:szCs w:val="20"/>
      </w:rPr>
      <w:t>E</w:t>
    </w:r>
    <w:r w:rsidRPr="000218FD">
      <w:rPr>
        <w:rFonts w:ascii="Times New Roman" w:hAnsi="Times New Roman" w:cs="Times New Roman"/>
        <w:sz w:val="20"/>
        <w:szCs w:val="20"/>
      </w:rPr>
      <w:t>M</w:t>
    </w:r>
    <w:r>
      <w:rPr>
        <w:rFonts w:ascii="Times New Roman" w:hAnsi="Times New Roman" w:cs="Times New Roman"/>
        <w:sz w:val="20"/>
        <w:szCs w:val="20"/>
      </w:rPr>
      <w:t>Konc</w:t>
    </w:r>
    <w:r w:rsidRPr="000218FD">
      <w:rPr>
        <w:rFonts w:ascii="Times New Roman" w:hAnsi="Times New Roman" w:cs="Times New Roman"/>
        <w:sz w:val="20"/>
        <w:szCs w:val="20"/>
      </w:rPr>
      <w:t>_</w:t>
    </w:r>
    <w:r w:rsidR="0056698B">
      <w:rPr>
        <w:rFonts w:ascii="Times New Roman" w:hAnsi="Times New Roman" w:cs="Times New Roman"/>
        <w:sz w:val="20"/>
        <w:szCs w:val="20"/>
      </w:rPr>
      <w:t>010419</w:t>
    </w:r>
    <w:r>
      <w:rPr>
        <w:rFonts w:ascii="Times New Roman" w:hAnsi="Times New Roman" w:cs="Times New Roman"/>
        <w:sz w:val="20"/>
        <w:szCs w:val="20"/>
      </w:rPr>
      <w:t>_Sadarb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5B56" w14:textId="64A010D7" w:rsidR="00062BBB" w:rsidRPr="00BD2912" w:rsidRDefault="00062BBB">
    <w:pPr>
      <w:pStyle w:val="Footer"/>
      <w:rPr>
        <w:rFonts w:ascii="Times New Roman" w:hAnsi="Times New Roman" w:cs="Times New Roman"/>
        <w:sz w:val="20"/>
        <w:szCs w:val="20"/>
      </w:rPr>
    </w:pPr>
    <w:r>
      <w:rPr>
        <w:rFonts w:ascii="Times New Roman" w:hAnsi="Times New Roman" w:cs="Times New Roman"/>
        <w:sz w:val="20"/>
        <w:szCs w:val="20"/>
      </w:rPr>
      <w:t>E</w:t>
    </w:r>
    <w:r w:rsidRPr="000218FD">
      <w:rPr>
        <w:rFonts w:ascii="Times New Roman" w:hAnsi="Times New Roman" w:cs="Times New Roman"/>
        <w:sz w:val="20"/>
        <w:szCs w:val="20"/>
      </w:rPr>
      <w:t>M</w:t>
    </w:r>
    <w:r>
      <w:rPr>
        <w:rFonts w:ascii="Times New Roman" w:hAnsi="Times New Roman" w:cs="Times New Roman"/>
        <w:sz w:val="20"/>
        <w:szCs w:val="20"/>
      </w:rPr>
      <w:t>Konc</w:t>
    </w:r>
    <w:r w:rsidRPr="000218FD">
      <w:rPr>
        <w:rFonts w:ascii="Times New Roman" w:hAnsi="Times New Roman" w:cs="Times New Roman"/>
        <w:sz w:val="20"/>
        <w:szCs w:val="20"/>
      </w:rPr>
      <w:t>_</w:t>
    </w:r>
    <w:r w:rsidR="0056698B">
      <w:rPr>
        <w:rFonts w:ascii="Times New Roman" w:hAnsi="Times New Roman" w:cs="Times New Roman"/>
        <w:sz w:val="20"/>
        <w:szCs w:val="20"/>
      </w:rPr>
      <w:t>010419</w:t>
    </w:r>
    <w:r>
      <w:rPr>
        <w:rFonts w:ascii="Times New Roman" w:hAnsi="Times New Roman" w:cs="Times New Roman"/>
        <w:sz w:val="20"/>
        <w:szCs w:val="20"/>
      </w:rPr>
      <w:t>_Sadarb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61BE" w14:textId="77777777" w:rsidR="00F06908" w:rsidRDefault="00F06908" w:rsidP="009A69C6">
      <w:pPr>
        <w:spacing w:after="0" w:line="240" w:lineRule="auto"/>
      </w:pPr>
      <w:r>
        <w:separator/>
      </w:r>
    </w:p>
  </w:footnote>
  <w:footnote w:type="continuationSeparator" w:id="0">
    <w:p w14:paraId="3475963A" w14:textId="77777777" w:rsidR="00F06908" w:rsidRDefault="00F06908" w:rsidP="009A69C6">
      <w:pPr>
        <w:spacing w:after="0" w:line="240" w:lineRule="auto"/>
      </w:pPr>
      <w:r>
        <w:continuationSeparator/>
      </w:r>
    </w:p>
  </w:footnote>
  <w:footnote w:id="1">
    <w:p w14:paraId="61BDC236" w14:textId="6B6269D3" w:rsidR="00062BBB" w:rsidRPr="00B404D4" w:rsidRDefault="00062BBB" w:rsidP="0007016A">
      <w:pPr>
        <w:pStyle w:val="FootnoteText"/>
        <w:jc w:val="both"/>
        <w:rPr>
          <w:rFonts w:ascii="Times New Roman" w:hAnsi="Times New Roman" w:cs="Times New Roman"/>
        </w:rPr>
      </w:pPr>
      <w:r w:rsidRPr="00B404D4">
        <w:rPr>
          <w:rStyle w:val="FootnoteReference"/>
          <w:rFonts w:ascii="Times New Roman" w:hAnsi="Times New Roman" w:cs="Times New Roman"/>
        </w:rPr>
        <w:footnoteRef/>
      </w:r>
      <w:r w:rsidRPr="00B404D4">
        <w:rPr>
          <w:rFonts w:ascii="Times New Roman" w:hAnsi="Times New Roman" w:cs="Times New Roman"/>
        </w:rPr>
        <w:t xml:space="preserve"> </w:t>
      </w:r>
      <w:r w:rsidR="00BD4D85" w:rsidRPr="00BD4D85">
        <w:rPr>
          <w:rFonts w:ascii="Times New Roman" w:hAnsi="Times New Roman" w:cs="Times New Roman"/>
        </w:rPr>
        <w:t xml:space="preserve">Eiropas Komisijas 2016.gada 2.jūnija paziņojums Eiropas Parlamentam, Padomei, Eiropas Ekonomikas un sociālo lietu komitejai un Reģionu komitejai “Eiropas </w:t>
      </w:r>
      <w:proofErr w:type="spellStart"/>
      <w:r w:rsidR="00BD4D85" w:rsidRPr="00BD4D85">
        <w:rPr>
          <w:rFonts w:ascii="Times New Roman" w:hAnsi="Times New Roman" w:cs="Times New Roman"/>
        </w:rPr>
        <w:t>sadarbīgās</w:t>
      </w:r>
      <w:proofErr w:type="spellEnd"/>
      <w:r w:rsidR="00BD4D85" w:rsidRPr="00BD4D85">
        <w:rPr>
          <w:rFonts w:ascii="Times New Roman" w:hAnsi="Times New Roman" w:cs="Times New Roman"/>
        </w:rPr>
        <w:t xml:space="preserve"> ekonomikas programma”</w:t>
      </w:r>
      <w:r w:rsidR="00BD4D85">
        <w:rPr>
          <w:rFonts w:ascii="Times New Roman" w:hAnsi="Times New Roman" w:cs="Times New Roman"/>
        </w:rPr>
        <w:t xml:space="preserve"> </w:t>
      </w:r>
      <w:hyperlink r:id="rId1" w:history="1">
        <w:r w:rsidR="009F4984" w:rsidRPr="009F4984">
          <w:rPr>
            <w:rStyle w:val="Hyperlink"/>
            <w:rFonts w:ascii="Times New Roman" w:hAnsi="Times New Roman" w:cs="Times New Roman"/>
          </w:rPr>
          <w:t>https://www.eesc.europa.eu/resources/docs/com2016-356-final.pdf</w:t>
        </w:r>
      </w:hyperlink>
      <w:r w:rsidRPr="00B404D4">
        <w:rPr>
          <w:rFonts w:ascii="Times New Roman" w:hAnsi="Times New Roman" w:cs="Times New Roman"/>
        </w:rPr>
        <w:t xml:space="preserve"> </w:t>
      </w:r>
    </w:p>
  </w:footnote>
  <w:footnote w:id="2">
    <w:p w14:paraId="47D06D8E" w14:textId="3E53D482" w:rsidR="00062BBB" w:rsidRPr="00B404D4" w:rsidRDefault="00062BBB" w:rsidP="0007016A">
      <w:pPr>
        <w:pStyle w:val="FootnoteText"/>
        <w:jc w:val="both"/>
        <w:rPr>
          <w:rFonts w:ascii="Times New Roman" w:hAnsi="Times New Roman" w:cs="Times New Roman"/>
        </w:rPr>
      </w:pPr>
      <w:r w:rsidRPr="00B404D4">
        <w:rPr>
          <w:rStyle w:val="FootnoteReference"/>
          <w:rFonts w:ascii="Times New Roman" w:hAnsi="Times New Roman" w:cs="Times New Roman"/>
        </w:rPr>
        <w:footnoteRef/>
      </w:r>
      <w:r w:rsidRPr="00B404D4">
        <w:rPr>
          <w:rFonts w:ascii="Times New Roman" w:hAnsi="Times New Roman" w:cs="Times New Roman"/>
        </w:rPr>
        <w:t xml:space="preserve"> </w:t>
      </w:r>
      <w:bookmarkStart w:id="2" w:name="_Hlk529257866"/>
      <w:r w:rsidRPr="00B404D4">
        <w:rPr>
          <w:rFonts w:ascii="Times New Roman" w:hAnsi="Times New Roman" w:cs="Times New Roman"/>
        </w:rPr>
        <w:t xml:space="preserve">Eiropas Komisijas 2016.gada 2.jūnija paziņojums Eiropas Parlamentam, Padomei, Eiropas Ekonomikas un sociālo lietu komitejai un Reģionu komitejai “Eiropas </w:t>
      </w:r>
      <w:proofErr w:type="spellStart"/>
      <w:r w:rsidRPr="00B404D4">
        <w:rPr>
          <w:rFonts w:ascii="Times New Roman" w:hAnsi="Times New Roman" w:cs="Times New Roman"/>
        </w:rPr>
        <w:t>sadarbīgās</w:t>
      </w:r>
      <w:proofErr w:type="spellEnd"/>
      <w:r w:rsidRPr="00B404D4">
        <w:rPr>
          <w:rFonts w:ascii="Times New Roman" w:hAnsi="Times New Roman" w:cs="Times New Roman"/>
        </w:rPr>
        <w:t xml:space="preserve"> ekonomikas programma”</w:t>
      </w:r>
      <w:bookmarkEnd w:id="2"/>
      <w:r w:rsidRPr="00B404D4">
        <w:rPr>
          <w:rFonts w:ascii="Times New Roman" w:hAnsi="Times New Roman" w:cs="Times New Roman"/>
        </w:rPr>
        <w:t xml:space="preserve"> </w:t>
      </w:r>
      <w:hyperlink r:id="rId2" w:history="1">
        <w:r w:rsidRPr="00B404D4">
          <w:rPr>
            <w:rStyle w:val="Hyperlink"/>
            <w:rFonts w:ascii="Times New Roman" w:hAnsi="Times New Roman" w:cs="Times New Roman"/>
          </w:rPr>
          <w:t>http://ec.europa.eu/DocsRoom/documents/16881</w:t>
        </w:r>
      </w:hyperlink>
      <w:r w:rsidRPr="00B404D4">
        <w:rPr>
          <w:rFonts w:ascii="Times New Roman" w:hAnsi="Times New Roman" w:cs="Times New Roman"/>
        </w:rPr>
        <w:t xml:space="preserve"> </w:t>
      </w:r>
    </w:p>
  </w:footnote>
  <w:footnote w:id="3">
    <w:p w14:paraId="2207B58F" w14:textId="77777777" w:rsidR="00062BBB" w:rsidRPr="0007016A" w:rsidRDefault="00062BBB" w:rsidP="0007016A">
      <w:pPr>
        <w:pStyle w:val="FootnoteText"/>
        <w:jc w:val="both"/>
        <w:rPr>
          <w:rFonts w:ascii="Times New Roman" w:hAnsi="Times New Roman" w:cs="Times New Roman"/>
        </w:rPr>
      </w:pPr>
      <w:r w:rsidRPr="00B404D4">
        <w:rPr>
          <w:rStyle w:val="FootnoteReference"/>
          <w:rFonts w:ascii="Times New Roman" w:hAnsi="Times New Roman" w:cs="Times New Roman"/>
        </w:rPr>
        <w:footnoteRef/>
      </w:r>
      <w:r w:rsidRPr="00B404D4">
        <w:rPr>
          <w:rFonts w:ascii="Times New Roman" w:hAnsi="Times New Roman" w:cs="Times New Roman"/>
        </w:rPr>
        <w:t xml:space="preserve"> </w:t>
      </w:r>
      <w:proofErr w:type="spellStart"/>
      <w:r w:rsidRPr="00B404D4">
        <w:rPr>
          <w:rFonts w:ascii="Times New Roman" w:hAnsi="Times New Roman" w:cs="Times New Roman"/>
        </w:rPr>
        <w:t>Rauch</w:t>
      </w:r>
      <w:proofErr w:type="spellEnd"/>
      <w:r w:rsidRPr="00B404D4">
        <w:rPr>
          <w:rFonts w:ascii="Times New Roman" w:hAnsi="Times New Roman" w:cs="Times New Roman"/>
        </w:rPr>
        <w:t xml:space="preserve">, D. E., &amp; </w:t>
      </w:r>
      <w:proofErr w:type="spellStart"/>
      <w:r w:rsidRPr="00B404D4">
        <w:rPr>
          <w:rFonts w:ascii="Times New Roman" w:hAnsi="Times New Roman" w:cs="Times New Roman"/>
        </w:rPr>
        <w:t>Schleicher</w:t>
      </w:r>
      <w:proofErr w:type="spellEnd"/>
      <w:r w:rsidRPr="00B404D4">
        <w:rPr>
          <w:rFonts w:ascii="Times New Roman" w:hAnsi="Times New Roman" w:cs="Times New Roman"/>
        </w:rPr>
        <w:t xml:space="preserve">, D. (2015). </w:t>
      </w:r>
      <w:proofErr w:type="spellStart"/>
      <w:r w:rsidRPr="00B404D4">
        <w:rPr>
          <w:rFonts w:ascii="Times New Roman" w:hAnsi="Times New Roman" w:cs="Times New Roman"/>
        </w:rPr>
        <w:t>Like</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uber</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but</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for</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local</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government</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law</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The</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future</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of</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local</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regulation</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of</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the</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sharing</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economy</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Ohio</w:t>
      </w:r>
      <w:proofErr w:type="spellEnd"/>
      <w:r w:rsidRPr="00B404D4">
        <w:rPr>
          <w:rFonts w:ascii="Times New Roman" w:hAnsi="Times New Roman" w:cs="Times New Roman"/>
        </w:rPr>
        <w:t xml:space="preserve"> St. LJ, 76, 901.</w:t>
      </w:r>
    </w:p>
  </w:footnote>
  <w:footnote w:id="4">
    <w:p w14:paraId="1CCCE1AE" w14:textId="77777777"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MURPHY, M. (2016). </w:t>
      </w:r>
      <w:proofErr w:type="spellStart"/>
      <w:r w:rsidRPr="0007016A">
        <w:rPr>
          <w:rFonts w:ascii="Times New Roman" w:hAnsi="Times New Roman" w:cs="Times New Roman"/>
        </w:rPr>
        <w:t>Cities</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as</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Original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Sharing</w:t>
      </w:r>
      <w:proofErr w:type="spellEnd"/>
      <w:r w:rsidRPr="0007016A">
        <w:rPr>
          <w:rFonts w:ascii="Times New Roman" w:hAnsi="Times New Roman" w:cs="Times New Roman"/>
        </w:rPr>
        <w:t xml:space="preserve"> Platform¹: </w:t>
      </w:r>
      <w:proofErr w:type="spellStart"/>
      <w:r w:rsidRPr="0007016A">
        <w:rPr>
          <w:rFonts w:ascii="Times New Roman" w:hAnsi="Times New Roman" w:cs="Times New Roman"/>
        </w:rPr>
        <w:t>Regulation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New</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Sharing</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Journal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Business &amp; </w:t>
      </w:r>
      <w:proofErr w:type="spellStart"/>
      <w:r w:rsidRPr="0007016A">
        <w:rPr>
          <w:rFonts w:ascii="Times New Roman" w:hAnsi="Times New Roman" w:cs="Times New Roman"/>
        </w:rPr>
        <w:t>Technology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Law</w:t>
      </w:r>
      <w:proofErr w:type="spellEnd"/>
      <w:r w:rsidRPr="0007016A">
        <w:rPr>
          <w:rFonts w:ascii="Times New Roman" w:hAnsi="Times New Roman" w:cs="Times New Roman"/>
        </w:rPr>
        <w:t>, 12(1), 127-149.</w:t>
      </w:r>
    </w:p>
  </w:footnote>
  <w:footnote w:id="5">
    <w:p w14:paraId="776FAA8C" w14:textId="77777777"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w:t>
      </w:r>
      <w:proofErr w:type="spellStart"/>
      <w:r w:rsidRPr="0007016A">
        <w:rPr>
          <w:rFonts w:ascii="Times New Roman" w:hAnsi="Times New Roman" w:cs="Times New Roman"/>
        </w:rPr>
        <w:t>Koopman</w:t>
      </w:r>
      <w:proofErr w:type="spellEnd"/>
      <w:r w:rsidRPr="0007016A">
        <w:rPr>
          <w:rFonts w:ascii="Times New Roman" w:hAnsi="Times New Roman" w:cs="Times New Roman"/>
        </w:rPr>
        <w:t xml:space="preserve">, C., </w:t>
      </w:r>
      <w:proofErr w:type="spellStart"/>
      <w:r w:rsidRPr="0007016A">
        <w:rPr>
          <w:rFonts w:ascii="Times New Roman" w:hAnsi="Times New Roman" w:cs="Times New Roman"/>
        </w:rPr>
        <w:t>Mitchell</w:t>
      </w:r>
      <w:proofErr w:type="spellEnd"/>
      <w:r w:rsidRPr="0007016A">
        <w:rPr>
          <w:rFonts w:ascii="Times New Roman" w:hAnsi="Times New Roman" w:cs="Times New Roman"/>
        </w:rPr>
        <w:t xml:space="preserve">, M., &amp; </w:t>
      </w:r>
      <w:proofErr w:type="spellStart"/>
      <w:r w:rsidRPr="0007016A">
        <w:rPr>
          <w:rFonts w:ascii="Times New Roman" w:hAnsi="Times New Roman" w:cs="Times New Roman"/>
        </w:rPr>
        <w:t>Thierer</w:t>
      </w:r>
      <w:proofErr w:type="spellEnd"/>
      <w:r w:rsidRPr="0007016A">
        <w:rPr>
          <w:rFonts w:ascii="Times New Roman" w:hAnsi="Times New Roman" w:cs="Times New Roman"/>
        </w:rPr>
        <w:t xml:space="preserve">, A. (2014).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sharing</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and</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consumer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protection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regulation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case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for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policy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change</w:t>
      </w:r>
      <w:proofErr w:type="spellEnd"/>
      <w:r w:rsidRPr="0007016A">
        <w:rPr>
          <w:rFonts w:ascii="Times New Roman" w:hAnsi="Times New Roman" w:cs="Times New Roman"/>
        </w:rPr>
        <w:t xml:space="preserve">. J. </w:t>
      </w:r>
      <w:proofErr w:type="spellStart"/>
      <w:r w:rsidRPr="0007016A">
        <w:rPr>
          <w:rFonts w:ascii="Times New Roman" w:hAnsi="Times New Roman" w:cs="Times New Roman"/>
        </w:rPr>
        <w:t>Bus</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Entrepreneurship</w:t>
      </w:r>
      <w:proofErr w:type="spellEnd"/>
      <w:r w:rsidRPr="0007016A">
        <w:rPr>
          <w:rFonts w:ascii="Times New Roman" w:hAnsi="Times New Roman" w:cs="Times New Roman"/>
        </w:rPr>
        <w:t xml:space="preserve"> &amp; L., 8, 529.</w:t>
      </w:r>
    </w:p>
  </w:footnote>
  <w:footnote w:id="6">
    <w:p w14:paraId="78A9BFBE" w14:textId="77777777"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Eiropas Komisijas 2016.gada 2.jūnija ziņojums „Eiropas programma sadarbības ekonomikai” (COM (2016) 356 </w:t>
      </w:r>
      <w:proofErr w:type="spellStart"/>
      <w:r w:rsidRPr="0007016A">
        <w:rPr>
          <w:rFonts w:ascii="Times New Roman" w:hAnsi="Times New Roman" w:cs="Times New Roman"/>
        </w:rPr>
        <w:t>final</w:t>
      </w:r>
      <w:proofErr w:type="spellEnd"/>
      <w:r w:rsidRPr="0007016A">
        <w:rPr>
          <w:rFonts w:ascii="Times New Roman" w:hAnsi="Times New Roman" w:cs="Times New Roman"/>
        </w:rPr>
        <w:t>)</w:t>
      </w:r>
    </w:p>
  </w:footnote>
  <w:footnote w:id="7">
    <w:p w14:paraId="22A95F48" w14:textId="3ADAD1AE" w:rsidR="00062BBB" w:rsidRDefault="00062BBB" w:rsidP="0007016A">
      <w:pPr>
        <w:pStyle w:val="FootnoteText"/>
        <w:jc w:val="both"/>
      </w:pPr>
      <w:r w:rsidRPr="0007016A">
        <w:rPr>
          <w:rStyle w:val="FootnoteReference"/>
          <w:rFonts w:ascii="Times New Roman" w:hAnsi="Times New Roman" w:cs="Times New Roman"/>
        </w:rPr>
        <w:footnoteRef/>
      </w:r>
      <w:r w:rsidRPr="0007016A">
        <w:rPr>
          <w:rFonts w:ascii="Times New Roman" w:hAnsi="Times New Roman" w:cs="Times New Roman"/>
        </w:rPr>
        <w:t xml:space="preserve"> </w:t>
      </w:r>
      <w:bookmarkStart w:id="3" w:name="_Hlk520788576"/>
      <w:r w:rsidRPr="0007016A">
        <w:rPr>
          <w:rFonts w:ascii="Times New Roman" w:hAnsi="Times New Roman" w:cs="Times New Roman"/>
        </w:rPr>
        <w:t xml:space="preserve">Eiropas Komisija. </w:t>
      </w:r>
      <w:proofErr w:type="spellStart"/>
      <w:r w:rsidRPr="0007016A">
        <w:rPr>
          <w:rFonts w:ascii="Times New Roman" w:hAnsi="Times New Roman" w:cs="Times New Roman"/>
        </w:rPr>
        <w:t>Study</w:t>
      </w:r>
      <w:proofErr w:type="spellEnd"/>
      <w:r w:rsidRPr="0007016A">
        <w:rPr>
          <w:rFonts w:ascii="Times New Roman" w:hAnsi="Times New Roman" w:cs="Times New Roman"/>
        </w:rPr>
        <w:t xml:space="preserve"> to Monitor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Economic</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Development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Collaborative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at </w:t>
      </w:r>
      <w:proofErr w:type="spellStart"/>
      <w:r w:rsidRPr="0007016A">
        <w:rPr>
          <w:rFonts w:ascii="Times New Roman" w:hAnsi="Times New Roman" w:cs="Times New Roman"/>
        </w:rPr>
        <w:t>sector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level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in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28 EU </w:t>
      </w:r>
      <w:proofErr w:type="spellStart"/>
      <w:r w:rsidRPr="0007016A">
        <w:rPr>
          <w:rFonts w:ascii="Times New Roman" w:hAnsi="Times New Roman" w:cs="Times New Roman"/>
        </w:rPr>
        <w:t>Member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States</w:t>
      </w:r>
      <w:proofErr w:type="spellEnd"/>
      <w:r w:rsidRPr="0007016A">
        <w:rPr>
          <w:rFonts w:ascii="Times New Roman" w:hAnsi="Times New Roman" w:cs="Times New Roman"/>
        </w:rPr>
        <w:t>. 2018.g. 23.februāris.</w:t>
      </w:r>
      <w:bookmarkEnd w:id="3"/>
    </w:p>
  </w:footnote>
  <w:footnote w:id="8">
    <w:p w14:paraId="07C08891" w14:textId="7B50994B"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Eiropas Komisija. </w:t>
      </w:r>
      <w:proofErr w:type="spellStart"/>
      <w:r w:rsidRPr="0007016A">
        <w:rPr>
          <w:rFonts w:ascii="Times New Roman" w:hAnsi="Times New Roman" w:cs="Times New Roman"/>
        </w:rPr>
        <w:t>Study</w:t>
      </w:r>
      <w:proofErr w:type="spellEnd"/>
      <w:r w:rsidRPr="0007016A">
        <w:rPr>
          <w:rFonts w:ascii="Times New Roman" w:hAnsi="Times New Roman" w:cs="Times New Roman"/>
        </w:rPr>
        <w:t xml:space="preserve"> to Monitor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Economic</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Development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Collaborative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at </w:t>
      </w:r>
      <w:proofErr w:type="spellStart"/>
      <w:r w:rsidRPr="0007016A">
        <w:rPr>
          <w:rFonts w:ascii="Times New Roman" w:hAnsi="Times New Roman" w:cs="Times New Roman"/>
        </w:rPr>
        <w:t>sector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level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in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28 EU </w:t>
      </w:r>
      <w:proofErr w:type="spellStart"/>
      <w:r w:rsidRPr="0007016A">
        <w:rPr>
          <w:rFonts w:ascii="Times New Roman" w:hAnsi="Times New Roman" w:cs="Times New Roman"/>
        </w:rPr>
        <w:t>Member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States</w:t>
      </w:r>
      <w:proofErr w:type="spellEnd"/>
      <w:r w:rsidRPr="0007016A">
        <w:rPr>
          <w:rFonts w:ascii="Times New Roman" w:hAnsi="Times New Roman" w:cs="Times New Roman"/>
        </w:rPr>
        <w:t>. 2018.g. 23.februāris.</w:t>
      </w:r>
    </w:p>
  </w:footnote>
  <w:footnote w:id="9">
    <w:p w14:paraId="29C05451" w14:textId="77777777" w:rsidR="00062BBB" w:rsidRDefault="00062BBB" w:rsidP="0007016A">
      <w:pPr>
        <w:pStyle w:val="FootnoteText"/>
        <w:jc w:val="both"/>
      </w:pPr>
      <w:r w:rsidRPr="0007016A">
        <w:rPr>
          <w:rStyle w:val="FootnoteReference"/>
          <w:rFonts w:ascii="Times New Roman" w:hAnsi="Times New Roman" w:cs="Times New Roman"/>
        </w:rPr>
        <w:footnoteRef/>
      </w:r>
      <w:r w:rsidRPr="0007016A">
        <w:rPr>
          <w:rFonts w:ascii="Times New Roman" w:hAnsi="Times New Roman" w:cs="Times New Roman"/>
        </w:rPr>
        <w:t xml:space="preserve"> Eiropas Komisija. </w:t>
      </w:r>
      <w:proofErr w:type="spellStart"/>
      <w:r w:rsidRPr="0007016A">
        <w:rPr>
          <w:rFonts w:ascii="Times New Roman" w:hAnsi="Times New Roman" w:cs="Times New Roman"/>
        </w:rPr>
        <w:t>Study</w:t>
      </w:r>
      <w:proofErr w:type="spellEnd"/>
      <w:r w:rsidRPr="0007016A">
        <w:rPr>
          <w:rFonts w:ascii="Times New Roman" w:hAnsi="Times New Roman" w:cs="Times New Roman"/>
        </w:rPr>
        <w:t xml:space="preserve"> to Monitor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Economic</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Development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Collaborative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at </w:t>
      </w:r>
      <w:proofErr w:type="spellStart"/>
      <w:r w:rsidRPr="0007016A">
        <w:rPr>
          <w:rFonts w:ascii="Times New Roman" w:hAnsi="Times New Roman" w:cs="Times New Roman"/>
        </w:rPr>
        <w:t>sector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level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in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28 EU </w:t>
      </w:r>
      <w:proofErr w:type="spellStart"/>
      <w:r w:rsidRPr="0007016A">
        <w:rPr>
          <w:rFonts w:ascii="Times New Roman" w:hAnsi="Times New Roman" w:cs="Times New Roman"/>
        </w:rPr>
        <w:t>Member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States</w:t>
      </w:r>
      <w:proofErr w:type="spellEnd"/>
      <w:r w:rsidRPr="0007016A">
        <w:rPr>
          <w:rFonts w:ascii="Times New Roman" w:hAnsi="Times New Roman" w:cs="Times New Roman"/>
        </w:rPr>
        <w:t>. 2018.g. 23.februāris.</w:t>
      </w:r>
    </w:p>
  </w:footnote>
  <w:footnote w:id="10">
    <w:p w14:paraId="4A6D8A50" w14:textId="77777777"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w:t>
      </w:r>
      <w:bookmarkStart w:id="6" w:name="_Hlk523069629"/>
      <w:r w:rsidRPr="0007016A">
        <w:rPr>
          <w:rFonts w:ascii="Times New Roman" w:hAnsi="Times New Roman" w:cs="Times New Roman"/>
        </w:rPr>
        <w:t xml:space="preserve">Eiropas Komisija. </w:t>
      </w:r>
      <w:proofErr w:type="spellStart"/>
      <w:r w:rsidRPr="0007016A">
        <w:rPr>
          <w:rFonts w:ascii="Times New Roman" w:hAnsi="Times New Roman" w:cs="Times New Roman"/>
        </w:rPr>
        <w:t>Study</w:t>
      </w:r>
      <w:proofErr w:type="spellEnd"/>
      <w:r w:rsidRPr="0007016A">
        <w:rPr>
          <w:rFonts w:ascii="Times New Roman" w:hAnsi="Times New Roman" w:cs="Times New Roman"/>
        </w:rPr>
        <w:t xml:space="preserve"> to Monitor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Economic</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Development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Collaborative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at </w:t>
      </w:r>
      <w:proofErr w:type="spellStart"/>
      <w:r w:rsidRPr="0007016A">
        <w:rPr>
          <w:rFonts w:ascii="Times New Roman" w:hAnsi="Times New Roman" w:cs="Times New Roman"/>
        </w:rPr>
        <w:t>sector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level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in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28 EU </w:t>
      </w:r>
      <w:proofErr w:type="spellStart"/>
      <w:r w:rsidRPr="0007016A">
        <w:rPr>
          <w:rFonts w:ascii="Times New Roman" w:hAnsi="Times New Roman" w:cs="Times New Roman"/>
        </w:rPr>
        <w:t>Member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States</w:t>
      </w:r>
      <w:proofErr w:type="spellEnd"/>
      <w:r w:rsidRPr="0007016A">
        <w:rPr>
          <w:rFonts w:ascii="Times New Roman" w:hAnsi="Times New Roman" w:cs="Times New Roman"/>
        </w:rPr>
        <w:t>. 2018.g. 23.februāris.</w:t>
      </w:r>
      <w:bookmarkEnd w:id="6"/>
    </w:p>
  </w:footnote>
  <w:footnote w:id="11">
    <w:p w14:paraId="52CAB21A" w14:textId="1CC92D4B" w:rsidR="00062BBB" w:rsidRDefault="00062BBB">
      <w:pPr>
        <w:pStyle w:val="FootnoteText"/>
      </w:pPr>
      <w:r>
        <w:rPr>
          <w:rStyle w:val="FootnoteReference"/>
        </w:rPr>
        <w:footnoteRef/>
      </w:r>
      <w:r>
        <w:t xml:space="preserve"> </w:t>
      </w:r>
      <w:r w:rsidRPr="0007016A">
        <w:rPr>
          <w:rFonts w:ascii="Times New Roman" w:hAnsi="Times New Roman" w:cs="Times New Roman"/>
        </w:rPr>
        <w:t xml:space="preserve">Eiropas Komisija. </w:t>
      </w:r>
      <w:proofErr w:type="spellStart"/>
      <w:r w:rsidRPr="0007016A">
        <w:rPr>
          <w:rFonts w:ascii="Times New Roman" w:hAnsi="Times New Roman" w:cs="Times New Roman"/>
        </w:rPr>
        <w:t>Study</w:t>
      </w:r>
      <w:proofErr w:type="spellEnd"/>
      <w:r w:rsidRPr="0007016A">
        <w:rPr>
          <w:rFonts w:ascii="Times New Roman" w:hAnsi="Times New Roman" w:cs="Times New Roman"/>
        </w:rPr>
        <w:t xml:space="preserve"> to Monitor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Economic</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Development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Collaborative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at </w:t>
      </w:r>
      <w:proofErr w:type="spellStart"/>
      <w:r w:rsidRPr="0007016A">
        <w:rPr>
          <w:rFonts w:ascii="Times New Roman" w:hAnsi="Times New Roman" w:cs="Times New Roman"/>
        </w:rPr>
        <w:t>sector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level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in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28 EU </w:t>
      </w:r>
      <w:proofErr w:type="spellStart"/>
      <w:r w:rsidRPr="0007016A">
        <w:rPr>
          <w:rFonts w:ascii="Times New Roman" w:hAnsi="Times New Roman" w:cs="Times New Roman"/>
        </w:rPr>
        <w:t>Member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States</w:t>
      </w:r>
      <w:proofErr w:type="spellEnd"/>
      <w:r w:rsidRPr="0007016A">
        <w:rPr>
          <w:rFonts w:ascii="Times New Roman" w:hAnsi="Times New Roman" w:cs="Times New Roman"/>
        </w:rPr>
        <w:t>. 2018.g. 23.februāris.</w:t>
      </w:r>
    </w:p>
  </w:footnote>
  <w:footnote w:id="12">
    <w:p w14:paraId="4789073E" w14:textId="4DE9A19E"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Eiropas Komisijas 2016.gada 2.jūnija paziņojums Eiropas Parlamentam, Padomei, Eiropas Ekonomikas un sociālo lietu komitejai un Reģionu komitejai “Eiropas </w:t>
      </w:r>
      <w:proofErr w:type="spellStart"/>
      <w:r w:rsidRPr="0007016A">
        <w:rPr>
          <w:rFonts w:ascii="Times New Roman" w:hAnsi="Times New Roman" w:cs="Times New Roman"/>
        </w:rPr>
        <w:t>sadarbīgās</w:t>
      </w:r>
      <w:proofErr w:type="spellEnd"/>
      <w:r w:rsidRPr="0007016A">
        <w:rPr>
          <w:rFonts w:ascii="Times New Roman" w:hAnsi="Times New Roman" w:cs="Times New Roman"/>
        </w:rPr>
        <w:t xml:space="preserve"> ekonomikas programma” http://ec.europa.eu/DocsRoom/documents/16881</w:t>
      </w:r>
    </w:p>
  </w:footnote>
  <w:footnote w:id="13">
    <w:p w14:paraId="23A31B81" w14:textId="213F5F1D" w:rsidR="00062BBB" w:rsidRPr="008E34BC" w:rsidRDefault="00062BBB" w:rsidP="008E34BC">
      <w:pPr>
        <w:pStyle w:val="FootnoteText"/>
        <w:jc w:val="both"/>
        <w:rPr>
          <w:rFonts w:ascii="Times New Roman" w:hAnsi="Times New Roman" w:cs="Times New Roman"/>
        </w:rPr>
      </w:pPr>
      <w:r w:rsidRPr="008E34BC">
        <w:rPr>
          <w:rStyle w:val="FootnoteReference"/>
          <w:rFonts w:ascii="Times New Roman" w:hAnsi="Times New Roman" w:cs="Times New Roman"/>
        </w:rPr>
        <w:footnoteRef/>
      </w:r>
      <w:r w:rsidRPr="008E34BC">
        <w:rPr>
          <w:rFonts w:ascii="Times New Roman" w:hAnsi="Times New Roman" w:cs="Times New Roman"/>
        </w:rPr>
        <w:t xml:space="preserve"> Eiropas Komisijas 2016.gada 2.jūnija Eiropas </w:t>
      </w:r>
      <w:proofErr w:type="spellStart"/>
      <w:r w:rsidRPr="008E34BC">
        <w:rPr>
          <w:rFonts w:ascii="Times New Roman" w:hAnsi="Times New Roman" w:cs="Times New Roman"/>
        </w:rPr>
        <w:t>sadarbīgās</w:t>
      </w:r>
      <w:proofErr w:type="spellEnd"/>
      <w:r w:rsidRPr="008E34BC">
        <w:rPr>
          <w:rFonts w:ascii="Times New Roman" w:hAnsi="Times New Roman" w:cs="Times New Roman"/>
        </w:rPr>
        <w:t xml:space="preserve"> ekonomikas programma (COM(2016) 356 </w:t>
      </w:r>
      <w:proofErr w:type="spellStart"/>
      <w:r w:rsidRPr="008E34BC">
        <w:rPr>
          <w:rFonts w:ascii="Times New Roman" w:hAnsi="Times New Roman" w:cs="Times New Roman"/>
        </w:rPr>
        <w:t>final</w:t>
      </w:r>
      <w:proofErr w:type="spellEnd"/>
      <w:r w:rsidRPr="008E34BC">
        <w:rPr>
          <w:rFonts w:ascii="Times New Roman" w:hAnsi="Times New Roman" w:cs="Times New Roman"/>
        </w:rPr>
        <w:t>),</w:t>
      </w:r>
    </w:p>
  </w:footnote>
  <w:footnote w:id="14">
    <w:p w14:paraId="4988FA84" w14:textId="6DAA7217" w:rsidR="00370731" w:rsidRPr="00373AD9" w:rsidRDefault="00370731">
      <w:pPr>
        <w:pStyle w:val="FootnoteText"/>
        <w:rPr>
          <w:rFonts w:ascii="Times New Roman" w:hAnsi="Times New Roman" w:cs="Times New Roman"/>
        </w:rPr>
      </w:pPr>
      <w:r w:rsidRPr="00373AD9">
        <w:rPr>
          <w:rStyle w:val="FootnoteReference"/>
          <w:rFonts w:ascii="Times New Roman" w:hAnsi="Times New Roman" w:cs="Times New Roman"/>
        </w:rPr>
        <w:footnoteRef/>
      </w:r>
      <w:r w:rsidRPr="00373AD9">
        <w:rPr>
          <w:rFonts w:ascii="Times New Roman" w:hAnsi="Times New Roman" w:cs="Times New Roman"/>
        </w:rPr>
        <w:t>https://webcache.googleusercontent.com/search?q=cache:o86Jec7s5EIJ:https://assets.publishing.service.gov.uk/government/uploads/system/uploads/attachment_data/file/658728/HMRC_Report_453_Sharing_Economy.pdf+&amp;cd=4&amp;hl=lv&amp;ct=clnk&amp;gl=lv</w:t>
      </w:r>
    </w:p>
  </w:footnote>
  <w:footnote w:id="15">
    <w:p w14:paraId="09856849" w14:textId="34F99F9F" w:rsidR="00062BBB" w:rsidRPr="00B664FC" w:rsidRDefault="00062BBB" w:rsidP="00B664FC">
      <w:pPr>
        <w:pStyle w:val="FootnoteText"/>
        <w:jc w:val="both"/>
        <w:rPr>
          <w:rFonts w:ascii="Times New Roman" w:hAnsi="Times New Roman" w:cs="Times New Roman"/>
        </w:rPr>
      </w:pPr>
      <w:r w:rsidRPr="00B664FC">
        <w:rPr>
          <w:rStyle w:val="FootnoteReference"/>
          <w:rFonts w:ascii="Times New Roman" w:hAnsi="Times New Roman" w:cs="Times New Roman"/>
        </w:rPr>
        <w:footnoteRef/>
      </w:r>
      <w:r w:rsidRPr="00B664FC">
        <w:rPr>
          <w:rFonts w:ascii="Times New Roman" w:hAnsi="Times New Roman" w:cs="Times New Roman"/>
        </w:rPr>
        <w:t xml:space="preserve"> </w:t>
      </w:r>
      <w:proofErr w:type="spellStart"/>
      <w:r w:rsidRPr="00B664FC">
        <w:rPr>
          <w:rFonts w:ascii="Times New Roman" w:hAnsi="Times New Roman" w:cs="Times New Roman"/>
        </w:rPr>
        <w:t>European</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Commision</w:t>
      </w:r>
      <w:proofErr w:type="spellEnd"/>
      <w:r w:rsidRPr="00B664FC">
        <w:rPr>
          <w:rFonts w:ascii="Times New Roman" w:hAnsi="Times New Roman" w:cs="Times New Roman"/>
        </w:rPr>
        <w:t xml:space="preserve"> (2018). </w:t>
      </w:r>
      <w:proofErr w:type="spellStart"/>
      <w:r w:rsidRPr="00B664FC">
        <w:rPr>
          <w:rFonts w:ascii="Times New Roman" w:hAnsi="Times New Roman" w:cs="Times New Roman"/>
        </w:rPr>
        <w:t>Study</w:t>
      </w:r>
      <w:proofErr w:type="spellEnd"/>
      <w:r w:rsidRPr="00B664FC">
        <w:rPr>
          <w:rFonts w:ascii="Times New Roman" w:hAnsi="Times New Roman" w:cs="Times New Roman"/>
        </w:rPr>
        <w:t xml:space="preserve"> to Monitor </w:t>
      </w:r>
      <w:proofErr w:type="spellStart"/>
      <w:r w:rsidRPr="00B664FC">
        <w:rPr>
          <w:rFonts w:ascii="Times New Roman" w:hAnsi="Times New Roman" w:cs="Times New Roman"/>
        </w:rPr>
        <w:t>the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Economic</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Development</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of</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the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Collaborative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Economy</w:t>
      </w:r>
      <w:proofErr w:type="spellEnd"/>
      <w:r w:rsidRPr="00B664FC">
        <w:rPr>
          <w:rFonts w:ascii="Times New Roman" w:hAnsi="Times New Roman" w:cs="Times New Roman"/>
        </w:rPr>
        <w:t xml:space="preserve"> at </w:t>
      </w:r>
      <w:proofErr w:type="spellStart"/>
      <w:r w:rsidRPr="00B664FC">
        <w:rPr>
          <w:rFonts w:ascii="Times New Roman" w:hAnsi="Times New Roman" w:cs="Times New Roman"/>
        </w:rPr>
        <w:t>sector</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level</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in</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the</w:t>
      </w:r>
      <w:proofErr w:type="spellEnd"/>
      <w:r w:rsidRPr="00B664FC">
        <w:rPr>
          <w:rFonts w:ascii="Times New Roman" w:hAnsi="Times New Roman" w:cs="Times New Roman"/>
        </w:rPr>
        <w:t xml:space="preserve"> 28 EU </w:t>
      </w:r>
      <w:proofErr w:type="spellStart"/>
      <w:r w:rsidRPr="00B664FC">
        <w:rPr>
          <w:rFonts w:ascii="Times New Roman" w:hAnsi="Times New Roman" w:cs="Times New Roman"/>
        </w:rPr>
        <w:t>Member</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States</w:t>
      </w:r>
      <w:proofErr w:type="spellEnd"/>
      <w:r w:rsidRPr="00B664FC">
        <w:rPr>
          <w:rFonts w:ascii="Times New Roman" w:hAnsi="Times New Roman" w:cs="Times New Roman"/>
        </w:rPr>
        <w:t xml:space="preserve">. </w:t>
      </w:r>
      <w:hyperlink r:id="rId3" w:history="1">
        <w:r w:rsidRPr="00821D4D">
          <w:rPr>
            <w:rStyle w:val="Hyperlink"/>
            <w:rFonts w:ascii="Times New Roman" w:hAnsi="Times New Roman" w:cs="Times New Roman"/>
          </w:rPr>
          <w:t>https://publications.europa.eu/en/publication-detail/-/publication/79bee7ad-6d22-11e8-9483-01aa75ed71a1/language-en/format-PDF/source-72448577</w:t>
        </w:r>
      </w:hyperlink>
      <w:r>
        <w:rPr>
          <w:rFonts w:ascii="Times New Roman" w:hAnsi="Times New Roman" w:cs="Times New Roman"/>
        </w:rPr>
        <w:t xml:space="preserve"> </w:t>
      </w:r>
    </w:p>
  </w:footnote>
  <w:footnote w:id="16">
    <w:p w14:paraId="4E872AAB" w14:textId="77777777" w:rsidR="00062BBB" w:rsidRPr="009869F9" w:rsidRDefault="00062BBB" w:rsidP="00B664FC">
      <w:pPr>
        <w:pStyle w:val="FootnoteText"/>
        <w:jc w:val="both"/>
        <w:rPr>
          <w:rFonts w:ascii="Times New Roman" w:hAnsi="Times New Roman" w:cs="Times New Roman"/>
        </w:rPr>
      </w:pPr>
      <w:r w:rsidRPr="00B664FC">
        <w:rPr>
          <w:rStyle w:val="FootnoteReference"/>
          <w:rFonts w:ascii="Times New Roman" w:hAnsi="Times New Roman" w:cs="Times New Roman"/>
        </w:rPr>
        <w:footnoteRef/>
      </w:r>
      <w:r w:rsidRPr="00B664FC">
        <w:rPr>
          <w:rFonts w:ascii="Times New Roman" w:hAnsi="Times New Roman" w:cs="Times New Roman"/>
        </w:rPr>
        <w:t xml:space="preserve"> </w:t>
      </w:r>
      <w:proofErr w:type="spellStart"/>
      <w:r w:rsidRPr="00B664FC">
        <w:rPr>
          <w:rFonts w:ascii="Times New Roman" w:hAnsi="Times New Roman" w:cs="Times New Roman"/>
        </w:rPr>
        <w:t>European</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Commision</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Flash</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Eurobarometer</w:t>
      </w:r>
      <w:proofErr w:type="spellEnd"/>
      <w:r w:rsidRPr="00B664FC">
        <w:rPr>
          <w:rFonts w:ascii="Times New Roman" w:hAnsi="Times New Roman" w:cs="Times New Roman"/>
        </w:rPr>
        <w:t xml:space="preserve"> 438 , </w:t>
      </w:r>
      <w:proofErr w:type="spellStart"/>
      <w:r w:rsidRPr="00B664FC">
        <w:rPr>
          <w:rFonts w:ascii="Times New Roman" w:hAnsi="Times New Roman" w:cs="Times New Roman"/>
        </w:rPr>
        <w:t>The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use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of</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collaborative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platforms</w:t>
      </w:r>
      <w:proofErr w:type="spellEnd"/>
      <w:r w:rsidRPr="00B664FC">
        <w:rPr>
          <w:rFonts w:ascii="Times New Roman" w:hAnsi="Times New Roman" w:cs="Times New Roman"/>
        </w:rPr>
        <w:t xml:space="preserve">, 2016 </w:t>
      </w:r>
      <w:proofErr w:type="spellStart"/>
      <w:r w:rsidRPr="00B664FC">
        <w:rPr>
          <w:rFonts w:ascii="Times New Roman" w:hAnsi="Times New Roman" w:cs="Times New Roman"/>
        </w:rPr>
        <w:t>June</w:t>
      </w:r>
      <w:proofErr w:type="spellEnd"/>
      <w:r w:rsidRPr="009869F9">
        <w:rPr>
          <w:rFonts w:ascii="Times New Roman" w:hAnsi="Times New Roman" w:cs="Times New Roman"/>
        </w:rPr>
        <w:t xml:space="preserve"> </w:t>
      </w:r>
    </w:p>
  </w:footnote>
  <w:footnote w:id="17">
    <w:p w14:paraId="7FF6650E" w14:textId="053FC6D1" w:rsidR="0077428F" w:rsidRPr="00907A2A" w:rsidRDefault="0077428F">
      <w:pPr>
        <w:pStyle w:val="FootnoteText"/>
        <w:rPr>
          <w:rFonts w:ascii="Times New Roman" w:hAnsi="Times New Roman" w:cs="Times New Roman"/>
        </w:rPr>
      </w:pPr>
      <w:r w:rsidRPr="00907A2A">
        <w:rPr>
          <w:rStyle w:val="FootnoteReference"/>
          <w:rFonts w:ascii="Times New Roman" w:hAnsi="Times New Roman" w:cs="Times New Roman"/>
        </w:rPr>
        <w:footnoteRef/>
      </w:r>
      <w:r w:rsidRPr="00907A2A">
        <w:rPr>
          <w:rFonts w:ascii="Times New Roman" w:hAnsi="Times New Roman" w:cs="Times New Roman"/>
        </w:rPr>
        <w:t xml:space="preserve"> http://tap.mk.gov.lv/lv/mk/tap/?pid=40461133&amp;mode=mk&amp;date=2018-08-14</w:t>
      </w:r>
    </w:p>
  </w:footnote>
  <w:footnote w:id="18">
    <w:p w14:paraId="45AB3C5B" w14:textId="17AD671D" w:rsidR="00062BBB" w:rsidRPr="00716E6D" w:rsidRDefault="00062BBB" w:rsidP="00B664FC">
      <w:pPr>
        <w:pStyle w:val="FootnoteText"/>
        <w:jc w:val="both"/>
      </w:pPr>
      <w:r w:rsidRPr="00B664FC">
        <w:rPr>
          <w:rStyle w:val="FootnoteReference"/>
          <w:rFonts w:ascii="Times New Roman" w:hAnsi="Times New Roman" w:cs="Times New Roman"/>
        </w:rPr>
        <w:footnoteRef/>
      </w:r>
      <w:r w:rsidRPr="00B664FC">
        <w:rPr>
          <w:rFonts w:ascii="Times New Roman" w:hAnsi="Times New Roman" w:cs="Times New Roman"/>
        </w:rPr>
        <w:t xml:space="preserve"> Ministru kabineta 2018. gada 6. marta noteikumi Nr. 147 “Kārtība, kādā veicami pasažieru komercpārvadājumi ar vieglo automobili</w:t>
      </w:r>
      <w:r>
        <w:rPr>
          <w:rFonts w:ascii="Times New Roman" w:hAnsi="Times New Roman" w:cs="Times New Roman"/>
        </w:rPr>
        <w:t>”</w:t>
      </w:r>
      <w:r w:rsidRPr="00B664FC">
        <w:rPr>
          <w:rFonts w:ascii="Times New Roman" w:hAnsi="Times New Roman" w:cs="Times New Roman"/>
        </w:rPr>
        <w:t>, Ministru kabineta 2018. gada 6. marta noteikumi Nr. 149 “Vadītāju reģistrācijas noteikumi pasažieru komercpārvadājumiem ar taksometru un vieglo automobili”, Ministru kabineta 2018. gada 6. marta noteikumi Nr. 146 “Noteikumi par valsts nodevu par speciālās atļaujas (licences) izsniegšanu komercpārvadājumiem ar autotransportu”</w:t>
      </w:r>
    </w:p>
  </w:footnote>
  <w:footnote w:id="19">
    <w:p w14:paraId="3191D9D8" w14:textId="77777777" w:rsidR="00062BBB" w:rsidRPr="000F3C9F" w:rsidRDefault="00062BBB" w:rsidP="00D9151E">
      <w:pPr>
        <w:pStyle w:val="FootnoteText"/>
        <w:rPr>
          <w:rFonts w:ascii="Times New Roman" w:hAnsi="Times New Roman" w:cs="Times New Roman"/>
        </w:rPr>
      </w:pPr>
      <w:r w:rsidRPr="000F3C9F">
        <w:rPr>
          <w:rStyle w:val="FootnoteReference"/>
          <w:rFonts w:ascii="Times New Roman" w:hAnsi="Times New Roman" w:cs="Times New Roman"/>
        </w:rPr>
        <w:footnoteRef/>
      </w:r>
      <w:r w:rsidRPr="000F3C9F">
        <w:rPr>
          <w:rFonts w:ascii="Times New Roman" w:hAnsi="Times New Roman" w:cs="Times New Roman"/>
        </w:rPr>
        <w:t xml:space="preserve"> Ābols I. (2018) Pētījums “Dzīvokļu piedāvājuma salīdzinājums airbnb.com un booking.com platformās 2016. un 2017. gada novembrī Rīgā”. </w:t>
      </w:r>
    </w:p>
  </w:footnote>
  <w:footnote w:id="20">
    <w:p w14:paraId="19C734FF" w14:textId="77777777" w:rsidR="00062BBB" w:rsidRDefault="00062BBB" w:rsidP="00347D2D">
      <w:pPr>
        <w:pStyle w:val="FootnoteText"/>
      </w:pPr>
      <w:r w:rsidRPr="000F3C9F">
        <w:rPr>
          <w:rStyle w:val="FootnoteReference"/>
          <w:rFonts w:ascii="Times New Roman" w:hAnsi="Times New Roman" w:cs="Times New Roman"/>
        </w:rPr>
        <w:footnoteRef/>
      </w:r>
      <w:r w:rsidRPr="000F3C9F">
        <w:rPr>
          <w:rFonts w:ascii="Times New Roman" w:hAnsi="Times New Roman" w:cs="Times New Roman"/>
        </w:rPr>
        <w:t xml:space="preserve"> CSP (2018) TU050c. Viesnīcas un citas tūristu mītnes republikas pilsētās un novados pa ceturkšņiem: </w:t>
      </w:r>
      <w:hyperlink r:id="rId4" w:history="1">
        <w:r w:rsidRPr="000F3C9F">
          <w:rPr>
            <w:rStyle w:val="Hyperlink"/>
            <w:rFonts w:ascii="Times New Roman" w:hAnsi="Times New Roman" w:cs="Times New Roman"/>
          </w:rPr>
          <w:t>https://data1.csb.gov.lv/pxweb/lv/transp_tur/transp_tur__turisms__izm__isterm/TU050c.px/table/tableViewLayout1/?rxid=aaf0688a-b534-4949-a4a5-b0646941da46</w:t>
        </w:r>
      </w:hyperlink>
      <w:r>
        <w:t xml:space="preserve"> </w:t>
      </w:r>
    </w:p>
  </w:footnote>
  <w:footnote w:id="21">
    <w:p w14:paraId="79506B81" w14:textId="7641A1CF" w:rsidR="008E415E" w:rsidRDefault="008E415E">
      <w:pPr>
        <w:pStyle w:val="FootnoteText"/>
      </w:pPr>
      <w:r>
        <w:rPr>
          <w:rStyle w:val="FootnoteReference"/>
        </w:rPr>
        <w:footnoteRef/>
      </w:r>
      <w:r>
        <w:t xml:space="preserve"> </w:t>
      </w:r>
      <w:proofErr w:type="spellStart"/>
      <w:r w:rsidRPr="008E415E">
        <w:t>European</w:t>
      </w:r>
      <w:proofErr w:type="spellEnd"/>
      <w:r w:rsidRPr="008E415E">
        <w:t xml:space="preserve"> </w:t>
      </w:r>
      <w:proofErr w:type="spellStart"/>
      <w:r w:rsidRPr="008E415E">
        <w:t>Commision</w:t>
      </w:r>
      <w:proofErr w:type="spellEnd"/>
      <w:r w:rsidRPr="008E415E">
        <w:t xml:space="preserve"> (2018). </w:t>
      </w:r>
      <w:proofErr w:type="spellStart"/>
      <w:r w:rsidRPr="008E415E">
        <w:t>Study</w:t>
      </w:r>
      <w:proofErr w:type="spellEnd"/>
      <w:r w:rsidRPr="008E415E">
        <w:t xml:space="preserve"> to Monitor </w:t>
      </w:r>
      <w:proofErr w:type="spellStart"/>
      <w:r w:rsidRPr="008E415E">
        <w:t>the</w:t>
      </w:r>
      <w:proofErr w:type="spellEnd"/>
      <w:r w:rsidRPr="008E415E">
        <w:t xml:space="preserve"> </w:t>
      </w:r>
      <w:proofErr w:type="spellStart"/>
      <w:r w:rsidRPr="008E415E">
        <w:t>Economic</w:t>
      </w:r>
      <w:proofErr w:type="spellEnd"/>
      <w:r w:rsidRPr="008E415E">
        <w:t xml:space="preserve"> </w:t>
      </w:r>
      <w:proofErr w:type="spellStart"/>
      <w:r w:rsidRPr="008E415E">
        <w:t>Development</w:t>
      </w:r>
      <w:proofErr w:type="spellEnd"/>
      <w:r w:rsidRPr="008E415E">
        <w:t xml:space="preserve"> </w:t>
      </w:r>
      <w:proofErr w:type="spellStart"/>
      <w:r w:rsidRPr="008E415E">
        <w:t>of</w:t>
      </w:r>
      <w:proofErr w:type="spellEnd"/>
      <w:r w:rsidRPr="008E415E">
        <w:t xml:space="preserve"> </w:t>
      </w:r>
      <w:proofErr w:type="spellStart"/>
      <w:r w:rsidRPr="008E415E">
        <w:t>the</w:t>
      </w:r>
      <w:proofErr w:type="spellEnd"/>
      <w:r w:rsidRPr="008E415E">
        <w:t xml:space="preserve"> </w:t>
      </w:r>
      <w:proofErr w:type="spellStart"/>
      <w:r w:rsidRPr="008E415E">
        <w:t>Collaborative</w:t>
      </w:r>
      <w:proofErr w:type="spellEnd"/>
      <w:r w:rsidRPr="008E415E">
        <w:t xml:space="preserve"> </w:t>
      </w:r>
      <w:proofErr w:type="spellStart"/>
      <w:r w:rsidRPr="008E415E">
        <w:t>Economy</w:t>
      </w:r>
      <w:proofErr w:type="spellEnd"/>
      <w:r w:rsidRPr="008E415E">
        <w:t xml:space="preserve"> at </w:t>
      </w:r>
      <w:proofErr w:type="spellStart"/>
      <w:r w:rsidRPr="008E415E">
        <w:t>sector</w:t>
      </w:r>
      <w:proofErr w:type="spellEnd"/>
      <w:r w:rsidRPr="008E415E">
        <w:t xml:space="preserve"> </w:t>
      </w:r>
      <w:proofErr w:type="spellStart"/>
      <w:r w:rsidRPr="008E415E">
        <w:t>level</w:t>
      </w:r>
      <w:proofErr w:type="spellEnd"/>
      <w:r w:rsidRPr="008E415E">
        <w:t xml:space="preserve"> </w:t>
      </w:r>
      <w:proofErr w:type="spellStart"/>
      <w:r w:rsidRPr="008E415E">
        <w:t>in</w:t>
      </w:r>
      <w:proofErr w:type="spellEnd"/>
      <w:r w:rsidRPr="008E415E">
        <w:t xml:space="preserve"> </w:t>
      </w:r>
      <w:proofErr w:type="spellStart"/>
      <w:r w:rsidRPr="008E415E">
        <w:t>the</w:t>
      </w:r>
      <w:proofErr w:type="spellEnd"/>
      <w:r w:rsidRPr="008E415E">
        <w:t xml:space="preserve"> 28 EU </w:t>
      </w:r>
      <w:proofErr w:type="spellStart"/>
      <w:r w:rsidRPr="008E415E">
        <w:t>Member</w:t>
      </w:r>
      <w:proofErr w:type="spellEnd"/>
      <w:r w:rsidRPr="008E415E">
        <w:t xml:space="preserve"> </w:t>
      </w:r>
      <w:proofErr w:type="spellStart"/>
      <w:r w:rsidRPr="008E415E">
        <w:t>States</w:t>
      </w:r>
      <w:proofErr w:type="spellEnd"/>
      <w:r w:rsidRPr="008E415E">
        <w:t xml:space="preserve">. </w:t>
      </w:r>
      <w:hyperlink r:id="rId5" w:history="1">
        <w:r w:rsidRPr="008E415E">
          <w:rPr>
            <w:rStyle w:val="Hyperlink"/>
          </w:rPr>
          <w:t>https://publications.europa.eu/en/publication-detail/-/publication/79bee7ad-6d22-11e8-9483-01aa75ed71a1/language-en/format-PDF/source-72448577</w:t>
        </w:r>
      </w:hyperlink>
    </w:p>
  </w:footnote>
  <w:footnote w:id="22">
    <w:p w14:paraId="43321013" w14:textId="1409EFDC" w:rsidR="00062BBB" w:rsidRPr="005D7E3D" w:rsidRDefault="00062BBB" w:rsidP="00CE5870">
      <w:pPr>
        <w:pStyle w:val="FootnoteText"/>
        <w:jc w:val="both"/>
        <w:rPr>
          <w:rFonts w:ascii="Times New Roman" w:hAnsi="Times New Roman" w:cs="Times New Roman"/>
        </w:rPr>
      </w:pPr>
      <w:r w:rsidRPr="005D7E3D">
        <w:rPr>
          <w:rStyle w:val="FootnoteReference"/>
          <w:rFonts w:ascii="Times New Roman" w:hAnsi="Times New Roman" w:cs="Times New Roman"/>
        </w:rPr>
        <w:footnoteRef/>
      </w:r>
      <w:r w:rsidRPr="005D7E3D">
        <w:rPr>
          <w:rFonts w:ascii="Times New Roman" w:hAnsi="Times New Roman" w:cs="Times New Roman"/>
        </w:rPr>
        <w:t xml:space="preserve"> Autopārvadājumu likums, Ministru kabineta 2018. gada 6. marta noteikumi Nr. 147 “Kārtība, kādā veicami pasažieru komercpārvadājumi ar vieglo automobili “</w:t>
      </w:r>
    </w:p>
  </w:footnote>
  <w:footnote w:id="23">
    <w:p w14:paraId="1D00AFA1" w14:textId="0D1328CC" w:rsidR="00062BBB" w:rsidRPr="006E1674" w:rsidRDefault="00062BBB" w:rsidP="006E1674">
      <w:pPr>
        <w:pStyle w:val="FootnoteText"/>
        <w:jc w:val="both"/>
        <w:rPr>
          <w:rFonts w:ascii="Times New Roman" w:hAnsi="Times New Roman" w:cs="Times New Roman"/>
        </w:rPr>
      </w:pPr>
      <w:r w:rsidRPr="006E1674">
        <w:rPr>
          <w:rStyle w:val="FootnoteReference"/>
          <w:rFonts w:ascii="Times New Roman" w:hAnsi="Times New Roman" w:cs="Times New Roman"/>
        </w:rPr>
        <w:footnoteRef/>
      </w:r>
      <w:r w:rsidRPr="006E1674">
        <w:rPr>
          <w:rFonts w:ascii="Times New Roman" w:hAnsi="Times New Roman" w:cs="Times New Roman"/>
        </w:rPr>
        <w:t xml:space="preserve"> </w:t>
      </w:r>
      <w:r>
        <w:rPr>
          <w:rFonts w:ascii="Times New Roman" w:hAnsi="Times New Roman" w:cs="Times New Roman"/>
        </w:rPr>
        <w:t>K</w:t>
      </w:r>
      <w:r w:rsidRPr="006E1674">
        <w:rPr>
          <w:rFonts w:ascii="Times New Roman" w:hAnsi="Times New Roman" w:cs="Times New Roman"/>
        </w:rPr>
        <w:t>onvencija, ar ko īsteno Šengenas nolīgumu</w:t>
      </w:r>
      <w:r>
        <w:rPr>
          <w:rFonts w:ascii="Times New Roman" w:hAnsi="Times New Roman" w:cs="Times New Roman"/>
        </w:rPr>
        <w:t xml:space="preserve"> (</w:t>
      </w:r>
      <w:r w:rsidRPr="006E1674">
        <w:rPr>
          <w:rFonts w:ascii="Times New Roman" w:hAnsi="Times New Roman" w:cs="Times New Roman"/>
        </w:rPr>
        <w:t>1985. gada 14. jūnijs) starp Beniluksa Ekonomikas savienības valstu valdībām, Vācijas Federatīvās Republikas valdību un</w:t>
      </w:r>
      <w:r>
        <w:rPr>
          <w:rFonts w:ascii="Times New Roman" w:hAnsi="Times New Roman" w:cs="Times New Roman"/>
        </w:rPr>
        <w:t xml:space="preserve"> </w:t>
      </w:r>
      <w:r w:rsidRPr="006E1674">
        <w:rPr>
          <w:rFonts w:ascii="Times New Roman" w:hAnsi="Times New Roman" w:cs="Times New Roman"/>
        </w:rPr>
        <w:t>Francijas Republikas valdību par pakāpenisku kontroles atcelšanu pie kopīgām robežām</w:t>
      </w:r>
    </w:p>
  </w:footnote>
  <w:footnote w:id="24">
    <w:p w14:paraId="16A38B95" w14:textId="6A8204C9" w:rsidR="00062BBB" w:rsidRPr="00956227" w:rsidRDefault="00062BBB" w:rsidP="006E1674">
      <w:pPr>
        <w:pStyle w:val="FootnoteText"/>
        <w:jc w:val="both"/>
        <w:rPr>
          <w:rFonts w:ascii="Times New Roman" w:hAnsi="Times New Roman" w:cs="Times New Roman"/>
        </w:rPr>
      </w:pPr>
      <w:r w:rsidRPr="00956227">
        <w:rPr>
          <w:rStyle w:val="FootnoteReference"/>
          <w:rFonts w:ascii="Times New Roman" w:hAnsi="Times New Roman" w:cs="Times New Roman"/>
        </w:rPr>
        <w:footnoteRef/>
      </w:r>
      <w:r w:rsidRPr="00956227">
        <w:rPr>
          <w:rFonts w:ascii="Times New Roman" w:hAnsi="Times New Roman" w:cs="Times New Roman"/>
        </w:rPr>
        <w:t xml:space="preserve"> Augstākās tiesas Civillietu departamenta prakses apkopojums “Patērētāju tiesību aizsardzība” (2014. janvāris – 2017. jūnijs)</w:t>
      </w:r>
    </w:p>
  </w:footnote>
  <w:footnote w:id="25">
    <w:p w14:paraId="0DF3AA2F" w14:textId="7688A43A" w:rsidR="00062BBB" w:rsidRPr="00956227" w:rsidRDefault="00062BBB" w:rsidP="006E1674">
      <w:pPr>
        <w:pStyle w:val="FootnoteText"/>
        <w:jc w:val="both"/>
        <w:rPr>
          <w:rFonts w:ascii="Times New Roman" w:hAnsi="Times New Roman" w:cs="Times New Roman"/>
        </w:rPr>
      </w:pPr>
      <w:r w:rsidRPr="00956227">
        <w:rPr>
          <w:rStyle w:val="FootnoteReference"/>
          <w:rFonts w:ascii="Times New Roman" w:hAnsi="Times New Roman" w:cs="Times New Roman"/>
        </w:rPr>
        <w:footnoteRef/>
      </w:r>
      <w:r w:rsidRPr="00956227">
        <w:rPr>
          <w:rFonts w:ascii="Times New Roman" w:hAnsi="Times New Roman" w:cs="Times New Roman"/>
        </w:rPr>
        <w:t xml:space="preserve"> Augstākās tiesas Civillietu departamenta prakses apkopojums “Patērētāju tiesību aizsardzība” (2014. janvāris – 2017. jūnijs)</w:t>
      </w:r>
    </w:p>
  </w:footnote>
  <w:footnote w:id="26">
    <w:p w14:paraId="125D3D1A" w14:textId="73CBA5AE" w:rsidR="00062BBB" w:rsidRDefault="00062BBB" w:rsidP="00956227">
      <w:pPr>
        <w:pStyle w:val="FootnoteText"/>
        <w:jc w:val="both"/>
      </w:pPr>
      <w:r w:rsidRPr="00956227">
        <w:rPr>
          <w:rStyle w:val="FootnoteReference"/>
          <w:rFonts w:ascii="Times New Roman" w:hAnsi="Times New Roman" w:cs="Times New Roman"/>
        </w:rPr>
        <w:footnoteRef/>
      </w:r>
      <w:r w:rsidRPr="00956227">
        <w:rPr>
          <w:rFonts w:ascii="Times New Roman" w:hAnsi="Times New Roman" w:cs="Times New Roman"/>
        </w:rPr>
        <w:t xml:space="preserve"> Eiropas Parlamenta un Padomes 2016. gada 27. aprīļa regula Nr.  (ES) 2016/679 par fizisku personu aizsardzību attiecībā uz personas datu apstrādi un šādu datu brīvu apriti un ar ko atceļ Direktīvu 95/46/EK (Vispārīgā datu aizsardzības regula)</w:t>
      </w:r>
    </w:p>
  </w:footnote>
  <w:footnote w:id="27">
    <w:p w14:paraId="068EDAC0" w14:textId="77777777" w:rsidR="00C6237D" w:rsidRDefault="00C6237D" w:rsidP="00C6237D">
      <w:pPr>
        <w:pStyle w:val="FootnoteText"/>
      </w:pPr>
      <w:r>
        <w:rPr>
          <w:rStyle w:val="FootnoteReference"/>
        </w:rPr>
        <w:footnoteRef/>
      </w:r>
      <w:r>
        <w:t xml:space="preserve"> </w:t>
      </w:r>
      <w:proofErr w:type="spellStart"/>
      <w:r w:rsidRPr="00754D85">
        <w:t>Simplified</w:t>
      </w:r>
      <w:proofErr w:type="spellEnd"/>
      <w:r w:rsidRPr="00754D85">
        <w:t xml:space="preserve"> Business </w:t>
      </w:r>
      <w:proofErr w:type="spellStart"/>
      <w:r w:rsidRPr="00754D85">
        <w:t>Income</w:t>
      </w:r>
      <w:proofErr w:type="spellEnd"/>
      <w:r w:rsidRPr="00754D85">
        <w:t xml:space="preserve"> </w:t>
      </w:r>
      <w:proofErr w:type="spellStart"/>
      <w:r w:rsidRPr="00754D85">
        <w:t>Taxation</w:t>
      </w:r>
      <w:proofErr w:type="spellEnd"/>
      <w:r w:rsidRPr="00754D85">
        <w:t xml:space="preserve"> </w:t>
      </w:r>
      <w:proofErr w:type="spellStart"/>
      <w:r w:rsidRPr="00754D85">
        <w:t>Act</w:t>
      </w:r>
      <w:proofErr w:type="spellEnd"/>
      <w:r>
        <w:t xml:space="preserve"> </w:t>
      </w:r>
      <w:r w:rsidRPr="00754D85">
        <w:t>https://www.riigiteataja.ee/en/eli/522122017001/consolide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682879"/>
      <w:docPartObj>
        <w:docPartGallery w:val="Page Numbers (Top of Page)"/>
        <w:docPartUnique/>
      </w:docPartObj>
    </w:sdtPr>
    <w:sdtEndPr>
      <w:rPr>
        <w:rFonts w:ascii="Times New Roman" w:hAnsi="Times New Roman" w:cs="Times New Roman"/>
        <w:noProof/>
        <w:sz w:val="24"/>
        <w:szCs w:val="24"/>
      </w:rPr>
    </w:sdtEndPr>
    <w:sdtContent>
      <w:p w14:paraId="25F23B7D" w14:textId="60B3A02F" w:rsidR="00062BBB" w:rsidRDefault="00062BBB" w:rsidP="009D695D">
        <w:pPr>
          <w:pStyle w:val="Header"/>
          <w:jc w:val="center"/>
        </w:pPr>
        <w:r w:rsidRPr="009D695D">
          <w:rPr>
            <w:rFonts w:ascii="Times New Roman" w:hAnsi="Times New Roman" w:cs="Times New Roman"/>
            <w:sz w:val="24"/>
            <w:szCs w:val="24"/>
          </w:rPr>
          <w:fldChar w:fldCharType="begin"/>
        </w:r>
        <w:r w:rsidRPr="00B948B2">
          <w:rPr>
            <w:rFonts w:ascii="Times New Roman" w:hAnsi="Times New Roman" w:cs="Times New Roman"/>
            <w:sz w:val="24"/>
            <w:szCs w:val="24"/>
          </w:rPr>
          <w:instrText xml:space="preserve"> PAGE   \* MERGEFORMAT </w:instrText>
        </w:r>
        <w:r w:rsidRPr="009D695D">
          <w:rPr>
            <w:rFonts w:ascii="Times New Roman" w:hAnsi="Times New Roman" w:cs="Times New Roman"/>
            <w:sz w:val="24"/>
            <w:szCs w:val="24"/>
          </w:rPr>
          <w:fldChar w:fldCharType="separate"/>
        </w:r>
        <w:r w:rsidR="00B6127E">
          <w:rPr>
            <w:rFonts w:ascii="Times New Roman" w:hAnsi="Times New Roman" w:cs="Times New Roman"/>
            <w:noProof/>
            <w:sz w:val="24"/>
            <w:szCs w:val="24"/>
          </w:rPr>
          <w:t>19</w:t>
        </w:r>
        <w:r w:rsidRPr="009D69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949"/>
    <w:multiLevelType w:val="hybridMultilevel"/>
    <w:tmpl w:val="C5BC5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3435C1"/>
    <w:multiLevelType w:val="hybridMultilevel"/>
    <w:tmpl w:val="1F86E2E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F4521C"/>
    <w:multiLevelType w:val="hybridMultilevel"/>
    <w:tmpl w:val="9C54EB7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23B11C8"/>
    <w:multiLevelType w:val="multilevel"/>
    <w:tmpl w:val="BF8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628AF"/>
    <w:multiLevelType w:val="hybridMultilevel"/>
    <w:tmpl w:val="8ACAEEAE"/>
    <w:lvl w:ilvl="0" w:tplc="504AAA0E">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D3250E6"/>
    <w:multiLevelType w:val="hybridMultilevel"/>
    <w:tmpl w:val="7DF45D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F7E6F57"/>
    <w:multiLevelType w:val="hybridMultilevel"/>
    <w:tmpl w:val="4C88920E"/>
    <w:lvl w:ilvl="0" w:tplc="DCA8B4D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6CF51BC"/>
    <w:multiLevelType w:val="hybridMultilevel"/>
    <w:tmpl w:val="6A969C9E"/>
    <w:lvl w:ilvl="0" w:tplc="33B626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0AE60F7"/>
    <w:multiLevelType w:val="hybridMultilevel"/>
    <w:tmpl w:val="A68608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41A3598"/>
    <w:multiLevelType w:val="hybridMultilevel"/>
    <w:tmpl w:val="9CBECB2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63F03C21"/>
    <w:multiLevelType w:val="hybridMultilevel"/>
    <w:tmpl w:val="E10E7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366C07"/>
    <w:multiLevelType w:val="hybridMultilevel"/>
    <w:tmpl w:val="74A42798"/>
    <w:lvl w:ilvl="0" w:tplc="EAC87C0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2" w15:restartNumberingAfterBreak="0">
    <w:nsid w:val="67EF791A"/>
    <w:multiLevelType w:val="hybridMultilevel"/>
    <w:tmpl w:val="E5188B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5"/>
  </w:num>
  <w:num w:numId="5">
    <w:abstractNumId w:val="12"/>
  </w:num>
  <w:num w:numId="6">
    <w:abstractNumId w:val="11"/>
  </w:num>
  <w:num w:numId="7">
    <w:abstractNumId w:val="3"/>
  </w:num>
  <w:num w:numId="8">
    <w:abstractNumId w:val="0"/>
  </w:num>
  <w:num w:numId="9">
    <w:abstractNumId w:val="9"/>
  </w:num>
  <w:num w:numId="10">
    <w:abstractNumId w:val="4"/>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C6"/>
    <w:rsid w:val="0000112F"/>
    <w:rsid w:val="00003916"/>
    <w:rsid w:val="000047F3"/>
    <w:rsid w:val="00007C06"/>
    <w:rsid w:val="000128F2"/>
    <w:rsid w:val="00014022"/>
    <w:rsid w:val="00020B63"/>
    <w:rsid w:val="00021149"/>
    <w:rsid w:val="00021291"/>
    <w:rsid w:val="000254FA"/>
    <w:rsid w:val="00025A82"/>
    <w:rsid w:val="00025B5F"/>
    <w:rsid w:val="00027AAD"/>
    <w:rsid w:val="00030F32"/>
    <w:rsid w:val="00034FC0"/>
    <w:rsid w:val="000350C2"/>
    <w:rsid w:val="000353EA"/>
    <w:rsid w:val="000417E8"/>
    <w:rsid w:val="00050918"/>
    <w:rsid w:val="0005165E"/>
    <w:rsid w:val="00055CFF"/>
    <w:rsid w:val="00060B2D"/>
    <w:rsid w:val="00062BBB"/>
    <w:rsid w:val="00062ED9"/>
    <w:rsid w:val="00063C04"/>
    <w:rsid w:val="0007016A"/>
    <w:rsid w:val="000703F9"/>
    <w:rsid w:val="000716B2"/>
    <w:rsid w:val="00075F36"/>
    <w:rsid w:val="00076213"/>
    <w:rsid w:val="000764B6"/>
    <w:rsid w:val="000808BE"/>
    <w:rsid w:val="000815E6"/>
    <w:rsid w:val="00082A93"/>
    <w:rsid w:val="00085EAE"/>
    <w:rsid w:val="00086952"/>
    <w:rsid w:val="000879DA"/>
    <w:rsid w:val="00091F76"/>
    <w:rsid w:val="000A070A"/>
    <w:rsid w:val="000A0EC0"/>
    <w:rsid w:val="000A2A4F"/>
    <w:rsid w:val="000A7273"/>
    <w:rsid w:val="000B18B4"/>
    <w:rsid w:val="000B3419"/>
    <w:rsid w:val="000B34EC"/>
    <w:rsid w:val="000B5252"/>
    <w:rsid w:val="000B63B0"/>
    <w:rsid w:val="000D2C2A"/>
    <w:rsid w:val="000D45A5"/>
    <w:rsid w:val="000D7CE9"/>
    <w:rsid w:val="000E5693"/>
    <w:rsid w:val="000F12AB"/>
    <w:rsid w:val="000F2F77"/>
    <w:rsid w:val="000F3C9F"/>
    <w:rsid w:val="000F4194"/>
    <w:rsid w:val="000F477F"/>
    <w:rsid w:val="000F6427"/>
    <w:rsid w:val="000F7DB6"/>
    <w:rsid w:val="00101E74"/>
    <w:rsid w:val="001022CF"/>
    <w:rsid w:val="00103B95"/>
    <w:rsid w:val="00104E9B"/>
    <w:rsid w:val="00105366"/>
    <w:rsid w:val="00110238"/>
    <w:rsid w:val="00116B03"/>
    <w:rsid w:val="00120EA6"/>
    <w:rsid w:val="00124F65"/>
    <w:rsid w:val="00127C04"/>
    <w:rsid w:val="00127C59"/>
    <w:rsid w:val="00137758"/>
    <w:rsid w:val="00142331"/>
    <w:rsid w:val="00144FEB"/>
    <w:rsid w:val="00145E0E"/>
    <w:rsid w:val="0014700E"/>
    <w:rsid w:val="00147288"/>
    <w:rsid w:val="001515F8"/>
    <w:rsid w:val="00162579"/>
    <w:rsid w:val="00166C53"/>
    <w:rsid w:val="001730DA"/>
    <w:rsid w:val="001747B2"/>
    <w:rsid w:val="00177F79"/>
    <w:rsid w:val="00181C51"/>
    <w:rsid w:val="00185E63"/>
    <w:rsid w:val="00192391"/>
    <w:rsid w:val="001A253C"/>
    <w:rsid w:val="001A4CCE"/>
    <w:rsid w:val="001A5B84"/>
    <w:rsid w:val="001A5C45"/>
    <w:rsid w:val="001A7568"/>
    <w:rsid w:val="001A7B91"/>
    <w:rsid w:val="001B1B0B"/>
    <w:rsid w:val="001C047E"/>
    <w:rsid w:val="001C05AF"/>
    <w:rsid w:val="001C0A39"/>
    <w:rsid w:val="001C2C72"/>
    <w:rsid w:val="001C4472"/>
    <w:rsid w:val="001C48E1"/>
    <w:rsid w:val="001C6AFA"/>
    <w:rsid w:val="001D37E5"/>
    <w:rsid w:val="001E1E25"/>
    <w:rsid w:val="001E3AB4"/>
    <w:rsid w:val="001E41D7"/>
    <w:rsid w:val="001E601B"/>
    <w:rsid w:val="001E6383"/>
    <w:rsid w:val="001E680B"/>
    <w:rsid w:val="001E7CC7"/>
    <w:rsid w:val="001E7CE9"/>
    <w:rsid w:val="001E7ED9"/>
    <w:rsid w:val="001F681C"/>
    <w:rsid w:val="001F6B2A"/>
    <w:rsid w:val="0020031F"/>
    <w:rsid w:val="0020765B"/>
    <w:rsid w:val="00211265"/>
    <w:rsid w:val="002130B4"/>
    <w:rsid w:val="002159D6"/>
    <w:rsid w:val="00215E6E"/>
    <w:rsid w:val="002201E4"/>
    <w:rsid w:val="00224115"/>
    <w:rsid w:val="0022689A"/>
    <w:rsid w:val="00226F64"/>
    <w:rsid w:val="002275FD"/>
    <w:rsid w:val="00231C56"/>
    <w:rsid w:val="002354B9"/>
    <w:rsid w:val="00236BA2"/>
    <w:rsid w:val="00243D50"/>
    <w:rsid w:val="0024488C"/>
    <w:rsid w:val="002452F2"/>
    <w:rsid w:val="00247552"/>
    <w:rsid w:val="00250EC6"/>
    <w:rsid w:val="00253B01"/>
    <w:rsid w:val="002548C2"/>
    <w:rsid w:val="00255CF1"/>
    <w:rsid w:val="00262AC4"/>
    <w:rsid w:val="00270A1B"/>
    <w:rsid w:val="00274875"/>
    <w:rsid w:val="00277C08"/>
    <w:rsid w:val="00277ECD"/>
    <w:rsid w:val="00281F80"/>
    <w:rsid w:val="002839BB"/>
    <w:rsid w:val="002869EA"/>
    <w:rsid w:val="00290CAE"/>
    <w:rsid w:val="00292268"/>
    <w:rsid w:val="0029277C"/>
    <w:rsid w:val="0029686B"/>
    <w:rsid w:val="002A47EE"/>
    <w:rsid w:val="002A6EB2"/>
    <w:rsid w:val="002A7DDD"/>
    <w:rsid w:val="002B1C90"/>
    <w:rsid w:val="002B3967"/>
    <w:rsid w:val="002B429A"/>
    <w:rsid w:val="002C6B98"/>
    <w:rsid w:val="002D0006"/>
    <w:rsid w:val="002D0255"/>
    <w:rsid w:val="002D2C6D"/>
    <w:rsid w:val="002D2E8A"/>
    <w:rsid w:val="002D3FD3"/>
    <w:rsid w:val="002D7E43"/>
    <w:rsid w:val="002E2178"/>
    <w:rsid w:val="002E5F13"/>
    <w:rsid w:val="002E77B1"/>
    <w:rsid w:val="002E7DC8"/>
    <w:rsid w:val="002F1DB9"/>
    <w:rsid w:val="002F2A69"/>
    <w:rsid w:val="00300108"/>
    <w:rsid w:val="00302E91"/>
    <w:rsid w:val="00305CB0"/>
    <w:rsid w:val="00307F2F"/>
    <w:rsid w:val="0031025F"/>
    <w:rsid w:val="003112E7"/>
    <w:rsid w:val="0031322A"/>
    <w:rsid w:val="00313C98"/>
    <w:rsid w:val="00317523"/>
    <w:rsid w:val="00322118"/>
    <w:rsid w:val="00324A9B"/>
    <w:rsid w:val="00325D69"/>
    <w:rsid w:val="00326829"/>
    <w:rsid w:val="00330280"/>
    <w:rsid w:val="00331BCF"/>
    <w:rsid w:val="003329B0"/>
    <w:rsid w:val="00333C71"/>
    <w:rsid w:val="00335340"/>
    <w:rsid w:val="003418EA"/>
    <w:rsid w:val="00341E49"/>
    <w:rsid w:val="00343027"/>
    <w:rsid w:val="0034398B"/>
    <w:rsid w:val="00347D2D"/>
    <w:rsid w:val="00355F31"/>
    <w:rsid w:val="00356BB3"/>
    <w:rsid w:val="00360092"/>
    <w:rsid w:val="0036561B"/>
    <w:rsid w:val="00366F7F"/>
    <w:rsid w:val="00370731"/>
    <w:rsid w:val="00371E14"/>
    <w:rsid w:val="00373AD9"/>
    <w:rsid w:val="00375DB0"/>
    <w:rsid w:val="003803DB"/>
    <w:rsid w:val="003809E9"/>
    <w:rsid w:val="0038165A"/>
    <w:rsid w:val="003862B5"/>
    <w:rsid w:val="00386F49"/>
    <w:rsid w:val="003912BA"/>
    <w:rsid w:val="00392CF7"/>
    <w:rsid w:val="003932B7"/>
    <w:rsid w:val="003933F5"/>
    <w:rsid w:val="00394125"/>
    <w:rsid w:val="003A115A"/>
    <w:rsid w:val="003A24F4"/>
    <w:rsid w:val="003B16AF"/>
    <w:rsid w:val="003B2FD8"/>
    <w:rsid w:val="003B37EE"/>
    <w:rsid w:val="003B56E1"/>
    <w:rsid w:val="003B6DE6"/>
    <w:rsid w:val="003C23EB"/>
    <w:rsid w:val="003C4B2E"/>
    <w:rsid w:val="003C664C"/>
    <w:rsid w:val="003C6F70"/>
    <w:rsid w:val="003D11D7"/>
    <w:rsid w:val="003D2A00"/>
    <w:rsid w:val="003D3D10"/>
    <w:rsid w:val="003D47A4"/>
    <w:rsid w:val="003D60B0"/>
    <w:rsid w:val="003D65C2"/>
    <w:rsid w:val="003D6F07"/>
    <w:rsid w:val="003D7AF4"/>
    <w:rsid w:val="003E3E21"/>
    <w:rsid w:val="003E652A"/>
    <w:rsid w:val="003F2BBC"/>
    <w:rsid w:val="003F4410"/>
    <w:rsid w:val="003F54BF"/>
    <w:rsid w:val="003F552A"/>
    <w:rsid w:val="003F6773"/>
    <w:rsid w:val="00401144"/>
    <w:rsid w:val="00402568"/>
    <w:rsid w:val="00403CA5"/>
    <w:rsid w:val="00404EDA"/>
    <w:rsid w:val="004079E4"/>
    <w:rsid w:val="004150CE"/>
    <w:rsid w:val="0041728B"/>
    <w:rsid w:val="00422AC5"/>
    <w:rsid w:val="00422DDF"/>
    <w:rsid w:val="004238AE"/>
    <w:rsid w:val="004279B9"/>
    <w:rsid w:val="00427AB7"/>
    <w:rsid w:val="004335C3"/>
    <w:rsid w:val="0043685F"/>
    <w:rsid w:val="0043755F"/>
    <w:rsid w:val="00437BBF"/>
    <w:rsid w:val="004465F7"/>
    <w:rsid w:val="00446D26"/>
    <w:rsid w:val="00453DAF"/>
    <w:rsid w:val="00455912"/>
    <w:rsid w:val="004560A2"/>
    <w:rsid w:val="00456B06"/>
    <w:rsid w:val="00456B2E"/>
    <w:rsid w:val="00457748"/>
    <w:rsid w:val="00460CFD"/>
    <w:rsid w:val="0046299F"/>
    <w:rsid w:val="00463DAD"/>
    <w:rsid w:val="00466D54"/>
    <w:rsid w:val="00466E31"/>
    <w:rsid w:val="004725E6"/>
    <w:rsid w:val="00472CE1"/>
    <w:rsid w:val="00475F4F"/>
    <w:rsid w:val="0047716F"/>
    <w:rsid w:val="004775E6"/>
    <w:rsid w:val="00480674"/>
    <w:rsid w:val="0048143C"/>
    <w:rsid w:val="00484824"/>
    <w:rsid w:val="00484B46"/>
    <w:rsid w:val="00494455"/>
    <w:rsid w:val="00496C71"/>
    <w:rsid w:val="00497A17"/>
    <w:rsid w:val="004A125D"/>
    <w:rsid w:val="004A15BC"/>
    <w:rsid w:val="004A7134"/>
    <w:rsid w:val="004B0CC4"/>
    <w:rsid w:val="004B21EE"/>
    <w:rsid w:val="004B4349"/>
    <w:rsid w:val="004B7E13"/>
    <w:rsid w:val="004B7E77"/>
    <w:rsid w:val="004C09D0"/>
    <w:rsid w:val="004C1030"/>
    <w:rsid w:val="004C15E0"/>
    <w:rsid w:val="004C18D7"/>
    <w:rsid w:val="004C1A4A"/>
    <w:rsid w:val="004C33A0"/>
    <w:rsid w:val="004C3533"/>
    <w:rsid w:val="004C75CC"/>
    <w:rsid w:val="004D7027"/>
    <w:rsid w:val="004F27B2"/>
    <w:rsid w:val="004F3C8A"/>
    <w:rsid w:val="004F6674"/>
    <w:rsid w:val="004F7CBF"/>
    <w:rsid w:val="00504FB3"/>
    <w:rsid w:val="0050700D"/>
    <w:rsid w:val="00510958"/>
    <w:rsid w:val="005175D1"/>
    <w:rsid w:val="00520DCB"/>
    <w:rsid w:val="00525D8C"/>
    <w:rsid w:val="00530836"/>
    <w:rsid w:val="0054062E"/>
    <w:rsid w:val="005413C1"/>
    <w:rsid w:val="00543021"/>
    <w:rsid w:val="00556364"/>
    <w:rsid w:val="00561B1D"/>
    <w:rsid w:val="00562DA7"/>
    <w:rsid w:val="00565263"/>
    <w:rsid w:val="0056698B"/>
    <w:rsid w:val="00566EE6"/>
    <w:rsid w:val="00567984"/>
    <w:rsid w:val="00570054"/>
    <w:rsid w:val="00570FF1"/>
    <w:rsid w:val="00572E9C"/>
    <w:rsid w:val="00582FF5"/>
    <w:rsid w:val="00583C37"/>
    <w:rsid w:val="00590289"/>
    <w:rsid w:val="005916B0"/>
    <w:rsid w:val="005A184B"/>
    <w:rsid w:val="005A1B0E"/>
    <w:rsid w:val="005A208F"/>
    <w:rsid w:val="005A3A2E"/>
    <w:rsid w:val="005A56E7"/>
    <w:rsid w:val="005B1A49"/>
    <w:rsid w:val="005B399D"/>
    <w:rsid w:val="005B3F22"/>
    <w:rsid w:val="005B434C"/>
    <w:rsid w:val="005B496E"/>
    <w:rsid w:val="005B4E95"/>
    <w:rsid w:val="005B6466"/>
    <w:rsid w:val="005C540D"/>
    <w:rsid w:val="005C685B"/>
    <w:rsid w:val="005C735A"/>
    <w:rsid w:val="005C7845"/>
    <w:rsid w:val="005C7BB9"/>
    <w:rsid w:val="005D2A3C"/>
    <w:rsid w:val="005D49C0"/>
    <w:rsid w:val="005D4FA7"/>
    <w:rsid w:val="005D7E3D"/>
    <w:rsid w:val="005E1D58"/>
    <w:rsid w:val="005E3D8E"/>
    <w:rsid w:val="005E5BE3"/>
    <w:rsid w:val="005F0294"/>
    <w:rsid w:val="005F272D"/>
    <w:rsid w:val="005F315C"/>
    <w:rsid w:val="005F450F"/>
    <w:rsid w:val="005F7E13"/>
    <w:rsid w:val="006007F1"/>
    <w:rsid w:val="00600B9F"/>
    <w:rsid w:val="00602FE1"/>
    <w:rsid w:val="00605091"/>
    <w:rsid w:val="006062E8"/>
    <w:rsid w:val="006118B6"/>
    <w:rsid w:val="0061364D"/>
    <w:rsid w:val="00615EAD"/>
    <w:rsid w:val="00621BC7"/>
    <w:rsid w:val="00622AF5"/>
    <w:rsid w:val="006238BE"/>
    <w:rsid w:val="0062689A"/>
    <w:rsid w:val="006302E0"/>
    <w:rsid w:val="00630DC1"/>
    <w:rsid w:val="006311C7"/>
    <w:rsid w:val="00633927"/>
    <w:rsid w:val="00641DD1"/>
    <w:rsid w:val="0064322D"/>
    <w:rsid w:val="00652D80"/>
    <w:rsid w:val="00654599"/>
    <w:rsid w:val="00654F3E"/>
    <w:rsid w:val="0065567F"/>
    <w:rsid w:val="006638DE"/>
    <w:rsid w:val="00665820"/>
    <w:rsid w:val="006659F9"/>
    <w:rsid w:val="0066668C"/>
    <w:rsid w:val="00667DB7"/>
    <w:rsid w:val="0067377E"/>
    <w:rsid w:val="00674FC6"/>
    <w:rsid w:val="00676E1B"/>
    <w:rsid w:val="006822C1"/>
    <w:rsid w:val="00683587"/>
    <w:rsid w:val="00685FFE"/>
    <w:rsid w:val="0068642F"/>
    <w:rsid w:val="006868B1"/>
    <w:rsid w:val="006868EB"/>
    <w:rsid w:val="00686FA2"/>
    <w:rsid w:val="00694645"/>
    <w:rsid w:val="0069532B"/>
    <w:rsid w:val="00695BA2"/>
    <w:rsid w:val="006A08AB"/>
    <w:rsid w:val="006A15AB"/>
    <w:rsid w:val="006A3C1F"/>
    <w:rsid w:val="006B1827"/>
    <w:rsid w:val="006B193E"/>
    <w:rsid w:val="006B23AA"/>
    <w:rsid w:val="006B3B18"/>
    <w:rsid w:val="006B4CAD"/>
    <w:rsid w:val="006C242E"/>
    <w:rsid w:val="006C3A8E"/>
    <w:rsid w:val="006C43F3"/>
    <w:rsid w:val="006C4A01"/>
    <w:rsid w:val="006C5870"/>
    <w:rsid w:val="006C60E9"/>
    <w:rsid w:val="006D19C4"/>
    <w:rsid w:val="006D29FC"/>
    <w:rsid w:val="006D693C"/>
    <w:rsid w:val="006E02D4"/>
    <w:rsid w:val="006E0A4C"/>
    <w:rsid w:val="006E12DB"/>
    <w:rsid w:val="006E1674"/>
    <w:rsid w:val="006E324B"/>
    <w:rsid w:val="006E33C8"/>
    <w:rsid w:val="006E5591"/>
    <w:rsid w:val="006E7CF1"/>
    <w:rsid w:val="006F05CE"/>
    <w:rsid w:val="006F1DF7"/>
    <w:rsid w:val="00700AB7"/>
    <w:rsid w:val="0070195C"/>
    <w:rsid w:val="00701A50"/>
    <w:rsid w:val="00702D5A"/>
    <w:rsid w:val="007033A8"/>
    <w:rsid w:val="00703B56"/>
    <w:rsid w:val="007064A9"/>
    <w:rsid w:val="00706EED"/>
    <w:rsid w:val="007074E6"/>
    <w:rsid w:val="00713525"/>
    <w:rsid w:val="00715E5B"/>
    <w:rsid w:val="00716E6D"/>
    <w:rsid w:val="00720DC1"/>
    <w:rsid w:val="007218C2"/>
    <w:rsid w:val="00724767"/>
    <w:rsid w:val="00724BE3"/>
    <w:rsid w:val="007267B0"/>
    <w:rsid w:val="00726AF4"/>
    <w:rsid w:val="007427F7"/>
    <w:rsid w:val="00743696"/>
    <w:rsid w:val="007458CE"/>
    <w:rsid w:val="007464CD"/>
    <w:rsid w:val="00747009"/>
    <w:rsid w:val="00747262"/>
    <w:rsid w:val="007505A1"/>
    <w:rsid w:val="00754D85"/>
    <w:rsid w:val="00760971"/>
    <w:rsid w:val="00761715"/>
    <w:rsid w:val="00761A9E"/>
    <w:rsid w:val="00762063"/>
    <w:rsid w:val="00762968"/>
    <w:rsid w:val="0077428F"/>
    <w:rsid w:val="0077636F"/>
    <w:rsid w:val="00776D36"/>
    <w:rsid w:val="00777582"/>
    <w:rsid w:val="007779FE"/>
    <w:rsid w:val="007821B2"/>
    <w:rsid w:val="00783B97"/>
    <w:rsid w:val="00783F19"/>
    <w:rsid w:val="007914D9"/>
    <w:rsid w:val="00795B0F"/>
    <w:rsid w:val="00795C39"/>
    <w:rsid w:val="007A254B"/>
    <w:rsid w:val="007A2902"/>
    <w:rsid w:val="007A3290"/>
    <w:rsid w:val="007A47BE"/>
    <w:rsid w:val="007A4800"/>
    <w:rsid w:val="007A5CE2"/>
    <w:rsid w:val="007A710F"/>
    <w:rsid w:val="007B4781"/>
    <w:rsid w:val="007C016A"/>
    <w:rsid w:val="007C26FC"/>
    <w:rsid w:val="007C390D"/>
    <w:rsid w:val="007C57A9"/>
    <w:rsid w:val="007D23D5"/>
    <w:rsid w:val="007D5A44"/>
    <w:rsid w:val="007E02A9"/>
    <w:rsid w:val="007E228C"/>
    <w:rsid w:val="007E2601"/>
    <w:rsid w:val="007E3E1D"/>
    <w:rsid w:val="007E4B4A"/>
    <w:rsid w:val="007E6EAB"/>
    <w:rsid w:val="007E71F8"/>
    <w:rsid w:val="007F0C88"/>
    <w:rsid w:val="007F2FB5"/>
    <w:rsid w:val="007F4968"/>
    <w:rsid w:val="00800A6D"/>
    <w:rsid w:val="00801648"/>
    <w:rsid w:val="00804089"/>
    <w:rsid w:val="00805DAD"/>
    <w:rsid w:val="00805FEE"/>
    <w:rsid w:val="00806104"/>
    <w:rsid w:val="00806FA6"/>
    <w:rsid w:val="008079D9"/>
    <w:rsid w:val="00807C38"/>
    <w:rsid w:val="0081084E"/>
    <w:rsid w:val="00813D28"/>
    <w:rsid w:val="00815A74"/>
    <w:rsid w:val="00815E7B"/>
    <w:rsid w:val="00817EFA"/>
    <w:rsid w:val="00822C62"/>
    <w:rsid w:val="00827C03"/>
    <w:rsid w:val="008354E8"/>
    <w:rsid w:val="00837BA8"/>
    <w:rsid w:val="00837DF6"/>
    <w:rsid w:val="00840BCB"/>
    <w:rsid w:val="0084299C"/>
    <w:rsid w:val="00842BBF"/>
    <w:rsid w:val="00842EDD"/>
    <w:rsid w:val="00843AD6"/>
    <w:rsid w:val="00847F2B"/>
    <w:rsid w:val="0085418A"/>
    <w:rsid w:val="00857413"/>
    <w:rsid w:val="00860DD5"/>
    <w:rsid w:val="0086258B"/>
    <w:rsid w:val="00863A6C"/>
    <w:rsid w:val="0086631E"/>
    <w:rsid w:val="00867718"/>
    <w:rsid w:val="008678DF"/>
    <w:rsid w:val="00873D25"/>
    <w:rsid w:val="00880040"/>
    <w:rsid w:val="00886525"/>
    <w:rsid w:val="00890438"/>
    <w:rsid w:val="00895FF8"/>
    <w:rsid w:val="00896676"/>
    <w:rsid w:val="008A009D"/>
    <w:rsid w:val="008A2C91"/>
    <w:rsid w:val="008A3CF5"/>
    <w:rsid w:val="008A597D"/>
    <w:rsid w:val="008A5BD2"/>
    <w:rsid w:val="008A6976"/>
    <w:rsid w:val="008B3E01"/>
    <w:rsid w:val="008B5D8B"/>
    <w:rsid w:val="008B6A4B"/>
    <w:rsid w:val="008B717A"/>
    <w:rsid w:val="008B7966"/>
    <w:rsid w:val="008C0A4A"/>
    <w:rsid w:val="008C0A69"/>
    <w:rsid w:val="008C1238"/>
    <w:rsid w:val="008C43A3"/>
    <w:rsid w:val="008C63AA"/>
    <w:rsid w:val="008C63F1"/>
    <w:rsid w:val="008D070C"/>
    <w:rsid w:val="008D3646"/>
    <w:rsid w:val="008D3B3E"/>
    <w:rsid w:val="008E0EF0"/>
    <w:rsid w:val="008E1B92"/>
    <w:rsid w:val="008E34BC"/>
    <w:rsid w:val="008E415E"/>
    <w:rsid w:val="008F06AF"/>
    <w:rsid w:val="008F105A"/>
    <w:rsid w:val="008F11E1"/>
    <w:rsid w:val="008F1F02"/>
    <w:rsid w:val="008F3B1B"/>
    <w:rsid w:val="008F53F0"/>
    <w:rsid w:val="00900CA2"/>
    <w:rsid w:val="009012BD"/>
    <w:rsid w:val="0090136C"/>
    <w:rsid w:val="00901508"/>
    <w:rsid w:val="009025AB"/>
    <w:rsid w:val="00905998"/>
    <w:rsid w:val="0090628C"/>
    <w:rsid w:val="00907A2A"/>
    <w:rsid w:val="00907AAB"/>
    <w:rsid w:val="00911983"/>
    <w:rsid w:val="00912BED"/>
    <w:rsid w:val="009147E1"/>
    <w:rsid w:val="00916C3A"/>
    <w:rsid w:val="009170EB"/>
    <w:rsid w:val="00920D8B"/>
    <w:rsid w:val="00921D2B"/>
    <w:rsid w:val="00922E6D"/>
    <w:rsid w:val="00923A8A"/>
    <w:rsid w:val="00927479"/>
    <w:rsid w:val="00934202"/>
    <w:rsid w:val="009365F3"/>
    <w:rsid w:val="00941175"/>
    <w:rsid w:val="009424CB"/>
    <w:rsid w:val="00944782"/>
    <w:rsid w:val="00945AE9"/>
    <w:rsid w:val="00945CE9"/>
    <w:rsid w:val="00947C1F"/>
    <w:rsid w:val="00954338"/>
    <w:rsid w:val="00954A24"/>
    <w:rsid w:val="00954BB4"/>
    <w:rsid w:val="00956227"/>
    <w:rsid w:val="009607E7"/>
    <w:rsid w:val="00960E31"/>
    <w:rsid w:val="0096391C"/>
    <w:rsid w:val="00963D65"/>
    <w:rsid w:val="00964BCE"/>
    <w:rsid w:val="00965220"/>
    <w:rsid w:val="00967825"/>
    <w:rsid w:val="009711F7"/>
    <w:rsid w:val="00976E74"/>
    <w:rsid w:val="00977765"/>
    <w:rsid w:val="009777B9"/>
    <w:rsid w:val="0097795A"/>
    <w:rsid w:val="009841AF"/>
    <w:rsid w:val="00984C73"/>
    <w:rsid w:val="009858C6"/>
    <w:rsid w:val="009869F9"/>
    <w:rsid w:val="00986D36"/>
    <w:rsid w:val="009878EA"/>
    <w:rsid w:val="00990C9C"/>
    <w:rsid w:val="0099360B"/>
    <w:rsid w:val="00993852"/>
    <w:rsid w:val="009973E2"/>
    <w:rsid w:val="009A0664"/>
    <w:rsid w:val="009A2221"/>
    <w:rsid w:val="009A346E"/>
    <w:rsid w:val="009A5107"/>
    <w:rsid w:val="009A69C6"/>
    <w:rsid w:val="009A6E73"/>
    <w:rsid w:val="009B41E1"/>
    <w:rsid w:val="009B6E3F"/>
    <w:rsid w:val="009C194C"/>
    <w:rsid w:val="009C21A3"/>
    <w:rsid w:val="009C29AB"/>
    <w:rsid w:val="009C5D97"/>
    <w:rsid w:val="009C6BBF"/>
    <w:rsid w:val="009D02D0"/>
    <w:rsid w:val="009D695D"/>
    <w:rsid w:val="009D73F0"/>
    <w:rsid w:val="009E08B8"/>
    <w:rsid w:val="009E33D7"/>
    <w:rsid w:val="009E64A4"/>
    <w:rsid w:val="009E6EA9"/>
    <w:rsid w:val="009F2B89"/>
    <w:rsid w:val="009F48C2"/>
    <w:rsid w:val="009F4984"/>
    <w:rsid w:val="00A00E2E"/>
    <w:rsid w:val="00A0187D"/>
    <w:rsid w:val="00A069CB"/>
    <w:rsid w:val="00A070D8"/>
    <w:rsid w:val="00A07E0A"/>
    <w:rsid w:val="00A120CD"/>
    <w:rsid w:val="00A122E0"/>
    <w:rsid w:val="00A14DB3"/>
    <w:rsid w:val="00A174D3"/>
    <w:rsid w:val="00A178EB"/>
    <w:rsid w:val="00A2546B"/>
    <w:rsid w:val="00A369D1"/>
    <w:rsid w:val="00A42061"/>
    <w:rsid w:val="00A45528"/>
    <w:rsid w:val="00A47739"/>
    <w:rsid w:val="00A5142F"/>
    <w:rsid w:val="00A54343"/>
    <w:rsid w:val="00A604AF"/>
    <w:rsid w:val="00A90623"/>
    <w:rsid w:val="00A918CC"/>
    <w:rsid w:val="00A92EA0"/>
    <w:rsid w:val="00A953EC"/>
    <w:rsid w:val="00A95B09"/>
    <w:rsid w:val="00AA3FE4"/>
    <w:rsid w:val="00AA44FE"/>
    <w:rsid w:val="00AA5B85"/>
    <w:rsid w:val="00AB20F2"/>
    <w:rsid w:val="00AB2930"/>
    <w:rsid w:val="00AB74C7"/>
    <w:rsid w:val="00AC46A7"/>
    <w:rsid w:val="00AD2445"/>
    <w:rsid w:val="00AD730C"/>
    <w:rsid w:val="00AE1631"/>
    <w:rsid w:val="00AE167C"/>
    <w:rsid w:val="00AE1FAD"/>
    <w:rsid w:val="00AE25B7"/>
    <w:rsid w:val="00AE3D7E"/>
    <w:rsid w:val="00AE6B4F"/>
    <w:rsid w:val="00AF517E"/>
    <w:rsid w:val="00AF56A7"/>
    <w:rsid w:val="00AF67EE"/>
    <w:rsid w:val="00AF6C6C"/>
    <w:rsid w:val="00B011D5"/>
    <w:rsid w:val="00B01FF7"/>
    <w:rsid w:val="00B041E7"/>
    <w:rsid w:val="00B0605D"/>
    <w:rsid w:val="00B06DF8"/>
    <w:rsid w:val="00B06E84"/>
    <w:rsid w:val="00B074DD"/>
    <w:rsid w:val="00B077E0"/>
    <w:rsid w:val="00B102F8"/>
    <w:rsid w:val="00B11B43"/>
    <w:rsid w:val="00B128DD"/>
    <w:rsid w:val="00B15686"/>
    <w:rsid w:val="00B17A26"/>
    <w:rsid w:val="00B20FCC"/>
    <w:rsid w:val="00B2106F"/>
    <w:rsid w:val="00B21E0C"/>
    <w:rsid w:val="00B220F9"/>
    <w:rsid w:val="00B2392C"/>
    <w:rsid w:val="00B23E5A"/>
    <w:rsid w:val="00B24B28"/>
    <w:rsid w:val="00B25422"/>
    <w:rsid w:val="00B26A7E"/>
    <w:rsid w:val="00B2792C"/>
    <w:rsid w:val="00B34E13"/>
    <w:rsid w:val="00B404D4"/>
    <w:rsid w:val="00B416F4"/>
    <w:rsid w:val="00B417CD"/>
    <w:rsid w:val="00B45D6A"/>
    <w:rsid w:val="00B4708C"/>
    <w:rsid w:val="00B53441"/>
    <w:rsid w:val="00B56161"/>
    <w:rsid w:val="00B57335"/>
    <w:rsid w:val="00B6127E"/>
    <w:rsid w:val="00B6392B"/>
    <w:rsid w:val="00B6629D"/>
    <w:rsid w:val="00B664FC"/>
    <w:rsid w:val="00B70168"/>
    <w:rsid w:val="00B74220"/>
    <w:rsid w:val="00B74A4D"/>
    <w:rsid w:val="00B80E5C"/>
    <w:rsid w:val="00B81D6C"/>
    <w:rsid w:val="00B85F67"/>
    <w:rsid w:val="00B92DA9"/>
    <w:rsid w:val="00B938F5"/>
    <w:rsid w:val="00B948B2"/>
    <w:rsid w:val="00B955CD"/>
    <w:rsid w:val="00B96F04"/>
    <w:rsid w:val="00BA0382"/>
    <w:rsid w:val="00BA4594"/>
    <w:rsid w:val="00BA4B00"/>
    <w:rsid w:val="00BA5BEB"/>
    <w:rsid w:val="00BA7972"/>
    <w:rsid w:val="00BB3026"/>
    <w:rsid w:val="00BB3251"/>
    <w:rsid w:val="00BB343C"/>
    <w:rsid w:val="00BB3D25"/>
    <w:rsid w:val="00BB3ED2"/>
    <w:rsid w:val="00BB753B"/>
    <w:rsid w:val="00BB7F99"/>
    <w:rsid w:val="00BC26D6"/>
    <w:rsid w:val="00BC3374"/>
    <w:rsid w:val="00BC547D"/>
    <w:rsid w:val="00BC551D"/>
    <w:rsid w:val="00BD10D4"/>
    <w:rsid w:val="00BD4583"/>
    <w:rsid w:val="00BD4980"/>
    <w:rsid w:val="00BD4D85"/>
    <w:rsid w:val="00BD7039"/>
    <w:rsid w:val="00BE1340"/>
    <w:rsid w:val="00BE2A8B"/>
    <w:rsid w:val="00BE50C6"/>
    <w:rsid w:val="00BE660F"/>
    <w:rsid w:val="00BE6E1B"/>
    <w:rsid w:val="00BF0A84"/>
    <w:rsid w:val="00BF2028"/>
    <w:rsid w:val="00BF3F05"/>
    <w:rsid w:val="00BF5FE7"/>
    <w:rsid w:val="00C00914"/>
    <w:rsid w:val="00C00CD8"/>
    <w:rsid w:val="00C01D03"/>
    <w:rsid w:val="00C03838"/>
    <w:rsid w:val="00C058CB"/>
    <w:rsid w:val="00C13229"/>
    <w:rsid w:val="00C13DA5"/>
    <w:rsid w:val="00C171C2"/>
    <w:rsid w:val="00C257D6"/>
    <w:rsid w:val="00C261AC"/>
    <w:rsid w:val="00C34D80"/>
    <w:rsid w:val="00C372E7"/>
    <w:rsid w:val="00C3758C"/>
    <w:rsid w:val="00C401B4"/>
    <w:rsid w:val="00C444DF"/>
    <w:rsid w:val="00C45BA4"/>
    <w:rsid w:val="00C47C24"/>
    <w:rsid w:val="00C50AD8"/>
    <w:rsid w:val="00C52156"/>
    <w:rsid w:val="00C53B87"/>
    <w:rsid w:val="00C546D9"/>
    <w:rsid w:val="00C574C7"/>
    <w:rsid w:val="00C60C18"/>
    <w:rsid w:val="00C60CA7"/>
    <w:rsid w:val="00C6237D"/>
    <w:rsid w:val="00C653C9"/>
    <w:rsid w:val="00C74894"/>
    <w:rsid w:val="00C820AE"/>
    <w:rsid w:val="00C851E3"/>
    <w:rsid w:val="00C8673A"/>
    <w:rsid w:val="00C90CF1"/>
    <w:rsid w:val="00C96BD0"/>
    <w:rsid w:val="00C974DD"/>
    <w:rsid w:val="00C97DDA"/>
    <w:rsid w:val="00CA058B"/>
    <w:rsid w:val="00CB1190"/>
    <w:rsid w:val="00CB2502"/>
    <w:rsid w:val="00CB556E"/>
    <w:rsid w:val="00CB727E"/>
    <w:rsid w:val="00CC30A6"/>
    <w:rsid w:val="00CC6412"/>
    <w:rsid w:val="00CD008C"/>
    <w:rsid w:val="00CD0CC9"/>
    <w:rsid w:val="00CD44F6"/>
    <w:rsid w:val="00CE1DEA"/>
    <w:rsid w:val="00CE4B0B"/>
    <w:rsid w:val="00CE5870"/>
    <w:rsid w:val="00CF0247"/>
    <w:rsid w:val="00CF1520"/>
    <w:rsid w:val="00CF273E"/>
    <w:rsid w:val="00CF2CCF"/>
    <w:rsid w:val="00CF33E1"/>
    <w:rsid w:val="00CF3816"/>
    <w:rsid w:val="00CF45C7"/>
    <w:rsid w:val="00CF4D59"/>
    <w:rsid w:val="00CF51E9"/>
    <w:rsid w:val="00D009CB"/>
    <w:rsid w:val="00D02E63"/>
    <w:rsid w:val="00D06083"/>
    <w:rsid w:val="00D06E80"/>
    <w:rsid w:val="00D10E28"/>
    <w:rsid w:val="00D14E31"/>
    <w:rsid w:val="00D156CB"/>
    <w:rsid w:val="00D17083"/>
    <w:rsid w:val="00D17F30"/>
    <w:rsid w:val="00D216DE"/>
    <w:rsid w:val="00D221EA"/>
    <w:rsid w:val="00D231A0"/>
    <w:rsid w:val="00D244D9"/>
    <w:rsid w:val="00D24D85"/>
    <w:rsid w:val="00D30866"/>
    <w:rsid w:val="00D31430"/>
    <w:rsid w:val="00D340CC"/>
    <w:rsid w:val="00D34F96"/>
    <w:rsid w:val="00D35488"/>
    <w:rsid w:val="00D42AC0"/>
    <w:rsid w:val="00D44032"/>
    <w:rsid w:val="00D44471"/>
    <w:rsid w:val="00D44A47"/>
    <w:rsid w:val="00D45E18"/>
    <w:rsid w:val="00D46B8F"/>
    <w:rsid w:val="00D476B1"/>
    <w:rsid w:val="00D509D0"/>
    <w:rsid w:val="00D52E80"/>
    <w:rsid w:val="00D558C0"/>
    <w:rsid w:val="00D56273"/>
    <w:rsid w:val="00D56B7E"/>
    <w:rsid w:val="00D609D3"/>
    <w:rsid w:val="00D642DC"/>
    <w:rsid w:val="00D67923"/>
    <w:rsid w:val="00D709BC"/>
    <w:rsid w:val="00D76B6D"/>
    <w:rsid w:val="00D76E4C"/>
    <w:rsid w:val="00D81037"/>
    <w:rsid w:val="00D82AFF"/>
    <w:rsid w:val="00D860CC"/>
    <w:rsid w:val="00D90AE9"/>
    <w:rsid w:val="00D90EEA"/>
    <w:rsid w:val="00D9151E"/>
    <w:rsid w:val="00D96C10"/>
    <w:rsid w:val="00DA10C4"/>
    <w:rsid w:val="00DA14BD"/>
    <w:rsid w:val="00DA20DD"/>
    <w:rsid w:val="00DA4614"/>
    <w:rsid w:val="00DA54D3"/>
    <w:rsid w:val="00DA5875"/>
    <w:rsid w:val="00DA603F"/>
    <w:rsid w:val="00DB434C"/>
    <w:rsid w:val="00DB7012"/>
    <w:rsid w:val="00DC0326"/>
    <w:rsid w:val="00DC402A"/>
    <w:rsid w:val="00DC5681"/>
    <w:rsid w:val="00DC7D00"/>
    <w:rsid w:val="00DD0F09"/>
    <w:rsid w:val="00DD3A5E"/>
    <w:rsid w:val="00DD3D80"/>
    <w:rsid w:val="00DD4016"/>
    <w:rsid w:val="00DD4DAC"/>
    <w:rsid w:val="00DD584A"/>
    <w:rsid w:val="00DE354E"/>
    <w:rsid w:val="00DE5233"/>
    <w:rsid w:val="00DE76CF"/>
    <w:rsid w:val="00DF0D49"/>
    <w:rsid w:val="00DF4EBA"/>
    <w:rsid w:val="00DF5708"/>
    <w:rsid w:val="00DF6482"/>
    <w:rsid w:val="00E0004D"/>
    <w:rsid w:val="00E040E4"/>
    <w:rsid w:val="00E10D43"/>
    <w:rsid w:val="00E12B59"/>
    <w:rsid w:val="00E149E9"/>
    <w:rsid w:val="00E15787"/>
    <w:rsid w:val="00E16675"/>
    <w:rsid w:val="00E239D1"/>
    <w:rsid w:val="00E25EC3"/>
    <w:rsid w:val="00E31403"/>
    <w:rsid w:val="00E31D23"/>
    <w:rsid w:val="00E33EF0"/>
    <w:rsid w:val="00E34499"/>
    <w:rsid w:val="00E440C5"/>
    <w:rsid w:val="00E457A3"/>
    <w:rsid w:val="00E4607F"/>
    <w:rsid w:val="00E47385"/>
    <w:rsid w:val="00E50636"/>
    <w:rsid w:val="00E522CC"/>
    <w:rsid w:val="00E541BC"/>
    <w:rsid w:val="00E54C58"/>
    <w:rsid w:val="00E57A6B"/>
    <w:rsid w:val="00E6137F"/>
    <w:rsid w:val="00E637E0"/>
    <w:rsid w:val="00E65AD9"/>
    <w:rsid w:val="00E673DB"/>
    <w:rsid w:val="00E71457"/>
    <w:rsid w:val="00E71701"/>
    <w:rsid w:val="00E72A26"/>
    <w:rsid w:val="00E73118"/>
    <w:rsid w:val="00E733F8"/>
    <w:rsid w:val="00E80B08"/>
    <w:rsid w:val="00E8641C"/>
    <w:rsid w:val="00E8745B"/>
    <w:rsid w:val="00E9114F"/>
    <w:rsid w:val="00E939FF"/>
    <w:rsid w:val="00E94223"/>
    <w:rsid w:val="00E9538E"/>
    <w:rsid w:val="00EA02A2"/>
    <w:rsid w:val="00EA4631"/>
    <w:rsid w:val="00EB1CB2"/>
    <w:rsid w:val="00EB354C"/>
    <w:rsid w:val="00EB455E"/>
    <w:rsid w:val="00EB67B8"/>
    <w:rsid w:val="00EB74F0"/>
    <w:rsid w:val="00EB7E42"/>
    <w:rsid w:val="00EC021E"/>
    <w:rsid w:val="00EC3ED0"/>
    <w:rsid w:val="00EC6431"/>
    <w:rsid w:val="00ED0369"/>
    <w:rsid w:val="00ED10AD"/>
    <w:rsid w:val="00ED4D4C"/>
    <w:rsid w:val="00ED541C"/>
    <w:rsid w:val="00ED5B33"/>
    <w:rsid w:val="00ED69EE"/>
    <w:rsid w:val="00ED7FDA"/>
    <w:rsid w:val="00EE4DCF"/>
    <w:rsid w:val="00EF0D75"/>
    <w:rsid w:val="00EF62EA"/>
    <w:rsid w:val="00F01AC5"/>
    <w:rsid w:val="00F03AE2"/>
    <w:rsid w:val="00F06908"/>
    <w:rsid w:val="00F1434D"/>
    <w:rsid w:val="00F15478"/>
    <w:rsid w:val="00F15A36"/>
    <w:rsid w:val="00F2093C"/>
    <w:rsid w:val="00F215EE"/>
    <w:rsid w:val="00F21689"/>
    <w:rsid w:val="00F21BFA"/>
    <w:rsid w:val="00F2360A"/>
    <w:rsid w:val="00F24918"/>
    <w:rsid w:val="00F27126"/>
    <w:rsid w:val="00F3316D"/>
    <w:rsid w:val="00F33CAD"/>
    <w:rsid w:val="00F34965"/>
    <w:rsid w:val="00F3518F"/>
    <w:rsid w:val="00F378CC"/>
    <w:rsid w:val="00F41DD4"/>
    <w:rsid w:val="00F4267A"/>
    <w:rsid w:val="00F42CA4"/>
    <w:rsid w:val="00F46235"/>
    <w:rsid w:val="00F55E9E"/>
    <w:rsid w:val="00F60856"/>
    <w:rsid w:val="00F61168"/>
    <w:rsid w:val="00F625C7"/>
    <w:rsid w:val="00F712C1"/>
    <w:rsid w:val="00F71D2C"/>
    <w:rsid w:val="00F72DDE"/>
    <w:rsid w:val="00F73648"/>
    <w:rsid w:val="00F738AE"/>
    <w:rsid w:val="00F76655"/>
    <w:rsid w:val="00F76F9F"/>
    <w:rsid w:val="00F80109"/>
    <w:rsid w:val="00F84E4B"/>
    <w:rsid w:val="00F857DC"/>
    <w:rsid w:val="00F85BA1"/>
    <w:rsid w:val="00F93748"/>
    <w:rsid w:val="00F947D9"/>
    <w:rsid w:val="00F95899"/>
    <w:rsid w:val="00FA384F"/>
    <w:rsid w:val="00FA7FEB"/>
    <w:rsid w:val="00FB0EA4"/>
    <w:rsid w:val="00FB1F6B"/>
    <w:rsid w:val="00FB554D"/>
    <w:rsid w:val="00FC073C"/>
    <w:rsid w:val="00FC1D6C"/>
    <w:rsid w:val="00FD13A6"/>
    <w:rsid w:val="00FD337C"/>
    <w:rsid w:val="00FD5359"/>
    <w:rsid w:val="00FE0FFE"/>
    <w:rsid w:val="00FE1C38"/>
    <w:rsid w:val="00FE28E3"/>
    <w:rsid w:val="00FE2F15"/>
    <w:rsid w:val="00FE42FF"/>
    <w:rsid w:val="00FE56DE"/>
    <w:rsid w:val="00FE6CA3"/>
    <w:rsid w:val="00FE7A0F"/>
    <w:rsid w:val="00FF0464"/>
    <w:rsid w:val="00FF275B"/>
    <w:rsid w:val="00FF72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76BD3D6"/>
  <w15:chartTrackingRefBased/>
  <w15:docId w15:val="{796A1C65-F676-4F44-8CDA-761D482E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9C6"/>
    <w:rPr>
      <w:color w:val="0563C1" w:themeColor="hyperlink"/>
      <w:u w:val="single"/>
    </w:rPr>
  </w:style>
  <w:style w:type="paragraph" w:styleId="Header">
    <w:name w:val="header"/>
    <w:basedOn w:val="Normal"/>
    <w:link w:val="HeaderChar"/>
    <w:uiPriority w:val="99"/>
    <w:unhideWhenUsed/>
    <w:rsid w:val="009A69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69C6"/>
  </w:style>
  <w:style w:type="paragraph" w:styleId="Footer">
    <w:name w:val="footer"/>
    <w:basedOn w:val="Normal"/>
    <w:link w:val="FooterChar"/>
    <w:uiPriority w:val="99"/>
    <w:unhideWhenUsed/>
    <w:rsid w:val="009A69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69C6"/>
  </w:style>
  <w:style w:type="paragraph" w:styleId="FootnoteText">
    <w:name w:val="footnote text"/>
    <w:basedOn w:val="Normal"/>
    <w:link w:val="FootnoteTextChar"/>
    <w:uiPriority w:val="99"/>
    <w:semiHidden/>
    <w:unhideWhenUsed/>
    <w:rsid w:val="009A6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9C6"/>
    <w:rPr>
      <w:sz w:val="20"/>
      <w:szCs w:val="20"/>
    </w:rPr>
  </w:style>
  <w:style w:type="character" w:styleId="FootnoteReference">
    <w:name w:val="footnote reference"/>
    <w:basedOn w:val="DefaultParagraphFont"/>
    <w:uiPriority w:val="99"/>
    <w:semiHidden/>
    <w:unhideWhenUsed/>
    <w:rsid w:val="009A69C6"/>
    <w:rPr>
      <w:vertAlign w:val="superscript"/>
    </w:rPr>
  </w:style>
  <w:style w:type="table" w:styleId="TableGrid">
    <w:name w:val="Table Grid"/>
    <w:basedOn w:val="TableNormal"/>
    <w:uiPriority w:val="39"/>
    <w:rsid w:val="009A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E2178"/>
    <w:rPr>
      <w:color w:val="808080"/>
      <w:shd w:val="clear" w:color="auto" w:fill="E6E6E6"/>
    </w:rPr>
  </w:style>
  <w:style w:type="character" w:styleId="FollowedHyperlink">
    <w:name w:val="FollowedHyperlink"/>
    <w:basedOn w:val="DefaultParagraphFont"/>
    <w:uiPriority w:val="99"/>
    <w:semiHidden/>
    <w:unhideWhenUsed/>
    <w:rsid w:val="00B17A26"/>
    <w:rPr>
      <w:color w:val="954F72" w:themeColor="followedHyperlink"/>
      <w:u w:val="single"/>
    </w:rPr>
  </w:style>
  <w:style w:type="paragraph" w:styleId="ListParagraph">
    <w:name w:val="List Paragraph"/>
    <w:basedOn w:val="Normal"/>
    <w:uiPriority w:val="34"/>
    <w:qFormat/>
    <w:rsid w:val="003D3D10"/>
    <w:pPr>
      <w:ind w:left="720"/>
      <w:contextualSpacing/>
    </w:pPr>
  </w:style>
  <w:style w:type="character" w:styleId="CommentReference">
    <w:name w:val="annotation reference"/>
    <w:basedOn w:val="DefaultParagraphFont"/>
    <w:uiPriority w:val="99"/>
    <w:semiHidden/>
    <w:unhideWhenUsed/>
    <w:rsid w:val="00B2792C"/>
    <w:rPr>
      <w:sz w:val="16"/>
      <w:szCs w:val="16"/>
    </w:rPr>
  </w:style>
  <w:style w:type="paragraph" w:styleId="CommentText">
    <w:name w:val="annotation text"/>
    <w:basedOn w:val="Normal"/>
    <w:link w:val="CommentTextChar"/>
    <w:uiPriority w:val="99"/>
    <w:semiHidden/>
    <w:unhideWhenUsed/>
    <w:rsid w:val="00B2792C"/>
    <w:pPr>
      <w:spacing w:line="240" w:lineRule="auto"/>
    </w:pPr>
    <w:rPr>
      <w:sz w:val="20"/>
      <w:szCs w:val="20"/>
    </w:rPr>
  </w:style>
  <w:style w:type="character" w:customStyle="1" w:styleId="CommentTextChar">
    <w:name w:val="Comment Text Char"/>
    <w:basedOn w:val="DefaultParagraphFont"/>
    <w:link w:val="CommentText"/>
    <w:uiPriority w:val="99"/>
    <w:semiHidden/>
    <w:rsid w:val="00B2792C"/>
    <w:rPr>
      <w:sz w:val="20"/>
      <w:szCs w:val="20"/>
    </w:rPr>
  </w:style>
  <w:style w:type="paragraph" w:styleId="CommentSubject">
    <w:name w:val="annotation subject"/>
    <w:basedOn w:val="CommentText"/>
    <w:next w:val="CommentText"/>
    <w:link w:val="CommentSubjectChar"/>
    <w:uiPriority w:val="99"/>
    <w:semiHidden/>
    <w:unhideWhenUsed/>
    <w:rsid w:val="00B2792C"/>
    <w:rPr>
      <w:b/>
      <w:bCs/>
    </w:rPr>
  </w:style>
  <w:style w:type="character" w:customStyle="1" w:styleId="CommentSubjectChar">
    <w:name w:val="Comment Subject Char"/>
    <w:basedOn w:val="CommentTextChar"/>
    <w:link w:val="CommentSubject"/>
    <w:uiPriority w:val="99"/>
    <w:semiHidden/>
    <w:rsid w:val="00B2792C"/>
    <w:rPr>
      <w:b/>
      <w:bCs/>
      <w:sz w:val="20"/>
      <w:szCs w:val="20"/>
    </w:rPr>
  </w:style>
  <w:style w:type="paragraph" w:styleId="BalloonText">
    <w:name w:val="Balloon Text"/>
    <w:basedOn w:val="Normal"/>
    <w:link w:val="BalloonTextChar"/>
    <w:uiPriority w:val="99"/>
    <w:semiHidden/>
    <w:unhideWhenUsed/>
    <w:rsid w:val="00B27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92C"/>
    <w:rPr>
      <w:rFonts w:ascii="Segoe UI" w:hAnsi="Segoe UI" w:cs="Segoe UI"/>
      <w:sz w:val="18"/>
      <w:szCs w:val="18"/>
    </w:rPr>
  </w:style>
  <w:style w:type="character" w:customStyle="1" w:styleId="UnresolvedMention2">
    <w:name w:val="Unresolved Mention2"/>
    <w:basedOn w:val="DefaultParagraphFont"/>
    <w:uiPriority w:val="99"/>
    <w:semiHidden/>
    <w:unhideWhenUsed/>
    <w:rsid w:val="00B664FC"/>
    <w:rPr>
      <w:color w:val="808080"/>
      <w:shd w:val="clear" w:color="auto" w:fill="E6E6E6"/>
    </w:rPr>
  </w:style>
  <w:style w:type="paragraph" w:customStyle="1" w:styleId="tv213">
    <w:name w:val="tv213"/>
    <w:basedOn w:val="Normal"/>
    <w:rsid w:val="00622A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tejustify">
    <w:name w:val="rtejustify"/>
    <w:basedOn w:val="Normal"/>
    <w:rsid w:val="000F7D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777582"/>
    <w:rPr>
      <w:color w:val="808080"/>
      <w:shd w:val="clear" w:color="auto" w:fill="E6E6E6"/>
    </w:rPr>
  </w:style>
  <w:style w:type="paragraph" w:customStyle="1" w:styleId="naisf">
    <w:name w:val="naisf"/>
    <w:basedOn w:val="Normal"/>
    <w:rsid w:val="000B3419"/>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UnresolvedMention4">
    <w:name w:val="Unresolved Mention4"/>
    <w:basedOn w:val="DefaultParagraphFont"/>
    <w:uiPriority w:val="99"/>
    <w:semiHidden/>
    <w:unhideWhenUsed/>
    <w:rsid w:val="000B34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5567">
      <w:bodyDiv w:val="1"/>
      <w:marLeft w:val="0"/>
      <w:marRight w:val="0"/>
      <w:marTop w:val="0"/>
      <w:marBottom w:val="0"/>
      <w:divBdr>
        <w:top w:val="none" w:sz="0" w:space="0" w:color="auto"/>
        <w:left w:val="none" w:sz="0" w:space="0" w:color="auto"/>
        <w:bottom w:val="none" w:sz="0" w:space="0" w:color="auto"/>
        <w:right w:val="none" w:sz="0" w:space="0" w:color="auto"/>
      </w:divBdr>
    </w:div>
    <w:div w:id="258566888">
      <w:bodyDiv w:val="1"/>
      <w:marLeft w:val="0"/>
      <w:marRight w:val="0"/>
      <w:marTop w:val="0"/>
      <w:marBottom w:val="0"/>
      <w:divBdr>
        <w:top w:val="none" w:sz="0" w:space="0" w:color="auto"/>
        <w:left w:val="none" w:sz="0" w:space="0" w:color="auto"/>
        <w:bottom w:val="none" w:sz="0" w:space="0" w:color="auto"/>
        <w:right w:val="none" w:sz="0" w:space="0" w:color="auto"/>
      </w:divBdr>
    </w:div>
    <w:div w:id="588391255">
      <w:bodyDiv w:val="1"/>
      <w:marLeft w:val="0"/>
      <w:marRight w:val="0"/>
      <w:marTop w:val="0"/>
      <w:marBottom w:val="0"/>
      <w:divBdr>
        <w:top w:val="none" w:sz="0" w:space="0" w:color="auto"/>
        <w:left w:val="none" w:sz="0" w:space="0" w:color="auto"/>
        <w:bottom w:val="none" w:sz="0" w:space="0" w:color="auto"/>
        <w:right w:val="none" w:sz="0" w:space="0" w:color="auto"/>
      </w:divBdr>
    </w:div>
    <w:div w:id="689405710">
      <w:bodyDiv w:val="1"/>
      <w:marLeft w:val="0"/>
      <w:marRight w:val="0"/>
      <w:marTop w:val="0"/>
      <w:marBottom w:val="0"/>
      <w:divBdr>
        <w:top w:val="none" w:sz="0" w:space="0" w:color="auto"/>
        <w:left w:val="none" w:sz="0" w:space="0" w:color="auto"/>
        <w:bottom w:val="none" w:sz="0" w:space="0" w:color="auto"/>
        <w:right w:val="none" w:sz="0" w:space="0" w:color="auto"/>
      </w:divBdr>
    </w:div>
    <w:div w:id="1115905363">
      <w:bodyDiv w:val="1"/>
      <w:marLeft w:val="0"/>
      <w:marRight w:val="0"/>
      <w:marTop w:val="0"/>
      <w:marBottom w:val="0"/>
      <w:divBdr>
        <w:top w:val="none" w:sz="0" w:space="0" w:color="auto"/>
        <w:left w:val="none" w:sz="0" w:space="0" w:color="auto"/>
        <w:bottom w:val="none" w:sz="0" w:space="0" w:color="auto"/>
        <w:right w:val="none" w:sz="0" w:space="0" w:color="auto"/>
      </w:divBdr>
    </w:div>
    <w:div w:id="11206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Madara.Luka@e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Baltabola@e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M&#257;ris.Juruss@e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europa.eu/en/publication-detail/-/publication/79bee7ad-6d22-11e8-9483-01aa75ed71a1/language-en/format-PDF/source-72448577" TargetMode="External"/><Relationship Id="rId2" Type="http://schemas.openxmlformats.org/officeDocument/2006/relationships/hyperlink" Target="http://ec.europa.eu/DocsRoom/documents/16881" TargetMode="External"/><Relationship Id="rId1" Type="http://schemas.openxmlformats.org/officeDocument/2006/relationships/hyperlink" Target="https://www.eesc.europa.eu/resources/docs/com2016-356-final.pdf" TargetMode="External"/><Relationship Id="rId5" Type="http://schemas.openxmlformats.org/officeDocument/2006/relationships/hyperlink" Target="https://publications.europa.eu/en/publication-detail/-/publication/79bee7ad-6d22-11e8-9483-01aa75ed71a1/language-en/format-PDF/source-72448577" TargetMode="External"/><Relationship Id="rId4" Type="http://schemas.openxmlformats.org/officeDocument/2006/relationships/hyperlink" Target="https://data1.csb.gov.lv/pxweb/lv/transp_tur/transp_tur__turisms__izm__isterm/TU050c.px/table/tableViewLayout1/?rxid=aaf0688a-b534-4949-a4a5-b0646941da4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ls5\Uznemejdarbibas%20konkuretspejas%20departaments\MVU%20noda&#316;a\kopbrauk&#353;ana\konceptu&#257;l&#257;_zin_izstr&#257;de\attel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ls5\Uznemejdarbibas%20konkuretspejas%20departaments\MVU%20noda&#316;a\kopbrauk&#353;ana\konceptu&#257;l&#257;_zin_izstr&#257;de\attel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ls5\Uznemejdarbibas%20konkuretspejas%20departaments\MVU%20noda&#316;a\kopbrauk&#353;ana\konceptu&#257;l&#257;_zin_izstr&#257;de\attel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ls5\Uznemejdarbibas%20konkuretspejas%20departaments\MVU%20noda&#316;a\kopbrauk&#353;ana\konceptu&#257;l&#257;_zin_izstr&#257;de\attel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K!$A$2:$A$5</c:f>
              <c:strCache>
                <c:ptCount val="4"/>
                <c:pt idx="0">
                  <c:v>Transports</c:v>
                </c:pt>
                <c:pt idx="1">
                  <c:v>Viesu izmitināšana</c:v>
                </c:pt>
                <c:pt idx="2">
                  <c:v>Finanses</c:v>
                </c:pt>
                <c:pt idx="3">
                  <c:v>Tiešsaites prasmes</c:v>
                </c:pt>
              </c:strCache>
            </c:strRef>
          </c:cat>
          <c:val>
            <c:numRef>
              <c:f>K!$B$2:$B$5</c:f>
              <c:numCache>
                <c:formatCode>General</c:formatCode>
                <c:ptCount val="4"/>
                <c:pt idx="0">
                  <c:v>142</c:v>
                </c:pt>
                <c:pt idx="1">
                  <c:v>62</c:v>
                </c:pt>
                <c:pt idx="2">
                  <c:v>268</c:v>
                </c:pt>
                <c:pt idx="3">
                  <c:v>179</c:v>
                </c:pt>
              </c:numCache>
            </c:numRef>
          </c:val>
          <c:extLst>
            <c:ext xmlns:c16="http://schemas.microsoft.com/office/drawing/2014/chart" uri="{C3380CC4-5D6E-409C-BE32-E72D297353CC}">
              <c16:uniqueId val="{00000000-2F51-4C81-9CF8-323D4D934E0C}"/>
            </c:ext>
          </c:extLst>
        </c:ser>
        <c:dLbls>
          <c:showLegendKey val="0"/>
          <c:showVal val="0"/>
          <c:showCatName val="0"/>
          <c:showSerName val="0"/>
          <c:showPercent val="0"/>
          <c:showBubbleSize val="0"/>
        </c:dLbls>
        <c:gapWidth val="219"/>
        <c:overlap val="-27"/>
        <c:axId val="303240352"/>
        <c:axId val="303240680"/>
      </c:barChart>
      <c:catAx>
        <c:axId val="30324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03240680"/>
        <c:crosses val="autoZero"/>
        <c:auto val="1"/>
        <c:lblAlgn val="ctr"/>
        <c:lblOffset val="100"/>
        <c:noMultiLvlLbl val="0"/>
      </c:catAx>
      <c:valAx>
        <c:axId val="3032406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3240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P!$B$2</c:f>
              <c:strCache>
                <c:ptCount val="1"/>
                <c:pt idx="0">
                  <c:v>Transports</c:v>
                </c:pt>
              </c:strCache>
            </c:strRef>
          </c:tx>
          <c:spPr>
            <a:solidFill>
              <a:schemeClr val="accent1"/>
            </a:solidFill>
            <a:ln>
              <a:noFill/>
            </a:ln>
            <a:effectLst/>
          </c:spPr>
          <c:invertIfNegative val="0"/>
          <c:cat>
            <c:strRef>
              <c:f>P!$A$3:$A$30</c:f>
              <c:strCache>
                <c:ptCount val="28"/>
                <c:pt idx="0">
                  <c:v>Francija</c:v>
                </c:pt>
                <c:pt idx="1">
                  <c:v>Lielbritānija</c:v>
                </c:pt>
                <c:pt idx="2">
                  <c:v>Spānija</c:v>
                </c:pt>
                <c:pt idx="3">
                  <c:v>Nīderlande</c:v>
                </c:pt>
                <c:pt idx="4">
                  <c:v>Vācija</c:v>
                </c:pt>
                <c:pt idx="5">
                  <c:v>Itālija</c:v>
                </c:pt>
                <c:pt idx="6">
                  <c:v>Austrija</c:v>
                </c:pt>
                <c:pt idx="7">
                  <c:v>Zviedrija</c:v>
                </c:pt>
                <c:pt idx="8">
                  <c:v>Polija</c:v>
                </c:pt>
                <c:pt idx="9">
                  <c:v>Beļģija</c:v>
                </c:pt>
                <c:pt idx="10">
                  <c:v>Igaunija</c:v>
                </c:pt>
                <c:pt idx="11">
                  <c:v>Dānija</c:v>
                </c:pt>
                <c:pt idx="12">
                  <c:v>Čehija</c:v>
                </c:pt>
                <c:pt idx="13">
                  <c:v>Somija</c:v>
                </c:pt>
                <c:pt idx="14">
                  <c:v>Rumānija</c:v>
                </c:pt>
                <c:pt idx="15">
                  <c:v>Īrija</c:v>
                </c:pt>
                <c:pt idx="16">
                  <c:v>Bulgārija</c:v>
                </c:pt>
                <c:pt idx="17">
                  <c:v>Ungārija</c:v>
                </c:pt>
                <c:pt idx="18">
                  <c:v>Grieķija</c:v>
                </c:pt>
                <c:pt idx="19">
                  <c:v>Slovākija</c:v>
                </c:pt>
                <c:pt idx="20">
                  <c:v>Portugāle</c:v>
                </c:pt>
                <c:pt idx="21">
                  <c:v>Lietuva</c:v>
                </c:pt>
                <c:pt idx="22">
                  <c:v>Latvija</c:v>
                </c:pt>
                <c:pt idx="23">
                  <c:v>Malta</c:v>
                </c:pt>
                <c:pt idx="24">
                  <c:v>Luksemburga</c:v>
                </c:pt>
                <c:pt idx="25">
                  <c:v>Horvātija</c:v>
                </c:pt>
                <c:pt idx="26">
                  <c:v>Slovēnija</c:v>
                </c:pt>
                <c:pt idx="27">
                  <c:v>Ķipra</c:v>
                </c:pt>
              </c:strCache>
            </c:strRef>
          </c:cat>
          <c:val>
            <c:numRef>
              <c:f>P!$B$3:$B$30</c:f>
              <c:numCache>
                <c:formatCode>General</c:formatCode>
                <c:ptCount val="28"/>
                <c:pt idx="0">
                  <c:v>21</c:v>
                </c:pt>
                <c:pt idx="1">
                  <c:v>13</c:v>
                </c:pt>
                <c:pt idx="2">
                  <c:v>17</c:v>
                </c:pt>
                <c:pt idx="3">
                  <c:v>12</c:v>
                </c:pt>
                <c:pt idx="4">
                  <c:v>17</c:v>
                </c:pt>
                <c:pt idx="5">
                  <c:v>14</c:v>
                </c:pt>
                <c:pt idx="6">
                  <c:v>8</c:v>
                </c:pt>
                <c:pt idx="7">
                  <c:v>12</c:v>
                </c:pt>
                <c:pt idx="8">
                  <c:v>9</c:v>
                </c:pt>
                <c:pt idx="9">
                  <c:v>15</c:v>
                </c:pt>
                <c:pt idx="10">
                  <c:v>5</c:v>
                </c:pt>
                <c:pt idx="11">
                  <c:v>3</c:v>
                </c:pt>
                <c:pt idx="12">
                  <c:v>7</c:v>
                </c:pt>
                <c:pt idx="13">
                  <c:v>5</c:v>
                </c:pt>
                <c:pt idx="14">
                  <c:v>5</c:v>
                </c:pt>
                <c:pt idx="15">
                  <c:v>4</c:v>
                </c:pt>
                <c:pt idx="16">
                  <c:v>6</c:v>
                </c:pt>
                <c:pt idx="17">
                  <c:v>8</c:v>
                </c:pt>
                <c:pt idx="18">
                  <c:v>4</c:v>
                </c:pt>
                <c:pt idx="19">
                  <c:v>3</c:v>
                </c:pt>
                <c:pt idx="20">
                  <c:v>4</c:v>
                </c:pt>
                <c:pt idx="21">
                  <c:v>2</c:v>
                </c:pt>
                <c:pt idx="22">
                  <c:v>4</c:v>
                </c:pt>
                <c:pt idx="23">
                  <c:v>3</c:v>
                </c:pt>
                <c:pt idx="24">
                  <c:v>4</c:v>
                </c:pt>
                <c:pt idx="25">
                  <c:v>4</c:v>
                </c:pt>
                <c:pt idx="26">
                  <c:v>0</c:v>
                </c:pt>
              </c:numCache>
            </c:numRef>
          </c:val>
          <c:extLst>
            <c:ext xmlns:c16="http://schemas.microsoft.com/office/drawing/2014/chart" uri="{C3380CC4-5D6E-409C-BE32-E72D297353CC}">
              <c16:uniqueId val="{00000000-B3D6-4B79-B8F7-B78FDF29C7DC}"/>
            </c:ext>
          </c:extLst>
        </c:ser>
        <c:ser>
          <c:idx val="1"/>
          <c:order val="1"/>
          <c:tx>
            <c:strRef>
              <c:f>P!$C$2</c:f>
              <c:strCache>
                <c:ptCount val="1"/>
                <c:pt idx="0">
                  <c:v>Viesu izmitināšana</c:v>
                </c:pt>
              </c:strCache>
            </c:strRef>
          </c:tx>
          <c:spPr>
            <a:solidFill>
              <a:schemeClr val="accent2"/>
            </a:solidFill>
            <a:ln>
              <a:noFill/>
            </a:ln>
            <a:effectLst/>
          </c:spPr>
          <c:invertIfNegative val="0"/>
          <c:cat>
            <c:strRef>
              <c:f>P!$A$3:$A$30</c:f>
              <c:strCache>
                <c:ptCount val="28"/>
                <c:pt idx="0">
                  <c:v>Francija</c:v>
                </c:pt>
                <c:pt idx="1">
                  <c:v>Lielbritānija</c:v>
                </c:pt>
                <c:pt idx="2">
                  <c:v>Spānija</c:v>
                </c:pt>
                <c:pt idx="3">
                  <c:v>Nīderlande</c:v>
                </c:pt>
                <c:pt idx="4">
                  <c:v>Vācija</c:v>
                </c:pt>
                <c:pt idx="5">
                  <c:v>Itālija</c:v>
                </c:pt>
                <c:pt idx="6">
                  <c:v>Austrija</c:v>
                </c:pt>
                <c:pt idx="7">
                  <c:v>Zviedrija</c:v>
                </c:pt>
                <c:pt idx="8">
                  <c:v>Polija</c:v>
                </c:pt>
                <c:pt idx="9">
                  <c:v>Beļģija</c:v>
                </c:pt>
                <c:pt idx="10">
                  <c:v>Igaunija</c:v>
                </c:pt>
                <c:pt idx="11">
                  <c:v>Dānija</c:v>
                </c:pt>
                <c:pt idx="12">
                  <c:v>Čehija</c:v>
                </c:pt>
                <c:pt idx="13">
                  <c:v>Somija</c:v>
                </c:pt>
                <c:pt idx="14">
                  <c:v>Rumānija</c:v>
                </c:pt>
                <c:pt idx="15">
                  <c:v>Īrija</c:v>
                </c:pt>
                <c:pt idx="16">
                  <c:v>Bulgārija</c:v>
                </c:pt>
                <c:pt idx="17">
                  <c:v>Ungārija</c:v>
                </c:pt>
                <c:pt idx="18">
                  <c:v>Grieķija</c:v>
                </c:pt>
                <c:pt idx="19">
                  <c:v>Slovākija</c:v>
                </c:pt>
                <c:pt idx="20">
                  <c:v>Portugāle</c:v>
                </c:pt>
                <c:pt idx="21">
                  <c:v>Lietuva</c:v>
                </c:pt>
                <c:pt idx="22">
                  <c:v>Latvija</c:v>
                </c:pt>
                <c:pt idx="23">
                  <c:v>Malta</c:v>
                </c:pt>
                <c:pt idx="24">
                  <c:v>Luksemburga</c:v>
                </c:pt>
                <c:pt idx="25">
                  <c:v>Horvātija</c:v>
                </c:pt>
                <c:pt idx="26">
                  <c:v>Slovēnija</c:v>
                </c:pt>
                <c:pt idx="27">
                  <c:v>Ķipra</c:v>
                </c:pt>
              </c:strCache>
            </c:strRef>
          </c:cat>
          <c:val>
            <c:numRef>
              <c:f>P!$C$3:$C$30</c:f>
              <c:numCache>
                <c:formatCode>General</c:formatCode>
                <c:ptCount val="28"/>
                <c:pt idx="0">
                  <c:v>16</c:v>
                </c:pt>
                <c:pt idx="1">
                  <c:v>15</c:v>
                </c:pt>
                <c:pt idx="2">
                  <c:v>15</c:v>
                </c:pt>
                <c:pt idx="3">
                  <c:v>18</c:v>
                </c:pt>
                <c:pt idx="4">
                  <c:v>8</c:v>
                </c:pt>
                <c:pt idx="5">
                  <c:v>5</c:v>
                </c:pt>
                <c:pt idx="6">
                  <c:v>6</c:v>
                </c:pt>
                <c:pt idx="7">
                  <c:v>4</c:v>
                </c:pt>
                <c:pt idx="8">
                  <c:v>2</c:v>
                </c:pt>
                <c:pt idx="9">
                  <c:v>2</c:v>
                </c:pt>
                <c:pt idx="10">
                  <c:v>3</c:v>
                </c:pt>
                <c:pt idx="11">
                  <c:v>4</c:v>
                </c:pt>
                <c:pt idx="12">
                  <c:v>2</c:v>
                </c:pt>
                <c:pt idx="13">
                  <c:v>4</c:v>
                </c:pt>
                <c:pt idx="14">
                  <c:v>5</c:v>
                </c:pt>
                <c:pt idx="15">
                  <c:v>5</c:v>
                </c:pt>
                <c:pt idx="16">
                  <c:v>2</c:v>
                </c:pt>
                <c:pt idx="17">
                  <c:v>3</c:v>
                </c:pt>
                <c:pt idx="18">
                  <c:v>3</c:v>
                </c:pt>
                <c:pt idx="19">
                  <c:v>1</c:v>
                </c:pt>
                <c:pt idx="20">
                  <c:v>4</c:v>
                </c:pt>
                <c:pt idx="21">
                  <c:v>3</c:v>
                </c:pt>
                <c:pt idx="22">
                  <c:v>1</c:v>
                </c:pt>
                <c:pt idx="23">
                  <c:v>4</c:v>
                </c:pt>
                <c:pt idx="24">
                  <c:v>2</c:v>
                </c:pt>
                <c:pt idx="25">
                  <c:v>1</c:v>
                </c:pt>
                <c:pt idx="26">
                  <c:v>0</c:v>
                </c:pt>
              </c:numCache>
            </c:numRef>
          </c:val>
          <c:extLst>
            <c:ext xmlns:c16="http://schemas.microsoft.com/office/drawing/2014/chart" uri="{C3380CC4-5D6E-409C-BE32-E72D297353CC}">
              <c16:uniqueId val="{00000001-B3D6-4B79-B8F7-B78FDF29C7DC}"/>
            </c:ext>
          </c:extLst>
        </c:ser>
        <c:ser>
          <c:idx val="2"/>
          <c:order val="2"/>
          <c:tx>
            <c:strRef>
              <c:f>P!$D$2</c:f>
              <c:strCache>
                <c:ptCount val="1"/>
                <c:pt idx="0">
                  <c:v>Finanses</c:v>
                </c:pt>
              </c:strCache>
            </c:strRef>
          </c:tx>
          <c:spPr>
            <a:solidFill>
              <a:schemeClr val="accent3"/>
            </a:solidFill>
            <a:ln>
              <a:noFill/>
            </a:ln>
            <a:effectLst/>
          </c:spPr>
          <c:invertIfNegative val="0"/>
          <c:cat>
            <c:strRef>
              <c:f>P!$A$3:$A$30</c:f>
              <c:strCache>
                <c:ptCount val="28"/>
                <c:pt idx="0">
                  <c:v>Francija</c:v>
                </c:pt>
                <c:pt idx="1">
                  <c:v>Lielbritānija</c:v>
                </c:pt>
                <c:pt idx="2">
                  <c:v>Spānija</c:v>
                </c:pt>
                <c:pt idx="3">
                  <c:v>Nīderlande</c:v>
                </c:pt>
                <c:pt idx="4">
                  <c:v>Vācija</c:v>
                </c:pt>
                <c:pt idx="5">
                  <c:v>Itālija</c:v>
                </c:pt>
                <c:pt idx="6">
                  <c:v>Austrija</c:v>
                </c:pt>
                <c:pt idx="7">
                  <c:v>Zviedrija</c:v>
                </c:pt>
                <c:pt idx="8">
                  <c:v>Polija</c:v>
                </c:pt>
                <c:pt idx="9">
                  <c:v>Beļģija</c:v>
                </c:pt>
                <c:pt idx="10">
                  <c:v>Igaunija</c:v>
                </c:pt>
                <c:pt idx="11">
                  <c:v>Dānija</c:v>
                </c:pt>
                <c:pt idx="12">
                  <c:v>Čehija</c:v>
                </c:pt>
                <c:pt idx="13">
                  <c:v>Somija</c:v>
                </c:pt>
                <c:pt idx="14">
                  <c:v>Rumānija</c:v>
                </c:pt>
                <c:pt idx="15">
                  <c:v>Īrija</c:v>
                </c:pt>
                <c:pt idx="16">
                  <c:v>Bulgārija</c:v>
                </c:pt>
                <c:pt idx="17">
                  <c:v>Ungārija</c:v>
                </c:pt>
                <c:pt idx="18">
                  <c:v>Grieķija</c:v>
                </c:pt>
                <c:pt idx="19">
                  <c:v>Slovākija</c:v>
                </c:pt>
                <c:pt idx="20">
                  <c:v>Portugāle</c:v>
                </c:pt>
                <c:pt idx="21">
                  <c:v>Lietuva</c:v>
                </c:pt>
                <c:pt idx="22">
                  <c:v>Latvija</c:v>
                </c:pt>
                <c:pt idx="23">
                  <c:v>Malta</c:v>
                </c:pt>
                <c:pt idx="24">
                  <c:v>Luksemburga</c:v>
                </c:pt>
                <c:pt idx="25">
                  <c:v>Horvātija</c:v>
                </c:pt>
                <c:pt idx="26">
                  <c:v>Slovēnija</c:v>
                </c:pt>
                <c:pt idx="27">
                  <c:v>Ķipra</c:v>
                </c:pt>
              </c:strCache>
            </c:strRef>
          </c:cat>
          <c:val>
            <c:numRef>
              <c:f>P!$D$3:$D$30</c:f>
              <c:numCache>
                <c:formatCode>General</c:formatCode>
                <c:ptCount val="28"/>
                <c:pt idx="0">
                  <c:v>27</c:v>
                </c:pt>
                <c:pt idx="1">
                  <c:v>43</c:v>
                </c:pt>
                <c:pt idx="2">
                  <c:v>27</c:v>
                </c:pt>
                <c:pt idx="3">
                  <c:v>33</c:v>
                </c:pt>
                <c:pt idx="4">
                  <c:v>38</c:v>
                </c:pt>
                <c:pt idx="5">
                  <c:v>35</c:v>
                </c:pt>
                <c:pt idx="6">
                  <c:v>17</c:v>
                </c:pt>
                <c:pt idx="7">
                  <c:v>7</c:v>
                </c:pt>
                <c:pt idx="8">
                  <c:v>16</c:v>
                </c:pt>
                <c:pt idx="9">
                  <c:v>5</c:v>
                </c:pt>
                <c:pt idx="10">
                  <c:v>9</c:v>
                </c:pt>
                <c:pt idx="11">
                  <c:v>6</c:v>
                </c:pt>
                <c:pt idx="12">
                  <c:v>10</c:v>
                </c:pt>
                <c:pt idx="13">
                  <c:v>5</c:v>
                </c:pt>
                <c:pt idx="14">
                  <c:v>6</c:v>
                </c:pt>
                <c:pt idx="15">
                  <c:v>5</c:v>
                </c:pt>
                <c:pt idx="16">
                  <c:v>2</c:v>
                </c:pt>
                <c:pt idx="17">
                  <c:v>0</c:v>
                </c:pt>
                <c:pt idx="18">
                  <c:v>0</c:v>
                </c:pt>
                <c:pt idx="19">
                  <c:v>5</c:v>
                </c:pt>
                <c:pt idx="20">
                  <c:v>4</c:v>
                </c:pt>
                <c:pt idx="21">
                  <c:v>4</c:v>
                </c:pt>
                <c:pt idx="22">
                  <c:v>5</c:v>
                </c:pt>
                <c:pt idx="23">
                  <c:v>1</c:v>
                </c:pt>
                <c:pt idx="24">
                  <c:v>1</c:v>
                </c:pt>
                <c:pt idx="25">
                  <c:v>3</c:v>
                </c:pt>
                <c:pt idx="26">
                  <c:v>1</c:v>
                </c:pt>
              </c:numCache>
            </c:numRef>
          </c:val>
          <c:extLst>
            <c:ext xmlns:c16="http://schemas.microsoft.com/office/drawing/2014/chart" uri="{C3380CC4-5D6E-409C-BE32-E72D297353CC}">
              <c16:uniqueId val="{00000002-B3D6-4B79-B8F7-B78FDF29C7DC}"/>
            </c:ext>
          </c:extLst>
        </c:ser>
        <c:ser>
          <c:idx val="3"/>
          <c:order val="3"/>
          <c:tx>
            <c:strRef>
              <c:f>P!$E$2</c:f>
              <c:strCache>
                <c:ptCount val="1"/>
                <c:pt idx="0">
                  <c:v>Tiešsaites prasmes</c:v>
                </c:pt>
              </c:strCache>
            </c:strRef>
          </c:tx>
          <c:spPr>
            <a:solidFill>
              <a:schemeClr val="accent4"/>
            </a:solidFill>
            <a:ln>
              <a:noFill/>
            </a:ln>
            <a:effectLst/>
          </c:spPr>
          <c:invertIfNegative val="0"/>
          <c:cat>
            <c:strRef>
              <c:f>P!$A$3:$A$30</c:f>
              <c:strCache>
                <c:ptCount val="28"/>
                <c:pt idx="0">
                  <c:v>Francija</c:v>
                </c:pt>
                <c:pt idx="1">
                  <c:v>Lielbritānija</c:v>
                </c:pt>
                <c:pt idx="2">
                  <c:v>Spānija</c:v>
                </c:pt>
                <c:pt idx="3">
                  <c:v>Nīderlande</c:v>
                </c:pt>
                <c:pt idx="4">
                  <c:v>Vācija</c:v>
                </c:pt>
                <c:pt idx="5">
                  <c:v>Itālija</c:v>
                </c:pt>
                <c:pt idx="6">
                  <c:v>Austrija</c:v>
                </c:pt>
                <c:pt idx="7">
                  <c:v>Zviedrija</c:v>
                </c:pt>
                <c:pt idx="8">
                  <c:v>Polija</c:v>
                </c:pt>
                <c:pt idx="9">
                  <c:v>Beļģija</c:v>
                </c:pt>
                <c:pt idx="10">
                  <c:v>Igaunija</c:v>
                </c:pt>
                <c:pt idx="11">
                  <c:v>Dānija</c:v>
                </c:pt>
                <c:pt idx="12">
                  <c:v>Čehija</c:v>
                </c:pt>
                <c:pt idx="13">
                  <c:v>Somija</c:v>
                </c:pt>
                <c:pt idx="14">
                  <c:v>Rumānija</c:v>
                </c:pt>
                <c:pt idx="15">
                  <c:v>Īrija</c:v>
                </c:pt>
                <c:pt idx="16">
                  <c:v>Bulgārija</c:v>
                </c:pt>
                <c:pt idx="17">
                  <c:v>Ungārija</c:v>
                </c:pt>
                <c:pt idx="18">
                  <c:v>Grieķija</c:v>
                </c:pt>
                <c:pt idx="19">
                  <c:v>Slovākija</c:v>
                </c:pt>
                <c:pt idx="20">
                  <c:v>Portugāle</c:v>
                </c:pt>
                <c:pt idx="21">
                  <c:v>Lietuva</c:v>
                </c:pt>
                <c:pt idx="22">
                  <c:v>Latvija</c:v>
                </c:pt>
                <c:pt idx="23">
                  <c:v>Malta</c:v>
                </c:pt>
                <c:pt idx="24">
                  <c:v>Luksemburga</c:v>
                </c:pt>
                <c:pt idx="25">
                  <c:v>Horvātija</c:v>
                </c:pt>
                <c:pt idx="26">
                  <c:v>Slovēnija</c:v>
                </c:pt>
                <c:pt idx="27">
                  <c:v>Ķipra</c:v>
                </c:pt>
              </c:strCache>
            </c:strRef>
          </c:cat>
          <c:val>
            <c:numRef>
              <c:f>P!$E$3:$E$30</c:f>
              <c:numCache>
                <c:formatCode>General</c:formatCode>
                <c:ptCount val="28"/>
                <c:pt idx="0">
                  <c:v>35</c:v>
                </c:pt>
                <c:pt idx="1">
                  <c:v>21</c:v>
                </c:pt>
                <c:pt idx="2">
                  <c:v>22</c:v>
                </c:pt>
                <c:pt idx="3">
                  <c:v>13</c:v>
                </c:pt>
                <c:pt idx="4">
                  <c:v>12</c:v>
                </c:pt>
                <c:pt idx="5">
                  <c:v>16</c:v>
                </c:pt>
                <c:pt idx="6">
                  <c:v>10</c:v>
                </c:pt>
                <c:pt idx="7">
                  <c:v>14</c:v>
                </c:pt>
                <c:pt idx="8">
                  <c:v>9</c:v>
                </c:pt>
                <c:pt idx="9">
                  <c:v>9</c:v>
                </c:pt>
                <c:pt idx="10">
                  <c:v>13</c:v>
                </c:pt>
                <c:pt idx="11">
                  <c:v>16</c:v>
                </c:pt>
                <c:pt idx="12">
                  <c:v>5</c:v>
                </c:pt>
                <c:pt idx="13">
                  <c:v>7</c:v>
                </c:pt>
                <c:pt idx="14">
                  <c:v>3</c:v>
                </c:pt>
                <c:pt idx="15">
                  <c:v>3</c:v>
                </c:pt>
                <c:pt idx="16">
                  <c:v>5</c:v>
                </c:pt>
                <c:pt idx="17">
                  <c:v>4</c:v>
                </c:pt>
                <c:pt idx="18">
                  <c:v>7</c:v>
                </c:pt>
                <c:pt idx="19">
                  <c:v>5</c:v>
                </c:pt>
                <c:pt idx="20">
                  <c:v>1</c:v>
                </c:pt>
                <c:pt idx="21">
                  <c:v>2</c:v>
                </c:pt>
                <c:pt idx="22">
                  <c:v>1</c:v>
                </c:pt>
                <c:pt idx="23">
                  <c:v>3</c:v>
                </c:pt>
                <c:pt idx="24">
                  <c:v>2</c:v>
                </c:pt>
                <c:pt idx="25">
                  <c:v>0</c:v>
                </c:pt>
                <c:pt idx="26">
                  <c:v>1</c:v>
                </c:pt>
              </c:numCache>
            </c:numRef>
          </c:val>
          <c:extLst>
            <c:ext xmlns:c16="http://schemas.microsoft.com/office/drawing/2014/chart" uri="{C3380CC4-5D6E-409C-BE32-E72D297353CC}">
              <c16:uniqueId val="{00000003-B3D6-4B79-B8F7-B78FDF29C7DC}"/>
            </c:ext>
          </c:extLst>
        </c:ser>
        <c:dLbls>
          <c:showLegendKey val="0"/>
          <c:showVal val="0"/>
          <c:showCatName val="0"/>
          <c:showSerName val="0"/>
          <c:showPercent val="0"/>
          <c:showBubbleSize val="0"/>
        </c:dLbls>
        <c:gapWidth val="150"/>
        <c:overlap val="100"/>
        <c:axId val="382165208"/>
        <c:axId val="382165536"/>
      </c:barChart>
      <c:catAx>
        <c:axId val="38216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536"/>
        <c:crosses val="autoZero"/>
        <c:auto val="1"/>
        <c:lblAlgn val="ctr"/>
        <c:lblOffset val="100"/>
        <c:noMultiLvlLbl val="0"/>
      </c:catAx>
      <c:valAx>
        <c:axId val="38216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E!$B$2</c:f>
              <c:strCache>
                <c:ptCount val="1"/>
                <c:pt idx="0">
                  <c:v>Transports</c:v>
                </c:pt>
              </c:strCache>
            </c:strRef>
          </c:tx>
          <c:spPr>
            <a:solidFill>
              <a:schemeClr val="accent1"/>
            </a:solidFill>
            <a:ln>
              <a:noFill/>
            </a:ln>
            <a:effectLst/>
          </c:spPr>
          <c:invertIfNegative val="0"/>
          <c:cat>
            <c:strRef>
              <c:f>E!$A$3:$A$30</c:f>
              <c:strCache>
                <c:ptCount val="28"/>
                <c:pt idx="0">
                  <c:v>Francija</c:v>
                </c:pt>
                <c:pt idx="1">
                  <c:v>Lielbritānija</c:v>
                </c:pt>
                <c:pt idx="2">
                  <c:v>Polija</c:v>
                </c:pt>
                <c:pt idx="3">
                  <c:v>Spānija</c:v>
                </c:pt>
                <c:pt idx="4">
                  <c:v>Vācija</c:v>
                </c:pt>
                <c:pt idx="5">
                  <c:v>Itālija</c:v>
                </c:pt>
                <c:pt idx="6">
                  <c:v>Grieķija</c:v>
                </c:pt>
                <c:pt idx="7">
                  <c:v>Čehija</c:v>
                </c:pt>
                <c:pt idx="8">
                  <c:v>Nīderlande</c:v>
                </c:pt>
                <c:pt idx="9">
                  <c:v>Portugāle</c:v>
                </c:pt>
                <c:pt idx="10">
                  <c:v>Austrija</c:v>
                </c:pt>
                <c:pt idx="11">
                  <c:v>Zviedrija</c:v>
                </c:pt>
                <c:pt idx="12">
                  <c:v>Rumānija</c:v>
                </c:pt>
                <c:pt idx="13">
                  <c:v>Igaunija</c:v>
                </c:pt>
                <c:pt idx="14">
                  <c:v>Slovākija</c:v>
                </c:pt>
                <c:pt idx="15">
                  <c:v>Horvātija</c:v>
                </c:pt>
                <c:pt idx="16">
                  <c:v>Ungārija</c:v>
                </c:pt>
                <c:pt idx="17">
                  <c:v>Somija</c:v>
                </c:pt>
                <c:pt idx="18">
                  <c:v>Latvija</c:v>
                </c:pt>
                <c:pt idx="19">
                  <c:v>Bulgārija</c:v>
                </c:pt>
                <c:pt idx="20">
                  <c:v>Īrija</c:v>
                </c:pt>
                <c:pt idx="21">
                  <c:v>Beļģija</c:v>
                </c:pt>
                <c:pt idx="22">
                  <c:v>Lietuva</c:v>
                </c:pt>
                <c:pt idx="23">
                  <c:v>Dānija</c:v>
                </c:pt>
                <c:pt idx="24">
                  <c:v>Ķipra</c:v>
                </c:pt>
                <c:pt idx="25">
                  <c:v>Slovēnija</c:v>
                </c:pt>
                <c:pt idx="26">
                  <c:v>Malta</c:v>
                </c:pt>
                <c:pt idx="27">
                  <c:v>Luksemburga</c:v>
                </c:pt>
              </c:strCache>
            </c:strRef>
          </c:cat>
          <c:val>
            <c:numRef>
              <c:f>E!$B$3:$B$30</c:f>
              <c:numCache>
                <c:formatCode>General</c:formatCode>
                <c:ptCount val="28"/>
                <c:pt idx="0">
                  <c:v>32386</c:v>
                </c:pt>
                <c:pt idx="1">
                  <c:v>47301</c:v>
                </c:pt>
                <c:pt idx="2">
                  <c:v>7613</c:v>
                </c:pt>
                <c:pt idx="3">
                  <c:v>3854</c:v>
                </c:pt>
                <c:pt idx="4">
                  <c:v>3485</c:v>
                </c:pt>
                <c:pt idx="5">
                  <c:v>1641</c:v>
                </c:pt>
                <c:pt idx="6">
                  <c:v>1785</c:v>
                </c:pt>
                <c:pt idx="7">
                  <c:v>2155</c:v>
                </c:pt>
                <c:pt idx="8">
                  <c:v>3000</c:v>
                </c:pt>
                <c:pt idx="9">
                  <c:v>2161</c:v>
                </c:pt>
                <c:pt idx="10">
                  <c:v>924</c:v>
                </c:pt>
                <c:pt idx="11">
                  <c:v>811</c:v>
                </c:pt>
                <c:pt idx="12">
                  <c:v>4088</c:v>
                </c:pt>
                <c:pt idx="13">
                  <c:v>2370</c:v>
                </c:pt>
                <c:pt idx="14">
                  <c:v>1273</c:v>
                </c:pt>
                <c:pt idx="15">
                  <c:v>1528</c:v>
                </c:pt>
                <c:pt idx="16">
                  <c:v>1703</c:v>
                </c:pt>
                <c:pt idx="17">
                  <c:v>1524</c:v>
                </c:pt>
                <c:pt idx="18">
                  <c:v>976</c:v>
                </c:pt>
                <c:pt idx="19">
                  <c:v>169</c:v>
                </c:pt>
                <c:pt idx="20">
                  <c:v>871</c:v>
                </c:pt>
                <c:pt idx="21">
                  <c:v>1115</c:v>
                </c:pt>
                <c:pt idx="22">
                  <c:v>1400</c:v>
                </c:pt>
                <c:pt idx="23">
                  <c:v>547</c:v>
                </c:pt>
                <c:pt idx="24">
                  <c:v>1</c:v>
                </c:pt>
                <c:pt idx="26">
                  <c:v>175</c:v>
                </c:pt>
                <c:pt idx="27">
                  <c:v>1</c:v>
                </c:pt>
              </c:numCache>
            </c:numRef>
          </c:val>
          <c:extLst>
            <c:ext xmlns:c16="http://schemas.microsoft.com/office/drawing/2014/chart" uri="{C3380CC4-5D6E-409C-BE32-E72D297353CC}">
              <c16:uniqueId val="{00000000-BDEF-42FB-B6DB-E6F58B855C8B}"/>
            </c:ext>
          </c:extLst>
        </c:ser>
        <c:ser>
          <c:idx val="1"/>
          <c:order val="1"/>
          <c:tx>
            <c:strRef>
              <c:f>E!$C$2</c:f>
              <c:strCache>
                <c:ptCount val="1"/>
                <c:pt idx="0">
                  <c:v>Viesu izmitināšana</c:v>
                </c:pt>
              </c:strCache>
            </c:strRef>
          </c:tx>
          <c:spPr>
            <a:solidFill>
              <a:schemeClr val="accent2"/>
            </a:solidFill>
            <a:ln>
              <a:noFill/>
            </a:ln>
            <a:effectLst/>
          </c:spPr>
          <c:invertIfNegative val="0"/>
          <c:cat>
            <c:strRef>
              <c:f>E!$A$3:$A$30</c:f>
              <c:strCache>
                <c:ptCount val="28"/>
                <c:pt idx="0">
                  <c:v>Francija</c:v>
                </c:pt>
                <c:pt idx="1">
                  <c:v>Lielbritānija</c:v>
                </c:pt>
                <c:pt idx="2">
                  <c:v>Polija</c:v>
                </c:pt>
                <c:pt idx="3">
                  <c:v>Spānija</c:v>
                </c:pt>
                <c:pt idx="4">
                  <c:v>Vācija</c:v>
                </c:pt>
                <c:pt idx="5">
                  <c:v>Itālija</c:v>
                </c:pt>
                <c:pt idx="6">
                  <c:v>Grieķija</c:v>
                </c:pt>
                <c:pt idx="7">
                  <c:v>Čehija</c:v>
                </c:pt>
                <c:pt idx="8">
                  <c:v>Nīderlande</c:v>
                </c:pt>
                <c:pt idx="9">
                  <c:v>Portugāle</c:v>
                </c:pt>
                <c:pt idx="10">
                  <c:v>Austrija</c:v>
                </c:pt>
                <c:pt idx="11">
                  <c:v>Zviedrija</c:v>
                </c:pt>
                <c:pt idx="12">
                  <c:v>Rumānija</c:v>
                </c:pt>
                <c:pt idx="13">
                  <c:v>Igaunija</c:v>
                </c:pt>
                <c:pt idx="14">
                  <c:v>Slovākija</c:v>
                </c:pt>
                <c:pt idx="15">
                  <c:v>Horvātija</c:v>
                </c:pt>
                <c:pt idx="16">
                  <c:v>Ungārija</c:v>
                </c:pt>
                <c:pt idx="17">
                  <c:v>Somija</c:v>
                </c:pt>
                <c:pt idx="18">
                  <c:v>Latvija</c:v>
                </c:pt>
                <c:pt idx="19">
                  <c:v>Bulgārija</c:v>
                </c:pt>
                <c:pt idx="20">
                  <c:v>Īrija</c:v>
                </c:pt>
                <c:pt idx="21">
                  <c:v>Beļģija</c:v>
                </c:pt>
                <c:pt idx="22">
                  <c:v>Lietuva</c:v>
                </c:pt>
                <c:pt idx="23">
                  <c:v>Dānija</c:v>
                </c:pt>
                <c:pt idx="24">
                  <c:v>Ķipra</c:v>
                </c:pt>
                <c:pt idx="25">
                  <c:v>Slovēnija</c:v>
                </c:pt>
                <c:pt idx="26">
                  <c:v>Malta</c:v>
                </c:pt>
                <c:pt idx="27">
                  <c:v>Luksemburga</c:v>
                </c:pt>
              </c:strCache>
            </c:strRef>
          </c:cat>
          <c:val>
            <c:numRef>
              <c:f>E!$C$3:$C$30</c:f>
              <c:numCache>
                <c:formatCode>General</c:formatCode>
                <c:ptCount val="28"/>
                <c:pt idx="0">
                  <c:v>18930</c:v>
                </c:pt>
                <c:pt idx="1">
                  <c:v>10753</c:v>
                </c:pt>
                <c:pt idx="2">
                  <c:v>2509</c:v>
                </c:pt>
                <c:pt idx="3">
                  <c:v>16164</c:v>
                </c:pt>
                <c:pt idx="4">
                  <c:v>17931</c:v>
                </c:pt>
                <c:pt idx="5">
                  <c:v>8756</c:v>
                </c:pt>
                <c:pt idx="6">
                  <c:v>7858</c:v>
                </c:pt>
                <c:pt idx="7">
                  <c:v>1788</c:v>
                </c:pt>
                <c:pt idx="8">
                  <c:v>3387</c:v>
                </c:pt>
                <c:pt idx="9">
                  <c:v>4696</c:v>
                </c:pt>
                <c:pt idx="10">
                  <c:v>3618</c:v>
                </c:pt>
                <c:pt idx="11">
                  <c:v>1154</c:v>
                </c:pt>
                <c:pt idx="12">
                  <c:v>1862</c:v>
                </c:pt>
                <c:pt idx="13">
                  <c:v>335</c:v>
                </c:pt>
                <c:pt idx="14">
                  <c:v>807</c:v>
                </c:pt>
                <c:pt idx="15">
                  <c:v>1909</c:v>
                </c:pt>
                <c:pt idx="16">
                  <c:v>1625</c:v>
                </c:pt>
                <c:pt idx="17">
                  <c:v>1154</c:v>
                </c:pt>
                <c:pt idx="18">
                  <c:v>350</c:v>
                </c:pt>
                <c:pt idx="19">
                  <c:v>2423</c:v>
                </c:pt>
                <c:pt idx="20">
                  <c:v>1840</c:v>
                </c:pt>
                <c:pt idx="21">
                  <c:v>799</c:v>
                </c:pt>
                <c:pt idx="22">
                  <c:v>542</c:v>
                </c:pt>
                <c:pt idx="23">
                  <c:v>398</c:v>
                </c:pt>
                <c:pt idx="24">
                  <c:v>581</c:v>
                </c:pt>
                <c:pt idx="25">
                  <c:v>565</c:v>
                </c:pt>
                <c:pt idx="26">
                  <c:v>295</c:v>
                </c:pt>
                <c:pt idx="27">
                  <c:v>16</c:v>
                </c:pt>
              </c:numCache>
            </c:numRef>
          </c:val>
          <c:extLst>
            <c:ext xmlns:c16="http://schemas.microsoft.com/office/drawing/2014/chart" uri="{C3380CC4-5D6E-409C-BE32-E72D297353CC}">
              <c16:uniqueId val="{00000001-BDEF-42FB-B6DB-E6F58B855C8B}"/>
            </c:ext>
          </c:extLst>
        </c:ser>
        <c:ser>
          <c:idx val="2"/>
          <c:order val="2"/>
          <c:tx>
            <c:strRef>
              <c:f>E!$D$2</c:f>
              <c:strCache>
                <c:ptCount val="1"/>
                <c:pt idx="0">
                  <c:v>Finanses</c:v>
                </c:pt>
              </c:strCache>
            </c:strRef>
          </c:tx>
          <c:spPr>
            <a:solidFill>
              <a:schemeClr val="accent3"/>
            </a:solidFill>
            <a:ln>
              <a:noFill/>
            </a:ln>
            <a:effectLst/>
          </c:spPr>
          <c:invertIfNegative val="0"/>
          <c:cat>
            <c:strRef>
              <c:f>E!$A$3:$A$30</c:f>
              <c:strCache>
                <c:ptCount val="28"/>
                <c:pt idx="0">
                  <c:v>Francija</c:v>
                </c:pt>
                <c:pt idx="1">
                  <c:v>Lielbritānija</c:v>
                </c:pt>
                <c:pt idx="2">
                  <c:v>Polija</c:v>
                </c:pt>
                <c:pt idx="3">
                  <c:v>Spānija</c:v>
                </c:pt>
                <c:pt idx="4">
                  <c:v>Vācija</c:v>
                </c:pt>
                <c:pt idx="5">
                  <c:v>Itālija</c:v>
                </c:pt>
                <c:pt idx="6">
                  <c:v>Grieķija</c:v>
                </c:pt>
                <c:pt idx="7">
                  <c:v>Čehija</c:v>
                </c:pt>
                <c:pt idx="8">
                  <c:v>Nīderlande</c:v>
                </c:pt>
                <c:pt idx="9">
                  <c:v>Portugāle</c:v>
                </c:pt>
                <c:pt idx="10">
                  <c:v>Austrija</c:v>
                </c:pt>
                <c:pt idx="11">
                  <c:v>Zviedrija</c:v>
                </c:pt>
                <c:pt idx="12">
                  <c:v>Rumānija</c:v>
                </c:pt>
                <c:pt idx="13">
                  <c:v>Igaunija</c:v>
                </c:pt>
                <c:pt idx="14">
                  <c:v>Slovākija</c:v>
                </c:pt>
                <c:pt idx="15">
                  <c:v>Horvātija</c:v>
                </c:pt>
                <c:pt idx="16">
                  <c:v>Ungārija</c:v>
                </c:pt>
                <c:pt idx="17">
                  <c:v>Somija</c:v>
                </c:pt>
                <c:pt idx="18">
                  <c:v>Latvija</c:v>
                </c:pt>
                <c:pt idx="19">
                  <c:v>Bulgārija</c:v>
                </c:pt>
                <c:pt idx="20">
                  <c:v>Īrija</c:v>
                </c:pt>
                <c:pt idx="21">
                  <c:v>Beļģija</c:v>
                </c:pt>
                <c:pt idx="22">
                  <c:v>Lietuva</c:v>
                </c:pt>
                <c:pt idx="23">
                  <c:v>Dānija</c:v>
                </c:pt>
                <c:pt idx="24">
                  <c:v>Ķipra</c:v>
                </c:pt>
                <c:pt idx="25">
                  <c:v>Slovēnija</c:v>
                </c:pt>
                <c:pt idx="26">
                  <c:v>Malta</c:v>
                </c:pt>
                <c:pt idx="27">
                  <c:v>Luksemburga</c:v>
                </c:pt>
              </c:strCache>
            </c:strRef>
          </c:cat>
          <c:val>
            <c:numRef>
              <c:f>E!$D$3:$D$30</c:f>
              <c:numCache>
                <c:formatCode>General</c:formatCode>
                <c:ptCount val="28"/>
                <c:pt idx="0">
                  <c:v>14319</c:v>
                </c:pt>
                <c:pt idx="1">
                  <c:v>9936</c:v>
                </c:pt>
                <c:pt idx="2">
                  <c:v>5312</c:v>
                </c:pt>
                <c:pt idx="3">
                  <c:v>3418</c:v>
                </c:pt>
                <c:pt idx="4">
                  <c:v>11343</c:v>
                </c:pt>
                <c:pt idx="5">
                  <c:v>3061</c:v>
                </c:pt>
                <c:pt idx="7">
                  <c:v>6618</c:v>
                </c:pt>
                <c:pt idx="8">
                  <c:v>1026</c:v>
                </c:pt>
                <c:pt idx="9">
                  <c:v>597</c:v>
                </c:pt>
                <c:pt idx="10">
                  <c:v>1890</c:v>
                </c:pt>
                <c:pt idx="11">
                  <c:v>4477</c:v>
                </c:pt>
                <c:pt idx="12">
                  <c:v>263</c:v>
                </c:pt>
                <c:pt idx="13">
                  <c:v>1333</c:v>
                </c:pt>
                <c:pt idx="14">
                  <c:v>284</c:v>
                </c:pt>
                <c:pt idx="15">
                  <c:v>15</c:v>
                </c:pt>
                <c:pt idx="17">
                  <c:v>516</c:v>
                </c:pt>
                <c:pt idx="18">
                  <c:v>1836</c:v>
                </c:pt>
                <c:pt idx="19">
                  <c:v>245</c:v>
                </c:pt>
                <c:pt idx="20">
                  <c:v>159</c:v>
                </c:pt>
                <c:pt idx="21">
                  <c:v>182</c:v>
                </c:pt>
                <c:pt idx="22">
                  <c:v>136</c:v>
                </c:pt>
                <c:pt idx="23">
                  <c:v>285</c:v>
                </c:pt>
                <c:pt idx="24">
                  <c:v>0</c:v>
                </c:pt>
                <c:pt idx="25">
                  <c:v>9</c:v>
                </c:pt>
                <c:pt idx="26">
                  <c:v>2</c:v>
                </c:pt>
                <c:pt idx="27">
                  <c:v>2</c:v>
                </c:pt>
              </c:numCache>
            </c:numRef>
          </c:val>
          <c:extLst>
            <c:ext xmlns:c16="http://schemas.microsoft.com/office/drawing/2014/chart" uri="{C3380CC4-5D6E-409C-BE32-E72D297353CC}">
              <c16:uniqueId val="{00000002-BDEF-42FB-B6DB-E6F58B855C8B}"/>
            </c:ext>
          </c:extLst>
        </c:ser>
        <c:ser>
          <c:idx val="3"/>
          <c:order val="3"/>
          <c:tx>
            <c:strRef>
              <c:f>E!$E$2</c:f>
              <c:strCache>
                <c:ptCount val="1"/>
                <c:pt idx="0">
                  <c:v>Tiešsaites prasmes</c:v>
                </c:pt>
              </c:strCache>
            </c:strRef>
          </c:tx>
          <c:spPr>
            <a:solidFill>
              <a:schemeClr val="accent4"/>
            </a:solidFill>
            <a:ln>
              <a:noFill/>
            </a:ln>
            <a:effectLst/>
          </c:spPr>
          <c:invertIfNegative val="0"/>
          <c:cat>
            <c:strRef>
              <c:f>E!$A$3:$A$30</c:f>
              <c:strCache>
                <c:ptCount val="28"/>
                <c:pt idx="0">
                  <c:v>Francija</c:v>
                </c:pt>
                <c:pt idx="1">
                  <c:v>Lielbritānija</c:v>
                </c:pt>
                <c:pt idx="2">
                  <c:v>Polija</c:v>
                </c:pt>
                <c:pt idx="3">
                  <c:v>Spānija</c:v>
                </c:pt>
                <c:pt idx="4">
                  <c:v>Vācija</c:v>
                </c:pt>
                <c:pt idx="5">
                  <c:v>Itālija</c:v>
                </c:pt>
                <c:pt idx="6">
                  <c:v>Grieķija</c:v>
                </c:pt>
                <c:pt idx="7">
                  <c:v>Čehija</c:v>
                </c:pt>
                <c:pt idx="8">
                  <c:v>Nīderlande</c:v>
                </c:pt>
                <c:pt idx="9">
                  <c:v>Portugāle</c:v>
                </c:pt>
                <c:pt idx="10">
                  <c:v>Austrija</c:v>
                </c:pt>
                <c:pt idx="11">
                  <c:v>Zviedrija</c:v>
                </c:pt>
                <c:pt idx="12">
                  <c:v>Rumānija</c:v>
                </c:pt>
                <c:pt idx="13">
                  <c:v>Igaunija</c:v>
                </c:pt>
                <c:pt idx="14">
                  <c:v>Slovākija</c:v>
                </c:pt>
                <c:pt idx="15">
                  <c:v>Horvātija</c:v>
                </c:pt>
                <c:pt idx="16">
                  <c:v>Ungārija</c:v>
                </c:pt>
                <c:pt idx="17">
                  <c:v>Somija</c:v>
                </c:pt>
                <c:pt idx="18">
                  <c:v>Latvija</c:v>
                </c:pt>
                <c:pt idx="19">
                  <c:v>Bulgārija</c:v>
                </c:pt>
                <c:pt idx="20">
                  <c:v>Īrija</c:v>
                </c:pt>
                <c:pt idx="21">
                  <c:v>Beļģija</c:v>
                </c:pt>
                <c:pt idx="22">
                  <c:v>Lietuva</c:v>
                </c:pt>
                <c:pt idx="23">
                  <c:v>Dānija</c:v>
                </c:pt>
                <c:pt idx="24">
                  <c:v>Ķipra</c:v>
                </c:pt>
                <c:pt idx="25">
                  <c:v>Slovēnija</c:v>
                </c:pt>
                <c:pt idx="26">
                  <c:v>Malta</c:v>
                </c:pt>
                <c:pt idx="27">
                  <c:v>Luksemburga</c:v>
                </c:pt>
              </c:strCache>
            </c:strRef>
          </c:cat>
          <c:val>
            <c:numRef>
              <c:f>E!$E$3:$E$30</c:f>
              <c:numCache>
                <c:formatCode>General</c:formatCode>
                <c:ptCount val="28"/>
                <c:pt idx="0">
                  <c:v>9052</c:v>
                </c:pt>
                <c:pt idx="1">
                  <c:v>1440</c:v>
                </c:pt>
                <c:pt idx="2">
                  <c:v>50006</c:v>
                </c:pt>
                <c:pt idx="3">
                  <c:v>16293</c:v>
                </c:pt>
                <c:pt idx="4">
                  <c:v>2377</c:v>
                </c:pt>
                <c:pt idx="5">
                  <c:v>621</c:v>
                </c:pt>
                <c:pt idx="6">
                  <c:v>3085</c:v>
                </c:pt>
                <c:pt idx="7">
                  <c:v>283</c:v>
                </c:pt>
                <c:pt idx="8">
                  <c:v>1113</c:v>
                </c:pt>
                <c:pt idx="9">
                  <c:v>961</c:v>
                </c:pt>
                <c:pt idx="10">
                  <c:v>289</c:v>
                </c:pt>
                <c:pt idx="11">
                  <c:v>108</c:v>
                </c:pt>
                <c:pt idx="12">
                  <c:v>41</c:v>
                </c:pt>
                <c:pt idx="13">
                  <c:v>825</c:v>
                </c:pt>
                <c:pt idx="14">
                  <c:v>1211</c:v>
                </c:pt>
                <c:pt idx="16">
                  <c:v>87</c:v>
                </c:pt>
                <c:pt idx="17">
                  <c:v>74</c:v>
                </c:pt>
                <c:pt idx="19">
                  <c:v>228</c:v>
                </c:pt>
                <c:pt idx="20">
                  <c:v>10</c:v>
                </c:pt>
                <c:pt idx="21">
                  <c:v>132</c:v>
                </c:pt>
                <c:pt idx="22">
                  <c:v>10</c:v>
                </c:pt>
                <c:pt idx="23">
                  <c:v>259</c:v>
                </c:pt>
                <c:pt idx="24">
                  <c:v>5</c:v>
                </c:pt>
                <c:pt idx="26">
                  <c:v>7</c:v>
                </c:pt>
                <c:pt idx="27">
                  <c:v>214</c:v>
                </c:pt>
              </c:numCache>
            </c:numRef>
          </c:val>
          <c:extLst>
            <c:ext xmlns:c16="http://schemas.microsoft.com/office/drawing/2014/chart" uri="{C3380CC4-5D6E-409C-BE32-E72D297353CC}">
              <c16:uniqueId val="{00000003-BDEF-42FB-B6DB-E6F58B855C8B}"/>
            </c:ext>
          </c:extLst>
        </c:ser>
        <c:dLbls>
          <c:showLegendKey val="0"/>
          <c:showVal val="0"/>
          <c:showCatName val="0"/>
          <c:showSerName val="0"/>
          <c:showPercent val="0"/>
          <c:showBubbleSize val="0"/>
        </c:dLbls>
        <c:gapWidth val="150"/>
        <c:overlap val="100"/>
        <c:axId val="382165208"/>
        <c:axId val="382165536"/>
      </c:barChart>
      <c:catAx>
        <c:axId val="38216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536"/>
        <c:crosses val="autoZero"/>
        <c:auto val="1"/>
        <c:lblAlgn val="ctr"/>
        <c:lblOffset val="100"/>
        <c:noMultiLvlLbl val="0"/>
      </c:catAx>
      <c:valAx>
        <c:axId val="38216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I!$B$2</c:f>
              <c:strCache>
                <c:ptCount val="1"/>
                <c:pt idx="0">
                  <c:v>Transports</c:v>
                </c:pt>
              </c:strCache>
            </c:strRef>
          </c:tx>
          <c:spPr>
            <a:solidFill>
              <a:schemeClr val="accent1"/>
            </a:solidFill>
            <a:ln>
              <a:noFill/>
            </a:ln>
            <a:effectLst/>
          </c:spPr>
          <c:invertIfNegative val="0"/>
          <c:cat>
            <c:strRef>
              <c:f>I!$A$3:$A$30</c:f>
              <c:strCache>
                <c:ptCount val="28"/>
                <c:pt idx="0">
                  <c:v>Francija</c:v>
                </c:pt>
                <c:pt idx="1">
                  <c:v>Lielbritānija</c:v>
                </c:pt>
                <c:pt idx="2">
                  <c:v>Polija</c:v>
                </c:pt>
                <c:pt idx="3">
                  <c:v>Spānija</c:v>
                </c:pt>
                <c:pt idx="4">
                  <c:v>Vācija</c:v>
                </c:pt>
                <c:pt idx="5">
                  <c:v>Zviedrija</c:v>
                </c:pt>
                <c:pt idx="6">
                  <c:v>Itālija</c:v>
                </c:pt>
                <c:pt idx="7">
                  <c:v>Čehija</c:v>
                </c:pt>
                <c:pt idx="8">
                  <c:v>Nīderlande</c:v>
                </c:pt>
                <c:pt idx="9">
                  <c:v>Austrija</c:v>
                </c:pt>
                <c:pt idx="10">
                  <c:v>Grieķija</c:v>
                </c:pt>
                <c:pt idx="11">
                  <c:v>Somija</c:v>
                </c:pt>
                <c:pt idx="12">
                  <c:v>Portugāle</c:v>
                </c:pt>
                <c:pt idx="13">
                  <c:v>Luksemburga</c:v>
                </c:pt>
                <c:pt idx="14">
                  <c:v>Igaunija</c:v>
                </c:pt>
                <c:pt idx="15">
                  <c:v>Dānija</c:v>
                </c:pt>
                <c:pt idx="16">
                  <c:v>Beļģija</c:v>
                </c:pt>
                <c:pt idx="17">
                  <c:v>Latvija</c:v>
                </c:pt>
                <c:pt idx="18">
                  <c:v>Īrija</c:v>
                </c:pt>
                <c:pt idx="19">
                  <c:v>Slovākija</c:v>
                </c:pt>
                <c:pt idx="20">
                  <c:v>Horvātija</c:v>
                </c:pt>
                <c:pt idx="21">
                  <c:v>Rumānija</c:v>
                </c:pt>
                <c:pt idx="22">
                  <c:v>Ungārija</c:v>
                </c:pt>
                <c:pt idx="23">
                  <c:v>Bulgārija</c:v>
                </c:pt>
                <c:pt idx="24">
                  <c:v>Ķipra</c:v>
                </c:pt>
                <c:pt idx="25">
                  <c:v>Lietuva</c:v>
                </c:pt>
                <c:pt idx="26">
                  <c:v>Malta</c:v>
                </c:pt>
                <c:pt idx="27">
                  <c:v>Slovēnija</c:v>
                </c:pt>
              </c:strCache>
            </c:strRef>
          </c:cat>
          <c:val>
            <c:numRef>
              <c:f>I!$B$3:$B$30</c:f>
              <c:numCache>
                <c:formatCode>General</c:formatCode>
                <c:ptCount val="28"/>
                <c:pt idx="0">
                  <c:v>1055</c:v>
                </c:pt>
                <c:pt idx="1">
                  <c:v>1818</c:v>
                </c:pt>
                <c:pt idx="2">
                  <c:v>100</c:v>
                </c:pt>
                <c:pt idx="3">
                  <c:v>118</c:v>
                </c:pt>
                <c:pt idx="4">
                  <c:v>171</c:v>
                </c:pt>
                <c:pt idx="5">
                  <c:v>43</c:v>
                </c:pt>
                <c:pt idx="6">
                  <c:v>76</c:v>
                </c:pt>
                <c:pt idx="7">
                  <c:v>30</c:v>
                </c:pt>
                <c:pt idx="8">
                  <c:v>159</c:v>
                </c:pt>
                <c:pt idx="9">
                  <c:v>24</c:v>
                </c:pt>
                <c:pt idx="10">
                  <c:v>49</c:v>
                </c:pt>
                <c:pt idx="11">
                  <c:v>53</c:v>
                </c:pt>
                <c:pt idx="12">
                  <c:v>39</c:v>
                </c:pt>
                <c:pt idx="13">
                  <c:v>1</c:v>
                </c:pt>
                <c:pt idx="14">
                  <c:v>18</c:v>
                </c:pt>
                <c:pt idx="15">
                  <c:v>33</c:v>
                </c:pt>
                <c:pt idx="16">
                  <c:v>45</c:v>
                </c:pt>
                <c:pt idx="17">
                  <c:v>6</c:v>
                </c:pt>
                <c:pt idx="18">
                  <c:v>50</c:v>
                </c:pt>
                <c:pt idx="19">
                  <c:v>13</c:v>
                </c:pt>
                <c:pt idx="20">
                  <c:v>20</c:v>
                </c:pt>
                <c:pt idx="21">
                  <c:v>35</c:v>
                </c:pt>
                <c:pt idx="22">
                  <c:v>32</c:v>
                </c:pt>
                <c:pt idx="23">
                  <c:v>3</c:v>
                </c:pt>
                <c:pt idx="25">
                  <c:v>10</c:v>
                </c:pt>
                <c:pt idx="26">
                  <c:v>1</c:v>
                </c:pt>
              </c:numCache>
            </c:numRef>
          </c:val>
          <c:extLst>
            <c:ext xmlns:c16="http://schemas.microsoft.com/office/drawing/2014/chart" uri="{C3380CC4-5D6E-409C-BE32-E72D297353CC}">
              <c16:uniqueId val="{00000000-9184-476D-9FC2-89AD2FAFFCD3}"/>
            </c:ext>
          </c:extLst>
        </c:ser>
        <c:ser>
          <c:idx val="1"/>
          <c:order val="1"/>
          <c:tx>
            <c:strRef>
              <c:f>I!$C$2</c:f>
              <c:strCache>
                <c:ptCount val="1"/>
                <c:pt idx="0">
                  <c:v>Viesu izmitināšana</c:v>
                </c:pt>
              </c:strCache>
            </c:strRef>
          </c:tx>
          <c:spPr>
            <a:solidFill>
              <a:schemeClr val="accent2"/>
            </a:solidFill>
            <a:ln>
              <a:noFill/>
            </a:ln>
            <a:effectLst/>
          </c:spPr>
          <c:invertIfNegative val="0"/>
          <c:cat>
            <c:strRef>
              <c:f>I!$A$3:$A$30</c:f>
              <c:strCache>
                <c:ptCount val="28"/>
                <c:pt idx="0">
                  <c:v>Francija</c:v>
                </c:pt>
                <c:pt idx="1">
                  <c:v>Lielbritānija</c:v>
                </c:pt>
                <c:pt idx="2">
                  <c:v>Polija</c:v>
                </c:pt>
                <c:pt idx="3">
                  <c:v>Spānija</c:v>
                </c:pt>
                <c:pt idx="4">
                  <c:v>Vācija</c:v>
                </c:pt>
                <c:pt idx="5">
                  <c:v>Zviedrija</c:v>
                </c:pt>
                <c:pt idx="6">
                  <c:v>Itālija</c:v>
                </c:pt>
                <c:pt idx="7">
                  <c:v>Čehija</c:v>
                </c:pt>
                <c:pt idx="8">
                  <c:v>Nīderlande</c:v>
                </c:pt>
                <c:pt idx="9">
                  <c:v>Austrija</c:v>
                </c:pt>
                <c:pt idx="10">
                  <c:v>Grieķija</c:v>
                </c:pt>
                <c:pt idx="11">
                  <c:v>Somija</c:v>
                </c:pt>
                <c:pt idx="12">
                  <c:v>Portugāle</c:v>
                </c:pt>
                <c:pt idx="13">
                  <c:v>Luksemburga</c:v>
                </c:pt>
                <c:pt idx="14">
                  <c:v>Igaunija</c:v>
                </c:pt>
                <c:pt idx="15">
                  <c:v>Dānija</c:v>
                </c:pt>
                <c:pt idx="16">
                  <c:v>Beļģija</c:v>
                </c:pt>
                <c:pt idx="17">
                  <c:v>Latvija</c:v>
                </c:pt>
                <c:pt idx="18">
                  <c:v>Īrija</c:v>
                </c:pt>
                <c:pt idx="19">
                  <c:v>Slovākija</c:v>
                </c:pt>
                <c:pt idx="20">
                  <c:v>Horvātija</c:v>
                </c:pt>
                <c:pt idx="21">
                  <c:v>Rumānija</c:v>
                </c:pt>
                <c:pt idx="22">
                  <c:v>Ungārija</c:v>
                </c:pt>
                <c:pt idx="23">
                  <c:v>Bulgārija</c:v>
                </c:pt>
                <c:pt idx="24">
                  <c:v>Ķipra</c:v>
                </c:pt>
                <c:pt idx="25">
                  <c:v>Lietuva</c:v>
                </c:pt>
                <c:pt idx="26">
                  <c:v>Malta</c:v>
                </c:pt>
                <c:pt idx="27">
                  <c:v>Slovēnija</c:v>
                </c:pt>
              </c:strCache>
            </c:strRef>
          </c:cat>
          <c:val>
            <c:numRef>
              <c:f>I!$C$3:$C$30</c:f>
              <c:numCache>
                <c:formatCode>General</c:formatCode>
                <c:ptCount val="28"/>
                <c:pt idx="0">
                  <c:v>2210</c:v>
                </c:pt>
                <c:pt idx="1">
                  <c:v>828</c:v>
                </c:pt>
                <c:pt idx="2">
                  <c:v>81</c:v>
                </c:pt>
                <c:pt idx="3">
                  <c:v>1063</c:v>
                </c:pt>
                <c:pt idx="4">
                  <c:v>812</c:v>
                </c:pt>
                <c:pt idx="5">
                  <c:v>123</c:v>
                </c:pt>
                <c:pt idx="6">
                  <c:v>734</c:v>
                </c:pt>
                <c:pt idx="7">
                  <c:v>70</c:v>
                </c:pt>
                <c:pt idx="8">
                  <c:v>233</c:v>
                </c:pt>
                <c:pt idx="9">
                  <c:v>236</c:v>
                </c:pt>
                <c:pt idx="10">
                  <c:v>160</c:v>
                </c:pt>
                <c:pt idx="11">
                  <c:v>161</c:v>
                </c:pt>
                <c:pt idx="12">
                  <c:v>121</c:v>
                </c:pt>
                <c:pt idx="13">
                  <c:v>16</c:v>
                </c:pt>
                <c:pt idx="14">
                  <c:v>11</c:v>
                </c:pt>
                <c:pt idx="15">
                  <c:v>50</c:v>
                </c:pt>
                <c:pt idx="16">
                  <c:v>71</c:v>
                </c:pt>
                <c:pt idx="17">
                  <c:v>6</c:v>
                </c:pt>
                <c:pt idx="18">
                  <c:v>67</c:v>
                </c:pt>
                <c:pt idx="19">
                  <c:v>17</c:v>
                </c:pt>
                <c:pt idx="20">
                  <c:v>85</c:v>
                </c:pt>
                <c:pt idx="21">
                  <c:v>36</c:v>
                </c:pt>
                <c:pt idx="22">
                  <c:v>36</c:v>
                </c:pt>
                <c:pt idx="23">
                  <c:v>29</c:v>
                </c:pt>
                <c:pt idx="24">
                  <c:v>37</c:v>
                </c:pt>
                <c:pt idx="25">
                  <c:v>15</c:v>
                </c:pt>
                <c:pt idx="26">
                  <c:v>16</c:v>
                </c:pt>
                <c:pt idx="27">
                  <c:v>17</c:v>
                </c:pt>
              </c:numCache>
            </c:numRef>
          </c:val>
          <c:extLst>
            <c:ext xmlns:c16="http://schemas.microsoft.com/office/drawing/2014/chart" uri="{C3380CC4-5D6E-409C-BE32-E72D297353CC}">
              <c16:uniqueId val="{00000001-9184-476D-9FC2-89AD2FAFFCD3}"/>
            </c:ext>
          </c:extLst>
        </c:ser>
        <c:ser>
          <c:idx val="2"/>
          <c:order val="2"/>
          <c:tx>
            <c:strRef>
              <c:f>I!$D$2</c:f>
              <c:strCache>
                <c:ptCount val="1"/>
                <c:pt idx="0">
                  <c:v>Finanses</c:v>
                </c:pt>
              </c:strCache>
            </c:strRef>
          </c:tx>
          <c:spPr>
            <a:solidFill>
              <a:schemeClr val="accent3"/>
            </a:solidFill>
            <a:ln>
              <a:noFill/>
            </a:ln>
            <a:effectLst/>
          </c:spPr>
          <c:invertIfNegative val="0"/>
          <c:cat>
            <c:strRef>
              <c:f>I!$A$3:$A$30</c:f>
              <c:strCache>
                <c:ptCount val="28"/>
                <c:pt idx="0">
                  <c:v>Francija</c:v>
                </c:pt>
                <c:pt idx="1">
                  <c:v>Lielbritānija</c:v>
                </c:pt>
                <c:pt idx="2">
                  <c:v>Polija</c:v>
                </c:pt>
                <c:pt idx="3">
                  <c:v>Spānija</c:v>
                </c:pt>
                <c:pt idx="4">
                  <c:v>Vācija</c:v>
                </c:pt>
                <c:pt idx="5">
                  <c:v>Zviedrija</c:v>
                </c:pt>
                <c:pt idx="6">
                  <c:v>Itālija</c:v>
                </c:pt>
                <c:pt idx="7">
                  <c:v>Čehija</c:v>
                </c:pt>
                <c:pt idx="8">
                  <c:v>Nīderlande</c:v>
                </c:pt>
                <c:pt idx="9">
                  <c:v>Austrija</c:v>
                </c:pt>
                <c:pt idx="10">
                  <c:v>Grieķija</c:v>
                </c:pt>
                <c:pt idx="11">
                  <c:v>Somija</c:v>
                </c:pt>
                <c:pt idx="12">
                  <c:v>Portugāle</c:v>
                </c:pt>
                <c:pt idx="13">
                  <c:v>Luksemburga</c:v>
                </c:pt>
                <c:pt idx="14">
                  <c:v>Igaunija</c:v>
                </c:pt>
                <c:pt idx="15">
                  <c:v>Dānija</c:v>
                </c:pt>
                <c:pt idx="16">
                  <c:v>Beļģija</c:v>
                </c:pt>
                <c:pt idx="17">
                  <c:v>Latvija</c:v>
                </c:pt>
                <c:pt idx="18">
                  <c:v>Īrija</c:v>
                </c:pt>
                <c:pt idx="19">
                  <c:v>Slovākija</c:v>
                </c:pt>
                <c:pt idx="20">
                  <c:v>Horvātija</c:v>
                </c:pt>
                <c:pt idx="21">
                  <c:v>Rumānija</c:v>
                </c:pt>
                <c:pt idx="22">
                  <c:v>Ungārija</c:v>
                </c:pt>
                <c:pt idx="23">
                  <c:v>Bulgārija</c:v>
                </c:pt>
                <c:pt idx="24">
                  <c:v>Ķipra</c:v>
                </c:pt>
                <c:pt idx="25">
                  <c:v>Lietuva</c:v>
                </c:pt>
                <c:pt idx="26">
                  <c:v>Malta</c:v>
                </c:pt>
                <c:pt idx="27">
                  <c:v>Slovēnija</c:v>
                </c:pt>
              </c:strCache>
            </c:strRef>
          </c:cat>
          <c:val>
            <c:numRef>
              <c:f>I!$D$3:$D$30</c:f>
              <c:numCache>
                <c:formatCode>General</c:formatCode>
                <c:ptCount val="28"/>
                <c:pt idx="0">
                  <c:v>2214</c:v>
                </c:pt>
                <c:pt idx="1">
                  <c:v>1814</c:v>
                </c:pt>
                <c:pt idx="2">
                  <c:v>285</c:v>
                </c:pt>
                <c:pt idx="3">
                  <c:v>454</c:v>
                </c:pt>
                <c:pt idx="4">
                  <c:v>1325</c:v>
                </c:pt>
                <c:pt idx="5">
                  <c:v>1213</c:v>
                </c:pt>
                <c:pt idx="6">
                  <c:v>526</c:v>
                </c:pt>
                <c:pt idx="7">
                  <c:v>652</c:v>
                </c:pt>
                <c:pt idx="8">
                  <c:v>274</c:v>
                </c:pt>
                <c:pt idx="9">
                  <c:v>248</c:v>
                </c:pt>
                <c:pt idx="11">
                  <c:v>61</c:v>
                </c:pt>
                <c:pt idx="12">
                  <c:v>71</c:v>
                </c:pt>
                <c:pt idx="13">
                  <c:v>2</c:v>
                </c:pt>
                <c:pt idx="14">
                  <c:v>119</c:v>
                </c:pt>
                <c:pt idx="15">
                  <c:v>72</c:v>
                </c:pt>
                <c:pt idx="16">
                  <c:v>41</c:v>
                </c:pt>
                <c:pt idx="17">
                  <c:v>145</c:v>
                </c:pt>
                <c:pt idx="18">
                  <c:v>34</c:v>
                </c:pt>
                <c:pt idx="19">
                  <c:v>25</c:v>
                </c:pt>
                <c:pt idx="20">
                  <c:v>1</c:v>
                </c:pt>
                <c:pt idx="21">
                  <c:v>16</c:v>
                </c:pt>
                <c:pt idx="23">
                  <c:v>13</c:v>
                </c:pt>
                <c:pt idx="25">
                  <c:v>7</c:v>
                </c:pt>
                <c:pt idx="27">
                  <c:v>1</c:v>
                </c:pt>
              </c:numCache>
            </c:numRef>
          </c:val>
          <c:extLst>
            <c:ext xmlns:c16="http://schemas.microsoft.com/office/drawing/2014/chart" uri="{C3380CC4-5D6E-409C-BE32-E72D297353CC}">
              <c16:uniqueId val="{00000002-9184-476D-9FC2-89AD2FAFFCD3}"/>
            </c:ext>
          </c:extLst>
        </c:ser>
        <c:ser>
          <c:idx val="3"/>
          <c:order val="3"/>
          <c:tx>
            <c:strRef>
              <c:f>I!$E$2</c:f>
              <c:strCache>
                <c:ptCount val="1"/>
                <c:pt idx="0">
                  <c:v>Tiešsaites prasmes</c:v>
                </c:pt>
              </c:strCache>
            </c:strRef>
          </c:tx>
          <c:spPr>
            <a:solidFill>
              <a:schemeClr val="accent4"/>
            </a:solidFill>
            <a:ln>
              <a:noFill/>
            </a:ln>
            <a:effectLst/>
          </c:spPr>
          <c:invertIfNegative val="0"/>
          <c:cat>
            <c:strRef>
              <c:f>I!$A$3:$A$30</c:f>
              <c:strCache>
                <c:ptCount val="28"/>
                <c:pt idx="0">
                  <c:v>Francija</c:v>
                </c:pt>
                <c:pt idx="1">
                  <c:v>Lielbritānija</c:v>
                </c:pt>
                <c:pt idx="2">
                  <c:v>Polija</c:v>
                </c:pt>
                <c:pt idx="3">
                  <c:v>Spānija</c:v>
                </c:pt>
                <c:pt idx="4">
                  <c:v>Vācija</c:v>
                </c:pt>
                <c:pt idx="5">
                  <c:v>Zviedrija</c:v>
                </c:pt>
                <c:pt idx="6">
                  <c:v>Itālija</c:v>
                </c:pt>
                <c:pt idx="7">
                  <c:v>Čehija</c:v>
                </c:pt>
                <c:pt idx="8">
                  <c:v>Nīderlande</c:v>
                </c:pt>
                <c:pt idx="9">
                  <c:v>Austrija</c:v>
                </c:pt>
                <c:pt idx="10">
                  <c:v>Grieķija</c:v>
                </c:pt>
                <c:pt idx="11">
                  <c:v>Somija</c:v>
                </c:pt>
                <c:pt idx="12">
                  <c:v>Portugāle</c:v>
                </c:pt>
                <c:pt idx="13">
                  <c:v>Luksemburga</c:v>
                </c:pt>
                <c:pt idx="14">
                  <c:v>Igaunija</c:v>
                </c:pt>
                <c:pt idx="15">
                  <c:v>Dānija</c:v>
                </c:pt>
                <c:pt idx="16">
                  <c:v>Beļģija</c:v>
                </c:pt>
                <c:pt idx="17">
                  <c:v>Latvija</c:v>
                </c:pt>
                <c:pt idx="18">
                  <c:v>Īrija</c:v>
                </c:pt>
                <c:pt idx="19">
                  <c:v>Slovākija</c:v>
                </c:pt>
                <c:pt idx="20">
                  <c:v>Horvātija</c:v>
                </c:pt>
                <c:pt idx="21">
                  <c:v>Rumānija</c:v>
                </c:pt>
                <c:pt idx="22">
                  <c:v>Ungārija</c:v>
                </c:pt>
                <c:pt idx="23">
                  <c:v>Bulgārija</c:v>
                </c:pt>
                <c:pt idx="24">
                  <c:v>Ķipra</c:v>
                </c:pt>
                <c:pt idx="25">
                  <c:v>Lietuva</c:v>
                </c:pt>
                <c:pt idx="26">
                  <c:v>Malta</c:v>
                </c:pt>
                <c:pt idx="27">
                  <c:v>Slovēnija</c:v>
                </c:pt>
              </c:strCache>
            </c:strRef>
          </c:cat>
          <c:val>
            <c:numRef>
              <c:f>I!$E$3:$E$30</c:f>
              <c:numCache>
                <c:formatCode>General</c:formatCode>
                <c:ptCount val="28"/>
                <c:pt idx="0">
                  <c:v>1081</c:v>
                </c:pt>
                <c:pt idx="1">
                  <c:v>178</c:v>
                </c:pt>
                <c:pt idx="2">
                  <c:v>2270</c:v>
                </c:pt>
                <c:pt idx="3">
                  <c:v>1088</c:v>
                </c:pt>
                <c:pt idx="4">
                  <c:v>216</c:v>
                </c:pt>
                <c:pt idx="5">
                  <c:v>13</c:v>
                </c:pt>
                <c:pt idx="6">
                  <c:v>46</c:v>
                </c:pt>
                <c:pt idx="7">
                  <c:v>16</c:v>
                </c:pt>
                <c:pt idx="8">
                  <c:v>98</c:v>
                </c:pt>
                <c:pt idx="9">
                  <c:v>27</c:v>
                </c:pt>
                <c:pt idx="10">
                  <c:v>133</c:v>
                </c:pt>
                <c:pt idx="11">
                  <c:v>7</c:v>
                </c:pt>
                <c:pt idx="12">
                  <c:v>35</c:v>
                </c:pt>
                <c:pt idx="13">
                  <c:v>214</c:v>
                </c:pt>
                <c:pt idx="14">
                  <c:v>37</c:v>
                </c:pt>
                <c:pt idx="15">
                  <c:v>27</c:v>
                </c:pt>
                <c:pt idx="16">
                  <c:v>15</c:v>
                </c:pt>
                <c:pt idx="18">
                  <c:v>2</c:v>
                </c:pt>
                <c:pt idx="19">
                  <c:v>66</c:v>
                </c:pt>
                <c:pt idx="21">
                  <c:v>1</c:v>
                </c:pt>
                <c:pt idx="22">
                  <c:v>3</c:v>
                </c:pt>
                <c:pt idx="23">
                  <c:v>5</c:v>
                </c:pt>
                <c:pt idx="26">
                  <c:v>1</c:v>
                </c:pt>
              </c:numCache>
            </c:numRef>
          </c:val>
          <c:extLst>
            <c:ext xmlns:c16="http://schemas.microsoft.com/office/drawing/2014/chart" uri="{C3380CC4-5D6E-409C-BE32-E72D297353CC}">
              <c16:uniqueId val="{00000003-9184-476D-9FC2-89AD2FAFFCD3}"/>
            </c:ext>
          </c:extLst>
        </c:ser>
        <c:dLbls>
          <c:showLegendKey val="0"/>
          <c:showVal val="0"/>
          <c:showCatName val="0"/>
          <c:showSerName val="0"/>
          <c:showPercent val="0"/>
          <c:showBubbleSize val="0"/>
        </c:dLbls>
        <c:gapWidth val="150"/>
        <c:overlap val="100"/>
        <c:axId val="382165208"/>
        <c:axId val="382165536"/>
      </c:barChart>
      <c:catAx>
        <c:axId val="38216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536"/>
        <c:crosses val="autoZero"/>
        <c:auto val="1"/>
        <c:lblAlgn val="ctr"/>
        <c:lblOffset val="100"/>
        <c:noMultiLvlLbl val="0"/>
      </c:catAx>
      <c:valAx>
        <c:axId val="38216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0DD4-5795-4A30-901C-10C750FC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36101</Words>
  <Characters>20579</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Par sadarbības ekonomikas nozares pakalpojumu regulējumu</vt:lpstr>
    </vt:vector>
  </TitlesOfParts>
  <Company>Ekonomikas ministrija</Company>
  <LinksUpToDate>false</LinksUpToDate>
  <CharactersWithSpaces>56567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sadarbības ekonomikas nozares pakalpojumu regulējumu</dc:title>
  <dc:subject>Konceptuāls ziņojums</dc:subject>
  <dc:creator>Ilze Baltābola;Māris Jurušs</dc:creator>
  <cp:keywords>Konceptuāls ziņojums</cp:keywords>
  <dc:description/>
  <cp:lastModifiedBy>Māris Jurušs</cp:lastModifiedBy>
  <cp:revision>4</cp:revision>
  <dcterms:created xsi:type="dcterms:W3CDTF">2019-01-03T13:28:00Z</dcterms:created>
  <dcterms:modified xsi:type="dcterms:W3CDTF">2019-04-03T12:15:00Z</dcterms:modified>
</cp:coreProperties>
</file>