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FF" w:rsidRPr="00783018" w:rsidRDefault="00FD229D" w:rsidP="00134F13">
      <w:pPr>
        <w:shd w:val="clear" w:color="auto" w:fill="FFFFFF"/>
        <w:spacing w:after="120"/>
        <w:jc w:val="center"/>
        <w:rPr>
          <w:b/>
          <w:color w:val="auto"/>
        </w:rPr>
      </w:pPr>
      <w:bookmarkStart w:id="0" w:name="_gjdgxs" w:colFirst="0" w:colLast="0"/>
      <w:bookmarkEnd w:id="0"/>
      <w:r w:rsidRPr="00783018">
        <w:rPr>
          <w:b/>
          <w:color w:val="auto"/>
        </w:rPr>
        <w:t>Ministru kabineta noteikumu projekta</w:t>
      </w:r>
      <w:r w:rsidR="006420D1" w:rsidRPr="00783018">
        <w:rPr>
          <w:b/>
          <w:color w:val="auto"/>
        </w:rPr>
        <w:t xml:space="preserve"> „</w:t>
      </w:r>
      <w:r w:rsidR="009F393D" w:rsidRPr="00783018">
        <w:rPr>
          <w:b/>
          <w:color w:val="auto"/>
        </w:rPr>
        <w:t>Kārtība, kādā Valsts policija klasificē šaujamieročus un</w:t>
      </w:r>
      <w:r w:rsidR="00BA39D7" w:rsidRPr="00783018">
        <w:rPr>
          <w:b/>
          <w:color w:val="auto"/>
        </w:rPr>
        <w:t xml:space="preserve"> to</w:t>
      </w:r>
      <w:r w:rsidR="009F393D" w:rsidRPr="00783018">
        <w:rPr>
          <w:b/>
          <w:color w:val="auto"/>
        </w:rPr>
        <w:t xml:space="preserve"> munīciju”</w:t>
      </w:r>
      <w:r w:rsidR="006420D1" w:rsidRPr="00783018">
        <w:rPr>
          <w:b/>
          <w:color w:val="auto"/>
        </w:rPr>
        <w:t xml:space="preserve"> </w:t>
      </w:r>
      <w:r w:rsidR="00E203EE" w:rsidRPr="00783018">
        <w:rPr>
          <w:b/>
          <w:color w:val="auto"/>
        </w:rPr>
        <w:t>sākotnējās ietekmes novērtējuma ziņojums (anotācija)</w:t>
      </w:r>
    </w:p>
    <w:p w:rsidR="000C7EFF" w:rsidRPr="00783018" w:rsidRDefault="000C7EFF">
      <w:pPr>
        <w:shd w:val="clear" w:color="auto" w:fill="FFFFFF"/>
        <w:ind w:firstLine="300"/>
        <w:jc w:val="center"/>
        <w:rPr>
          <w:color w:val="auto"/>
        </w:rPr>
      </w:pPr>
    </w:p>
    <w:tbl>
      <w:tblPr>
        <w:tblStyle w:val="a"/>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237"/>
      </w:tblGrid>
      <w:tr w:rsidR="00783018" w:rsidRPr="00783018" w:rsidTr="00F32877">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0C7EFF" w:rsidRPr="00783018" w:rsidRDefault="00E203EE">
            <w:pPr>
              <w:jc w:val="center"/>
              <w:rPr>
                <w:rFonts w:ascii="Times New Roman" w:hAnsi="Times New Roman" w:cs="Times New Roman"/>
                <w:b/>
                <w:color w:val="auto"/>
              </w:rPr>
            </w:pPr>
            <w:r w:rsidRPr="00783018">
              <w:rPr>
                <w:rFonts w:ascii="Times New Roman" w:hAnsi="Times New Roman" w:cs="Times New Roman"/>
                <w:b/>
                <w:color w:val="auto"/>
              </w:rPr>
              <w:t xml:space="preserve">Tiesību akta projekta anotācijas kopsavilkums </w:t>
            </w:r>
          </w:p>
        </w:tc>
      </w:tr>
      <w:tr w:rsidR="00783018" w:rsidRPr="00783018" w:rsidTr="00F32877">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0C7EFF" w:rsidRPr="00783018" w:rsidRDefault="00E203EE">
            <w:pPr>
              <w:rPr>
                <w:rFonts w:ascii="Times New Roman" w:hAnsi="Times New Roman" w:cs="Times New Roman"/>
                <w:color w:val="auto"/>
              </w:rPr>
            </w:pPr>
            <w:r w:rsidRPr="00783018">
              <w:rPr>
                <w:rFonts w:ascii="Times New Roman" w:hAnsi="Times New Roman" w:cs="Times New Roman"/>
                <w:color w:val="auto"/>
              </w:rPr>
              <w:t xml:space="preserve">Mērķis, risinājums un projekta spēkā stāšanās laiks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0C7EFF" w:rsidRPr="00783018" w:rsidRDefault="005377FA" w:rsidP="00FC6385">
            <w:pPr>
              <w:ind w:firstLine="317"/>
              <w:jc w:val="both"/>
              <w:rPr>
                <w:rFonts w:ascii="Times New Roman" w:hAnsi="Times New Roman" w:cs="Times New Roman"/>
                <w:color w:val="auto"/>
              </w:rPr>
            </w:pPr>
            <w:r w:rsidRPr="00783018">
              <w:rPr>
                <w:rFonts w:ascii="Times New Roman" w:hAnsi="Times New Roman" w:cs="Times New Roman"/>
                <w:color w:val="auto"/>
              </w:rPr>
              <w:t>Ieroču aprites likuma</w:t>
            </w:r>
            <w:r w:rsidR="00CC6C3C" w:rsidRPr="00783018">
              <w:rPr>
                <w:rFonts w:ascii="Times New Roman" w:hAnsi="Times New Roman" w:cs="Times New Roman"/>
                <w:color w:val="auto"/>
              </w:rPr>
              <w:t xml:space="preserve"> </w:t>
            </w:r>
            <w:r w:rsidR="00B249F9" w:rsidRPr="00783018">
              <w:rPr>
                <w:rFonts w:ascii="Times New Roman" w:hAnsi="Times New Roman" w:cs="Times New Roman"/>
                <w:color w:val="auto"/>
              </w:rPr>
              <w:t>(turpmāk - Likums)</w:t>
            </w:r>
            <w:r w:rsidR="00D16BA4" w:rsidRPr="00783018">
              <w:rPr>
                <w:rFonts w:ascii="Times New Roman" w:hAnsi="Times New Roman" w:cs="Times New Roman"/>
                <w:color w:val="auto"/>
              </w:rPr>
              <w:t xml:space="preserve"> 4.panta ceturtā</w:t>
            </w:r>
            <w:r w:rsidR="00E577BB" w:rsidRPr="00783018">
              <w:rPr>
                <w:rFonts w:ascii="Times New Roman" w:hAnsi="Times New Roman" w:cs="Times New Roman"/>
                <w:color w:val="auto"/>
              </w:rPr>
              <w:t xml:space="preserve"> daļa </w:t>
            </w:r>
            <w:r w:rsidR="00DF414B" w:rsidRPr="00783018">
              <w:rPr>
                <w:rFonts w:ascii="Times New Roman" w:hAnsi="Times New Roman" w:cs="Times New Roman"/>
                <w:color w:val="auto"/>
              </w:rPr>
              <w:t>paredz deleģējumu Ministru kabinetam noteikt kārtību, kādā Valsts policija klasificē šaujamieročus un</w:t>
            </w:r>
            <w:r w:rsidR="00BA39D7" w:rsidRPr="00783018">
              <w:rPr>
                <w:rFonts w:ascii="Times New Roman" w:hAnsi="Times New Roman" w:cs="Times New Roman"/>
                <w:color w:val="auto"/>
              </w:rPr>
              <w:t xml:space="preserve"> to</w:t>
            </w:r>
            <w:r w:rsidR="00DF414B" w:rsidRPr="00783018">
              <w:rPr>
                <w:rFonts w:ascii="Times New Roman" w:hAnsi="Times New Roman" w:cs="Times New Roman"/>
                <w:color w:val="auto"/>
              </w:rPr>
              <w:t xml:space="preserve"> munīciju. Ņemot vērā minēto, tika izstrādāts Ministru kabineta noteikumu projekts “Kārtība, kādā Valsts policija klasificē šaujamieročus un</w:t>
            </w:r>
            <w:r w:rsidR="00233CBB" w:rsidRPr="00783018">
              <w:rPr>
                <w:rFonts w:ascii="Times New Roman" w:hAnsi="Times New Roman" w:cs="Times New Roman"/>
                <w:color w:val="auto"/>
              </w:rPr>
              <w:t xml:space="preserve"> to</w:t>
            </w:r>
            <w:r w:rsidR="00DF414B" w:rsidRPr="00783018">
              <w:rPr>
                <w:rFonts w:ascii="Times New Roman" w:hAnsi="Times New Roman" w:cs="Times New Roman"/>
                <w:color w:val="auto"/>
              </w:rPr>
              <w:t xml:space="preserve"> munīciju”</w:t>
            </w:r>
            <w:r w:rsidR="00BF28DB" w:rsidRPr="00783018">
              <w:rPr>
                <w:rFonts w:ascii="Times New Roman" w:hAnsi="Times New Roman" w:cs="Times New Roman"/>
                <w:color w:val="auto"/>
              </w:rPr>
              <w:t xml:space="preserve"> (turpmāk- Projekts)</w:t>
            </w:r>
            <w:r w:rsidR="00DF414B" w:rsidRPr="00783018">
              <w:rPr>
                <w:rFonts w:ascii="Times New Roman" w:hAnsi="Times New Roman" w:cs="Times New Roman"/>
                <w:color w:val="auto"/>
              </w:rPr>
              <w:t>.</w:t>
            </w:r>
          </w:p>
        </w:tc>
      </w:tr>
    </w:tbl>
    <w:p w:rsidR="000C7EFF" w:rsidRPr="00783018" w:rsidRDefault="000C7EFF">
      <w:pPr>
        <w:shd w:val="clear" w:color="auto" w:fill="FFFFFF"/>
        <w:ind w:firstLine="300"/>
        <w:jc w:val="center"/>
        <w:rPr>
          <w:color w:val="auto"/>
        </w:rPr>
      </w:pPr>
    </w:p>
    <w:tbl>
      <w:tblPr>
        <w:tblStyle w:val="a0"/>
        <w:tblW w:w="9460"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6348"/>
      </w:tblGrid>
      <w:tr w:rsidR="00783018" w:rsidRPr="00783018" w:rsidTr="00590CB0">
        <w:trPr>
          <w:trHeight w:val="240"/>
        </w:trPr>
        <w:tc>
          <w:tcPr>
            <w:tcW w:w="9460" w:type="dxa"/>
            <w:gridSpan w:val="3"/>
            <w:tcBorders>
              <w:top w:val="single" w:sz="6" w:space="0" w:color="414142"/>
              <w:left w:val="single" w:sz="6" w:space="0" w:color="414142"/>
              <w:bottom w:val="single" w:sz="6" w:space="0" w:color="414142"/>
              <w:right w:val="single" w:sz="6" w:space="0" w:color="414142"/>
            </w:tcBorders>
            <w:vAlign w:val="center"/>
          </w:tcPr>
          <w:p w:rsidR="000C7EFF" w:rsidRPr="00783018" w:rsidRDefault="00E203EE">
            <w:pPr>
              <w:jc w:val="center"/>
              <w:rPr>
                <w:b/>
                <w:color w:val="auto"/>
              </w:rPr>
            </w:pPr>
            <w:r w:rsidRPr="00783018">
              <w:rPr>
                <w:b/>
                <w:color w:val="auto"/>
              </w:rPr>
              <w:t>I. Tiesību akta projekta izstrādes nepieciešamība</w:t>
            </w:r>
          </w:p>
        </w:tc>
      </w:tr>
      <w:tr w:rsidR="00783018" w:rsidRPr="00783018" w:rsidTr="00590CB0">
        <w:trPr>
          <w:trHeight w:val="180"/>
        </w:trPr>
        <w:tc>
          <w:tcPr>
            <w:tcW w:w="520" w:type="dxa"/>
            <w:tcBorders>
              <w:top w:val="single" w:sz="6" w:space="0" w:color="414142"/>
              <w:left w:val="single" w:sz="6" w:space="0" w:color="414142"/>
              <w:bottom w:val="single" w:sz="6" w:space="0" w:color="414142"/>
              <w:right w:val="single" w:sz="6" w:space="0" w:color="414142"/>
            </w:tcBorders>
          </w:tcPr>
          <w:p w:rsidR="000C7EFF" w:rsidRPr="00783018" w:rsidRDefault="00E203EE">
            <w:pPr>
              <w:jc w:val="center"/>
              <w:rPr>
                <w:color w:val="auto"/>
              </w:rPr>
            </w:pPr>
            <w:r w:rsidRPr="00783018">
              <w:rPr>
                <w:color w:val="auto"/>
              </w:rPr>
              <w:t>1.</w:t>
            </w:r>
          </w:p>
        </w:tc>
        <w:tc>
          <w:tcPr>
            <w:tcW w:w="2592"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Pamatojums</w:t>
            </w:r>
          </w:p>
        </w:tc>
        <w:tc>
          <w:tcPr>
            <w:tcW w:w="6348" w:type="dxa"/>
            <w:tcBorders>
              <w:top w:val="single" w:sz="6" w:space="0" w:color="414142"/>
              <w:left w:val="single" w:sz="6" w:space="0" w:color="414142"/>
              <w:bottom w:val="single" w:sz="6" w:space="0" w:color="414142"/>
              <w:right w:val="single" w:sz="6" w:space="0" w:color="414142"/>
            </w:tcBorders>
          </w:tcPr>
          <w:p w:rsidR="000C7EFF" w:rsidRPr="00783018" w:rsidRDefault="00DF414B" w:rsidP="00411FA0">
            <w:pPr>
              <w:jc w:val="both"/>
              <w:rPr>
                <w:color w:val="auto"/>
              </w:rPr>
            </w:pPr>
            <w:r w:rsidRPr="00783018">
              <w:rPr>
                <w:color w:val="auto"/>
              </w:rPr>
              <w:t xml:space="preserve"> Likumprojekta </w:t>
            </w:r>
            <w:r w:rsidR="00411FA0" w:rsidRPr="00783018">
              <w:rPr>
                <w:color w:val="auto"/>
              </w:rPr>
              <w:t>4. panta</w:t>
            </w:r>
            <w:r w:rsidR="00F45EB2" w:rsidRPr="00783018">
              <w:rPr>
                <w:color w:val="auto"/>
              </w:rPr>
              <w:t xml:space="preserve"> ceturtā</w:t>
            </w:r>
            <w:r w:rsidR="00411FA0" w:rsidRPr="00783018">
              <w:rPr>
                <w:color w:val="auto"/>
              </w:rPr>
              <w:t xml:space="preserve"> daļa</w:t>
            </w:r>
            <w:r w:rsidR="00A84018" w:rsidRPr="00783018">
              <w:rPr>
                <w:color w:val="auto"/>
              </w:rPr>
              <w:t>.</w:t>
            </w:r>
          </w:p>
        </w:tc>
      </w:tr>
      <w:tr w:rsidR="00783018" w:rsidRPr="00783018" w:rsidTr="00590CB0">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783018" w:rsidRDefault="00E203EE">
            <w:pPr>
              <w:jc w:val="center"/>
              <w:rPr>
                <w:color w:val="auto"/>
              </w:rPr>
            </w:pPr>
            <w:r w:rsidRPr="00783018">
              <w:rPr>
                <w:color w:val="auto"/>
              </w:rPr>
              <w:t>2.</w:t>
            </w:r>
          </w:p>
        </w:tc>
        <w:tc>
          <w:tcPr>
            <w:tcW w:w="2592"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Pašreizējā situācija un problēmas, kuru risināšanai tiesību akta projekts izstrādāts, tiesiskā regulējuma mērķis un būtība</w:t>
            </w:r>
          </w:p>
        </w:tc>
        <w:tc>
          <w:tcPr>
            <w:tcW w:w="6348" w:type="dxa"/>
            <w:tcBorders>
              <w:top w:val="single" w:sz="6" w:space="0" w:color="414142"/>
              <w:left w:val="single" w:sz="6" w:space="0" w:color="414142"/>
              <w:bottom w:val="single" w:sz="6" w:space="0" w:color="414142"/>
              <w:right w:val="single" w:sz="6" w:space="0" w:color="414142"/>
            </w:tcBorders>
          </w:tcPr>
          <w:p w:rsidR="00415C8B" w:rsidRPr="00783018" w:rsidRDefault="00BF28DB" w:rsidP="00B249F9">
            <w:pPr>
              <w:ind w:firstLine="364"/>
              <w:jc w:val="both"/>
              <w:rPr>
                <w:color w:val="auto"/>
              </w:rPr>
            </w:pPr>
            <w:r w:rsidRPr="00783018">
              <w:rPr>
                <w:color w:val="auto"/>
              </w:rPr>
              <w:t>Projekts</w:t>
            </w:r>
            <w:r w:rsidR="00D26132" w:rsidRPr="00783018">
              <w:rPr>
                <w:color w:val="auto"/>
              </w:rPr>
              <w:t xml:space="preserve"> paredz </w:t>
            </w:r>
            <w:r w:rsidR="003F3E12" w:rsidRPr="00783018">
              <w:rPr>
                <w:color w:val="auto"/>
              </w:rPr>
              <w:t xml:space="preserve">noteikt jaunu </w:t>
            </w:r>
            <w:r w:rsidR="00D26132" w:rsidRPr="00783018">
              <w:rPr>
                <w:color w:val="auto"/>
              </w:rPr>
              <w:t>kārtību, kādā Valsts p</w:t>
            </w:r>
            <w:r w:rsidRPr="00783018">
              <w:rPr>
                <w:color w:val="auto"/>
              </w:rPr>
              <w:t>olicija klasificē šaujamieročus un munīciju.</w:t>
            </w:r>
            <w:r w:rsidR="00A84018" w:rsidRPr="00783018">
              <w:rPr>
                <w:color w:val="auto"/>
              </w:rPr>
              <w:t xml:space="preserve"> Šaujamieroču un munīcijas klasifikācija</w:t>
            </w:r>
            <w:r w:rsidR="00411FA0" w:rsidRPr="00783018">
              <w:rPr>
                <w:color w:val="auto"/>
              </w:rPr>
              <w:t xml:space="preserve"> tiks veikta atbilstoši </w:t>
            </w:r>
            <w:r w:rsidR="00B249F9" w:rsidRPr="00783018">
              <w:rPr>
                <w:color w:val="auto"/>
              </w:rPr>
              <w:t xml:space="preserve">Likumā noteiktajiem nosacījumiem, proti, </w:t>
            </w:r>
            <w:r w:rsidR="00411FA0" w:rsidRPr="00783018">
              <w:rPr>
                <w:color w:val="auto"/>
              </w:rPr>
              <w:t>atbilstoši</w:t>
            </w:r>
            <w:r w:rsidR="008815BC" w:rsidRPr="00783018">
              <w:rPr>
                <w:color w:val="auto"/>
              </w:rPr>
              <w:t xml:space="preserve"> </w:t>
            </w:r>
            <w:r w:rsidR="00B249F9" w:rsidRPr="00783018">
              <w:rPr>
                <w:color w:val="auto"/>
              </w:rPr>
              <w:t>Likuma 5., 7., 8., 9., 10. un 11.pantā</w:t>
            </w:r>
            <w:r w:rsidR="009A4569" w:rsidRPr="00783018">
              <w:rPr>
                <w:color w:val="auto"/>
              </w:rPr>
              <w:t xml:space="preserve"> noteiktajām</w:t>
            </w:r>
            <w:r w:rsidR="00442ED7" w:rsidRPr="00783018">
              <w:rPr>
                <w:color w:val="auto"/>
              </w:rPr>
              <w:t xml:space="preserve"> </w:t>
            </w:r>
            <w:r w:rsidR="00B249F9" w:rsidRPr="00783018">
              <w:rPr>
                <w:color w:val="auto"/>
              </w:rPr>
              <w:t>prasībām, ievērojot Likum</w:t>
            </w:r>
            <w:r w:rsidR="00442ED7" w:rsidRPr="00783018">
              <w:rPr>
                <w:color w:val="auto"/>
              </w:rPr>
              <w:t>ā nostiprinātus aizliegumus un ierobežojumus šaujamieroču un</w:t>
            </w:r>
            <w:r w:rsidR="00622D5B" w:rsidRPr="00783018">
              <w:rPr>
                <w:color w:val="auto"/>
              </w:rPr>
              <w:t xml:space="preserve"> to munīcijas apritē Latvijā, kā arī ievērojot </w:t>
            </w:r>
            <w:r w:rsidR="005053C3" w:rsidRPr="00783018">
              <w:rPr>
                <w:color w:val="auto"/>
              </w:rPr>
              <w:t xml:space="preserve"> </w:t>
            </w:r>
            <w:r w:rsidR="00DC1C6A" w:rsidRPr="00783018">
              <w:rPr>
                <w:color w:val="auto"/>
              </w:rPr>
              <w:t>Eiropas Parlamenta un Padomes 2017. gada 17. maija Direktīvas (ES) 2017/853, ar ko groza Padomes Direktīvu 91/477/EEK par ieroču iegādes un glabāšanas kontroli  preambulas 23.punktā noteikto, to, kas tikai tas vien, ka ir iespēja garstobra šaujamieročiem piestiprināt lādējamo ierīci ar tilpumu, kas pārsniedz 10 patronas, un īsstobra šaujamieročiem – 20 patronas, nenosaka šaujamieroču klasifikāciju konkrētā kategorijā.</w:t>
            </w:r>
          </w:p>
          <w:p w:rsidR="005053C3" w:rsidRPr="00783018" w:rsidRDefault="005053C3" w:rsidP="005053C3">
            <w:pPr>
              <w:ind w:firstLine="364"/>
              <w:jc w:val="both"/>
              <w:rPr>
                <w:color w:val="auto"/>
              </w:rPr>
            </w:pPr>
            <w:r w:rsidRPr="00783018">
              <w:rPr>
                <w:color w:val="auto"/>
              </w:rPr>
              <w:t xml:space="preserve">Projekts paredz, ka </w:t>
            </w:r>
            <w:r w:rsidR="0020734A" w:rsidRPr="00783018">
              <w:rPr>
                <w:color w:val="auto"/>
              </w:rPr>
              <w:t>šaujamieročus un munīciju klasificē Valsts policijas priekšnieka izveidota Šaujamieroču un munīcijas klasificēšanas komisija (turpmāk – Komisija)</w:t>
            </w:r>
            <w:r w:rsidR="00D810D2" w:rsidRPr="00783018">
              <w:rPr>
                <w:color w:val="auto"/>
              </w:rPr>
              <w:t xml:space="preserve"> vismaz trīs amatpersonu sastāvā</w:t>
            </w:r>
            <w:r w:rsidR="0020734A" w:rsidRPr="00783018">
              <w:rPr>
                <w:color w:val="auto"/>
              </w:rPr>
              <w:t xml:space="preserve">. Valsts policijas priekšnieks Komisijā iekļauj speciālistus, kas ir kompetenti </w:t>
            </w:r>
            <w:r w:rsidR="00F520BA" w:rsidRPr="00783018">
              <w:rPr>
                <w:color w:val="auto"/>
              </w:rPr>
              <w:t xml:space="preserve">ieroču </w:t>
            </w:r>
            <w:r w:rsidR="0020734A" w:rsidRPr="00783018">
              <w:rPr>
                <w:color w:val="auto"/>
              </w:rPr>
              <w:t xml:space="preserve">uzbūves, darbības un aprites jomā. </w:t>
            </w:r>
          </w:p>
          <w:p w:rsidR="00576B90" w:rsidRPr="00783018" w:rsidRDefault="00AE3870" w:rsidP="00576B90">
            <w:pPr>
              <w:ind w:firstLine="364"/>
              <w:jc w:val="both"/>
              <w:rPr>
                <w:color w:val="auto"/>
              </w:rPr>
            </w:pPr>
            <w:r w:rsidRPr="00783018">
              <w:rPr>
                <w:color w:val="auto"/>
              </w:rPr>
              <w:t>Lai pilnveidotu Valsts policijas darbu šaujamieroču un to munīcijas klasificēšanā, Projekta 2.punkts paredz, ka Komisija ieroču klasificēšanai var pieaicināt valsts institūciju, sporta organizāciju, ieroču komersantu un nevalstisko organizāciju pārstāvjus</w:t>
            </w:r>
            <w:r w:rsidR="00D572D5" w:rsidRPr="00783018">
              <w:rPr>
                <w:color w:val="auto"/>
              </w:rPr>
              <w:t xml:space="preserve"> ar</w:t>
            </w:r>
            <w:r w:rsidRPr="00783018">
              <w:rPr>
                <w:color w:val="auto"/>
              </w:rPr>
              <w:t xml:space="preserve"> </w:t>
            </w:r>
            <w:r w:rsidR="00D572D5" w:rsidRPr="00783018">
              <w:rPr>
                <w:color w:val="auto"/>
              </w:rPr>
              <w:t>padomdevēju tiesībām</w:t>
            </w:r>
            <w:r w:rsidR="00F520BA" w:rsidRPr="00783018">
              <w:rPr>
                <w:color w:val="auto"/>
              </w:rPr>
              <w:t xml:space="preserve">. Komisijas pieaicinās valsts institūciju, sporta organizāciju, ieroču komersantu un nevalstisko organizāciju pārstāvjus gadījumos kad ir pamats uzskatīt, ka šaujamierocis </w:t>
            </w:r>
            <w:r w:rsidR="00402613" w:rsidRPr="00783018">
              <w:rPr>
                <w:color w:val="auto"/>
              </w:rPr>
              <w:t>vai</w:t>
            </w:r>
            <w:r w:rsidR="00F520BA" w:rsidRPr="00783018">
              <w:rPr>
                <w:color w:val="auto"/>
              </w:rPr>
              <w:t xml:space="preserve"> šaujamieroča munīcija neatbilst attiecīgajam lietojuma veidam. </w:t>
            </w:r>
            <w:r w:rsidR="00576B90" w:rsidRPr="00783018">
              <w:rPr>
                <w:color w:val="auto"/>
              </w:rPr>
              <w:t xml:space="preserve">Piemēram, Komisija pieaicinās Latvijā atzītas sporta federācijas pārstāvjus, lai saņemtu padomu par klasificējama šaujamieroča atbilstību tās atzītas šaušanas disciplīnai un tās izvirzītām prasībām šaujamierocim. </w:t>
            </w:r>
          </w:p>
          <w:p w:rsidR="00A9444F" w:rsidRPr="00783018" w:rsidRDefault="00442ED7" w:rsidP="009A4569">
            <w:pPr>
              <w:ind w:firstLine="364"/>
              <w:jc w:val="both"/>
              <w:rPr>
                <w:color w:val="auto"/>
              </w:rPr>
            </w:pPr>
            <w:r w:rsidRPr="00783018">
              <w:rPr>
                <w:color w:val="auto"/>
              </w:rPr>
              <w:t xml:space="preserve">Projekts paredz iespēju Komisijai </w:t>
            </w:r>
            <w:r w:rsidR="006E21A6" w:rsidRPr="00783018">
              <w:rPr>
                <w:color w:val="auto"/>
              </w:rPr>
              <w:t>gadījumos</w:t>
            </w:r>
            <w:r w:rsidR="00600499" w:rsidRPr="00783018">
              <w:rPr>
                <w:color w:val="auto"/>
              </w:rPr>
              <w:t>,</w:t>
            </w:r>
            <w:r w:rsidR="00D810D2" w:rsidRPr="00783018">
              <w:rPr>
                <w:color w:val="auto"/>
              </w:rPr>
              <w:t xml:space="preserve"> kad ir pamats uzskatīt, ka šaujamierocis vai šaujamieroča munīcija neatbilst attiecīgajam lietojuma veidam,</w:t>
            </w:r>
            <w:r w:rsidR="00B418BA" w:rsidRPr="00783018">
              <w:rPr>
                <w:color w:val="auto"/>
              </w:rPr>
              <w:t xml:space="preserve"> pieprasīt atzinumu no</w:t>
            </w:r>
            <w:r w:rsidR="006E40F1" w:rsidRPr="00783018">
              <w:rPr>
                <w:color w:val="auto"/>
              </w:rPr>
              <w:t xml:space="preserve"> Zemkopības ministrijai</w:t>
            </w:r>
            <w:r w:rsidRPr="00783018">
              <w:rPr>
                <w:color w:val="auto"/>
              </w:rPr>
              <w:t xml:space="preserve"> – par šaujamieroču un munīcij</w:t>
            </w:r>
            <w:r w:rsidR="009A4569" w:rsidRPr="00783018">
              <w:rPr>
                <w:color w:val="auto"/>
              </w:rPr>
              <w:t>as atbilstību medību lietojumam,</w:t>
            </w:r>
            <w:r w:rsidRPr="00783018">
              <w:rPr>
                <w:color w:val="auto"/>
              </w:rPr>
              <w:t xml:space="preserve"> </w:t>
            </w:r>
            <w:r w:rsidR="00366026" w:rsidRPr="00783018">
              <w:rPr>
                <w:color w:val="auto"/>
              </w:rPr>
              <w:t>Latvijas Sporta federāciju padomei</w:t>
            </w:r>
            <w:r w:rsidR="00D810D2" w:rsidRPr="00783018">
              <w:rPr>
                <w:color w:val="auto"/>
              </w:rPr>
              <w:t xml:space="preserve"> </w:t>
            </w:r>
            <w:r w:rsidRPr="00783018">
              <w:rPr>
                <w:color w:val="auto"/>
              </w:rPr>
              <w:t>– par šaujamieroču un munīcij</w:t>
            </w:r>
            <w:r w:rsidR="009A4569" w:rsidRPr="00783018">
              <w:rPr>
                <w:color w:val="auto"/>
              </w:rPr>
              <w:t>as atbilstību sporta lietojumam,</w:t>
            </w:r>
            <w:r w:rsidRPr="00783018">
              <w:rPr>
                <w:color w:val="auto"/>
              </w:rPr>
              <w:t xml:space="preserve"> Kultūras </w:t>
            </w:r>
            <w:r w:rsidRPr="00783018">
              <w:rPr>
                <w:color w:val="auto"/>
              </w:rPr>
              <w:lastRenderedPageBreak/>
              <w:t xml:space="preserve">ministrijai – par </w:t>
            </w:r>
            <w:r w:rsidR="00366026" w:rsidRPr="00783018">
              <w:rPr>
                <w:color w:val="auto"/>
              </w:rPr>
              <w:t>to, vai šaujamieroci var uzskatīt par tādu, kuram ir vēsturiska vai kultūras nozīme</w:t>
            </w:r>
            <w:r w:rsidR="009A4569" w:rsidRPr="00783018">
              <w:rPr>
                <w:color w:val="auto"/>
              </w:rPr>
              <w:t>,</w:t>
            </w:r>
            <w:r w:rsidRPr="00783018">
              <w:rPr>
                <w:color w:val="auto"/>
              </w:rPr>
              <w:t xml:space="preserve"> Ārlietu </w:t>
            </w:r>
            <w:r w:rsidR="00A9444F" w:rsidRPr="00783018">
              <w:rPr>
                <w:color w:val="auto"/>
              </w:rPr>
              <w:t>ministrijai – va</w:t>
            </w:r>
            <w:r w:rsidRPr="00783018">
              <w:rPr>
                <w:color w:val="auto"/>
              </w:rPr>
              <w:t>i šaujamieroču munīcija nav uzskatāma par Latvijai saistošajos starptautisk</w:t>
            </w:r>
            <w:r w:rsidR="009A4569" w:rsidRPr="00783018">
              <w:rPr>
                <w:color w:val="auto"/>
              </w:rPr>
              <w:t>ajos līgumos aizliegto munīciju,</w:t>
            </w:r>
            <w:r w:rsidRPr="00783018">
              <w:rPr>
                <w:color w:val="auto"/>
              </w:rPr>
              <w:t xml:space="preserve"> Aizsardzības ministrijai – </w:t>
            </w:r>
            <w:r w:rsidR="00A9444F" w:rsidRPr="00783018">
              <w:rPr>
                <w:color w:val="auto"/>
              </w:rPr>
              <w:t xml:space="preserve">vai </w:t>
            </w:r>
            <w:r w:rsidR="00F520BA" w:rsidRPr="00783018">
              <w:rPr>
                <w:color w:val="auto"/>
              </w:rPr>
              <w:t>šaujamierocis un</w:t>
            </w:r>
            <w:r w:rsidRPr="00783018">
              <w:rPr>
                <w:color w:val="auto"/>
              </w:rPr>
              <w:t xml:space="preserve"> šaujamieroču munīcija nav uzskatāma par izgatavoto militārām vajadzībām.</w:t>
            </w:r>
            <w:r w:rsidR="009A4569" w:rsidRPr="00783018">
              <w:rPr>
                <w:color w:val="auto"/>
              </w:rPr>
              <w:t xml:space="preserve"> </w:t>
            </w:r>
            <w:r w:rsidR="006E21A6" w:rsidRPr="00783018">
              <w:rPr>
                <w:color w:val="auto"/>
              </w:rPr>
              <w:t>Piemēra</w:t>
            </w:r>
            <w:r w:rsidR="00A9444F" w:rsidRPr="00783018">
              <w:rPr>
                <w:color w:val="auto"/>
              </w:rPr>
              <w:t>m</w:t>
            </w:r>
            <w:r w:rsidR="006E21A6" w:rsidRPr="00783018">
              <w:rPr>
                <w:color w:val="auto"/>
              </w:rPr>
              <w:t>,</w:t>
            </w:r>
            <w:r w:rsidR="00D810D2" w:rsidRPr="00783018">
              <w:rPr>
                <w:color w:val="auto"/>
              </w:rPr>
              <w:t xml:space="preserve"> </w:t>
            </w:r>
            <w:r w:rsidR="006E21A6" w:rsidRPr="00783018">
              <w:rPr>
                <w:color w:val="auto"/>
              </w:rPr>
              <w:t>Komisija</w:t>
            </w:r>
            <w:r w:rsidR="00D810D2" w:rsidRPr="00783018">
              <w:rPr>
                <w:color w:val="auto"/>
              </w:rPr>
              <w:t xml:space="preserve"> </w:t>
            </w:r>
            <w:r w:rsidR="006E21A6" w:rsidRPr="00783018">
              <w:rPr>
                <w:color w:val="auto"/>
              </w:rPr>
              <w:t>pieprasīs atzinumu</w:t>
            </w:r>
            <w:r w:rsidR="00AE3870" w:rsidRPr="00783018">
              <w:rPr>
                <w:color w:val="auto"/>
              </w:rPr>
              <w:t xml:space="preserve"> A</w:t>
            </w:r>
            <w:r w:rsidR="006E21A6" w:rsidRPr="00783018">
              <w:rPr>
                <w:color w:val="auto"/>
              </w:rPr>
              <w:t>izsardzības ministrijai</w:t>
            </w:r>
            <w:r w:rsidR="00AE3870" w:rsidRPr="00783018">
              <w:rPr>
                <w:color w:val="auto"/>
              </w:rPr>
              <w:t>, lai pārliecinātos vai šaujamierocis vai šaujamieroču munīcija nav uzskatāma par</w:t>
            </w:r>
            <w:r w:rsidR="00931640" w:rsidRPr="00783018">
              <w:rPr>
                <w:color w:val="auto"/>
              </w:rPr>
              <w:t xml:space="preserve"> </w:t>
            </w:r>
            <w:r w:rsidR="00D810D2" w:rsidRPr="00783018">
              <w:rPr>
                <w:color w:val="auto"/>
              </w:rPr>
              <w:t>tikai</w:t>
            </w:r>
            <w:r w:rsidR="006E21A6" w:rsidRPr="00783018">
              <w:rPr>
                <w:color w:val="auto"/>
              </w:rPr>
              <w:t xml:space="preserve"> militāro šaujamieroci</w:t>
            </w:r>
            <w:r w:rsidR="00931640" w:rsidRPr="00783018">
              <w:rPr>
                <w:color w:val="auto"/>
              </w:rPr>
              <w:t xml:space="preserve">. </w:t>
            </w:r>
            <w:r w:rsidR="00713149" w:rsidRPr="00783018">
              <w:rPr>
                <w:color w:val="auto"/>
              </w:rPr>
              <w:t xml:space="preserve">Minētās </w:t>
            </w:r>
            <w:r w:rsidR="00931640" w:rsidRPr="00783018">
              <w:rPr>
                <w:color w:val="auto"/>
              </w:rPr>
              <w:t>informācijas noskaidrošana ir nepieciešama, lai nodrošinātu, ka privātpersonu rokās nenonāks šaujamieroči</w:t>
            </w:r>
            <w:r w:rsidR="009A4569" w:rsidRPr="00783018">
              <w:rPr>
                <w:color w:val="auto"/>
              </w:rPr>
              <w:t xml:space="preserve"> militārām vajadzībām</w:t>
            </w:r>
            <w:r w:rsidR="002F2382" w:rsidRPr="00783018">
              <w:rPr>
                <w:color w:val="auto"/>
              </w:rPr>
              <w:t xml:space="preserve">. </w:t>
            </w:r>
            <w:r w:rsidR="00D572D5" w:rsidRPr="00783018">
              <w:rPr>
                <w:color w:val="auto"/>
              </w:rPr>
              <w:t>Minētais ir attiecināms arī uz šaujamieroču mun</w:t>
            </w:r>
            <w:r w:rsidR="00366026" w:rsidRPr="00783018">
              <w:rPr>
                <w:color w:val="auto"/>
              </w:rPr>
              <w:t>īciju. Saskaņā ar Likum</w:t>
            </w:r>
            <w:r w:rsidR="000475E2" w:rsidRPr="00783018">
              <w:rPr>
                <w:color w:val="auto"/>
              </w:rPr>
              <w:t>a</w:t>
            </w:r>
            <w:r w:rsidR="002D378A" w:rsidRPr="00783018">
              <w:rPr>
                <w:color w:val="auto"/>
              </w:rPr>
              <w:t xml:space="preserve"> 73. panta otro daļu licenci komercdarbībai ar Eiropas Savienības Kopējā militāro preču sarakstā minētajām precēm izsniedz Aizsardzības ministrija stratēģiskās nozīmes preču apriti regulējošos normatīvajos aktos noteiktajā kārtībā.</w:t>
            </w:r>
            <w:r w:rsidR="00A9444F" w:rsidRPr="00783018">
              <w:rPr>
                <w:color w:val="auto"/>
              </w:rPr>
              <w:t xml:space="preserve"> Ņemot vērā minēto, Aizsa</w:t>
            </w:r>
            <w:r w:rsidR="00FD7ECA" w:rsidRPr="00783018">
              <w:rPr>
                <w:color w:val="auto"/>
              </w:rPr>
              <w:t>rdzības ministrija ir</w:t>
            </w:r>
            <w:r w:rsidR="00366026" w:rsidRPr="00783018">
              <w:rPr>
                <w:color w:val="auto"/>
              </w:rPr>
              <w:t xml:space="preserve"> tā</w:t>
            </w:r>
            <w:r w:rsidR="00FD7ECA" w:rsidRPr="00783018">
              <w:rPr>
                <w:color w:val="auto"/>
              </w:rPr>
              <w:t xml:space="preserve"> kompetentā</w:t>
            </w:r>
            <w:r w:rsidR="00A9444F" w:rsidRPr="00783018">
              <w:rPr>
                <w:color w:val="auto"/>
              </w:rPr>
              <w:t xml:space="preserve"> iestāde, kas var sniegt atzinumu vai šaujamierocis vai šaujamieroču munīcija nav uzskatāma par izgatavoto </w:t>
            </w:r>
            <w:r w:rsidR="00D810D2" w:rsidRPr="00783018">
              <w:rPr>
                <w:color w:val="auto"/>
              </w:rPr>
              <w:t xml:space="preserve">tikai </w:t>
            </w:r>
            <w:r w:rsidR="00A9444F" w:rsidRPr="00783018">
              <w:rPr>
                <w:color w:val="auto"/>
              </w:rPr>
              <w:t xml:space="preserve">militārām vajadzībām.  </w:t>
            </w:r>
          </w:p>
          <w:p w:rsidR="002318DB" w:rsidRDefault="00580D06" w:rsidP="005E784F">
            <w:pPr>
              <w:ind w:firstLine="364"/>
              <w:jc w:val="both"/>
              <w:rPr>
                <w:color w:val="FF0000"/>
              </w:rPr>
            </w:pPr>
            <w:r w:rsidRPr="00783018">
              <w:rPr>
                <w:color w:val="auto"/>
              </w:rPr>
              <w:t>Atbilstoši Projektam šaujamieročus vai munīciju klasificēs, ka</w:t>
            </w:r>
            <w:r w:rsidR="006F563B" w:rsidRPr="00783018">
              <w:rPr>
                <w:color w:val="auto"/>
              </w:rPr>
              <w:t>d</w:t>
            </w:r>
            <w:r w:rsidR="001435AA">
              <w:rPr>
                <w:color w:val="auto"/>
              </w:rPr>
              <w:t xml:space="preserve"> tiks saņemts fiziskās personas vai</w:t>
            </w:r>
            <w:r w:rsidR="000A6DE2">
              <w:rPr>
                <w:color w:val="auto"/>
              </w:rPr>
              <w:t xml:space="preserve"> juridiskās personas</w:t>
            </w:r>
            <w:r w:rsidRPr="00783018">
              <w:rPr>
                <w:color w:val="auto"/>
              </w:rPr>
              <w:t xml:space="preserve"> iesniegums. </w:t>
            </w:r>
          </w:p>
          <w:p w:rsidR="00580D06" w:rsidRPr="005E784F" w:rsidRDefault="00580D06" w:rsidP="009A4569">
            <w:pPr>
              <w:ind w:firstLine="364"/>
              <w:jc w:val="both"/>
              <w:rPr>
                <w:color w:val="auto"/>
              </w:rPr>
            </w:pPr>
            <w:r w:rsidRPr="005E784F">
              <w:rPr>
                <w:color w:val="auto"/>
              </w:rPr>
              <w:t>Tāpat Projektā tiek paredzēt</w:t>
            </w:r>
            <w:r w:rsidR="001A693A" w:rsidRPr="005E784F">
              <w:rPr>
                <w:color w:val="auto"/>
              </w:rPr>
              <w:t>s, ka</w:t>
            </w:r>
            <w:r w:rsidRPr="005E784F">
              <w:rPr>
                <w:color w:val="auto"/>
              </w:rPr>
              <w:t xml:space="preserve"> Komisija pati pēc savas iniciatīvas varēs veikt šaujamiero</w:t>
            </w:r>
            <w:r w:rsidR="003A7CB9" w:rsidRPr="005E784F">
              <w:rPr>
                <w:color w:val="auto"/>
              </w:rPr>
              <w:t>ču vai munīcijas klasifikāciju</w:t>
            </w:r>
            <w:r w:rsidRPr="005E784F">
              <w:rPr>
                <w:color w:val="auto"/>
              </w:rPr>
              <w:t xml:space="preserve"> gadījumos, kad tās rīcībā būs </w:t>
            </w:r>
            <w:r w:rsidR="003A7CB9" w:rsidRPr="005E784F">
              <w:rPr>
                <w:color w:val="auto"/>
              </w:rPr>
              <w:t>pārbaudīta un apstiprināta informācija par jauniem ražošanā ieviestiem šaujamieročiem vai  munīciju.</w:t>
            </w:r>
          </w:p>
          <w:p w:rsidR="00366026" w:rsidRPr="00783018" w:rsidRDefault="00366026" w:rsidP="009A4569">
            <w:pPr>
              <w:ind w:firstLine="364"/>
              <w:jc w:val="both"/>
              <w:rPr>
                <w:color w:val="auto"/>
              </w:rPr>
            </w:pPr>
            <w:r w:rsidRPr="00783018">
              <w:rPr>
                <w:color w:val="auto"/>
              </w:rPr>
              <w:t>Komisija pēc iesnieguma saņemšanas</w:t>
            </w:r>
            <w:r w:rsidR="00DE4C99">
              <w:rPr>
                <w:color w:val="auto"/>
              </w:rPr>
              <w:t xml:space="preserve"> izvērtēs visus apstākļus</w:t>
            </w:r>
            <w:r w:rsidRPr="00783018">
              <w:rPr>
                <w:color w:val="auto"/>
              </w:rPr>
              <w:t xml:space="preserve"> un attiecīgi pieņems vai nu lēmumu par šaujamieroča vai munīcijas </w:t>
            </w:r>
            <w:r w:rsidR="00172B8A">
              <w:rPr>
                <w:color w:val="auto"/>
              </w:rPr>
              <w:t>klasificēšanu vai nu lēmumu par</w:t>
            </w:r>
            <w:r w:rsidRPr="00783018">
              <w:rPr>
                <w:color w:val="auto"/>
              </w:rPr>
              <w:t xml:space="preserve"> atteikumu klasificēt  šaujamieroci vai munīciju. Komisija lēmumu par atteik</w:t>
            </w:r>
            <w:r w:rsidR="001A693A" w:rsidRPr="00783018">
              <w:rPr>
                <w:color w:val="auto"/>
              </w:rPr>
              <w:t>umu klasificēt šaujamieroci vai</w:t>
            </w:r>
            <w:r w:rsidRPr="00783018">
              <w:rPr>
                <w:color w:val="auto"/>
              </w:rPr>
              <w:t xml:space="preserve"> munīciju pieņems gadījumos, kad tiks konstatēts, to aprite Latvijā ir aizliegta.</w:t>
            </w:r>
          </w:p>
          <w:p w:rsidR="003B688B" w:rsidRPr="00783018" w:rsidRDefault="003B688B" w:rsidP="003B688B">
            <w:pPr>
              <w:ind w:firstLine="364"/>
              <w:jc w:val="both"/>
              <w:rPr>
                <w:color w:val="auto"/>
              </w:rPr>
            </w:pPr>
            <w:r w:rsidRPr="00783018">
              <w:rPr>
                <w:color w:val="auto"/>
              </w:rPr>
              <w:t>Komisija</w:t>
            </w:r>
            <w:r w:rsidR="00B418BA" w:rsidRPr="00783018">
              <w:rPr>
                <w:color w:val="auto"/>
              </w:rPr>
              <w:t xml:space="preserve"> visus</w:t>
            </w:r>
            <w:r w:rsidRPr="00783018">
              <w:rPr>
                <w:color w:val="auto"/>
              </w:rPr>
              <w:t xml:space="preserve"> lēmumus pieņems, ievērojot Administratīvā procesa likumā</w:t>
            </w:r>
            <w:r w:rsidR="001846B5" w:rsidRPr="00783018">
              <w:rPr>
                <w:color w:val="auto"/>
              </w:rPr>
              <w:t xml:space="preserve"> (turpmāk – APL)</w:t>
            </w:r>
            <w:r w:rsidRPr="00783018">
              <w:rPr>
                <w:color w:val="auto"/>
              </w:rPr>
              <w:t xml:space="preserve"> noteikto kārtību.</w:t>
            </w:r>
          </w:p>
          <w:p w:rsidR="00BB2393" w:rsidRPr="00783018" w:rsidRDefault="00A9444F" w:rsidP="002A3F77">
            <w:pPr>
              <w:ind w:firstLine="364"/>
              <w:jc w:val="both"/>
              <w:rPr>
                <w:color w:val="auto"/>
              </w:rPr>
            </w:pPr>
            <w:r w:rsidRPr="00783018">
              <w:rPr>
                <w:color w:val="auto"/>
              </w:rPr>
              <w:t>Saskaņā ar</w:t>
            </w:r>
            <w:r w:rsidR="001846B5" w:rsidRPr="00783018">
              <w:rPr>
                <w:color w:val="auto"/>
              </w:rPr>
              <w:t xml:space="preserve"> APL</w:t>
            </w:r>
            <w:r w:rsidRPr="00783018">
              <w:rPr>
                <w:color w:val="auto"/>
              </w:rPr>
              <w:t>1. panta trešo daļu</w:t>
            </w:r>
            <w:r w:rsidR="00B3316F" w:rsidRPr="00783018">
              <w:rPr>
                <w:color w:val="auto"/>
              </w:rPr>
              <w:t xml:space="preserve"> </w:t>
            </w:r>
            <w:r w:rsidR="00B3316F" w:rsidRPr="00783018">
              <w:rPr>
                <w:bCs/>
                <w:color w:val="auto"/>
              </w:rPr>
              <w:t>administratīvais akts</w:t>
            </w:r>
            <w:r w:rsidR="00B3316F" w:rsidRPr="00783018">
              <w:rPr>
                <w:color w:val="auto"/>
              </w:rPr>
              <w:t xml:space="preserve"> ir uz āru vērsts tiesību akts, ko iestāde izdod publisko tiesību jomā attiecībā uz individuāli noteiktu personu vai personām, nodibinot, grozot, konstatējot vai izbeidzot konkrētas tiesiskās attiecības vai konstatējot faktisko situāciju. Administratīvais akts ir arī tāds lēmums, kuru likumā paredzētajos gadījumos iestāde izdod attiecībā uz individuāli nenoteiktu personu loku, kas atrodas konkrētos un identificējamos apstākļos (vispārīgais administratīvais akts). Ņemot vērā minēto, </w:t>
            </w:r>
            <w:r w:rsidR="006F009C" w:rsidRPr="00783018">
              <w:rPr>
                <w:color w:val="auto"/>
              </w:rPr>
              <w:t xml:space="preserve">Komisijas lēmums ir </w:t>
            </w:r>
            <w:r w:rsidR="009A4569" w:rsidRPr="00783018">
              <w:rPr>
                <w:color w:val="auto"/>
              </w:rPr>
              <w:t>vispārīgais</w:t>
            </w:r>
            <w:r w:rsidR="00B3316F" w:rsidRPr="00783018">
              <w:rPr>
                <w:color w:val="auto"/>
              </w:rPr>
              <w:t xml:space="preserve"> </w:t>
            </w:r>
            <w:r w:rsidR="006F009C" w:rsidRPr="00783018">
              <w:rPr>
                <w:color w:val="auto"/>
              </w:rPr>
              <w:t>admi</w:t>
            </w:r>
            <w:r w:rsidR="009A4569" w:rsidRPr="00783018">
              <w:rPr>
                <w:color w:val="auto"/>
              </w:rPr>
              <w:t>nistratīvais akts</w:t>
            </w:r>
            <w:r w:rsidR="00B3316F" w:rsidRPr="00783018">
              <w:rPr>
                <w:color w:val="auto"/>
              </w:rPr>
              <w:t>. Saskaņā ar APL 70.panta otro daļu</w:t>
            </w:r>
            <w:r w:rsidR="00B3316F" w:rsidRPr="00783018">
              <w:rPr>
                <w:color w:val="auto"/>
                <w:shd w:val="clear" w:color="auto" w:fill="FFFFFF"/>
              </w:rPr>
              <w:t xml:space="preserve"> </w:t>
            </w:r>
            <w:r w:rsidR="00B3316F" w:rsidRPr="00783018">
              <w:rPr>
                <w:color w:val="auto"/>
              </w:rPr>
              <w:t>Administratīvo aktu paziņo adresātam atbilstoši </w:t>
            </w:r>
            <w:hyperlink r:id="rId8" w:tgtFrame="_blank" w:history="1">
              <w:r w:rsidR="00B3316F" w:rsidRPr="00783018">
                <w:rPr>
                  <w:rStyle w:val="Hyperlink"/>
                  <w:color w:val="auto"/>
                  <w:u w:val="none"/>
                </w:rPr>
                <w:t>Paziņošanas likumam</w:t>
              </w:r>
            </w:hyperlink>
            <w:r w:rsidR="00B3316F" w:rsidRPr="00783018">
              <w:rPr>
                <w:color w:val="auto"/>
              </w:rPr>
              <w:t>. Paziņošanas likuma</w:t>
            </w:r>
            <w:r w:rsidR="00D03329" w:rsidRPr="00783018">
              <w:rPr>
                <w:color w:val="auto"/>
              </w:rPr>
              <w:t xml:space="preserve"> 11.panta pirmās daļas 1.punkts nosaka, ka </w:t>
            </w:r>
            <w:r w:rsidR="00D23798" w:rsidRPr="00783018">
              <w:rPr>
                <w:color w:val="auto"/>
              </w:rPr>
              <w:t> d</w:t>
            </w:r>
            <w:r w:rsidR="00D03329" w:rsidRPr="00783018">
              <w:rPr>
                <w:color w:val="auto"/>
              </w:rPr>
              <w:t>okumentu publiski paziņo</w:t>
            </w:r>
            <w:r w:rsidR="009A4569" w:rsidRPr="00783018">
              <w:rPr>
                <w:color w:val="auto"/>
              </w:rPr>
              <w:t>,</w:t>
            </w:r>
            <w:r w:rsidR="00D03329" w:rsidRPr="00783018">
              <w:rPr>
                <w:color w:val="auto"/>
              </w:rPr>
              <w:t xml:space="preserve"> </w:t>
            </w:r>
            <w:r w:rsidR="00D03329" w:rsidRPr="00783018">
              <w:rPr>
                <w:color w:val="auto"/>
                <w:shd w:val="clear" w:color="auto" w:fill="FFFFFF"/>
              </w:rPr>
              <w:t>j</w:t>
            </w:r>
            <w:r w:rsidR="00D03329" w:rsidRPr="00783018">
              <w:rPr>
                <w:color w:val="auto"/>
              </w:rPr>
              <w:t xml:space="preserve">a tas ir lietderīgi resursu izlietojuma vai steidzamības dēļ un dokuments skar individuāli nenoteiktu adresātu loku. </w:t>
            </w:r>
            <w:r w:rsidR="00D23798" w:rsidRPr="00783018">
              <w:rPr>
                <w:color w:val="auto"/>
              </w:rPr>
              <w:t>Paziņošanas likuma 11.panta pirmās daļas 3.punkts nosaka, ka</w:t>
            </w:r>
            <w:r w:rsidR="00D23798" w:rsidRPr="00783018">
              <w:rPr>
                <w:color w:val="auto"/>
                <w:shd w:val="clear" w:color="auto" w:fill="FFFFFF"/>
              </w:rPr>
              <w:t xml:space="preserve"> </w:t>
            </w:r>
            <w:r w:rsidR="00D23798" w:rsidRPr="00783018">
              <w:rPr>
                <w:color w:val="auto"/>
              </w:rPr>
              <w:t xml:space="preserve">dokumentu publiski paziņo ārējā normatīvajā aktā noteiktajos gadījumos. Paziņošanas likuma </w:t>
            </w:r>
            <w:r w:rsidR="00D23798" w:rsidRPr="00783018">
              <w:rPr>
                <w:color w:val="auto"/>
              </w:rPr>
              <w:lastRenderedPageBreak/>
              <w:t>11.panta trešā daļa nosaka, ka iestāde dokumentu paziņo ar publikāciju savā mājaslapā internetā ārējos normatīvajos aktos noteiktajos gadījumos un kārtībā.  </w:t>
            </w:r>
            <w:r w:rsidR="00D03329" w:rsidRPr="00783018">
              <w:rPr>
                <w:color w:val="auto"/>
              </w:rPr>
              <w:t>Ņemot vērā minēto, kā arī to, ka Komisija lēmums ir vispārīgais administratīvais akts, tad tas tiks paziņots publicējot to Valsts policijas mājaslapā</w:t>
            </w:r>
            <w:r w:rsidR="00D23798" w:rsidRPr="00783018">
              <w:rPr>
                <w:color w:val="auto"/>
              </w:rPr>
              <w:t xml:space="preserve"> (</w:t>
            </w:r>
            <w:hyperlink r:id="rId9" w:history="1">
              <w:r w:rsidR="00D23798" w:rsidRPr="00783018">
                <w:rPr>
                  <w:rStyle w:val="Hyperlink"/>
                  <w:color w:val="auto"/>
                </w:rPr>
                <w:t>http://www.vp.gov.lv</w:t>
              </w:r>
            </w:hyperlink>
            <w:r w:rsidR="00D23798" w:rsidRPr="00783018">
              <w:rPr>
                <w:color w:val="auto"/>
              </w:rPr>
              <w:t>)</w:t>
            </w:r>
            <w:r w:rsidR="009A4569" w:rsidRPr="00783018">
              <w:rPr>
                <w:color w:val="auto"/>
              </w:rPr>
              <w:t>. N</w:t>
            </w:r>
            <w:r w:rsidR="00D03329" w:rsidRPr="00783018">
              <w:rPr>
                <w:color w:val="auto"/>
              </w:rPr>
              <w:t xml:space="preserve">odrošinot labu pārvaldības principu, Komisija informēs </w:t>
            </w:r>
            <w:r w:rsidR="00D23798" w:rsidRPr="00783018">
              <w:rPr>
                <w:color w:val="auto"/>
              </w:rPr>
              <w:t>iesniedzēju divu darba dienu laikā par lēmuma paziņoš</w:t>
            </w:r>
            <w:r w:rsidR="009A4569" w:rsidRPr="00783018">
              <w:rPr>
                <w:color w:val="auto"/>
              </w:rPr>
              <w:t>anu Valsts policijas mājaslapā.</w:t>
            </w:r>
          </w:p>
          <w:p w:rsidR="00D23798" w:rsidRPr="00783018" w:rsidRDefault="00D23798" w:rsidP="002A3F77">
            <w:pPr>
              <w:ind w:firstLine="364"/>
              <w:jc w:val="both"/>
              <w:rPr>
                <w:color w:val="auto"/>
              </w:rPr>
            </w:pPr>
            <w:r w:rsidRPr="00783018">
              <w:rPr>
                <w:color w:val="auto"/>
              </w:rPr>
              <w:t xml:space="preserve">Komisijas pieņemto lēmumu </w:t>
            </w:r>
            <w:r w:rsidR="00495725" w:rsidRPr="00783018">
              <w:rPr>
                <w:color w:val="auto"/>
              </w:rPr>
              <w:t>var apstrīdēt Administratīvā procesa likumā noteiktajā kārtībā, iesniedzot attiecīgu iesniegumu Valsts policijas priekšniekam. Valsts policijas priekšnieka lēmumu var pārsūdzēt Administratīvajā rajona tiesā.</w:t>
            </w:r>
            <w:r w:rsidR="004E4353" w:rsidRPr="00783018">
              <w:rPr>
                <w:color w:val="auto"/>
              </w:rPr>
              <w:t xml:space="preserve"> </w:t>
            </w:r>
          </w:p>
          <w:p w:rsidR="002A3F77" w:rsidRPr="00783018" w:rsidRDefault="002A3F77" w:rsidP="00D23798">
            <w:pPr>
              <w:ind w:firstLine="364"/>
              <w:jc w:val="both"/>
              <w:rPr>
                <w:color w:val="auto"/>
              </w:rPr>
            </w:pPr>
            <w:r w:rsidRPr="00783018">
              <w:rPr>
                <w:color w:val="auto"/>
              </w:rPr>
              <w:t xml:space="preserve">Vienlaikus Projektā ietvertais tiesiskais regulējums paredz pienākumu Valsts policijai uzturēt mājaslapā </w:t>
            </w:r>
            <w:r w:rsidR="00713149" w:rsidRPr="00783018">
              <w:rPr>
                <w:color w:val="auto"/>
              </w:rPr>
              <w:t>(</w:t>
            </w:r>
            <w:hyperlink r:id="rId10" w:history="1">
              <w:r w:rsidR="00713149" w:rsidRPr="00783018">
                <w:rPr>
                  <w:rStyle w:val="Hyperlink"/>
                  <w:color w:val="auto"/>
                </w:rPr>
                <w:t>http://www.vp.gov.lv</w:t>
              </w:r>
            </w:hyperlink>
            <w:r w:rsidR="00713149" w:rsidRPr="00783018">
              <w:rPr>
                <w:color w:val="auto"/>
              </w:rPr>
              <w:t xml:space="preserve">) </w:t>
            </w:r>
            <w:r w:rsidRPr="00783018">
              <w:rPr>
                <w:color w:val="auto"/>
              </w:rPr>
              <w:t>klasificēto šaujamieroču un munīcijas sarakstu, tādējādi nodrošinot pārskatāmu informāciju par klasificētiem šaujamieročiem un munīciju.</w:t>
            </w:r>
          </w:p>
          <w:p w:rsidR="00E85802" w:rsidRPr="00783018" w:rsidRDefault="00E85802" w:rsidP="002A3F77">
            <w:pPr>
              <w:jc w:val="both"/>
              <w:rPr>
                <w:color w:val="auto"/>
              </w:rPr>
            </w:pPr>
          </w:p>
        </w:tc>
      </w:tr>
      <w:tr w:rsidR="00783018" w:rsidRPr="00783018" w:rsidTr="00590CB0">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783018" w:rsidRDefault="00E203EE">
            <w:pPr>
              <w:jc w:val="center"/>
              <w:rPr>
                <w:color w:val="auto"/>
              </w:rPr>
            </w:pPr>
            <w:r w:rsidRPr="00783018">
              <w:rPr>
                <w:color w:val="auto"/>
              </w:rPr>
              <w:lastRenderedPageBreak/>
              <w:t>3.</w:t>
            </w:r>
          </w:p>
        </w:tc>
        <w:tc>
          <w:tcPr>
            <w:tcW w:w="2592"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Projekta izstrādē iesaistītās institūcijas un publiskas personas kapitālsabiedrības</w:t>
            </w:r>
          </w:p>
        </w:tc>
        <w:tc>
          <w:tcPr>
            <w:tcW w:w="6348" w:type="dxa"/>
            <w:tcBorders>
              <w:top w:val="single" w:sz="6" w:space="0" w:color="414142"/>
              <w:left w:val="single" w:sz="6" w:space="0" w:color="414142"/>
              <w:bottom w:val="single" w:sz="6" w:space="0" w:color="414142"/>
              <w:right w:val="single" w:sz="6" w:space="0" w:color="414142"/>
            </w:tcBorders>
          </w:tcPr>
          <w:p w:rsidR="000C7EFF" w:rsidRPr="00783018" w:rsidRDefault="00E203EE">
            <w:pPr>
              <w:spacing w:after="120"/>
              <w:jc w:val="both"/>
              <w:rPr>
                <w:color w:val="auto"/>
              </w:rPr>
            </w:pPr>
            <w:r w:rsidRPr="00783018">
              <w:rPr>
                <w:color w:val="auto"/>
              </w:rPr>
              <w:t>Iekšlietu ministrija, Valsts policija</w:t>
            </w:r>
          </w:p>
        </w:tc>
      </w:tr>
      <w:tr w:rsidR="00783018" w:rsidRPr="00783018" w:rsidTr="00590CB0">
        <w:tc>
          <w:tcPr>
            <w:tcW w:w="520" w:type="dxa"/>
            <w:tcBorders>
              <w:top w:val="single" w:sz="6" w:space="0" w:color="414142"/>
              <w:left w:val="single" w:sz="6" w:space="0" w:color="414142"/>
              <w:bottom w:val="single" w:sz="6" w:space="0" w:color="414142"/>
              <w:right w:val="single" w:sz="6" w:space="0" w:color="414142"/>
            </w:tcBorders>
          </w:tcPr>
          <w:p w:rsidR="000C7EFF" w:rsidRPr="00783018" w:rsidRDefault="00E203EE">
            <w:pPr>
              <w:jc w:val="center"/>
              <w:rPr>
                <w:color w:val="auto"/>
              </w:rPr>
            </w:pPr>
            <w:r w:rsidRPr="00783018">
              <w:rPr>
                <w:color w:val="auto"/>
              </w:rPr>
              <w:t>4.</w:t>
            </w:r>
          </w:p>
        </w:tc>
        <w:tc>
          <w:tcPr>
            <w:tcW w:w="2592"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Cita informācija</w:t>
            </w:r>
          </w:p>
        </w:tc>
        <w:tc>
          <w:tcPr>
            <w:tcW w:w="6348"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Nav</w:t>
            </w:r>
          </w:p>
        </w:tc>
      </w:tr>
    </w:tbl>
    <w:p w:rsidR="000C7EFF" w:rsidRPr="00783018" w:rsidRDefault="000C7EFF">
      <w:pPr>
        <w:shd w:val="clear" w:color="auto" w:fill="FFFFFF"/>
        <w:ind w:firstLine="300"/>
        <w:rPr>
          <w:color w:val="auto"/>
        </w:rPr>
      </w:pPr>
    </w:p>
    <w:tbl>
      <w:tblPr>
        <w:tblStyle w:val="a1"/>
        <w:tblW w:w="9460"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6348"/>
      </w:tblGrid>
      <w:tr w:rsidR="00783018" w:rsidRPr="00783018" w:rsidTr="00971A23">
        <w:trPr>
          <w:trHeight w:val="220"/>
        </w:trPr>
        <w:tc>
          <w:tcPr>
            <w:tcW w:w="9460" w:type="dxa"/>
            <w:gridSpan w:val="3"/>
            <w:tcBorders>
              <w:top w:val="single" w:sz="6" w:space="0" w:color="414142"/>
              <w:left w:val="single" w:sz="6" w:space="0" w:color="414142"/>
              <w:bottom w:val="single" w:sz="6" w:space="0" w:color="414142"/>
              <w:right w:val="single" w:sz="6" w:space="0" w:color="414142"/>
            </w:tcBorders>
            <w:vAlign w:val="center"/>
          </w:tcPr>
          <w:p w:rsidR="000C7EFF" w:rsidRPr="00783018" w:rsidRDefault="00E203EE">
            <w:pPr>
              <w:jc w:val="center"/>
              <w:rPr>
                <w:b/>
                <w:color w:val="auto"/>
              </w:rPr>
            </w:pPr>
            <w:r w:rsidRPr="00783018">
              <w:rPr>
                <w:b/>
                <w:color w:val="auto"/>
              </w:rPr>
              <w:t>II. Tiesību akta projekta ietekme uz sabiedrību, tautsaimniecības attīstību un administratīvo slogu</w:t>
            </w:r>
          </w:p>
        </w:tc>
      </w:tr>
      <w:tr w:rsidR="00783018" w:rsidRPr="00783018" w:rsidTr="00971A23">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1.</w:t>
            </w:r>
          </w:p>
        </w:tc>
        <w:tc>
          <w:tcPr>
            <w:tcW w:w="2592"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Sabiedrības mērķgrupas, kuras tiesiskais regulējums ietekmē vai varētu ietekmēt</w:t>
            </w:r>
          </w:p>
        </w:tc>
        <w:tc>
          <w:tcPr>
            <w:tcW w:w="6348" w:type="dxa"/>
            <w:tcBorders>
              <w:top w:val="single" w:sz="6" w:space="0" w:color="414142"/>
              <w:left w:val="single" w:sz="6" w:space="0" w:color="414142"/>
              <w:bottom w:val="single" w:sz="6" w:space="0" w:color="414142"/>
              <w:right w:val="single" w:sz="6" w:space="0" w:color="414142"/>
            </w:tcBorders>
          </w:tcPr>
          <w:p w:rsidR="005D4BA1" w:rsidRPr="00783018" w:rsidRDefault="00E203EE" w:rsidP="006064F2">
            <w:pPr>
              <w:ind w:firstLine="223"/>
              <w:jc w:val="both"/>
              <w:rPr>
                <w:color w:val="auto"/>
              </w:rPr>
            </w:pPr>
            <w:r w:rsidRPr="00783018">
              <w:rPr>
                <w:color w:val="auto"/>
              </w:rPr>
              <w:t>Saskaņā ar Valsts pol</w:t>
            </w:r>
            <w:r w:rsidR="006064F2" w:rsidRPr="00783018">
              <w:rPr>
                <w:color w:val="auto"/>
              </w:rPr>
              <w:t>icijas rīcībā esošo informāciju r</w:t>
            </w:r>
            <w:r w:rsidR="00495725" w:rsidRPr="00783018">
              <w:rPr>
                <w:color w:val="auto"/>
              </w:rPr>
              <w:t>eģistrēto šaujamieroču kopskaits 68975;</w:t>
            </w:r>
          </w:p>
          <w:p w:rsidR="00495725" w:rsidRPr="00783018" w:rsidRDefault="00495725" w:rsidP="006064F2">
            <w:pPr>
              <w:ind w:firstLine="223"/>
              <w:jc w:val="both"/>
              <w:rPr>
                <w:color w:val="auto"/>
              </w:rPr>
            </w:pPr>
            <w:r w:rsidRPr="00783018">
              <w:rPr>
                <w:color w:val="auto"/>
              </w:rPr>
              <w:t>1. no tiem medībām 57073;</w:t>
            </w:r>
          </w:p>
          <w:p w:rsidR="00495725" w:rsidRPr="00783018" w:rsidRDefault="00495725" w:rsidP="006064F2">
            <w:pPr>
              <w:ind w:firstLine="223"/>
              <w:jc w:val="both"/>
              <w:rPr>
                <w:color w:val="auto"/>
              </w:rPr>
            </w:pPr>
            <w:r w:rsidRPr="00783018">
              <w:rPr>
                <w:color w:val="auto"/>
              </w:rPr>
              <w:t>1.1. no tiem garstobra-vītņstobra šaujamieroči 22881;</w:t>
            </w:r>
          </w:p>
          <w:p w:rsidR="00495725" w:rsidRPr="00783018" w:rsidRDefault="00495725" w:rsidP="006064F2">
            <w:pPr>
              <w:ind w:firstLine="223"/>
              <w:jc w:val="both"/>
              <w:rPr>
                <w:color w:val="auto"/>
              </w:rPr>
            </w:pPr>
            <w:r w:rsidRPr="00783018">
              <w:rPr>
                <w:color w:val="auto"/>
              </w:rPr>
              <w:t>1.2. no tiem garstobra-gludstobra šaujamieroči 34192;</w:t>
            </w:r>
          </w:p>
          <w:p w:rsidR="00495725" w:rsidRPr="00783018" w:rsidRDefault="00495725" w:rsidP="006064F2">
            <w:pPr>
              <w:ind w:firstLine="223"/>
              <w:jc w:val="both"/>
              <w:rPr>
                <w:color w:val="auto"/>
              </w:rPr>
            </w:pPr>
            <w:r w:rsidRPr="00783018">
              <w:rPr>
                <w:color w:val="auto"/>
              </w:rPr>
              <w:t>2. no tiem sportam 419;</w:t>
            </w:r>
          </w:p>
          <w:p w:rsidR="00495725" w:rsidRPr="00783018" w:rsidRDefault="00495725" w:rsidP="006064F2">
            <w:pPr>
              <w:ind w:firstLine="223"/>
              <w:jc w:val="both"/>
              <w:rPr>
                <w:color w:val="auto"/>
              </w:rPr>
            </w:pPr>
            <w:r w:rsidRPr="00783018">
              <w:rPr>
                <w:color w:val="auto"/>
              </w:rPr>
              <w:t>2.1. no tiem īsstobra šaujamieroči 259</w:t>
            </w:r>
          </w:p>
          <w:p w:rsidR="00495725" w:rsidRPr="00783018" w:rsidRDefault="00495725" w:rsidP="006064F2">
            <w:pPr>
              <w:ind w:firstLine="223"/>
              <w:jc w:val="both"/>
              <w:rPr>
                <w:color w:val="auto"/>
              </w:rPr>
            </w:pPr>
            <w:r w:rsidRPr="00783018">
              <w:rPr>
                <w:color w:val="auto"/>
              </w:rPr>
              <w:t>2.2. no tiem garstobra vītņstobra šaujamieroči 133;</w:t>
            </w:r>
          </w:p>
          <w:p w:rsidR="00495725" w:rsidRPr="00783018" w:rsidRDefault="00495725" w:rsidP="006064F2">
            <w:pPr>
              <w:ind w:firstLine="223"/>
              <w:jc w:val="both"/>
              <w:rPr>
                <w:color w:val="auto"/>
              </w:rPr>
            </w:pPr>
            <w:r w:rsidRPr="00783018">
              <w:rPr>
                <w:color w:val="auto"/>
              </w:rPr>
              <w:t>3. no tiem pašaizsardzībai 11432;</w:t>
            </w:r>
          </w:p>
          <w:p w:rsidR="00495725" w:rsidRPr="00783018" w:rsidRDefault="00495725" w:rsidP="006064F2">
            <w:pPr>
              <w:ind w:firstLine="223"/>
              <w:jc w:val="both"/>
              <w:rPr>
                <w:color w:val="auto"/>
              </w:rPr>
            </w:pPr>
            <w:r w:rsidRPr="00783018">
              <w:rPr>
                <w:color w:val="auto"/>
              </w:rPr>
              <w:t>3.1. no tiem īsstobra šaujamieroči (pistoles, revolveri) 10912;</w:t>
            </w:r>
          </w:p>
          <w:p w:rsidR="00495725" w:rsidRPr="00783018" w:rsidRDefault="00495725" w:rsidP="006064F2">
            <w:pPr>
              <w:ind w:firstLine="223"/>
              <w:jc w:val="both"/>
              <w:rPr>
                <w:color w:val="auto"/>
              </w:rPr>
            </w:pPr>
            <w:r w:rsidRPr="00783018">
              <w:rPr>
                <w:color w:val="auto"/>
              </w:rPr>
              <w:t>3.1.1. no tiem ar nēsāšanas atļauju 9880;</w:t>
            </w:r>
          </w:p>
          <w:p w:rsidR="000C7EFF" w:rsidRPr="00783018" w:rsidRDefault="00495725" w:rsidP="006064F2">
            <w:pPr>
              <w:ind w:firstLine="223"/>
              <w:jc w:val="both"/>
              <w:rPr>
                <w:color w:val="auto"/>
              </w:rPr>
            </w:pPr>
            <w:r w:rsidRPr="00783018">
              <w:rPr>
                <w:color w:val="auto"/>
              </w:rPr>
              <w:t>3.2. no tiem garstobra gludstobra šaujamieroči 519</w:t>
            </w:r>
          </w:p>
          <w:p w:rsidR="00860F96" w:rsidRPr="00783018" w:rsidRDefault="00860F96" w:rsidP="006064F2">
            <w:pPr>
              <w:ind w:firstLine="223"/>
              <w:jc w:val="both"/>
              <w:rPr>
                <w:color w:val="auto"/>
              </w:rPr>
            </w:pPr>
            <w:r w:rsidRPr="00783018">
              <w:rPr>
                <w:color w:val="auto"/>
              </w:rPr>
              <w:t>Saskaņā ar Iekšlietu ministrijas Informācijas centra rīcībā esošo informāciju fiziskām personām ir reģistrētas 12 ieroču kolekcijas.</w:t>
            </w:r>
          </w:p>
          <w:p w:rsidR="005D4BA1" w:rsidRPr="00783018" w:rsidRDefault="005D4BA1" w:rsidP="006064F2">
            <w:pPr>
              <w:ind w:firstLine="223"/>
              <w:jc w:val="both"/>
              <w:rPr>
                <w:color w:val="auto"/>
              </w:rPr>
            </w:pPr>
            <w:r w:rsidRPr="00783018">
              <w:rPr>
                <w:color w:val="auto"/>
              </w:rPr>
              <w:t xml:space="preserve">Saskaņā ar Valsts policijas rīcībā esošo </w:t>
            </w:r>
            <w:r w:rsidR="006367DE" w:rsidRPr="00783018">
              <w:rPr>
                <w:color w:val="auto"/>
              </w:rPr>
              <w:t>informāciju – ie</w:t>
            </w:r>
            <w:r w:rsidRPr="00783018">
              <w:rPr>
                <w:color w:val="auto"/>
              </w:rPr>
              <w:t>roču tirdzniecības komersanti - 41 ar 83 ieroču un speciālo līdzekļu tirdzniecības objektiem</w:t>
            </w:r>
            <w:r w:rsidR="006064F2" w:rsidRPr="00783018">
              <w:rPr>
                <w:color w:val="auto"/>
              </w:rPr>
              <w:t>.</w:t>
            </w:r>
          </w:p>
          <w:p w:rsidR="00860F96" w:rsidRPr="00783018" w:rsidRDefault="00860F96" w:rsidP="006420D1">
            <w:pPr>
              <w:jc w:val="both"/>
              <w:rPr>
                <w:color w:val="auto"/>
              </w:rPr>
            </w:pPr>
          </w:p>
        </w:tc>
      </w:tr>
      <w:tr w:rsidR="00783018" w:rsidRPr="00783018" w:rsidTr="00971A23">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2.</w:t>
            </w:r>
          </w:p>
        </w:tc>
        <w:tc>
          <w:tcPr>
            <w:tcW w:w="2592"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Tiesiskā regulējuma ietekme uz tautsaimniecību un administratīvo slogu</w:t>
            </w:r>
          </w:p>
        </w:tc>
        <w:tc>
          <w:tcPr>
            <w:tcW w:w="6348" w:type="dxa"/>
            <w:tcBorders>
              <w:top w:val="single" w:sz="6" w:space="0" w:color="414142"/>
              <w:left w:val="single" w:sz="6" w:space="0" w:color="414142"/>
              <w:bottom w:val="single" w:sz="6" w:space="0" w:color="414142"/>
              <w:right w:val="single" w:sz="6" w:space="0" w:color="414142"/>
            </w:tcBorders>
          </w:tcPr>
          <w:p w:rsidR="000C7EFF" w:rsidRPr="00783018" w:rsidRDefault="00E203EE" w:rsidP="00860F96">
            <w:pPr>
              <w:spacing w:after="120"/>
              <w:jc w:val="both"/>
              <w:rPr>
                <w:color w:val="auto"/>
              </w:rPr>
            </w:pPr>
            <w:r w:rsidRPr="00783018">
              <w:rPr>
                <w:color w:val="auto"/>
              </w:rPr>
              <w:t xml:space="preserve">Tiesiskais regulējums </w:t>
            </w:r>
            <w:r w:rsidR="00F75A7A" w:rsidRPr="00783018">
              <w:rPr>
                <w:color w:val="auto"/>
              </w:rPr>
              <w:t>nepalielina</w:t>
            </w:r>
            <w:r w:rsidRPr="00783018">
              <w:rPr>
                <w:color w:val="auto"/>
              </w:rPr>
              <w:t xml:space="preserve"> administratīvo slogu, komersantiem, kas saņēma Valsts policijā licenci </w:t>
            </w:r>
            <w:r w:rsidR="00816740" w:rsidRPr="00783018">
              <w:rPr>
                <w:color w:val="auto"/>
              </w:rPr>
              <w:t>komercdarbībai ar šaujamieroč</w:t>
            </w:r>
            <w:r w:rsidR="000069E7" w:rsidRPr="00783018">
              <w:rPr>
                <w:color w:val="auto"/>
              </w:rPr>
              <w:t>iem un šaujamieroču munīciju</w:t>
            </w:r>
            <w:r w:rsidR="00F75A7A" w:rsidRPr="00783018">
              <w:rPr>
                <w:color w:val="auto"/>
              </w:rPr>
              <w:t>.</w:t>
            </w:r>
          </w:p>
        </w:tc>
      </w:tr>
      <w:tr w:rsidR="00783018" w:rsidRPr="00783018" w:rsidTr="00971A23">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3.</w:t>
            </w:r>
          </w:p>
        </w:tc>
        <w:tc>
          <w:tcPr>
            <w:tcW w:w="2592"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Administratīvo izmaksu monetārs novērtējums</w:t>
            </w:r>
          </w:p>
        </w:tc>
        <w:tc>
          <w:tcPr>
            <w:tcW w:w="6348" w:type="dxa"/>
            <w:tcBorders>
              <w:top w:val="single" w:sz="6" w:space="0" w:color="414142"/>
              <w:left w:val="single" w:sz="6" w:space="0" w:color="414142"/>
              <w:bottom w:val="single" w:sz="6" w:space="0" w:color="414142"/>
              <w:right w:val="single" w:sz="6" w:space="0" w:color="414142"/>
            </w:tcBorders>
          </w:tcPr>
          <w:p w:rsidR="000C7EFF" w:rsidRPr="00783018" w:rsidRDefault="00526DD3" w:rsidP="00DB4E92">
            <w:pPr>
              <w:pStyle w:val="Standard"/>
              <w:spacing w:after="0" w:line="240" w:lineRule="auto"/>
              <w:ind w:right="57"/>
              <w:jc w:val="both"/>
              <w:rPr>
                <w:b/>
                <w:sz w:val="24"/>
                <w:szCs w:val="24"/>
              </w:rPr>
            </w:pPr>
            <w:r w:rsidRPr="00783018">
              <w:rPr>
                <w:sz w:val="24"/>
                <w:szCs w:val="24"/>
              </w:rPr>
              <w:t>Projekts šo jomu neskar.</w:t>
            </w:r>
          </w:p>
        </w:tc>
      </w:tr>
      <w:tr w:rsidR="00783018" w:rsidRPr="00783018" w:rsidTr="00971A23">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lastRenderedPageBreak/>
              <w:t>4.</w:t>
            </w:r>
          </w:p>
        </w:tc>
        <w:tc>
          <w:tcPr>
            <w:tcW w:w="2592"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Atbilstības izmaksu monetārs novērtējums</w:t>
            </w:r>
          </w:p>
        </w:tc>
        <w:tc>
          <w:tcPr>
            <w:tcW w:w="6348"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Projekts šo jomu neskar.</w:t>
            </w:r>
          </w:p>
        </w:tc>
      </w:tr>
      <w:tr w:rsidR="00783018" w:rsidRPr="00783018" w:rsidTr="00971A23">
        <w:trPr>
          <w:trHeight w:val="340"/>
        </w:trPr>
        <w:tc>
          <w:tcPr>
            <w:tcW w:w="520"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5.</w:t>
            </w:r>
          </w:p>
        </w:tc>
        <w:tc>
          <w:tcPr>
            <w:tcW w:w="2592"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Cita informācija</w:t>
            </w:r>
          </w:p>
        </w:tc>
        <w:tc>
          <w:tcPr>
            <w:tcW w:w="6348"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Nav</w:t>
            </w:r>
          </w:p>
        </w:tc>
      </w:tr>
    </w:tbl>
    <w:p w:rsidR="00514A64" w:rsidRPr="00783018" w:rsidRDefault="00E203EE" w:rsidP="00E46100">
      <w:pPr>
        <w:shd w:val="clear" w:color="auto" w:fill="FFFFFF"/>
        <w:ind w:firstLine="300"/>
        <w:rPr>
          <w:rFonts w:eastAsia="Arial"/>
          <w:color w:val="auto"/>
        </w:rPr>
      </w:pPr>
      <w:r w:rsidRPr="00783018">
        <w:rPr>
          <w:rFonts w:eastAsia="Arial"/>
          <w:color w:val="auto"/>
        </w:rPr>
        <w:t> </w:t>
      </w:r>
    </w:p>
    <w:tbl>
      <w:tblPr>
        <w:tblStyle w:val="TableGrid"/>
        <w:tblW w:w="5084" w:type="pct"/>
        <w:tblInd w:w="-147" w:type="dxa"/>
        <w:tblLook w:val="04A0" w:firstRow="1" w:lastRow="0" w:firstColumn="1" w:lastColumn="0" w:noHBand="0" w:noVBand="1"/>
      </w:tblPr>
      <w:tblGrid>
        <w:gridCol w:w="9443"/>
      </w:tblGrid>
      <w:tr w:rsidR="00783018" w:rsidRPr="00783018" w:rsidTr="00F2520A">
        <w:trPr>
          <w:trHeight w:val="360"/>
        </w:trPr>
        <w:tc>
          <w:tcPr>
            <w:tcW w:w="5000" w:type="pct"/>
            <w:vAlign w:val="center"/>
            <w:hideMark/>
          </w:tcPr>
          <w:p w:rsidR="00F24776" w:rsidRPr="00783018" w:rsidRDefault="00E203EE" w:rsidP="006E6375">
            <w:pPr>
              <w:spacing w:before="100" w:beforeAutospacing="1" w:after="100" w:afterAutospacing="1" w:line="360" w:lineRule="auto"/>
              <w:ind w:firstLine="300"/>
              <w:jc w:val="center"/>
              <w:rPr>
                <w:b/>
                <w:bCs/>
                <w:color w:val="auto"/>
              </w:rPr>
            </w:pPr>
            <w:r w:rsidRPr="00783018">
              <w:rPr>
                <w:color w:val="auto"/>
              </w:rPr>
              <w:t> </w:t>
            </w:r>
            <w:r w:rsidR="00F24776" w:rsidRPr="00783018">
              <w:rPr>
                <w:b/>
                <w:bCs/>
                <w:color w:val="auto"/>
              </w:rPr>
              <w:t>III. Tiesību akta projekta ietekme uz valsts budžetu un pašvaldību budžetiem</w:t>
            </w:r>
          </w:p>
        </w:tc>
      </w:tr>
      <w:tr w:rsidR="00783018" w:rsidRPr="00783018" w:rsidTr="00F2520A">
        <w:tc>
          <w:tcPr>
            <w:tcW w:w="5000" w:type="pct"/>
            <w:vAlign w:val="center"/>
          </w:tcPr>
          <w:p w:rsidR="00F24776" w:rsidRPr="00783018" w:rsidRDefault="00F24776" w:rsidP="006E6375">
            <w:pPr>
              <w:spacing w:before="100" w:beforeAutospacing="1" w:after="100" w:afterAutospacing="1" w:line="360" w:lineRule="auto"/>
              <w:ind w:firstLine="300"/>
              <w:jc w:val="center"/>
              <w:rPr>
                <w:color w:val="auto"/>
              </w:rPr>
            </w:pPr>
            <w:r w:rsidRPr="00783018">
              <w:rPr>
                <w:color w:val="auto"/>
              </w:rPr>
              <w:t>Projekts šo jomu neskar.</w:t>
            </w:r>
          </w:p>
        </w:tc>
      </w:tr>
    </w:tbl>
    <w:p w:rsidR="000C7EFF" w:rsidRPr="00783018" w:rsidRDefault="000C7EFF">
      <w:pPr>
        <w:shd w:val="clear" w:color="auto" w:fill="FFFFFF"/>
        <w:ind w:firstLine="300"/>
        <w:rPr>
          <w:color w:val="auto"/>
        </w:rPr>
      </w:pP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43"/>
      </w:tblGrid>
      <w:tr w:rsidR="00783018" w:rsidRPr="00783018" w:rsidTr="006A02CA">
        <w:trPr>
          <w:cantSplit/>
        </w:trPr>
        <w:tc>
          <w:tcPr>
            <w:tcW w:w="5000" w:type="pct"/>
            <w:vAlign w:val="center"/>
            <w:hideMark/>
          </w:tcPr>
          <w:p w:rsidR="00454CCB" w:rsidRPr="00783018" w:rsidRDefault="00E203EE" w:rsidP="00A73F53">
            <w:pPr>
              <w:jc w:val="center"/>
              <w:rPr>
                <w:b/>
                <w:bCs/>
                <w:color w:val="auto"/>
              </w:rPr>
            </w:pPr>
            <w:r w:rsidRPr="00783018">
              <w:rPr>
                <w:rFonts w:eastAsia="Arial"/>
                <w:color w:val="auto"/>
              </w:rPr>
              <w:t> </w:t>
            </w:r>
            <w:r w:rsidR="00454CCB" w:rsidRPr="00783018">
              <w:rPr>
                <w:color w:val="auto"/>
                <w:shd w:val="clear" w:color="auto" w:fill="FFFFFF"/>
              </w:rPr>
              <w:t> </w:t>
            </w:r>
            <w:r w:rsidR="006A02CA" w:rsidRPr="00783018">
              <w:rPr>
                <w:b/>
                <w:color w:val="auto"/>
              </w:rPr>
              <w:t>IV. Tiesību akta projekta ietekme uz spēkā esošo tiesību normu sistēmu</w:t>
            </w:r>
          </w:p>
        </w:tc>
      </w:tr>
      <w:tr w:rsidR="00783018" w:rsidRPr="00783018" w:rsidTr="006A02CA">
        <w:trPr>
          <w:cantSplit/>
          <w:trHeight w:val="162"/>
        </w:trPr>
        <w:tc>
          <w:tcPr>
            <w:tcW w:w="5000" w:type="pct"/>
          </w:tcPr>
          <w:p w:rsidR="00454CCB" w:rsidRPr="00783018" w:rsidRDefault="00454CCB" w:rsidP="00A73F53">
            <w:pPr>
              <w:jc w:val="center"/>
              <w:rPr>
                <w:color w:val="auto"/>
              </w:rPr>
            </w:pPr>
            <w:r w:rsidRPr="00783018">
              <w:rPr>
                <w:color w:val="auto"/>
              </w:rPr>
              <w:t>Projekts šo jomu neskar.</w:t>
            </w:r>
          </w:p>
        </w:tc>
      </w:tr>
    </w:tbl>
    <w:p w:rsidR="000C7EFF" w:rsidRPr="00783018" w:rsidRDefault="000C7EFF">
      <w:pPr>
        <w:shd w:val="clear" w:color="auto" w:fill="FFFFFF"/>
        <w:ind w:firstLine="300"/>
        <w:rPr>
          <w:rFonts w:eastAsia="Arial"/>
          <w:color w:val="auto"/>
        </w:rPr>
      </w:pPr>
    </w:p>
    <w:p w:rsidR="00623A35" w:rsidRPr="00783018" w:rsidRDefault="00623A35" w:rsidP="00623A35">
      <w:pPr>
        <w:rPr>
          <w:color w:val="auto"/>
        </w:rPr>
      </w:pPr>
      <w:r w:rsidRPr="00783018">
        <w:rPr>
          <w:color w:val="auto"/>
          <w:shd w:val="clear" w:color="auto" w:fill="FFFFFF"/>
        </w:rPr>
        <w:t> </w:t>
      </w: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43"/>
      </w:tblGrid>
      <w:tr w:rsidR="00783018" w:rsidRPr="00783018" w:rsidTr="00454CCB">
        <w:trPr>
          <w:cantSplit/>
        </w:trPr>
        <w:tc>
          <w:tcPr>
            <w:tcW w:w="5000" w:type="pct"/>
            <w:vAlign w:val="center"/>
            <w:hideMark/>
          </w:tcPr>
          <w:p w:rsidR="00623A35" w:rsidRPr="00783018" w:rsidRDefault="00623A35" w:rsidP="00A73F53">
            <w:pPr>
              <w:jc w:val="center"/>
              <w:rPr>
                <w:b/>
                <w:bCs/>
                <w:color w:val="auto"/>
              </w:rPr>
            </w:pPr>
            <w:r w:rsidRPr="00783018">
              <w:rPr>
                <w:b/>
                <w:bCs/>
                <w:color w:val="auto"/>
              </w:rPr>
              <w:t>V. Tiesību akta projekta atbilstība Latvijas Republikas starptautiskajām saistībām</w:t>
            </w:r>
          </w:p>
        </w:tc>
      </w:tr>
      <w:tr w:rsidR="00783018" w:rsidRPr="00783018" w:rsidTr="00454CCB">
        <w:trPr>
          <w:cantSplit/>
          <w:trHeight w:val="162"/>
        </w:trPr>
        <w:tc>
          <w:tcPr>
            <w:tcW w:w="5000" w:type="pct"/>
          </w:tcPr>
          <w:p w:rsidR="00623A35" w:rsidRPr="00783018" w:rsidRDefault="00623A35" w:rsidP="00A73F53">
            <w:pPr>
              <w:jc w:val="center"/>
              <w:rPr>
                <w:color w:val="auto"/>
              </w:rPr>
            </w:pPr>
            <w:r w:rsidRPr="00783018">
              <w:rPr>
                <w:color w:val="auto"/>
              </w:rPr>
              <w:t>Projekts šo jomu neskar.</w:t>
            </w:r>
          </w:p>
        </w:tc>
      </w:tr>
    </w:tbl>
    <w:p w:rsidR="001A0810" w:rsidRPr="00783018" w:rsidRDefault="001A0810">
      <w:pPr>
        <w:shd w:val="clear" w:color="auto" w:fill="FFFFFF"/>
        <w:ind w:firstLine="300"/>
        <w:rPr>
          <w:rFonts w:eastAsia="Arial"/>
          <w:color w:val="auto"/>
        </w:rPr>
      </w:pPr>
    </w:p>
    <w:tbl>
      <w:tblPr>
        <w:tblStyle w:val="a6"/>
        <w:tblW w:w="9365"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1547"/>
        <w:gridCol w:w="2511"/>
        <w:gridCol w:w="5307"/>
      </w:tblGrid>
      <w:tr w:rsidR="00783018" w:rsidRPr="00783018" w:rsidTr="00971A23">
        <w:trPr>
          <w:trHeight w:val="420"/>
          <w:jc w:val="center"/>
        </w:trPr>
        <w:tc>
          <w:tcPr>
            <w:tcW w:w="9365" w:type="dxa"/>
            <w:gridSpan w:val="3"/>
            <w:tcBorders>
              <w:top w:val="single" w:sz="6" w:space="0" w:color="414142"/>
              <w:left w:val="single" w:sz="6" w:space="0" w:color="414142"/>
              <w:bottom w:val="single" w:sz="6" w:space="0" w:color="414142"/>
              <w:right w:val="single" w:sz="6" w:space="0" w:color="414142"/>
            </w:tcBorders>
            <w:vAlign w:val="center"/>
          </w:tcPr>
          <w:p w:rsidR="000C7EFF" w:rsidRPr="00783018" w:rsidRDefault="00E203EE">
            <w:pPr>
              <w:jc w:val="center"/>
              <w:rPr>
                <w:b/>
                <w:color w:val="auto"/>
              </w:rPr>
            </w:pPr>
            <w:r w:rsidRPr="00783018">
              <w:rPr>
                <w:b/>
                <w:color w:val="auto"/>
              </w:rPr>
              <w:t>VI. Sabiedrības līdzdalība un komunikācijas aktivitātes</w:t>
            </w:r>
          </w:p>
        </w:tc>
      </w:tr>
      <w:tr w:rsidR="00783018" w:rsidRPr="00783018" w:rsidTr="00971A23">
        <w:trPr>
          <w:trHeight w:val="540"/>
          <w:jc w:val="center"/>
        </w:trPr>
        <w:tc>
          <w:tcPr>
            <w:tcW w:w="1547"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1.</w:t>
            </w:r>
          </w:p>
        </w:tc>
        <w:tc>
          <w:tcPr>
            <w:tcW w:w="2511"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Plānotās sabiedrības līdzdalības un komunikācijas aktivitātes saistībā ar projektu</w:t>
            </w:r>
          </w:p>
        </w:tc>
        <w:tc>
          <w:tcPr>
            <w:tcW w:w="5307" w:type="dxa"/>
            <w:tcBorders>
              <w:top w:val="single" w:sz="6" w:space="0" w:color="414142"/>
              <w:left w:val="single" w:sz="6" w:space="0" w:color="414142"/>
              <w:bottom w:val="single" w:sz="6" w:space="0" w:color="414142"/>
              <w:right w:val="single" w:sz="6" w:space="0" w:color="414142"/>
            </w:tcBorders>
          </w:tcPr>
          <w:p w:rsidR="000C7EFF" w:rsidRPr="00783018" w:rsidRDefault="007D7232">
            <w:pPr>
              <w:spacing w:after="120"/>
              <w:jc w:val="both"/>
              <w:rPr>
                <w:color w:val="auto"/>
              </w:rPr>
            </w:pPr>
            <w:r w:rsidRPr="00783018">
              <w:rPr>
                <w:color w:val="auto"/>
              </w:rPr>
              <w:t>Sabiedrības līdzdalība tika nodrošināta saskaņā ar Ministru kabineta 2009.</w:t>
            </w:r>
            <w:r w:rsidR="000069E7" w:rsidRPr="00783018">
              <w:rPr>
                <w:color w:val="auto"/>
              </w:rPr>
              <w:t> </w:t>
            </w:r>
            <w:r w:rsidRPr="00783018">
              <w:rPr>
                <w:color w:val="auto"/>
              </w:rPr>
              <w:t>gada 25.</w:t>
            </w:r>
            <w:r w:rsidR="000069E7" w:rsidRPr="00783018">
              <w:rPr>
                <w:color w:val="auto"/>
              </w:rPr>
              <w:t> </w:t>
            </w:r>
            <w:r w:rsidRPr="00783018">
              <w:rPr>
                <w:color w:val="auto"/>
              </w:rPr>
              <w:t>augusta noteikumiem Nr.</w:t>
            </w:r>
            <w:r w:rsidR="000069E7" w:rsidRPr="00783018">
              <w:rPr>
                <w:color w:val="auto"/>
              </w:rPr>
              <w:t xml:space="preserve"> </w:t>
            </w:r>
            <w:r w:rsidRPr="00783018">
              <w:rPr>
                <w:color w:val="auto"/>
              </w:rPr>
              <w:t>970 “Sabiedrības līdzdalības kārtība attīstības plānošanas procesā”, sagatavojot un publicējot paziņojumu par līdzdalības procesu.</w:t>
            </w:r>
          </w:p>
        </w:tc>
      </w:tr>
      <w:tr w:rsidR="00783018" w:rsidRPr="00783018" w:rsidTr="00971A23">
        <w:trPr>
          <w:trHeight w:val="320"/>
          <w:jc w:val="center"/>
        </w:trPr>
        <w:tc>
          <w:tcPr>
            <w:tcW w:w="1547"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2.</w:t>
            </w:r>
          </w:p>
        </w:tc>
        <w:tc>
          <w:tcPr>
            <w:tcW w:w="2511"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Sabiedrības līdzdalība projekta izstrādē</w:t>
            </w:r>
          </w:p>
        </w:tc>
        <w:tc>
          <w:tcPr>
            <w:tcW w:w="5307" w:type="dxa"/>
            <w:tcBorders>
              <w:top w:val="single" w:sz="6" w:space="0" w:color="414142"/>
              <w:left w:val="single" w:sz="6" w:space="0" w:color="414142"/>
              <w:bottom w:val="single" w:sz="6" w:space="0" w:color="414142"/>
              <w:right w:val="single" w:sz="6" w:space="0" w:color="414142"/>
            </w:tcBorders>
          </w:tcPr>
          <w:p w:rsidR="000C7EFF" w:rsidRPr="00783018" w:rsidRDefault="00110583" w:rsidP="00A0314F">
            <w:pPr>
              <w:spacing w:after="120"/>
              <w:jc w:val="both"/>
              <w:rPr>
                <w:color w:val="auto"/>
              </w:rPr>
            </w:pPr>
            <w:r w:rsidRPr="00783018">
              <w:rPr>
                <w:color w:val="auto"/>
              </w:rPr>
              <w:t xml:space="preserve">Projekts tika ievietots Iekšlietu ministrijas tīmekļvietnē </w:t>
            </w:r>
            <w:proofErr w:type="spellStart"/>
            <w:r w:rsidRPr="00783018">
              <w:rPr>
                <w:color w:val="auto"/>
              </w:rPr>
              <w:t>www.iem.gov.lv</w:t>
            </w:r>
            <w:proofErr w:type="spellEnd"/>
            <w:r w:rsidRPr="00783018">
              <w:rPr>
                <w:color w:val="auto"/>
              </w:rPr>
              <w:t xml:space="preserve"> sadaļā “Sabiedrības līdzdalība”, </w:t>
            </w:r>
            <w:r w:rsidR="00A0314F" w:rsidRPr="00783018">
              <w:rPr>
                <w:color w:val="auto"/>
              </w:rPr>
              <w:t>aicinot sabiedrību, rakstveida</w:t>
            </w:r>
            <w:r w:rsidRPr="00783018">
              <w:rPr>
                <w:color w:val="auto"/>
              </w:rPr>
              <w:t xml:space="preserve"> izteikt savu viedokli par projektu līdz 2019. gada 28. janvārim. </w:t>
            </w:r>
          </w:p>
        </w:tc>
      </w:tr>
      <w:tr w:rsidR="00783018" w:rsidRPr="00783018" w:rsidTr="00971A23">
        <w:trPr>
          <w:trHeight w:val="460"/>
          <w:jc w:val="center"/>
        </w:trPr>
        <w:tc>
          <w:tcPr>
            <w:tcW w:w="1547"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3.</w:t>
            </w:r>
          </w:p>
        </w:tc>
        <w:tc>
          <w:tcPr>
            <w:tcW w:w="2511"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Sabiedrības līdzdalības rezultāti</w:t>
            </w:r>
          </w:p>
        </w:tc>
        <w:tc>
          <w:tcPr>
            <w:tcW w:w="5307" w:type="dxa"/>
            <w:tcBorders>
              <w:top w:val="single" w:sz="6" w:space="0" w:color="414142"/>
              <w:left w:val="single" w:sz="6" w:space="0" w:color="414142"/>
              <w:bottom w:val="single" w:sz="6" w:space="0" w:color="414142"/>
              <w:right w:val="single" w:sz="6" w:space="0" w:color="414142"/>
            </w:tcBorders>
          </w:tcPr>
          <w:p w:rsidR="000C7EFF" w:rsidRPr="00783018" w:rsidRDefault="00110583" w:rsidP="006420D1">
            <w:pPr>
              <w:spacing w:after="120"/>
              <w:jc w:val="both"/>
              <w:rPr>
                <w:color w:val="auto"/>
              </w:rPr>
            </w:pPr>
            <w:r w:rsidRPr="00783018">
              <w:rPr>
                <w:color w:val="auto"/>
              </w:rPr>
              <w:t xml:space="preserve">Latvijas ieroču, munīcijas un pirotehnikas ražotāju un tirgotāju </w:t>
            </w:r>
            <w:r w:rsidR="00C41279" w:rsidRPr="00783018">
              <w:rPr>
                <w:color w:val="auto"/>
              </w:rPr>
              <w:t>asociācija</w:t>
            </w:r>
            <w:r w:rsidRPr="00783018">
              <w:rPr>
                <w:color w:val="auto"/>
              </w:rPr>
              <w:t xml:space="preserve"> atbalstīja projekta turpmāko virzību bez iebildumiem. Latvijas Šaušanas feder</w:t>
            </w:r>
            <w:r w:rsidR="009F296C" w:rsidRPr="00783018">
              <w:rPr>
                <w:color w:val="auto"/>
              </w:rPr>
              <w:t>ācija</w:t>
            </w:r>
            <w:r w:rsidRPr="00783018">
              <w:rPr>
                <w:color w:val="auto"/>
              </w:rPr>
              <w:t xml:space="preserve"> </w:t>
            </w:r>
            <w:r w:rsidR="009F296C" w:rsidRPr="00783018">
              <w:rPr>
                <w:color w:val="auto"/>
              </w:rPr>
              <w:t>izteica iebildumus</w:t>
            </w:r>
            <w:r w:rsidRPr="00783018">
              <w:rPr>
                <w:color w:val="auto"/>
              </w:rPr>
              <w:t xml:space="preserve">. </w:t>
            </w:r>
            <w:r w:rsidR="009F296C" w:rsidRPr="00783018">
              <w:rPr>
                <w:color w:val="auto"/>
              </w:rPr>
              <w:t>Tika panākta vienošanās p</w:t>
            </w:r>
            <w:r w:rsidRPr="00783018">
              <w:rPr>
                <w:color w:val="auto"/>
              </w:rPr>
              <w:t>ar Latvijas Šaušanas federācijas i</w:t>
            </w:r>
            <w:r w:rsidR="009F296C" w:rsidRPr="00783018">
              <w:rPr>
                <w:color w:val="auto"/>
              </w:rPr>
              <w:t>zteiktiem iebildumiem.</w:t>
            </w:r>
          </w:p>
        </w:tc>
      </w:tr>
      <w:tr w:rsidR="00783018" w:rsidRPr="00783018" w:rsidTr="00971A23">
        <w:trPr>
          <w:trHeight w:val="460"/>
          <w:jc w:val="center"/>
        </w:trPr>
        <w:tc>
          <w:tcPr>
            <w:tcW w:w="1547"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4.</w:t>
            </w:r>
          </w:p>
        </w:tc>
        <w:tc>
          <w:tcPr>
            <w:tcW w:w="2511"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Cita informācija</w:t>
            </w:r>
          </w:p>
        </w:tc>
        <w:tc>
          <w:tcPr>
            <w:tcW w:w="5307" w:type="dxa"/>
            <w:tcBorders>
              <w:top w:val="single" w:sz="6" w:space="0" w:color="414142"/>
              <w:left w:val="single" w:sz="6" w:space="0" w:color="414142"/>
              <w:bottom w:val="single" w:sz="6" w:space="0" w:color="414142"/>
              <w:right w:val="single" w:sz="6" w:space="0" w:color="414142"/>
            </w:tcBorders>
          </w:tcPr>
          <w:p w:rsidR="000C7EFF" w:rsidRPr="00783018" w:rsidRDefault="00192AE7" w:rsidP="00DD2AC8">
            <w:pPr>
              <w:spacing w:after="120"/>
              <w:jc w:val="both"/>
              <w:rPr>
                <w:color w:val="auto"/>
              </w:rPr>
            </w:pPr>
            <w:r w:rsidRPr="00783018">
              <w:rPr>
                <w:color w:val="auto"/>
              </w:rPr>
              <w:t xml:space="preserve">Latvijas Šaušanas federācija </w:t>
            </w:r>
            <w:r w:rsidR="00DD2AC8" w:rsidRPr="00783018">
              <w:rPr>
                <w:color w:val="auto"/>
              </w:rPr>
              <w:t>saskaņošanas sanāksm</w:t>
            </w:r>
            <w:r w:rsidR="007B4331" w:rsidRPr="00783018">
              <w:rPr>
                <w:color w:val="auto"/>
              </w:rPr>
              <w:t>es laikā</w:t>
            </w:r>
            <w:r w:rsidR="00890AC8" w:rsidRPr="00783018">
              <w:rPr>
                <w:color w:val="auto"/>
              </w:rPr>
              <w:t>, kas notika 2019.gada 4.aprīlī,</w:t>
            </w:r>
            <w:r w:rsidR="00DD2AC8" w:rsidRPr="00783018">
              <w:rPr>
                <w:color w:val="auto"/>
              </w:rPr>
              <w:t xml:space="preserve"> iesniedza viedokli par projektu. </w:t>
            </w:r>
            <w:r w:rsidR="007B4331" w:rsidRPr="00783018">
              <w:rPr>
                <w:color w:val="auto"/>
              </w:rPr>
              <w:t>P</w:t>
            </w:r>
            <w:r w:rsidR="00C51716" w:rsidRPr="00783018">
              <w:rPr>
                <w:color w:val="auto"/>
              </w:rPr>
              <w:t>ar</w:t>
            </w:r>
            <w:r w:rsidR="007B4331" w:rsidRPr="00783018">
              <w:rPr>
                <w:color w:val="auto"/>
              </w:rPr>
              <w:t xml:space="preserve"> izteikto viedokli, uzklausot saskaņošanas institūciju dalībniekus, tika panākta vienošanās.</w:t>
            </w:r>
          </w:p>
        </w:tc>
      </w:tr>
    </w:tbl>
    <w:p w:rsidR="000C7EFF" w:rsidRPr="00783018" w:rsidRDefault="00E203EE">
      <w:pPr>
        <w:shd w:val="clear" w:color="auto" w:fill="FFFFFF"/>
        <w:ind w:firstLine="300"/>
        <w:rPr>
          <w:color w:val="auto"/>
        </w:rPr>
      </w:pPr>
      <w:r w:rsidRPr="00783018">
        <w:rPr>
          <w:rFonts w:eastAsia="Arial"/>
          <w:color w:val="auto"/>
        </w:rPr>
        <w:t> </w:t>
      </w:r>
    </w:p>
    <w:tbl>
      <w:tblPr>
        <w:tblStyle w:val="a7"/>
        <w:tblW w:w="9206"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618"/>
        <w:gridCol w:w="3180"/>
        <w:gridCol w:w="5408"/>
      </w:tblGrid>
      <w:tr w:rsidR="00783018" w:rsidRPr="00783018" w:rsidTr="00F2520A">
        <w:trPr>
          <w:trHeight w:val="360"/>
          <w:jc w:val="center"/>
        </w:trPr>
        <w:tc>
          <w:tcPr>
            <w:tcW w:w="9206" w:type="dxa"/>
            <w:gridSpan w:val="3"/>
            <w:tcBorders>
              <w:top w:val="single" w:sz="6" w:space="0" w:color="414142"/>
              <w:left w:val="single" w:sz="6" w:space="0" w:color="414142"/>
              <w:bottom w:val="single" w:sz="6" w:space="0" w:color="414142"/>
              <w:right w:val="single" w:sz="6" w:space="0" w:color="414142"/>
            </w:tcBorders>
            <w:vAlign w:val="center"/>
          </w:tcPr>
          <w:p w:rsidR="000C7EFF" w:rsidRPr="00783018" w:rsidRDefault="00E203EE">
            <w:pPr>
              <w:jc w:val="center"/>
              <w:rPr>
                <w:b/>
                <w:color w:val="auto"/>
              </w:rPr>
            </w:pPr>
            <w:r w:rsidRPr="00783018">
              <w:rPr>
                <w:b/>
                <w:color w:val="auto"/>
              </w:rPr>
              <w:t>VII. Tiesību akta projekta izpildes nodrošināšana un tās ietekme uz institūcijām</w:t>
            </w:r>
          </w:p>
        </w:tc>
      </w:tr>
      <w:tr w:rsidR="00783018" w:rsidRPr="00783018" w:rsidTr="00F2520A">
        <w:trPr>
          <w:trHeight w:val="420"/>
          <w:jc w:val="center"/>
        </w:trPr>
        <w:tc>
          <w:tcPr>
            <w:tcW w:w="618"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1.</w:t>
            </w:r>
          </w:p>
        </w:tc>
        <w:tc>
          <w:tcPr>
            <w:tcW w:w="3180"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Projekta izpildē iesaistītās institūcijas</w:t>
            </w:r>
          </w:p>
        </w:tc>
        <w:tc>
          <w:tcPr>
            <w:tcW w:w="5408" w:type="dxa"/>
            <w:tcBorders>
              <w:top w:val="single" w:sz="6" w:space="0" w:color="414142"/>
              <w:left w:val="single" w:sz="6" w:space="0" w:color="414142"/>
              <w:bottom w:val="single" w:sz="6" w:space="0" w:color="414142"/>
              <w:right w:val="single" w:sz="6" w:space="0" w:color="414142"/>
            </w:tcBorders>
          </w:tcPr>
          <w:p w:rsidR="000C7EFF" w:rsidRPr="00783018" w:rsidRDefault="00E203EE" w:rsidP="0099462E">
            <w:pPr>
              <w:spacing w:after="120"/>
              <w:jc w:val="both"/>
              <w:rPr>
                <w:color w:val="auto"/>
              </w:rPr>
            </w:pPr>
            <w:r w:rsidRPr="00783018">
              <w:rPr>
                <w:color w:val="auto"/>
              </w:rPr>
              <w:t>Valsts policija,</w:t>
            </w:r>
            <w:r w:rsidR="00200061" w:rsidRPr="00783018">
              <w:rPr>
                <w:color w:val="auto"/>
              </w:rPr>
              <w:t xml:space="preserve"> </w:t>
            </w:r>
            <w:r w:rsidR="006E40F1" w:rsidRPr="00783018">
              <w:rPr>
                <w:color w:val="auto"/>
              </w:rPr>
              <w:t>Zemkopības ministrija</w:t>
            </w:r>
            <w:r w:rsidR="00860F96" w:rsidRPr="00783018">
              <w:rPr>
                <w:color w:val="auto"/>
              </w:rPr>
              <w:t xml:space="preserve">, </w:t>
            </w:r>
            <w:r w:rsidR="0099462E" w:rsidRPr="00783018">
              <w:rPr>
                <w:color w:val="auto"/>
              </w:rPr>
              <w:t>Latvijas Sporta federāciju padome</w:t>
            </w:r>
            <w:r w:rsidR="00294153" w:rsidRPr="00783018">
              <w:rPr>
                <w:color w:val="auto"/>
              </w:rPr>
              <w:t>, Kultūras ministrija, Aizsardzības ministrija, kā arī Ārlietu ministrija.</w:t>
            </w:r>
            <w:r w:rsidR="00860F96" w:rsidRPr="00783018">
              <w:rPr>
                <w:color w:val="auto"/>
              </w:rPr>
              <w:t xml:space="preserve"> </w:t>
            </w:r>
          </w:p>
        </w:tc>
      </w:tr>
      <w:tr w:rsidR="00783018" w:rsidRPr="00783018" w:rsidTr="00F2520A">
        <w:trPr>
          <w:trHeight w:val="440"/>
          <w:jc w:val="center"/>
        </w:trPr>
        <w:tc>
          <w:tcPr>
            <w:tcW w:w="618"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2.</w:t>
            </w:r>
          </w:p>
        </w:tc>
        <w:tc>
          <w:tcPr>
            <w:tcW w:w="3180"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Projekta izpildes ietekme uz pārvaldes funkcijām un institucionālo struktūru.</w:t>
            </w:r>
          </w:p>
          <w:p w:rsidR="000C7EFF" w:rsidRPr="00783018" w:rsidRDefault="00E203EE">
            <w:pPr>
              <w:rPr>
                <w:color w:val="auto"/>
              </w:rPr>
            </w:pPr>
            <w:r w:rsidRPr="00783018">
              <w:rPr>
                <w:color w:val="auto"/>
              </w:rPr>
              <w:t xml:space="preserve">Jaunu institūciju izveide, esošu institūciju likvidācija vai </w:t>
            </w:r>
            <w:r w:rsidRPr="00783018">
              <w:rPr>
                <w:color w:val="auto"/>
              </w:rPr>
              <w:lastRenderedPageBreak/>
              <w:t>reorganizācija, to ietekme uz institūcijas cilvēkresursiem</w:t>
            </w:r>
          </w:p>
        </w:tc>
        <w:tc>
          <w:tcPr>
            <w:tcW w:w="5408" w:type="dxa"/>
            <w:tcBorders>
              <w:top w:val="single" w:sz="6" w:space="0" w:color="414142"/>
              <w:left w:val="single" w:sz="6" w:space="0" w:color="414142"/>
              <w:bottom w:val="single" w:sz="6" w:space="0" w:color="414142"/>
              <w:right w:val="single" w:sz="6" w:space="0" w:color="414142"/>
            </w:tcBorders>
          </w:tcPr>
          <w:p w:rsidR="000C7EFF" w:rsidRPr="00783018" w:rsidRDefault="00E203EE">
            <w:pPr>
              <w:spacing w:after="120"/>
              <w:jc w:val="both"/>
              <w:rPr>
                <w:color w:val="auto"/>
              </w:rPr>
            </w:pPr>
            <w:r w:rsidRPr="00783018">
              <w:rPr>
                <w:color w:val="auto"/>
              </w:rPr>
              <w:lastRenderedPageBreak/>
              <w:t>Projekta izpildes rezultātā nav paredzēta esošu institūciju likvidācija vai reorganizācija. Iestāžu institucionālā struktūra netiek ietekmēta, papildus cilvēkresursi nav nepieciešami.</w:t>
            </w:r>
          </w:p>
        </w:tc>
      </w:tr>
      <w:tr w:rsidR="000C7EFF" w:rsidRPr="00783018" w:rsidTr="00F2520A">
        <w:trPr>
          <w:trHeight w:val="380"/>
          <w:jc w:val="center"/>
        </w:trPr>
        <w:tc>
          <w:tcPr>
            <w:tcW w:w="618"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3.</w:t>
            </w:r>
          </w:p>
        </w:tc>
        <w:tc>
          <w:tcPr>
            <w:tcW w:w="3180" w:type="dxa"/>
            <w:tcBorders>
              <w:top w:val="single" w:sz="6" w:space="0" w:color="414142"/>
              <w:left w:val="single" w:sz="6" w:space="0" w:color="414142"/>
              <w:bottom w:val="single" w:sz="6" w:space="0" w:color="414142"/>
              <w:right w:val="single" w:sz="6" w:space="0" w:color="414142"/>
            </w:tcBorders>
          </w:tcPr>
          <w:p w:rsidR="000C7EFF" w:rsidRPr="00783018" w:rsidRDefault="00E203EE">
            <w:pPr>
              <w:rPr>
                <w:color w:val="auto"/>
              </w:rPr>
            </w:pPr>
            <w:r w:rsidRPr="00783018">
              <w:rPr>
                <w:color w:val="auto"/>
              </w:rPr>
              <w:t>Cita informācija</w:t>
            </w:r>
          </w:p>
        </w:tc>
        <w:tc>
          <w:tcPr>
            <w:tcW w:w="5408" w:type="dxa"/>
            <w:tcBorders>
              <w:top w:val="single" w:sz="6" w:space="0" w:color="414142"/>
              <w:left w:val="single" w:sz="6" w:space="0" w:color="414142"/>
              <w:bottom w:val="single" w:sz="6" w:space="0" w:color="414142"/>
              <w:right w:val="single" w:sz="6" w:space="0" w:color="414142"/>
            </w:tcBorders>
          </w:tcPr>
          <w:p w:rsidR="000C7EFF" w:rsidRPr="00783018" w:rsidRDefault="00E203EE">
            <w:pPr>
              <w:spacing w:after="120"/>
              <w:rPr>
                <w:color w:val="auto"/>
              </w:rPr>
            </w:pPr>
            <w:r w:rsidRPr="00783018">
              <w:rPr>
                <w:color w:val="auto"/>
              </w:rPr>
              <w:t>Nav</w:t>
            </w:r>
          </w:p>
        </w:tc>
      </w:tr>
    </w:tbl>
    <w:p w:rsidR="00CC2732" w:rsidRPr="00783018" w:rsidRDefault="00CC2732">
      <w:pPr>
        <w:tabs>
          <w:tab w:val="left" w:pos="6237"/>
        </w:tabs>
        <w:spacing w:after="120"/>
        <w:rPr>
          <w:color w:val="auto"/>
        </w:rPr>
      </w:pPr>
    </w:p>
    <w:p w:rsidR="00681AC5" w:rsidRDefault="00681AC5" w:rsidP="001A479C">
      <w:pPr>
        <w:tabs>
          <w:tab w:val="left" w:pos="6237"/>
        </w:tabs>
        <w:spacing w:after="120"/>
        <w:rPr>
          <w:color w:val="auto"/>
        </w:rPr>
      </w:pPr>
      <w:r>
        <w:rPr>
          <w:color w:val="auto"/>
        </w:rPr>
        <w:t xml:space="preserve"> </w:t>
      </w:r>
    </w:p>
    <w:p w:rsidR="00681AC5" w:rsidRDefault="00681AC5" w:rsidP="001A479C">
      <w:pPr>
        <w:tabs>
          <w:tab w:val="left" w:pos="6237"/>
        </w:tabs>
        <w:spacing w:after="120"/>
        <w:rPr>
          <w:color w:val="auto"/>
        </w:rPr>
      </w:pPr>
    </w:p>
    <w:p w:rsidR="00681AC5" w:rsidRDefault="00681AC5" w:rsidP="001A479C">
      <w:pPr>
        <w:tabs>
          <w:tab w:val="left" w:pos="6237"/>
        </w:tabs>
        <w:spacing w:after="120"/>
        <w:rPr>
          <w:color w:val="auto"/>
        </w:rPr>
      </w:pPr>
    </w:p>
    <w:p w:rsidR="00681AC5" w:rsidRDefault="00681AC5" w:rsidP="001A479C">
      <w:pPr>
        <w:tabs>
          <w:tab w:val="left" w:pos="6237"/>
        </w:tabs>
        <w:spacing w:after="120"/>
        <w:rPr>
          <w:color w:val="auto"/>
        </w:rPr>
      </w:pPr>
    </w:p>
    <w:p w:rsidR="00681AC5" w:rsidRDefault="00681AC5" w:rsidP="001A479C">
      <w:pPr>
        <w:tabs>
          <w:tab w:val="left" w:pos="6237"/>
        </w:tabs>
        <w:spacing w:after="120"/>
        <w:rPr>
          <w:color w:val="auto"/>
        </w:rPr>
      </w:pPr>
    </w:p>
    <w:p w:rsidR="000C7EFF" w:rsidRPr="00783018" w:rsidRDefault="00C90FC9" w:rsidP="001A479C">
      <w:pPr>
        <w:tabs>
          <w:tab w:val="left" w:pos="6237"/>
        </w:tabs>
        <w:spacing w:after="120"/>
        <w:rPr>
          <w:color w:val="auto"/>
        </w:rPr>
      </w:pPr>
      <w:r w:rsidRPr="00783018">
        <w:rPr>
          <w:color w:val="auto"/>
        </w:rPr>
        <w:t xml:space="preserve">Iekšlietu </w:t>
      </w:r>
      <w:r w:rsidR="00CC2732" w:rsidRPr="00783018">
        <w:rPr>
          <w:color w:val="auto"/>
        </w:rPr>
        <w:t>ministrs</w:t>
      </w:r>
      <w:r w:rsidR="00CC2732" w:rsidRPr="00783018">
        <w:rPr>
          <w:color w:val="auto"/>
        </w:rPr>
        <w:tab/>
      </w:r>
      <w:r w:rsidR="00681AC5">
        <w:rPr>
          <w:color w:val="auto"/>
        </w:rPr>
        <w:tab/>
      </w:r>
      <w:r w:rsidR="00246BBB" w:rsidRPr="00783018">
        <w:rPr>
          <w:color w:val="auto"/>
        </w:rPr>
        <w:t xml:space="preserve"> </w:t>
      </w:r>
      <w:r w:rsidR="00246BBB" w:rsidRPr="00783018">
        <w:rPr>
          <w:color w:val="auto"/>
        </w:rPr>
        <w:tab/>
      </w:r>
      <w:r w:rsidR="00CC2732" w:rsidRPr="00783018">
        <w:rPr>
          <w:color w:val="auto"/>
        </w:rPr>
        <w:t xml:space="preserve">Sandis </w:t>
      </w:r>
      <w:proofErr w:type="spellStart"/>
      <w:r w:rsidRPr="00783018">
        <w:rPr>
          <w:color w:val="auto"/>
        </w:rPr>
        <w:t>Ģirģens</w:t>
      </w:r>
      <w:proofErr w:type="spellEnd"/>
    </w:p>
    <w:p w:rsidR="006420D1" w:rsidRPr="00783018" w:rsidRDefault="006420D1" w:rsidP="00246BBB">
      <w:pPr>
        <w:rPr>
          <w:color w:val="auto"/>
        </w:rPr>
      </w:pPr>
    </w:p>
    <w:p w:rsidR="00F2520A" w:rsidRPr="00783018" w:rsidRDefault="00F2520A" w:rsidP="00246BBB">
      <w:pPr>
        <w:rPr>
          <w:color w:val="auto"/>
        </w:rPr>
      </w:pPr>
    </w:p>
    <w:p w:rsidR="000C7EFF" w:rsidRPr="00783018" w:rsidRDefault="00E203EE" w:rsidP="00246BBB">
      <w:pPr>
        <w:rPr>
          <w:color w:val="auto"/>
        </w:rPr>
      </w:pPr>
      <w:r w:rsidRPr="00783018">
        <w:rPr>
          <w:color w:val="auto"/>
        </w:rPr>
        <w:t>Vīza:</w:t>
      </w:r>
    </w:p>
    <w:p w:rsidR="000C7EFF" w:rsidRPr="00783018" w:rsidRDefault="00246BBB" w:rsidP="00246BBB">
      <w:pPr>
        <w:tabs>
          <w:tab w:val="left" w:pos="6237"/>
        </w:tabs>
        <w:rPr>
          <w:color w:val="auto"/>
        </w:rPr>
      </w:pPr>
      <w:r w:rsidRPr="00783018">
        <w:rPr>
          <w:color w:val="auto"/>
        </w:rPr>
        <w:t>valsts sekretārs</w:t>
      </w:r>
      <w:r w:rsidRPr="00783018">
        <w:rPr>
          <w:color w:val="auto"/>
        </w:rPr>
        <w:tab/>
      </w:r>
      <w:r w:rsidR="00681AC5">
        <w:rPr>
          <w:color w:val="auto"/>
        </w:rPr>
        <w:t xml:space="preserve">              </w:t>
      </w:r>
      <w:bookmarkStart w:id="1" w:name="_GoBack"/>
      <w:bookmarkEnd w:id="1"/>
      <w:r w:rsidRPr="00783018">
        <w:rPr>
          <w:color w:val="auto"/>
        </w:rPr>
        <w:t xml:space="preserve"> </w:t>
      </w:r>
      <w:proofErr w:type="spellStart"/>
      <w:r w:rsidR="00CC2732" w:rsidRPr="00783018">
        <w:rPr>
          <w:color w:val="auto"/>
        </w:rPr>
        <w:t>Dimitrijs</w:t>
      </w:r>
      <w:proofErr w:type="spellEnd"/>
      <w:r w:rsidR="00CC2732" w:rsidRPr="00783018">
        <w:rPr>
          <w:color w:val="auto"/>
        </w:rPr>
        <w:t xml:space="preserve"> </w:t>
      </w:r>
      <w:proofErr w:type="spellStart"/>
      <w:r w:rsidR="00E203EE" w:rsidRPr="00783018">
        <w:rPr>
          <w:color w:val="auto"/>
        </w:rPr>
        <w:t>Trofimovs</w:t>
      </w:r>
      <w:proofErr w:type="spellEnd"/>
    </w:p>
    <w:p w:rsidR="006420D1" w:rsidRPr="00783018" w:rsidRDefault="00681AC5">
      <w:pPr>
        <w:rPr>
          <w:color w:val="auto"/>
          <w:sz w:val="20"/>
          <w:szCs w:val="20"/>
        </w:rPr>
      </w:pPr>
      <w:r>
        <w:rPr>
          <w:color w:val="auto"/>
          <w:sz w:val="20"/>
          <w:szCs w:val="20"/>
        </w:rPr>
        <w:tab/>
      </w:r>
    </w:p>
    <w:p w:rsidR="00F2520A" w:rsidRPr="00783018" w:rsidRDefault="00F2520A">
      <w:pPr>
        <w:rPr>
          <w:color w:val="auto"/>
          <w:sz w:val="20"/>
          <w:szCs w:val="20"/>
        </w:rPr>
      </w:pPr>
    </w:p>
    <w:p w:rsidR="00F2520A" w:rsidRPr="00783018" w:rsidRDefault="00F2520A">
      <w:pPr>
        <w:rPr>
          <w:color w:val="auto"/>
          <w:sz w:val="20"/>
          <w:szCs w:val="20"/>
        </w:rPr>
      </w:pPr>
    </w:p>
    <w:p w:rsidR="00F2520A" w:rsidRPr="00783018" w:rsidRDefault="00F2520A">
      <w:pPr>
        <w:rPr>
          <w:color w:val="auto"/>
          <w:sz w:val="20"/>
          <w:szCs w:val="20"/>
        </w:rPr>
      </w:pPr>
    </w:p>
    <w:p w:rsidR="00F2520A" w:rsidRPr="00783018" w:rsidRDefault="00F2520A">
      <w:pPr>
        <w:rPr>
          <w:color w:val="auto"/>
          <w:sz w:val="20"/>
          <w:szCs w:val="20"/>
        </w:rPr>
      </w:pPr>
    </w:p>
    <w:p w:rsidR="00F2520A" w:rsidRPr="00783018" w:rsidRDefault="00F2520A">
      <w:pPr>
        <w:rPr>
          <w:color w:val="auto"/>
          <w:sz w:val="20"/>
          <w:szCs w:val="20"/>
        </w:rPr>
      </w:pPr>
    </w:p>
    <w:p w:rsidR="00F2520A" w:rsidRPr="00783018" w:rsidRDefault="00F2520A">
      <w:pPr>
        <w:rPr>
          <w:color w:val="auto"/>
          <w:sz w:val="20"/>
          <w:szCs w:val="20"/>
        </w:rPr>
      </w:pPr>
    </w:p>
    <w:p w:rsidR="00F2520A" w:rsidRDefault="00F2520A">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32124F" w:rsidRDefault="0032124F">
      <w:pPr>
        <w:rPr>
          <w:color w:val="auto"/>
          <w:sz w:val="20"/>
          <w:szCs w:val="20"/>
        </w:rPr>
      </w:pPr>
    </w:p>
    <w:p w:rsidR="00F2520A" w:rsidRPr="00783018" w:rsidRDefault="00F2520A">
      <w:pPr>
        <w:rPr>
          <w:color w:val="auto"/>
          <w:sz w:val="20"/>
          <w:szCs w:val="20"/>
        </w:rPr>
      </w:pPr>
    </w:p>
    <w:p w:rsidR="00F2520A" w:rsidRPr="00783018" w:rsidRDefault="00F2520A">
      <w:pPr>
        <w:rPr>
          <w:color w:val="auto"/>
          <w:sz w:val="20"/>
          <w:szCs w:val="20"/>
        </w:rPr>
      </w:pPr>
    </w:p>
    <w:p w:rsidR="00F2520A" w:rsidRPr="00783018" w:rsidRDefault="00F2520A">
      <w:pPr>
        <w:rPr>
          <w:color w:val="auto"/>
          <w:sz w:val="20"/>
          <w:szCs w:val="20"/>
        </w:rPr>
      </w:pPr>
    </w:p>
    <w:p w:rsidR="00F2520A" w:rsidRPr="00783018" w:rsidRDefault="00F2520A">
      <w:pPr>
        <w:rPr>
          <w:color w:val="auto"/>
          <w:sz w:val="20"/>
          <w:szCs w:val="20"/>
        </w:rPr>
      </w:pPr>
    </w:p>
    <w:p w:rsidR="00F2520A" w:rsidRPr="00783018" w:rsidRDefault="00F2520A">
      <w:pPr>
        <w:rPr>
          <w:color w:val="auto"/>
          <w:sz w:val="20"/>
          <w:szCs w:val="20"/>
        </w:rPr>
      </w:pPr>
    </w:p>
    <w:p w:rsidR="00F2520A" w:rsidRPr="00783018" w:rsidRDefault="00F2520A">
      <w:pPr>
        <w:rPr>
          <w:color w:val="auto"/>
          <w:sz w:val="20"/>
          <w:szCs w:val="20"/>
        </w:rPr>
      </w:pPr>
    </w:p>
    <w:p w:rsidR="000C7EFF" w:rsidRPr="00783018" w:rsidRDefault="00E203EE">
      <w:pPr>
        <w:rPr>
          <w:color w:val="auto"/>
          <w:sz w:val="20"/>
          <w:szCs w:val="20"/>
        </w:rPr>
      </w:pPr>
      <w:proofErr w:type="spellStart"/>
      <w:r w:rsidRPr="00783018">
        <w:rPr>
          <w:color w:val="auto"/>
          <w:sz w:val="20"/>
          <w:szCs w:val="20"/>
        </w:rPr>
        <w:t>A.Melkers</w:t>
      </w:r>
      <w:proofErr w:type="spellEnd"/>
      <w:r w:rsidRPr="00783018">
        <w:rPr>
          <w:color w:val="auto"/>
          <w:sz w:val="20"/>
          <w:szCs w:val="20"/>
        </w:rPr>
        <w:t xml:space="preserve"> 67208232</w:t>
      </w:r>
    </w:p>
    <w:p w:rsidR="000C7EFF" w:rsidRPr="00783018" w:rsidRDefault="00681AC5">
      <w:pPr>
        <w:tabs>
          <w:tab w:val="left" w:pos="6237"/>
        </w:tabs>
        <w:rPr>
          <w:color w:val="auto"/>
          <w:sz w:val="20"/>
          <w:szCs w:val="20"/>
        </w:rPr>
      </w:pPr>
      <w:hyperlink r:id="rId11">
        <w:r w:rsidR="00E203EE" w:rsidRPr="00783018">
          <w:rPr>
            <w:color w:val="auto"/>
            <w:sz w:val="20"/>
            <w:szCs w:val="20"/>
            <w:u w:val="single"/>
          </w:rPr>
          <w:t>andris.melkers@vp.gov.lv</w:t>
        </w:r>
      </w:hyperlink>
      <w:r w:rsidR="00E203EE" w:rsidRPr="00783018">
        <w:rPr>
          <w:color w:val="auto"/>
          <w:sz w:val="20"/>
          <w:szCs w:val="20"/>
        </w:rPr>
        <w:t xml:space="preserve"> </w:t>
      </w:r>
    </w:p>
    <w:sectPr w:rsidR="000C7EFF" w:rsidRPr="00783018" w:rsidSect="00971A23">
      <w:headerReference w:type="even" r:id="rId12"/>
      <w:headerReference w:type="default" r:id="rId13"/>
      <w:footerReference w:type="even" r:id="rId14"/>
      <w:footerReference w:type="default" r:id="rId15"/>
      <w:headerReference w:type="first" r:id="rId16"/>
      <w:footerReference w:type="first" r:id="rId17"/>
      <w:pgSz w:w="11906" w:h="16838"/>
      <w:pgMar w:top="1021" w:right="1021" w:bottom="1021" w:left="158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CE6" w:rsidRDefault="009A6CE6">
      <w:r>
        <w:separator/>
      </w:r>
    </w:p>
  </w:endnote>
  <w:endnote w:type="continuationSeparator" w:id="0">
    <w:p w:rsidR="009A6CE6" w:rsidRDefault="009A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BC" w:rsidRDefault="00FC7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40" w:rsidRPr="003468DB" w:rsidRDefault="00FC79BC" w:rsidP="00FD229D">
    <w:pPr>
      <w:tabs>
        <w:tab w:val="center" w:pos="4153"/>
        <w:tab w:val="right" w:pos="8306"/>
      </w:tabs>
      <w:jc w:val="both"/>
      <w:rPr>
        <w:sz w:val="20"/>
        <w:szCs w:val="20"/>
      </w:rPr>
    </w:pPr>
    <w:r>
      <w:rPr>
        <w:sz w:val="20"/>
        <w:szCs w:val="20"/>
      </w:rPr>
      <w:t>IEMAnot_1</w:t>
    </w:r>
    <w:r w:rsidR="00960AC0">
      <w:rPr>
        <w:sz w:val="20"/>
        <w:szCs w:val="20"/>
      </w:rPr>
      <w:t>804</w:t>
    </w:r>
    <w:r w:rsidR="00BD5CF3">
      <w:rPr>
        <w:sz w:val="20"/>
        <w:szCs w:val="20"/>
      </w:rPr>
      <w:t>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40" w:rsidRDefault="004172CB">
    <w:pPr>
      <w:tabs>
        <w:tab w:val="center" w:pos="4153"/>
        <w:tab w:val="right" w:pos="8306"/>
      </w:tabs>
      <w:jc w:val="both"/>
      <w:rPr>
        <w:sz w:val="20"/>
        <w:szCs w:val="20"/>
      </w:rPr>
    </w:pPr>
    <w:r>
      <w:rPr>
        <w:sz w:val="20"/>
        <w:szCs w:val="20"/>
      </w:rPr>
      <w:t>IEMAnot_</w:t>
    </w:r>
    <w:r w:rsidR="00FC79BC">
      <w:rPr>
        <w:sz w:val="20"/>
        <w:szCs w:val="20"/>
      </w:rPr>
      <w:t>1</w:t>
    </w:r>
    <w:r>
      <w:rPr>
        <w:sz w:val="20"/>
        <w:szCs w:val="20"/>
      </w:rPr>
      <w:t>804</w:t>
    </w:r>
    <w:r w:rsidR="00294153">
      <w:rPr>
        <w:sz w:val="20"/>
        <w:szCs w:val="20"/>
      </w:rPr>
      <w:t>19</w:t>
    </w:r>
    <w:r w:rsidR="00FD229D">
      <w:t xml:space="preserve"> </w:t>
    </w:r>
  </w:p>
  <w:p w:rsidR="00816740" w:rsidRDefault="00816740">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CE6" w:rsidRDefault="009A6CE6">
      <w:r>
        <w:separator/>
      </w:r>
    </w:p>
  </w:footnote>
  <w:footnote w:type="continuationSeparator" w:id="0">
    <w:p w:rsidR="009A6CE6" w:rsidRDefault="009A6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BC" w:rsidRDefault="00FC7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40" w:rsidRDefault="00816740">
    <w:pPr>
      <w:tabs>
        <w:tab w:val="center" w:pos="4153"/>
        <w:tab w:val="right" w:pos="8306"/>
      </w:tabs>
      <w:jc w:val="center"/>
    </w:pPr>
    <w:r>
      <w:fldChar w:fldCharType="begin"/>
    </w:r>
    <w:r>
      <w:instrText>PAGE</w:instrText>
    </w:r>
    <w:r>
      <w:fldChar w:fldCharType="separate"/>
    </w:r>
    <w:r w:rsidR="00681AC5">
      <w:rPr>
        <w:noProof/>
      </w:rPr>
      <w:t>5</w:t>
    </w:r>
    <w:r>
      <w:fldChar w:fldCharType="end"/>
    </w:r>
  </w:p>
  <w:p w:rsidR="00816740" w:rsidRDefault="00816740">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BC" w:rsidRDefault="00FC7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6000"/>
    <w:multiLevelType w:val="hybridMultilevel"/>
    <w:tmpl w:val="43987AC2"/>
    <w:lvl w:ilvl="0" w:tplc="04260001">
      <w:start w:val="1"/>
      <w:numFmt w:val="bullet"/>
      <w:lvlText w:val=""/>
      <w:lvlJc w:val="left"/>
      <w:pPr>
        <w:ind w:left="1670" w:hanging="360"/>
      </w:pPr>
      <w:rPr>
        <w:rFonts w:ascii="Symbol" w:hAnsi="Symbol" w:hint="default"/>
      </w:rPr>
    </w:lvl>
    <w:lvl w:ilvl="1" w:tplc="04260001">
      <w:start w:val="1"/>
      <w:numFmt w:val="bullet"/>
      <w:lvlText w:val=""/>
      <w:lvlJc w:val="left"/>
      <w:pPr>
        <w:ind w:left="2390" w:hanging="360"/>
      </w:pPr>
      <w:rPr>
        <w:rFonts w:ascii="Symbol" w:hAnsi="Symbol" w:hint="default"/>
      </w:rPr>
    </w:lvl>
    <w:lvl w:ilvl="2" w:tplc="04260005">
      <w:start w:val="1"/>
      <w:numFmt w:val="bullet"/>
      <w:lvlText w:val=""/>
      <w:lvlJc w:val="left"/>
      <w:pPr>
        <w:ind w:left="3110" w:hanging="360"/>
      </w:pPr>
      <w:rPr>
        <w:rFonts w:ascii="Wingdings" w:hAnsi="Wingdings" w:hint="default"/>
      </w:rPr>
    </w:lvl>
    <w:lvl w:ilvl="3" w:tplc="04260001">
      <w:start w:val="1"/>
      <w:numFmt w:val="bullet"/>
      <w:lvlText w:val=""/>
      <w:lvlJc w:val="left"/>
      <w:pPr>
        <w:ind w:left="3830" w:hanging="360"/>
      </w:pPr>
      <w:rPr>
        <w:rFonts w:ascii="Symbol" w:hAnsi="Symbol" w:hint="default"/>
      </w:rPr>
    </w:lvl>
    <w:lvl w:ilvl="4" w:tplc="04260003">
      <w:start w:val="1"/>
      <w:numFmt w:val="bullet"/>
      <w:lvlText w:val="o"/>
      <w:lvlJc w:val="left"/>
      <w:pPr>
        <w:ind w:left="4550" w:hanging="360"/>
      </w:pPr>
      <w:rPr>
        <w:rFonts w:ascii="Courier New" w:hAnsi="Courier New" w:cs="Courier New" w:hint="default"/>
      </w:rPr>
    </w:lvl>
    <w:lvl w:ilvl="5" w:tplc="04260005">
      <w:start w:val="1"/>
      <w:numFmt w:val="bullet"/>
      <w:lvlText w:val=""/>
      <w:lvlJc w:val="left"/>
      <w:pPr>
        <w:ind w:left="5270" w:hanging="360"/>
      </w:pPr>
      <w:rPr>
        <w:rFonts w:ascii="Wingdings" w:hAnsi="Wingdings" w:hint="default"/>
      </w:rPr>
    </w:lvl>
    <w:lvl w:ilvl="6" w:tplc="04260001">
      <w:start w:val="1"/>
      <w:numFmt w:val="bullet"/>
      <w:lvlText w:val=""/>
      <w:lvlJc w:val="left"/>
      <w:pPr>
        <w:ind w:left="5990" w:hanging="360"/>
      </w:pPr>
      <w:rPr>
        <w:rFonts w:ascii="Symbol" w:hAnsi="Symbol" w:hint="default"/>
      </w:rPr>
    </w:lvl>
    <w:lvl w:ilvl="7" w:tplc="04260003">
      <w:start w:val="1"/>
      <w:numFmt w:val="bullet"/>
      <w:lvlText w:val="o"/>
      <w:lvlJc w:val="left"/>
      <w:pPr>
        <w:ind w:left="6710" w:hanging="360"/>
      </w:pPr>
      <w:rPr>
        <w:rFonts w:ascii="Courier New" w:hAnsi="Courier New" w:cs="Courier New" w:hint="default"/>
      </w:rPr>
    </w:lvl>
    <w:lvl w:ilvl="8" w:tplc="04260005">
      <w:start w:val="1"/>
      <w:numFmt w:val="bullet"/>
      <w:lvlText w:val=""/>
      <w:lvlJc w:val="left"/>
      <w:pPr>
        <w:ind w:left="7430" w:hanging="360"/>
      </w:pPr>
      <w:rPr>
        <w:rFonts w:ascii="Wingdings" w:hAnsi="Wingdings" w:hint="default"/>
      </w:rPr>
    </w:lvl>
  </w:abstractNum>
  <w:abstractNum w:abstractNumId="1" w15:restartNumberingAfterBreak="0">
    <w:nsid w:val="1BE55376"/>
    <w:multiLevelType w:val="multilevel"/>
    <w:tmpl w:val="26EA4BE4"/>
    <w:styleLink w:val="WWNum12"/>
    <w:lvl w:ilvl="0">
      <w:start w:val="1"/>
      <w:numFmt w:val="decimal"/>
      <w:lvlText w:val="%1."/>
      <w:lvlJc w:val="left"/>
      <w:pPr>
        <w:ind w:left="927" w:hanging="360"/>
      </w:pPr>
      <w:rPr>
        <w:rFonts w:eastAsia="Times New Roman" w:cs="Times New Roman"/>
      </w:rPr>
    </w:lvl>
    <w:lvl w:ilvl="1">
      <w:start w:val="1"/>
      <w:numFmt w:val="decimal"/>
      <w:lvlText w:val="%1.%2."/>
      <w:lvlJc w:val="left"/>
      <w:pPr>
        <w:ind w:left="1407" w:hanging="360"/>
      </w:pPr>
      <w:rPr>
        <w:rFonts w:eastAsia="Times New Roman" w:cs="Times New Roman"/>
        <w:b/>
      </w:rPr>
    </w:lvl>
    <w:lvl w:ilvl="2">
      <w:start w:val="1"/>
      <w:numFmt w:val="decimal"/>
      <w:lvlText w:val="%1.%2.%3."/>
      <w:lvlJc w:val="left"/>
      <w:pPr>
        <w:ind w:left="2727" w:hanging="720"/>
      </w:pPr>
      <w:rPr>
        <w:rFonts w:eastAsia="Times New Roman" w:cs="Times New Roman"/>
      </w:rPr>
    </w:lvl>
    <w:lvl w:ilvl="3">
      <w:start w:val="1"/>
      <w:numFmt w:val="decimal"/>
      <w:lvlText w:val="%1.%2.%3.%4."/>
      <w:lvlJc w:val="left"/>
      <w:pPr>
        <w:ind w:left="3447" w:hanging="720"/>
      </w:pPr>
      <w:rPr>
        <w:rFonts w:eastAsia="Times New Roman" w:cs="Times New Roman"/>
      </w:rPr>
    </w:lvl>
    <w:lvl w:ilvl="4">
      <w:start w:val="1"/>
      <w:numFmt w:val="decimal"/>
      <w:lvlText w:val="%1.%2.%3.%4.%5."/>
      <w:lvlJc w:val="left"/>
      <w:pPr>
        <w:ind w:left="4527" w:hanging="1080"/>
      </w:pPr>
      <w:rPr>
        <w:rFonts w:eastAsia="Times New Roman" w:cs="Times New Roman"/>
      </w:rPr>
    </w:lvl>
    <w:lvl w:ilvl="5">
      <w:start w:val="1"/>
      <w:numFmt w:val="decimal"/>
      <w:lvlText w:val="%1.%2.%3.%4.%5.%6."/>
      <w:lvlJc w:val="left"/>
      <w:pPr>
        <w:ind w:left="5247" w:hanging="1080"/>
      </w:pPr>
      <w:rPr>
        <w:rFonts w:eastAsia="Times New Roman" w:cs="Times New Roman"/>
      </w:rPr>
    </w:lvl>
    <w:lvl w:ilvl="6">
      <w:start w:val="1"/>
      <w:numFmt w:val="decimal"/>
      <w:lvlText w:val="%1.%2.%3.%4.%5.%6.%7."/>
      <w:lvlJc w:val="left"/>
      <w:pPr>
        <w:ind w:left="6327" w:hanging="1440"/>
      </w:pPr>
      <w:rPr>
        <w:rFonts w:eastAsia="Times New Roman" w:cs="Times New Roman"/>
      </w:rPr>
    </w:lvl>
    <w:lvl w:ilvl="7">
      <w:start w:val="1"/>
      <w:numFmt w:val="decimal"/>
      <w:lvlText w:val="%1.%2.%3.%4.%5.%6.%7.%8."/>
      <w:lvlJc w:val="left"/>
      <w:pPr>
        <w:ind w:left="7047" w:hanging="1440"/>
      </w:pPr>
      <w:rPr>
        <w:rFonts w:eastAsia="Times New Roman" w:cs="Times New Roman"/>
      </w:rPr>
    </w:lvl>
    <w:lvl w:ilvl="8">
      <w:start w:val="1"/>
      <w:numFmt w:val="decimal"/>
      <w:lvlText w:val="%1.%2.%3.%4.%5.%6.%7.%8.%9."/>
      <w:lvlJc w:val="left"/>
      <w:pPr>
        <w:ind w:left="8127" w:hanging="1800"/>
      </w:pPr>
      <w:rPr>
        <w:rFonts w:eastAsia="Times New Roman" w:cs="Times New Roman"/>
      </w:rPr>
    </w:lvl>
  </w:abstractNum>
  <w:abstractNum w:abstractNumId="2"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31901FAE"/>
    <w:multiLevelType w:val="multilevel"/>
    <w:tmpl w:val="5724604A"/>
    <w:styleLink w:val="WWNum15"/>
    <w:lvl w:ilvl="0">
      <w:start w:val="1"/>
      <w:numFmt w:val="decimal"/>
      <w:lvlText w:val="%1."/>
      <w:lvlJc w:val="left"/>
      <w:pPr>
        <w:ind w:left="720" w:hanging="360"/>
      </w:p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FF"/>
    <w:rsid w:val="00004996"/>
    <w:rsid w:val="0000517D"/>
    <w:rsid w:val="000069E7"/>
    <w:rsid w:val="00014BB1"/>
    <w:rsid w:val="000172FA"/>
    <w:rsid w:val="000273A0"/>
    <w:rsid w:val="000351D1"/>
    <w:rsid w:val="00037DFD"/>
    <w:rsid w:val="0004015B"/>
    <w:rsid w:val="000475E2"/>
    <w:rsid w:val="000533BB"/>
    <w:rsid w:val="00053455"/>
    <w:rsid w:val="00055DB2"/>
    <w:rsid w:val="0006278D"/>
    <w:rsid w:val="00064CA1"/>
    <w:rsid w:val="00064F4B"/>
    <w:rsid w:val="00075573"/>
    <w:rsid w:val="00081FA0"/>
    <w:rsid w:val="00082410"/>
    <w:rsid w:val="00082E0F"/>
    <w:rsid w:val="000968D6"/>
    <w:rsid w:val="000A077C"/>
    <w:rsid w:val="000A2D3F"/>
    <w:rsid w:val="000A643F"/>
    <w:rsid w:val="000A6DE2"/>
    <w:rsid w:val="000C3D13"/>
    <w:rsid w:val="000C7EFF"/>
    <w:rsid w:val="000D7FD6"/>
    <w:rsid w:val="000E67F7"/>
    <w:rsid w:val="000F29F0"/>
    <w:rsid w:val="00103F86"/>
    <w:rsid w:val="00110583"/>
    <w:rsid w:val="00111CDB"/>
    <w:rsid w:val="00115578"/>
    <w:rsid w:val="00116491"/>
    <w:rsid w:val="00124EC2"/>
    <w:rsid w:val="001279B9"/>
    <w:rsid w:val="00132B82"/>
    <w:rsid w:val="00134F13"/>
    <w:rsid w:val="00141FD1"/>
    <w:rsid w:val="001435AA"/>
    <w:rsid w:val="00146F93"/>
    <w:rsid w:val="00147972"/>
    <w:rsid w:val="00151A8E"/>
    <w:rsid w:val="00157075"/>
    <w:rsid w:val="00160BCC"/>
    <w:rsid w:val="00161641"/>
    <w:rsid w:val="00166393"/>
    <w:rsid w:val="001719CC"/>
    <w:rsid w:val="00172B8A"/>
    <w:rsid w:val="00180E8E"/>
    <w:rsid w:val="001846B5"/>
    <w:rsid w:val="00190B67"/>
    <w:rsid w:val="00192AE7"/>
    <w:rsid w:val="00195761"/>
    <w:rsid w:val="001A0810"/>
    <w:rsid w:val="001A0ECC"/>
    <w:rsid w:val="001A479C"/>
    <w:rsid w:val="001A693A"/>
    <w:rsid w:val="001A75E8"/>
    <w:rsid w:val="001C677B"/>
    <w:rsid w:val="001C6A4F"/>
    <w:rsid w:val="001C6C02"/>
    <w:rsid w:val="001D14D7"/>
    <w:rsid w:val="001D744F"/>
    <w:rsid w:val="001E1BED"/>
    <w:rsid w:val="001F097B"/>
    <w:rsid w:val="001F39A7"/>
    <w:rsid w:val="001F4EB5"/>
    <w:rsid w:val="001F7009"/>
    <w:rsid w:val="00200061"/>
    <w:rsid w:val="00201021"/>
    <w:rsid w:val="00201195"/>
    <w:rsid w:val="002053E0"/>
    <w:rsid w:val="0020734A"/>
    <w:rsid w:val="002163F3"/>
    <w:rsid w:val="00217183"/>
    <w:rsid w:val="002318DB"/>
    <w:rsid w:val="00233CBB"/>
    <w:rsid w:val="0023699F"/>
    <w:rsid w:val="00240E7D"/>
    <w:rsid w:val="00242209"/>
    <w:rsid w:val="00246BBB"/>
    <w:rsid w:val="0024768C"/>
    <w:rsid w:val="00256535"/>
    <w:rsid w:val="00257B87"/>
    <w:rsid w:val="00263354"/>
    <w:rsid w:val="00263E82"/>
    <w:rsid w:val="00272454"/>
    <w:rsid w:val="00294153"/>
    <w:rsid w:val="002A3F77"/>
    <w:rsid w:val="002B0B65"/>
    <w:rsid w:val="002B2A4E"/>
    <w:rsid w:val="002B4086"/>
    <w:rsid w:val="002B790B"/>
    <w:rsid w:val="002C2AB6"/>
    <w:rsid w:val="002C568F"/>
    <w:rsid w:val="002D378A"/>
    <w:rsid w:val="002D3D35"/>
    <w:rsid w:val="002D78CD"/>
    <w:rsid w:val="002F2382"/>
    <w:rsid w:val="002F26B0"/>
    <w:rsid w:val="00304C06"/>
    <w:rsid w:val="0030645D"/>
    <w:rsid w:val="003106E4"/>
    <w:rsid w:val="003127D2"/>
    <w:rsid w:val="0031485E"/>
    <w:rsid w:val="0032124F"/>
    <w:rsid w:val="00327742"/>
    <w:rsid w:val="003361B2"/>
    <w:rsid w:val="0034513B"/>
    <w:rsid w:val="003468DB"/>
    <w:rsid w:val="003528B5"/>
    <w:rsid w:val="00364CBA"/>
    <w:rsid w:val="00365D46"/>
    <w:rsid w:val="00366026"/>
    <w:rsid w:val="00366251"/>
    <w:rsid w:val="0037036B"/>
    <w:rsid w:val="00370F7D"/>
    <w:rsid w:val="00373FC4"/>
    <w:rsid w:val="003757F0"/>
    <w:rsid w:val="003A33ED"/>
    <w:rsid w:val="003A6202"/>
    <w:rsid w:val="003A7CB9"/>
    <w:rsid w:val="003B688B"/>
    <w:rsid w:val="003F0F24"/>
    <w:rsid w:val="003F168A"/>
    <w:rsid w:val="003F3E12"/>
    <w:rsid w:val="003F59EA"/>
    <w:rsid w:val="00402613"/>
    <w:rsid w:val="004057E7"/>
    <w:rsid w:val="00410CB1"/>
    <w:rsid w:val="00411FA0"/>
    <w:rsid w:val="00415C8B"/>
    <w:rsid w:val="004172CB"/>
    <w:rsid w:val="004257E5"/>
    <w:rsid w:val="0044150B"/>
    <w:rsid w:val="004424C2"/>
    <w:rsid w:val="00442ED7"/>
    <w:rsid w:val="00450C7B"/>
    <w:rsid w:val="004537F2"/>
    <w:rsid w:val="00454CCB"/>
    <w:rsid w:val="004566B2"/>
    <w:rsid w:val="00462AF4"/>
    <w:rsid w:val="0046624B"/>
    <w:rsid w:val="00475636"/>
    <w:rsid w:val="004801A6"/>
    <w:rsid w:val="004873ED"/>
    <w:rsid w:val="00495725"/>
    <w:rsid w:val="004A3AD2"/>
    <w:rsid w:val="004B126D"/>
    <w:rsid w:val="004C4E1E"/>
    <w:rsid w:val="004D5297"/>
    <w:rsid w:val="004D5B28"/>
    <w:rsid w:val="004E036B"/>
    <w:rsid w:val="004E03A9"/>
    <w:rsid w:val="004E4353"/>
    <w:rsid w:val="004F3456"/>
    <w:rsid w:val="00501BD3"/>
    <w:rsid w:val="005053C3"/>
    <w:rsid w:val="00514A64"/>
    <w:rsid w:val="005206FC"/>
    <w:rsid w:val="00524392"/>
    <w:rsid w:val="00526DD3"/>
    <w:rsid w:val="00527556"/>
    <w:rsid w:val="00527753"/>
    <w:rsid w:val="0053381E"/>
    <w:rsid w:val="005377FA"/>
    <w:rsid w:val="00545866"/>
    <w:rsid w:val="00553A39"/>
    <w:rsid w:val="00554EFD"/>
    <w:rsid w:val="0056188E"/>
    <w:rsid w:val="00563144"/>
    <w:rsid w:val="00563335"/>
    <w:rsid w:val="00564577"/>
    <w:rsid w:val="00576B90"/>
    <w:rsid w:val="00576CD9"/>
    <w:rsid w:val="00580D06"/>
    <w:rsid w:val="005810AB"/>
    <w:rsid w:val="005813A5"/>
    <w:rsid w:val="00583F71"/>
    <w:rsid w:val="00590CB0"/>
    <w:rsid w:val="00594E21"/>
    <w:rsid w:val="005B1229"/>
    <w:rsid w:val="005C07F2"/>
    <w:rsid w:val="005C18B6"/>
    <w:rsid w:val="005C3469"/>
    <w:rsid w:val="005C5BD0"/>
    <w:rsid w:val="005D4BA1"/>
    <w:rsid w:val="005D793A"/>
    <w:rsid w:val="005E3A18"/>
    <w:rsid w:val="005E784F"/>
    <w:rsid w:val="005F61D8"/>
    <w:rsid w:val="00600499"/>
    <w:rsid w:val="006064F2"/>
    <w:rsid w:val="00610E94"/>
    <w:rsid w:val="00613BBD"/>
    <w:rsid w:val="00621F6B"/>
    <w:rsid w:val="00622D5B"/>
    <w:rsid w:val="00623A35"/>
    <w:rsid w:val="0062658A"/>
    <w:rsid w:val="006367DE"/>
    <w:rsid w:val="00636E7B"/>
    <w:rsid w:val="0064059C"/>
    <w:rsid w:val="00640752"/>
    <w:rsid w:val="00641D91"/>
    <w:rsid w:val="006420D1"/>
    <w:rsid w:val="00654B81"/>
    <w:rsid w:val="006563C4"/>
    <w:rsid w:val="00657C0E"/>
    <w:rsid w:val="00665749"/>
    <w:rsid w:val="00681AC5"/>
    <w:rsid w:val="00683DEA"/>
    <w:rsid w:val="00693FD8"/>
    <w:rsid w:val="006A02CA"/>
    <w:rsid w:val="006A0462"/>
    <w:rsid w:val="006C19A6"/>
    <w:rsid w:val="006D194D"/>
    <w:rsid w:val="006D7400"/>
    <w:rsid w:val="006E21A6"/>
    <w:rsid w:val="006E40F1"/>
    <w:rsid w:val="006E7776"/>
    <w:rsid w:val="006F009C"/>
    <w:rsid w:val="006F2CD3"/>
    <w:rsid w:val="006F5013"/>
    <w:rsid w:val="006F563B"/>
    <w:rsid w:val="006F5FFB"/>
    <w:rsid w:val="00707365"/>
    <w:rsid w:val="00710AB1"/>
    <w:rsid w:val="00713149"/>
    <w:rsid w:val="007149FF"/>
    <w:rsid w:val="00715503"/>
    <w:rsid w:val="00720F90"/>
    <w:rsid w:val="00722680"/>
    <w:rsid w:val="00725E09"/>
    <w:rsid w:val="007307B8"/>
    <w:rsid w:val="00735C7A"/>
    <w:rsid w:val="007438AD"/>
    <w:rsid w:val="0075350C"/>
    <w:rsid w:val="00757368"/>
    <w:rsid w:val="00760E1C"/>
    <w:rsid w:val="00765C0C"/>
    <w:rsid w:val="007709FE"/>
    <w:rsid w:val="0077137C"/>
    <w:rsid w:val="00772216"/>
    <w:rsid w:val="00783018"/>
    <w:rsid w:val="0078430D"/>
    <w:rsid w:val="00786522"/>
    <w:rsid w:val="00792C0B"/>
    <w:rsid w:val="00794596"/>
    <w:rsid w:val="007A42BA"/>
    <w:rsid w:val="007A7EFC"/>
    <w:rsid w:val="007B4331"/>
    <w:rsid w:val="007B5B7A"/>
    <w:rsid w:val="007D7232"/>
    <w:rsid w:val="007E187D"/>
    <w:rsid w:val="007E4D57"/>
    <w:rsid w:val="00806F31"/>
    <w:rsid w:val="00807074"/>
    <w:rsid w:val="00816740"/>
    <w:rsid w:val="00816D28"/>
    <w:rsid w:val="00820979"/>
    <w:rsid w:val="008430B1"/>
    <w:rsid w:val="008548A0"/>
    <w:rsid w:val="00860F96"/>
    <w:rsid w:val="0086684F"/>
    <w:rsid w:val="00874B66"/>
    <w:rsid w:val="008815BC"/>
    <w:rsid w:val="008852C0"/>
    <w:rsid w:val="00887256"/>
    <w:rsid w:val="00890AC8"/>
    <w:rsid w:val="008971B7"/>
    <w:rsid w:val="008978B2"/>
    <w:rsid w:val="008B0A50"/>
    <w:rsid w:val="008D53F1"/>
    <w:rsid w:val="008E08CB"/>
    <w:rsid w:val="0091081B"/>
    <w:rsid w:val="00916B6C"/>
    <w:rsid w:val="00922C1D"/>
    <w:rsid w:val="009240C7"/>
    <w:rsid w:val="00924482"/>
    <w:rsid w:val="0092468B"/>
    <w:rsid w:val="00925E81"/>
    <w:rsid w:val="00931640"/>
    <w:rsid w:val="009337D1"/>
    <w:rsid w:val="00937544"/>
    <w:rsid w:val="00947272"/>
    <w:rsid w:val="009570C9"/>
    <w:rsid w:val="00960AC0"/>
    <w:rsid w:val="00961FF2"/>
    <w:rsid w:val="00971A23"/>
    <w:rsid w:val="00984D79"/>
    <w:rsid w:val="009873D2"/>
    <w:rsid w:val="0099462E"/>
    <w:rsid w:val="00995543"/>
    <w:rsid w:val="009A4569"/>
    <w:rsid w:val="009A685B"/>
    <w:rsid w:val="009A6CE6"/>
    <w:rsid w:val="009B0565"/>
    <w:rsid w:val="009B0C9E"/>
    <w:rsid w:val="009B2249"/>
    <w:rsid w:val="009B3C3C"/>
    <w:rsid w:val="009B5F38"/>
    <w:rsid w:val="009C59B9"/>
    <w:rsid w:val="009E0620"/>
    <w:rsid w:val="009F11D7"/>
    <w:rsid w:val="009F1281"/>
    <w:rsid w:val="009F296C"/>
    <w:rsid w:val="009F393D"/>
    <w:rsid w:val="009F5B75"/>
    <w:rsid w:val="00A0314F"/>
    <w:rsid w:val="00A04D1A"/>
    <w:rsid w:val="00A0584A"/>
    <w:rsid w:val="00A23AE8"/>
    <w:rsid w:val="00A25239"/>
    <w:rsid w:val="00A47541"/>
    <w:rsid w:val="00A47B5C"/>
    <w:rsid w:val="00A572D1"/>
    <w:rsid w:val="00A7615F"/>
    <w:rsid w:val="00A8022F"/>
    <w:rsid w:val="00A84018"/>
    <w:rsid w:val="00A869B1"/>
    <w:rsid w:val="00A9444F"/>
    <w:rsid w:val="00A97B4C"/>
    <w:rsid w:val="00AA02E7"/>
    <w:rsid w:val="00AA4AD1"/>
    <w:rsid w:val="00AB3AFB"/>
    <w:rsid w:val="00AB7D9C"/>
    <w:rsid w:val="00AC32C1"/>
    <w:rsid w:val="00AC4EB0"/>
    <w:rsid w:val="00AD467A"/>
    <w:rsid w:val="00AE3870"/>
    <w:rsid w:val="00AE7CB2"/>
    <w:rsid w:val="00B02660"/>
    <w:rsid w:val="00B03531"/>
    <w:rsid w:val="00B10B2D"/>
    <w:rsid w:val="00B12C40"/>
    <w:rsid w:val="00B249F9"/>
    <w:rsid w:val="00B30574"/>
    <w:rsid w:val="00B308EC"/>
    <w:rsid w:val="00B3316F"/>
    <w:rsid w:val="00B33890"/>
    <w:rsid w:val="00B35C88"/>
    <w:rsid w:val="00B36745"/>
    <w:rsid w:val="00B418BA"/>
    <w:rsid w:val="00B51C2B"/>
    <w:rsid w:val="00B56F08"/>
    <w:rsid w:val="00B65E3F"/>
    <w:rsid w:val="00B77A1A"/>
    <w:rsid w:val="00B81E78"/>
    <w:rsid w:val="00B821A6"/>
    <w:rsid w:val="00B908D1"/>
    <w:rsid w:val="00B90F08"/>
    <w:rsid w:val="00B9222F"/>
    <w:rsid w:val="00B93AAD"/>
    <w:rsid w:val="00B973E2"/>
    <w:rsid w:val="00BA39D7"/>
    <w:rsid w:val="00BB2393"/>
    <w:rsid w:val="00BB603A"/>
    <w:rsid w:val="00BD5CF3"/>
    <w:rsid w:val="00BE3AD1"/>
    <w:rsid w:val="00BF024B"/>
    <w:rsid w:val="00BF1C96"/>
    <w:rsid w:val="00BF28DB"/>
    <w:rsid w:val="00BF3228"/>
    <w:rsid w:val="00BF6670"/>
    <w:rsid w:val="00BF682E"/>
    <w:rsid w:val="00C10909"/>
    <w:rsid w:val="00C27AA0"/>
    <w:rsid w:val="00C30EA4"/>
    <w:rsid w:val="00C41279"/>
    <w:rsid w:val="00C436CF"/>
    <w:rsid w:val="00C50E90"/>
    <w:rsid w:val="00C51716"/>
    <w:rsid w:val="00C54388"/>
    <w:rsid w:val="00C55890"/>
    <w:rsid w:val="00C90FC9"/>
    <w:rsid w:val="00C92487"/>
    <w:rsid w:val="00C925F1"/>
    <w:rsid w:val="00C93646"/>
    <w:rsid w:val="00CA4395"/>
    <w:rsid w:val="00CB2296"/>
    <w:rsid w:val="00CB7AB2"/>
    <w:rsid w:val="00CC065A"/>
    <w:rsid w:val="00CC2390"/>
    <w:rsid w:val="00CC2732"/>
    <w:rsid w:val="00CC4244"/>
    <w:rsid w:val="00CC6C3C"/>
    <w:rsid w:val="00CD2591"/>
    <w:rsid w:val="00CD537F"/>
    <w:rsid w:val="00CF09FD"/>
    <w:rsid w:val="00CF7372"/>
    <w:rsid w:val="00D03329"/>
    <w:rsid w:val="00D12742"/>
    <w:rsid w:val="00D12BC1"/>
    <w:rsid w:val="00D16102"/>
    <w:rsid w:val="00D16BA4"/>
    <w:rsid w:val="00D21343"/>
    <w:rsid w:val="00D21A69"/>
    <w:rsid w:val="00D23798"/>
    <w:rsid w:val="00D24814"/>
    <w:rsid w:val="00D26132"/>
    <w:rsid w:val="00D3436A"/>
    <w:rsid w:val="00D3637C"/>
    <w:rsid w:val="00D468DD"/>
    <w:rsid w:val="00D572D5"/>
    <w:rsid w:val="00D6086B"/>
    <w:rsid w:val="00D64E93"/>
    <w:rsid w:val="00D778B8"/>
    <w:rsid w:val="00D810D2"/>
    <w:rsid w:val="00D9121C"/>
    <w:rsid w:val="00DA3E75"/>
    <w:rsid w:val="00DB4E92"/>
    <w:rsid w:val="00DB696D"/>
    <w:rsid w:val="00DC1C6A"/>
    <w:rsid w:val="00DD1337"/>
    <w:rsid w:val="00DD2AC8"/>
    <w:rsid w:val="00DD5409"/>
    <w:rsid w:val="00DD5D3A"/>
    <w:rsid w:val="00DD6A73"/>
    <w:rsid w:val="00DE4C99"/>
    <w:rsid w:val="00DF0A68"/>
    <w:rsid w:val="00DF414B"/>
    <w:rsid w:val="00E0334C"/>
    <w:rsid w:val="00E165DF"/>
    <w:rsid w:val="00E203EE"/>
    <w:rsid w:val="00E206EE"/>
    <w:rsid w:val="00E2250F"/>
    <w:rsid w:val="00E269B8"/>
    <w:rsid w:val="00E422D3"/>
    <w:rsid w:val="00E46100"/>
    <w:rsid w:val="00E577BB"/>
    <w:rsid w:val="00E57B17"/>
    <w:rsid w:val="00E6297E"/>
    <w:rsid w:val="00E7750C"/>
    <w:rsid w:val="00E85802"/>
    <w:rsid w:val="00E97704"/>
    <w:rsid w:val="00EA5047"/>
    <w:rsid w:val="00EA6349"/>
    <w:rsid w:val="00EB597F"/>
    <w:rsid w:val="00EB7048"/>
    <w:rsid w:val="00EC55F0"/>
    <w:rsid w:val="00ED04F8"/>
    <w:rsid w:val="00ED6785"/>
    <w:rsid w:val="00ED718F"/>
    <w:rsid w:val="00EE3988"/>
    <w:rsid w:val="00EE5999"/>
    <w:rsid w:val="00EF5296"/>
    <w:rsid w:val="00EF74BB"/>
    <w:rsid w:val="00EF7A3D"/>
    <w:rsid w:val="00F17239"/>
    <w:rsid w:val="00F201CD"/>
    <w:rsid w:val="00F21FEC"/>
    <w:rsid w:val="00F23F09"/>
    <w:rsid w:val="00F24776"/>
    <w:rsid w:val="00F2520A"/>
    <w:rsid w:val="00F26669"/>
    <w:rsid w:val="00F32877"/>
    <w:rsid w:val="00F36E47"/>
    <w:rsid w:val="00F45EB2"/>
    <w:rsid w:val="00F50908"/>
    <w:rsid w:val="00F520BA"/>
    <w:rsid w:val="00F6000D"/>
    <w:rsid w:val="00F75A7A"/>
    <w:rsid w:val="00F80B4D"/>
    <w:rsid w:val="00F8341A"/>
    <w:rsid w:val="00F84BA9"/>
    <w:rsid w:val="00F87B92"/>
    <w:rsid w:val="00F9525F"/>
    <w:rsid w:val="00FA3A55"/>
    <w:rsid w:val="00FA46A0"/>
    <w:rsid w:val="00FA4CC9"/>
    <w:rsid w:val="00FA5563"/>
    <w:rsid w:val="00FB40F9"/>
    <w:rsid w:val="00FC6385"/>
    <w:rsid w:val="00FC7297"/>
    <w:rsid w:val="00FC79BC"/>
    <w:rsid w:val="00FC7C0D"/>
    <w:rsid w:val="00FD229D"/>
    <w:rsid w:val="00FD2D00"/>
    <w:rsid w:val="00FD6156"/>
    <w:rsid w:val="00FD7ECA"/>
    <w:rsid w:val="00FE01AE"/>
    <w:rsid w:val="00FF05B8"/>
    <w:rsid w:val="00FF48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1F33"/>
  <w15:docId w15:val="{B3FF5A58-C518-4042-B924-904A8799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5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EF5296"/>
    <w:rPr>
      <w:color w:val="0000FF" w:themeColor="hyperlink"/>
      <w:u w:val="single"/>
    </w:rPr>
  </w:style>
  <w:style w:type="paragraph" w:styleId="Header">
    <w:name w:val="header"/>
    <w:basedOn w:val="Normal"/>
    <w:link w:val="HeaderChar"/>
    <w:uiPriority w:val="99"/>
    <w:unhideWhenUsed/>
    <w:rsid w:val="009F11D7"/>
    <w:pPr>
      <w:tabs>
        <w:tab w:val="center" w:pos="4153"/>
        <w:tab w:val="right" w:pos="8306"/>
      </w:tabs>
    </w:pPr>
  </w:style>
  <w:style w:type="character" w:customStyle="1" w:styleId="HeaderChar">
    <w:name w:val="Header Char"/>
    <w:basedOn w:val="DefaultParagraphFont"/>
    <w:link w:val="Header"/>
    <w:uiPriority w:val="99"/>
    <w:rsid w:val="009F11D7"/>
  </w:style>
  <w:style w:type="paragraph" w:styleId="Footer">
    <w:name w:val="footer"/>
    <w:basedOn w:val="Normal"/>
    <w:link w:val="FooterChar"/>
    <w:uiPriority w:val="99"/>
    <w:unhideWhenUsed/>
    <w:rsid w:val="009F11D7"/>
    <w:pPr>
      <w:tabs>
        <w:tab w:val="center" w:pos="4153"/>
        <w:tab w:val="right" w:pos="8306"/>
      </w:tabs>
    </w:pPr>
  </w:style>
  <w:style w:type="character" w:customStyle="1" w:styleId="FooterChar">
    <w:name w:val="Footer Char"/>
    <w:basedOn w:val="DefaultParagraphFont"/>
    <w:link w:val="Footer"/>
    <w:uiPriority w:val="99"/>
    <w:rsid w:val="009F11D7"/>
  </w:style>
  <w:style w:type="paragraph" w:customStyle="1" w:styleId="Standard">
    <w:name w:val="Standard"/>
    <w:rsid w:val="00916B6C"/>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eastAsia="Calibri"/>
      <w:color w:val="auto"/>
      <w:kern w:val="3"/>
      <w:sz w:val="28"/>
      <w:szCs w:val="22"/>
      <w:lang w:eastAsia="en-US"/>
    </w:rPr>
  </w:style>
  <w:style w:type="numbering" w:customStyle="1" w:styleId="WWNum15">
    <w:name w:val="WWNum15"/>
    <w:rsid w:val="00916B6C"/>
    <w:pPr>
      <w:numPr>
        <w:numId w:val="2"/>
      </w:numPr>
    </w:pPr>
  </w:style>
  <w:style w:type="numbering" w:customStyle="1" w:styleId="WWNum12">
    <w:name w:val="WWNum12"/>
    <w:rsid w:val="00916B6C"/>
    <w:pPr>
      <w:numPr>
        <w:numId w:val="4"/>
      </w:numPr>
    </w:pPr>
  </w:style>
  <w:style w:type="paragraph" w:customStyle="1" w:styleId="TableContents">
    <w:name w:val="Table Contents"/>
    <w:basedOn w:val="Normal"/>
    <w:rsid w:val="00B10B2D"/>
    <w:pPr>
      <w:suppressLineNumbers/>
      <w:pBdr>
        <w:top w:val="none" w:sz="0" w:space="0" w:color="auto"/>
        <w:left w:val="none" w:sz="0" w:space="0" w:color="auto"/>
        <w:bottom w:val="none" w:sz="0" w:space="0" w:color="auto"/>
        <w:right w:val="none" w:sz="0" w:space="0" w:color="auto"/>
        <w:between w:val="none" w:sz="0" w:space="0" w:color="auto"/>
      </w:pBdr>
      <w:suppressAutoHyphens/>
      <w:autoSpaceDN w:val="0"/>
    </w:pPr>
    <w:rPr>
      <w:rFonts w:eastAsia="Calibri"/>
      <w:color w:val="auto"/>
      <w:kern w:val="3"/>
      <w:lang w:eastAsia="ar-SA"/>
    </w:rPr>
  </w:style>
  <w:style w:type="paragraph" w:styleId="BalloonText">
    <w:name w:val="Balloon Text"/>
    <w:basedOn w:val="Normal"/>
    <w:link w:val="BalloonTextChar"/>
    <w:uiPriority w:val="99"/>
    <w:semiHidden/>
    <w:unhideWhenUsed/>
    <w:rsid w:val="00F87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92"/>
    <w:rPr>
      <w:rFonts w:ascii="Segoe UI" w:hAnsi="Segoe UI" w:cs="Segoe UI"/>
      <w:sz w:val="18"/>
      <w:szCs w:val="18"/>
    </w:rPr>
  </w:style>
  <w:style w:type="table" w:styleId="TableGrid">
    <w:name w:val="Table Grid"/>
    <w:basedOn w:val="TableNormal"/>
    <w:uiPriority w:val="59"/>
    <w:rsid w:val="000D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5696">
      <w:bodyDiv w:val="1"/>
      <w:marLeft w:val="0"/>
      <w:marRight w:val="0"/>
      <w:marTop w:val="0"/>
      <w:marBottom w:val="0"/>
      <w:divBdr>
        <w:top w:val="none" w:sz="0" w:space="0" w:color="auto"/>
        <w:left w:val="none" w:sz="0" w:space="0" w:color="auto"/>
        <w:bottom w:val="none" w:sz="0" w:space="0" w:color="auto"/>
        <w:right w:val="none" w:sz="0" w:space="0" w:color="auto"/>
      </w:divBdr>
    </w:div>
    <w:div w:id="235747533">
      <w:bodyDiv w:val="1"/>
      <w:marLeft w:val="0"/>
      <w:marRight w:val="0"/>
      <w:marTop w:val="0"/>
      <w:marBottom w:val="0"/>
      <w:divBdr>
        <w:top w:val="none" w:sz="0" w:space="0" w:color="auto"/>
        <w:left w:val="none" w:sz="0" w:space="0" w:color="auto"/>
        <w:bottom w:val="none" w:sz="0" w:space="0" w:color="auto"/>
        <w:right w:val="none" w:sz="0" w:space="0" w:color="auto"/>
      </w:divBdr>
    </w:div>
    <w:div w:id="340935534">
      <w:bodyDiv w:val="1"/>
      <w:marLeft w:val="0"/>
      <w:marRight w:val="0"/>
      <w:marTop w:val="0"/>
      <w:marBottom w:val="0"/>
      <w:divBdr>
        <w:top w:val="none" w:sz="0" w:space="0" w:color="auto"/>
        <w:left w:val="none" w:sz="0" w:space="0" w:color="auto"/>
        <w:bottom w:val="none" w:sz="0" w:space="0" w:color="auto"/>
        <w:right w:val="none" w:sz="0" w:space="0" w:color="auto"/>
      </w:divBdr>
    </w:div>
    <w:div w:id="987633999">
      <w:bodyDiv w:val="1"/>
      <w:marLeft w:val="0"/>
      <w:marRight w:val="0"/>
      <w:marTop w:val="0"/>
      <w:marBottom w:val="0"/>
      <w:divBdr>
        <w:top w:val="none" w:sz="0" w:space="0" w:color="auto"/>
        <w:left w:val="none" w:sz="0" w:space="0" w:color="auto"/>
        <w:bottom w:val="none" w:sz="0" w:space="0" w:color="auto"/>
        <w:right w:val="none" w:sz="0" w:space="0" w:color="auto"/>
      </w:divBdr>
    </w:div>
    <w:div w:id="1068841761">
      <w:bodyDiv w:val="1"/>
      <w:marLeft w:val="0"/>
      <w:marRight w:val="0"/>
      <w:marTop w:val="0"/>
      <w:marBottom w:val="0"/>
      <w:divBdr>
        <w:top w:val="none" w:sz="0" w:space="0" w:color="auto"/>
        <w:left w:val="none" w:sz="0" w:space="0" w:color="auto"/>
        <w:bottom w:val="none" w:sz="0" w:space="0" w:color="auto"/>
        <w:right w:val="none" w:sz="0" w:space="0" w:color="auto"/>
      </w:divBdr>
    </w:div>
    <w:div w:id="1612082679">
      <w:bodyDiv w:val="1"/>
      <w:marLeft w:val="0"/>
      <w:marRight w:val="0"/>
      <w:marTop w:val="0"/>
      <w:marBottom w:val="0"/>
      <w:divBdr>
        <w:top w:val="none" w:sz="0" w:space="0" w:color="auto"/>
        <w:left w:val="none" w:sz="0" w:space="0" w:color="auto"/>
        <w:bottom w:val="none" w:sz="0" w:space="0" w:color="auto"/>
        <w:right w:val="none" w:sz="0" w:space="0" w:color="auto"/>
      </w:divBdr>
      <w:divsChild>
        <w:div w:id="13919305">
          <w:marLeft w:val="0"/>
          <w:marRight w:val="0"/>
          <w:marTop w:val="0"/>
          <w:marBottom w:val="0"/>
          <w:divBdr>
            <w:top w:val="none" w:sz="0" w:space="0" w:color="auto"/>
            <w:left w:val="none" w:sz="0" w:space="0" w:color="auto"/>
            <w:bottom w:val="none" w:sz="0" w:space="0" w:color="auto"/>
            <w:right w:val="none" w:sz="0" w:space="0" w:color="auto"/>
          </w:divBdr>
          <w:divsChild>
            <w:div w:id="2650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2499-pazinosanas-liku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melkers@vp.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p.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p.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57591-20D2-4A05-9A35-04EC162C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7165</Words>
  <Characters>4085</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Valsts policija klasificē šaujamieročus un munīciju</vt:lpstr>
      <vt:lpstr/>
    </vt:vector>
  </TitlesOfParts>
  <Company>Iekšlietu ministrija</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policija klasificē šaujamieročus un munīciju</dc:title>
  <dc:subject>Sākotnējēs ietekmes novērtējuma ziņojums (anotācija)</dc:subject>
  <dc:creator>Andris Melkers</dc:creator>
  <dc:description>andris.meklers@vp.gov.lv, 67208232</dc:description>
  <cp:lastModifiedBy>Karina Zagoskina</cp:lastModifiedBy>
  <cp:revision>3</cp:revision>
  <cp:lastPrinted>2019-04-17T10:53:00Z</cp:lastPrinted>
  <dcterms:created xsi:type="dcterms:W3CDTF">2019-05-10T11:23:00Z</dcterms:created>
  <dcterms:modified xsi:type="dcterms:W3CDTF">2019-05-10T11:35:00Z</dcterms:modified>
</cp:coreProperties>
</file>