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252" w:rsidRPr="00974DB4" w:rsidRDefault="00EF3252" w:rsidP="00EF3252">
      <w:pPr>
        <w:pStyle w:val="naisnod"/>
        <w:spacing w:before="0" w:after="0"/>
        <w:rPr>
          <w:sz w:val="28"/>
          <w:szCs w:val="28"/>
        </w:rPr>
      </w:pPr>
      <w:r w:rsidRPr="00974DB4">
        <w:rPr>
          <w:sz w:val="28"/>
          <w:szCs w:val="28"/>
        </w:rPr>
        <w:t>Izziņa par atzinumos sniegtajiem iebildumiem</w:t>
      </w:r>
    </w:p>
    <w:p w:rsidR="00EF3252" w:rsidRPr="00974DB4" w:rsidRDefault="00EF3252" w:rsidP="00EF3252">
      <w:pPr>
        <w:pStyle w:val="naisnod"/>
        <w:spacing w:before="0" w:after="0"/>
        <w:rPr>
          <w:sz w:val="28"/>
          <w:szCs w:val="28"/>
        </w:rPr>
      </w:pPr>
      <w:r w:rsidRPr="00974DB4">
        <w:rPr>
          <w:sz w:val="28"/>
          <w:szCs w:val="28"/>
        </w:rPr>
        <w:t>par Ministru kabineta noteikumu projektu</w:t>
      </w:r>
    </w:p>
    <w:p w:rsidR="00EF3252" w:rsidRPr="00974DB4" w:rsidRDefault="00EF3252" w:rsidP="00EF3252">
      <w:pPr>
        <w:shd w:val="clear" w:color="auto" w:fill="FFFFFF"/>
        <w:jc w:val="center"/>
        <w:rPr>
          <w:rFonts w:eastAsia="Arial"/>
          <w:b/>
          <w:sz w:val="28"/>
          <w:szCs w:val="28"/>
        </w:rPr>
      </w:pPr>
      <w:r w:rsidRPr="00974DB4">
        <w:rPr>
          <w:rFonts w:eastAsia="Arial"/>
          <w:b/>
          <w:sz w:val="28"/>
          <w:szCs w:val="28"/>
        </w:rPr>
        <w:t xml:space="preserve">“Ieroču, to munīcijas aprites nosacījumi un kārtība” </w:t>
      </w:r>
      <w:r w:rsidRPr="00974DB4">
        <w:rPr>
          <w:b/>
          <w:sz w:val="28"/>
          <w:szCs w:val="28"/>
        </w:rPr>
        <w:t>(VSS-938)</w:t>
      </w:r>
    </w:p>
    <w:p w:rsidR="00EF3252" w:rsidRPr="00974DB4" w:rsidRDefault="00EF3252" w:rsidP="00EF3252">
      <w:pPr>
        <w:pStyle w:val="naisf"/>
        <w:spacing w:before="0" w:after="0"/>
        <w:ind w:firstLine="720"/>
      </w:pPr>
    </w:p>
    <w:p w:rsidR="00EF3252" w:rsidRPr="00974DB4" w:rsidRDefault="00EF3252" w:rsidP="00EF3252">
      <w:pPr>
        <w:pStyle w:val="naisf"/>
        <w:spacing w:before="0" w:after="0"/>
        <w:ind w:firstLine="0"/>
        <w:jc w:val="center"/>
        <w:rPr>
          <w:b/>
        </w:rPr>
      </w:pPr>
      <w:r w:rsidRPr="00974DB4">
        <w:rPr>
          <w:b/>
        </w:rPr>
        <w:t>I. Jautājumi, par kuriem saskaņošanā vienošanās nav panākta</w:t>
      </w:r>
    </w:p>
    <w:p w:rsidR="00EF3252" w:rsidRPr="00974DB4" w:rsidRDefault="00EF3252" w:rsidP="00EF3252">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527"/>
        <w:gridCol w:w="3543"/>
        <w:gridCol w:w="4111"/>
        <w:gridCol w:w="2126"/>
        <w:gridCol w:w="2253"/>
      </w:tblGrid>
      <w:tr w:rsidR="00EF3252" w:rsidRPr="006E16B5" w:rsidTr="000D6D5B">
        <w:tc>
          <w:tcPr>
            <w:tcW w:w="708" w:type="dxa"/>
            <w:tcBorders>
              <w:top w:val="single" w:sz="6" w:space="0" w:color="000000"/>
              <w:left w:val="single" w:sz="6" w:space="0" w:color="000000"/>
              <w:bottom w:val="single" w:sz="6" w:space="0" w:color="000000"/>
              <w:right w:val="single" w:sz="6" w:space="0" w:color="000000"/>
            </w:tcBorders>
            <w:vAlign w:val="center"/>
          </w:tcPr>
          <w:p w:rsidR="00EF3252" w:rsidRPr="00974DB4" w:rsidRDefault="00EF3252" w:rsidP="000D6D5B">
            <w:pPr>
              <w:pStyle w:val="naisc"/>
              <w:spacing w:before="0" w:after="0"/>
            </w:pPr>
            <w:r w:rsidRPr="00974DB4">
              <w:t>Nr. p.k.</w:t>
            </w:r>
          </w:p>
        </w:tc>
        <w:tc>
          <w:tcPr>
            <w:tcW w:w="1527" w:type="dxa"/>
            <w:tcBorders>
              <w:top w:val="single" w:sz="6" w:space="0" w:color="000000"/>
              <w:left w:val="single" w:sz="6" w:space="0" w:color="000000"/>
              <w:bottom w:val="single" w:sz="6" w:space="0" w:color="000000"/>
              <w:right w:val="single" w:sz="6" w:space="0" w:color="000000"/>
            </w:tcBorders>
            <w:vAlign w:val="center"/>
          </w:tcPr>
          <w:p w:rsidR="00EF3252" w:rsidRPr="00974DB4" w:rsidRDefault="00EF3252" w:rsidP="000D6D5B">
            <w:pPr>
              <w:pStyle w:val="naisc"/>
              <w:spacing w:before="0" w:after="0"/>
              <w:ind w:firstLine="12"/>
            </w:pPr>
            <w:r w:rsidRPr="00974DB4">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vAlign w:val="center"/>
          </w:tcPr>
          <w:p w:rsidR="00EF3252" w:rsidRPr="00974DB4" w:rsidRDefault="00EF3252" w:rsidP="000D6D5B">
            <w:pPr>
              <w:pStyle w:val="naisc"/>
              <w:spacing w:before="0" w:after="0"/>
              <w:ind w:right="3"/>
            </w:pPr>
            <w:r w:rsidRPr="00974DB4">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rsidR="00EF3252" w:rsidRPr="00974DB4" w:rsidRDefault="00EF3252" w:rsidP="000D6D5B">
            <w:pPr>
              <w:pStyle w:val="naisc"/>
              <w:spacing w:before="0" w:after="0"/>
              <w:ind w:firstLine="21"/>
            </w:pPr>
            <w:r w:rsidRPr="00974DB4">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rsidR="00EF3252" w:rsidRPr="00974DB4" w:rsidRDefault="00EF3252" w:rsidP="000D6D5B">
            <w:pPr>
              <w:jc w:val="center"/>
            </w:pPr>
            <w:r w:rsidRPr="00974DB4">
              <w:t>Atzinuma sniedzēja uzturētais iebildums, ja tas atšķiras no atzinumā norādītā iebilduma pamatojuma</w:t>
            </w:r>
          </w:p>
        </w:tc>
        <w:tc>
          <w:tcPr>
            <w:tcW w:w="2253" w:type="dxa"/>
            <w:tcBorders>
              <w:top w:val="single" w:sz="4" w:space="0" w:color="auto"/>
              <w:left w:val="single" w:sz="4" w:space="0" w:color="auto"/>
              <w:bottom w:val="single" w:sz="4" w:space="0" w:color="auto"/>
            </w:tcBorders>
            <w:vAlign w:val="center"/>
          </w:tcPr>
          <w:p w:rsidR="00EF3252" w:rsidRPr="00974DB4" w:rsidRDefault="00EF3252" w:rsidP="000D6D5B">
            <w:pPr>
              <w:jc w:val="center"/>
            </w:pPr>
            <w:r w:rsidRPr="00974DB4">
              <w:t>Projekta attiecīgā punkta (panta) galīgā redakcija</w:t>
            </w:r>
          </w:p>
        </w:tc>
      </w:tr>
      <w:tr w:rsidR="00EF3252" w:rsidRPr="006E16B5" w:rsidTr="000D6D5B">
        <w:tc>
          <w:tcPr>
            <w:tcW w:w="708" w:type="dxa"/>
            <w:tcBorders>
              <w:top w:val="single" w:sz="6" w:space="0" w:color="000000"/>
              <w:left w:val="single" w:sz="6" w:space="0" w:color="000000"/>
              <w:bottom w:val="single" w:sz="6" w:space="0" w:color="000000"/>
              <w:right w:val="single" w:sz="6" w:space="0" w:color="000000"/>
            </w:tcBorders>
          </w:tcPr>
          <w:p w:rsidR="00EF3252" w:rsidRPr="006E16B5" w:rsidRDefault="00EF3252" w:rsidP="000D6D5B">
            <w:pPr>
              <w:pStyle w:val="naisc"/>
              <w:spacing w:before="0" w:after="0"/>
              <w:rPr>
                <w:sz w:val="20"/>
                <w:szCs w:val="20"/>
              </w:rPr>
            </w:pPr>
            <w:r w:rsidRPr="006E16B5">
              <w:rPr>
                <w:sz w:val="20"/>
                <w:szCs w:val="20"/>
              </w:rPr>
              <w:t>1</w:t>
            </w:r>
          </w:p>
        </w:tc>
        <w:tc>
          <w:tcPr>
            <w:tcW w:w="1527" w:type="dxa"/>
            <w:tcBorders>
              <w:top w:val="single" w:sz="6" w:space="0" w:color="000000"/>
              <w:left w:val="single" w:sz="6" w:space="0" w:color="000000"/>
              <w:bottom w:val="single" w:sz="6" w:space="0" w:color="000000"/>
              <w:right w:val="single" w:sz="6" w:space="0" w:color="000000"/>
            </w:tcBorders>
          </w:tcPr>
          <w:p w:rsidR="00EF3252" w:rsidRPr="006E16B5" w:rsidRDefault="00EF3252" w:rsidP="000D6D5B">
            <w:pPr>
              <w:pStyle w:val="naisc"/>
              <w:spacing w:before="0" w:after="0"/>
              <w:rPr>
                <w:sz w:val="20"/>
                <w:szCs w:val="20"/>
              </w:rPr>
            </w:pPr>
            <w:r w:rsidRPr="006E16B5">
              <w:rPr>
                <w:sz w:val="20"/>
                <w:szCs w:val="20"/>
              </w:rPr>
              <w:t>2</w:t>
            </w:r>
          </w:p>
        </w:tc>
        <w:tc>
          <w:tcPr>
            <w:tcW w:w="3543" w:type="dxa"/>
            <w:tcBorders>
              <w:top w:val="single" w:sz="6" w:space="0" w:color="000000"/>
              <w:left w:val="single" w:sz="6" w:space="0" w:color="000000"/>
              <w:bottom w:val="single" w:sz="6" w:space="0" w:color="000000"/>
              <w:right w:val="single" w:sz="6" w:space="0" w:color="000000"/>
            </w:tcBorders>
          </w:tcPr>
          <w:p w:rsidR="00EF3252" w:rsidRPr="006E16B5" w:rsidRDefault="00EF3252" w:rsidP="000D6D5B">
            <w:pPr>
              <w:pStyle w:val="naisc"/>
              <w:spacing w:before="0" w:after="0"/>
              <w:ind w:firstLine="720"/>
              <w:rPr>
                <w:sz w:val="20"/>
                <w:szCs w:val="20"/>
              </w:rPr>
            </w:pPr>
            <w:r w:rsidRPr="006E16B5">
              <w:rPr>
                <w:sz w:val="20"/>
                <w:szCs w:val="20"/>
              </w:rPr>
              <w:t>3</w:t>
            </w:r>
          </w:p>
        </w:tc>
        <w:tc>
          <w:tcPr>
            <w:tcW w:w="4111" w:type="dxa"/>
            <w:tcBorders>
              <w:top w:val="single" w:sz="6" w:space="0" w:color="000000"/>
              <w:left w:val="single" w:sz="6" w:space="0" w:color="000000"/>
              <w:bottom w:val="single" w:sz="6" w:space="0" w:color="000000"/>
              <w:right w:val="single" w:sz="6" w:space="0" w:color="000000"/>
            </w:tcBorders>
          </w:tcPr>
          <w:p w:rsidR="00EF3252" w:rsidRPr="006E16B5" w:rsidRDefault="00EF3252" w:rsidP="000D6D5B">
            <w:pPr>
              <w:pStyle w:val="naisc"/>
              <w:spacing w:before="0" w:after="0"/>
              <w:ind w:firstLine="720"/>
              <w:rPr>
                <w:sz w:val="20"/>
                <w:szCs w:val="20"/>
              </w:rPr>
            </w:pPr>
            <w:r w:rsidRPr="006E16B5">
              <w:rPr>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EF3252" w:rsidRPr="006E16B5" w:rsidRDefault="00EF3252" w:rsidP="000D6D5B">
            <w:pPr>
              <w:jc w:val="center"/>
              <w:rPr>
                <w:sz w:val="20"/>
                <w:szCs w:val="20"/>
              </w:rPr>
            </w:pPr>
            <w:r w:rsidRPr="006E16B5">
              <w:rPr>
                <w:sz w:val="20"/>
                <w:szCs w:val="20"/>
              </w:rPr>
              <w:t>5</w:t>
            </w:r>
          </w:p>
        </w:tc>
        <w:tc>
          <w:tcPr>
            <w:tcW w:w="2253" w:type="dxa"/>
            <w:tcBorders>
              <w:top w:val="single" w:sz="4" w:space="0" w:color="auto"/>
              <w:left w:val="single" w:sz="4" w:space="0" w:color="auto"/>
              <w:bottom w:val="single" w:sz="4" w:space="0" w:color="auto"/>
            </w:tcBorders>
          </w:tcPr>
          <w:p w:rsidR="00EF3252" w:rsidRPr="006E16B5" w:rsidRDefault="00EF3252" w:rsidP="000D6D5B">
            <w:pPr>
              <w:jc w:val="center"/>
              <w:rPr>
                <w:sz w:val="20"/>
                <w:szCs w:val="20"/>
              </w:rPr>
            </w:pPr>
            <w:r w:rsidRPr="006E16B5">
              <w:rPr>
                <w:sz w:val="20"/>
                <w:szCs w:val="20"/>
              </w:rPr>
              <w:t>6</w:t>
            </w:r>
          </w:p>
        </w:tc>
      </w:tr>
    </w:tbl>
    <w:p w:rsidR="00EF3252" w:rsidRDefault="00EF3252" w:rsidP="00EF3252">
      <w:pPr>
        <w:pStyle w:val="naisf"/>
        <w:spacing w:before="0" w:after="0"/>
        <w:ind w:firstLine="0"/>
        <w:rPr>
          <w:b/>
        </w:rPr>
      </w:pPr>
    </w:p>
    <w:p w:rsidR="00EF3252" w:rsidRDefault="00EF3252" w:rsidP="00EF3252">
      <w:pPr>
        <w:pStyle w:val="naisf"/>
        <w:spacing w:before="0" w:after="0"/>
        <w:ind w:firstLine="0"/>
        <w:rPr>
          <w:b/>
        </w:rPr>
      </w:pPr>
    </w:p>
    <w:p w:rsidR="00EF3252" w:rsidRPr="006E16B5" w:rsidRDefault="00EF3252" w:rsidP="00EF3252">
      <w:pPr>
        <w:pStyle w:val="naisf"/>
        <w:spacing w:before="0" w:after="0"/>
        <w:ind w:firstLine="0"/>
        <w:rPr>
          <w:b/>
        </w:rPr>
      </w:pPr>
      <w:r w:rsidRPr="00974DB4">
        <w:rPr>
          <w:b/>
        </w:rPr>
        <w:t>Informācija par starpministriju (starpinstitūciju) sanāksmi vai elektronisko saskaņošanu</w:t>
      </w:r>
    </w:p>
    <w:tbl>
      <w:tblPr>
        <w:tblW w:w="12799" w:type="dxa"/>
        <w:tblLook w:val="00A0" w:firstRow="1" w:lastRow="0" w:firstColumn="1" w:lastColumn="0" w:noHBand="0" w:noVBand="0"/>
      </w:tblPr>
      <w:tblGrid>
        <w:gridCol w:w="6586"/>
        <w:gridCol w:w="6343"/>
        <w:gridCol w:w="11"/>
      </w:tblGrid>
      <w:tr w:rsidR="00EF3252" w:rsidRPr="006E16B5" w:rsidTr="000D6D5B">
        <w:trPr>
          <w:gridAfter w:val="1"/>
          <w:wAfter w:w="9" w:type="dxa"/>
          <w:trHeight w:val="465"/>
        </w:trPr>
        <w:tc>
          <w:tcPr>
            <w:tcW w:w="6479" w:type="dxa"/>
          </w:tcPr>
          <w:p w:rsidR="00EF3252" w:rsidRPr="006E16B5" w:rsidRDefault="00EF3252" w:rsidP="000D6D5B">
            <w:pPr>
              <w:pStyle w:val="naiskr"/>
              <w:spacing w:before="0" w:after="0"/>
            </w:pPr>
          </w:p>
          <w:p w:rsidR="00EF3252" w:rsidRPr="006E16B5" w:rsidRDefault="00EF3252" w:rsidP="000D6D5B">
            <w:pPr>
              <w:pStyle w:val="naiskr"/>
              <w:spacing w:before="0" w:after="0"/>
            </w:pPr>
            <w:r w:rsidRPr="00974DB4">
              <w:t>Datums</w:t>
            </w:r>
            <w:r w:rsidRPr="006E16B5">
              <w:t>  </w:t>
            </w:r>
          </w:p>
        </w:tc>
        <w:tc>
          <w:tcPr>
            <w:tcW w:w="6311" w:type="dxa"/>
          </w:tcPr>
          <w:p w:rsidR="00EF3252" w:rsidRPr="00C1095D" w:rsidRDefault="00EF3252" w:rsidP="000D6D5B">
            <w:pPr>
              <w:pStyle w:val="NormalWeb"/>
              <w:spacing w:before="0" w:beforeAutospacing="0" w:after="0" w:afterAutospacing="0"/>
              <w:ind w:firstLine="720"/>
            </w:pPr>
          </w:p>
          <w:p w:rsidR="00EF3252" w:rsidRPr="00C1095D" w:rsidRDefault="00EF3252" w:rsidP="000D6D5B">
            <w:pPr>
              <w:pStyle w:val="NormalWeb"/>
              <w:spacing w:before="0" w:beforeAutospacing="0" w:after="0" w:afterAutospacing="0"/>
            </w:pPr>
            <w:r w:rsidRPr="00C1095D">
              <w:t>2019.gada 11.februāris;</w:t>
            </w:r>
          </w:p>
          <w:p w:rsidR="00EF3252" w:rsidRDefault="00EF3252" w:rsidP="000D6D5B">
            <w:pPr>
              <w:pStyle w:val="NormalWeb"/>
              <w:spacing w:before="0" w:beforeAutospacing="0" w:after="0" w:afterAutospacing="0"/>
            </w:pPr>
            <w:r>
              <w:t>2019.gada 23.aprīlis</w:t>
            </w:r>
          </w:p>
          <w:p w:rsidR="00E6669D" w:rsidRDefault="00E6669D" w:rsidP="000D6D5B">
            <w:pPr>
              <w:pStyle w:val="NormalWeb"/>
              <w:spacing w:before="0" w:beforeAutospacing="0" w:after="0" w:afterAutospacing="0"/>
            </w:pPr>
            <w:r>
              <w:t>2019.gada 03.maijs</w:t>
            </w:r>
          </w:p>
          <w:p w:rsidR="00EF3252" w:rsidRPr="00C1095D" w:rsidRDefault="00EF3252" w:rsidP="000D6D5B">
            <w:pPr>
              <w:pStyle w:val="NormalWeb"/>
              <w:spacing w:before="0" w:beforeAutospacing="0" w:after="0" w:afterAutospacing="0"/>
            </w:pPr>
          </w:p>
        </w:tc>
      </w:tr>
      <w:tr w:rsidR="00EF3252" w:rsidRPr="006E16B5" w:rsidTr="000D6D5B">
        <w:trPr>
          <w:trHeight w:val="465"/>
        </w:trPr>
        <w:tc>
          <w:tcPr>
            <w:tcW w:w="12799" w:type="dxa"/>
            <w:gridSpan w:val="3"/>
          </w:tcPr>
          <w:p w:rsidR="00EF3252" w:rsidRPr="00C1095D" w:rsidRDefault="00EF3252" w:rsidP="000D6D5B"/>
          <w:tbl>
            <w:tblPr>
              <w:tblpPr w:leftFromText="180" w:rightFromText="180" w:vertAnchor="text" w:tblpX="-142" w:tblpY="1"/>
              <w:tblOverlap w:val="never"/>
              <w:tblW w:w="12724" w:type="dxa"/>
              <w:tblLook w:val="00A0" w:firstRow="1" w:lastRow="0" w:firstColumn="1" w:lastColumn="0" w:noHBand="0" w:noVBand="0"/>
            </w:tblPr>
            <w:tblGrid>
              <w:gridCol w:w="6487"/>
              <w:gridCol w:w="6237"/>
            </w:tblGrid>
            <w:tr w:rsidR="00EF3252" w:rsidRPr="00C1095D" w:rsidTr="000D6D5B">
              <w:tc>
                <w:tcPr>
                  <w:tcW w:w="6487" w:type="dxa"/>
                </w:tcPr>
                <w:p w:rsidR="00EF3252" w:rsidRPr="00C1095D" w:rsidRDefault="00EF3252" w:rsidP="000D6D5B">
                  <w:pPr>
                    <w:pStyle w:val="naiskr"/>
                    <w:tabs>
                      <w:tab w:val="left" w:pos="0"/>
                    </w:tabs>
                    <w:spacing w:before="0" w:after="0"/>
                  </w:pPr>
                  <w:r w:rsidRPr="00C1095D">
                    <w:t>Saskaņošanas dalībnieki</w:t>
                  </w:r>
                </w:p>
              </w:tc>
              <w:tc>
                <w:tcPr>
                  <w:tcW w:w="6237" w:type="dxa"/>
                </w:tcPr>
                <w:p w:rsidR="00EF3252" w:rsidRPr="00C1095D" w:rsidRDefault="00EF3252" w:rsidP="000D6D5B">
                  <w:pPr>
                    <w:pStyle w:val="NormalWeb"/>
                    <w:spacing w:before="0" w:beforeAutospacing="0" w:after="0" w:afterAutospacing="0"/>
                  </w:pPr>
                  <w:r w:rsidRPr="00C1095D">
                    <w:t>Tieslietu ministrija, Finanšu ministrija, Aizsardzības ministrija un Valsts kanceleja</w:t>
                  </w:r>
                </w:p>
              </w:tc>
            </w:tr>
          </w:tbl>
          <w:p w:rsidR="00EF3252" w:rsidRPr="00C1095D" w:rsidRDefault="00EF3252" w:rsidP="000D6D5B">
            <w:pPr>
              <w:pStyle w:val="naisc"/>
              <w:spacing w:before="0" w:after="0"/>
              <w:jc w:val="left"/>
            </w:pPr>
          </w:p>
        </w:tc>
      </w:tr>
      <w:tr w:rsidR="00EF3252" w:rsidRPr="006E16B5" w:rsidTr="000D6D5B">
        <w:trPr>
          <w:gridAfter w:val="1"/>
          <w:wAfter w:w="9" w:type="dxa"/>
        </w:trPr>
        <w:tc>
          <w:tcPr>
            <w:tcW w:w="6479" w:type="dxa"/>
          </w:tcPr>
          <w:p w:rsidR="00EF3252" w:rsidRPr="00974DB4" w:rsidRDefault="00EF3252" w:rsidP="000D6D5B">
            <w:pPr>
              <w:pStyle w:val="naiskr"/>
              <w:spacing w:before="0" w:after="0"/>
            </w:pPr>
          </w:p>
          <w:p w:rsidR="00EF3252" w:rsidRPr="00974DB4" w:rsidRDefault="00EF3252" w:rsidP="000D6D5B">
            <w:pPr>
              <w:pStyle w:val="naiskr"/>
              <w:spacing w:before="0" w:after="0"/>
            </w:pPr>
            <w:r w:rsidRPr="00974DB4">
              <w:t xml:space="preserve">Saskaņošanas dalībnieki izskatīja šādu ministriju (citu institūciju) iebildumus </w:t>
            </w:r>
          </w:p>
          <w:p w:rsidR="00EF3252" w:rsidRPr="00974DB4" w:rsidRDefault="00EF3252" w:rsidP="000D6D5B">
            <w:pPr>
              <w:pStyle w:val="naiskr"/>
              <w:spacing w:before="0" w:after="0"/>
            </w:pPr>
          </w:p>
        </w:tc>
        <w:tc>
          <w:tcPr>
            <w:tcW w:w="6311" w:type="dxa"/>
          </w:tcPr>
          <w:p w:rsidR="00EF3252" w:rsidRPr="006E16B5" w:rsidRDefault="00EF3252" w:rsidP="000D6D5B">
            <w:pPr>
              <w:pStyle w:val="naiskr"/>
              <w:spacing w:before="0" w:after="0"/>
              <w:ind w:firstLine="720"/>
            </w:pPr>
          </w:p>
          <w:p w:rsidR="00EF3252" w:rsidRPr="006E16B5" w:rsidRDefault="00EF3252" w:rsidP="000D6D5B">
            <w:pPr>
              <w:pStyle w:val="naiskr"/>
              <w:spacing w:before="0" w:after="0"/>
            </w:pPr>
            <w:r w:rsidRPr="0085248D">
              <w:t>Tieslietu ministrijas</w:t>
            </w:r>
          </w:p>
        </w:tc>
      </w:tr>
      <w:tr w:rsidR="00EF3252" w:rsidRPr="006E16B5" w:rsidTr="000D6D5B">
        <w:trPr>
          <w:gridAfter w:val="1"/>
          <w:wAfter w:w="9" w:type="dxa"/>
        </w:trPr>
        <w:tc>
          <w:tcPr>
            <w:tcW w:w="6479" w:type="dxa"/>
          </w:tcPr>
          <w:p w:rsidR="00EF3252" w:rsidRPr="00974DB4" w:rsidRDefault="00EF3252" w:rsidP="000D6D5B">
            <w:pPr>
              <w:pStyle w:val="naiskr"/>
              <w:spacing w:before="0" w:after="0"/>
            </w:pPr>
            <w:r w:rsidRPr="00974DB4">
              <w:t>Ministrijas (citas institūcijas), kuras nav ieradušās uz sanāksmi vai kuras nav atbildējušas uz uzaicinājumu piedalīties elektroniskajā saskaņošanā</w:t>
            </w:r>
          </w:p>
        </w:tc>
        <w:tc>
          <w:tcPr>
            <w:tcW w:w="6311" w:type="dxa"/>
          </w:tcPr>
          <w:p w:rsidR="00EF3252" w:rsidRPr="006E16B5" w:rsidRDefault="00EF3252" w:rsidP="000D6D5B">
            <w:pPr>
              <w:pStyle w:val="naiskr"/>
              <w:spacing w:before="0" w:after="0"/>
            </w:pPr>
          </w:p>
        </w:tc>
      </w:tr>
      <w:tr w:rsidR="00EF3252" w:rsidRPr="006E16B5" w:rsidTr="000D6D5B">
        <w:trPr>
          <w:gridAfter w:val="1"/>
          <w:wAfter w:w="9" w:type="dxa"/>
        </w:trPr>
        <w:tc>
          <w:tcPr>
            <w:tcW w:w="6479" w:type="dxa"/>
          </w:tcPr>
          <w:p w:rsidR="00EF3252" w:rsidRPr="006E16B5" w:rsidRDefault="00EF3252" w:rsidP="000D6D5B">
            <w:pPr>
              <w:pStyle w:val="naiskr"/>
              <w:spacing w:before="0" w:after="0"/>
              <w:ind w:firstLine="720"/>
              <w:rPr>
                <w:color w:val="FF0000"/>
              </w:rPr>
            </w:pPr>
            <w:r w:rsidRPr="006E16B5">
              <w:rPr>
                <w:color w:val="FF0000"/>
              </w:rPr>
              <w:t> </w:t>
            </w:r>
          </w:p>
        </w:tc>
        <w:tc>
          <w:tcPr>
            <w:tcW w:w="6311" w:type="dxa"/>
          </w:tcPr>
          <w:p w:rsidR="00EF3252" w:rsidRPr="006E16B5" w:rsidRDefault="00EF3252" w:rsidP="000D6D5B">
            <w:pPr>
              <w:pStyle w:val="naiskr"/>
              <w:spacing w:before="0" w:after="0"/>
              <w:ind w:firstLine="720"/>
              <w:rPr>
                <w:color w:val="FF0000"/>
              </w:rPr>
            </w:pPr>
          </w:p>
        </w:tc>
      </w:tr>
    </w:tbl>
    <w:p w:rsidR="00EF3252" w:rsidRPr="006E16B5" w:rsidRDefault="00EF3252" w:rsidP="00EF3252">
      <w:pPr>
        <w:pStyle w:val="naisf"/>
        <w:spacing w:before="0" w:after="0"/>
        <w:ind w:firstLine="0"/>
        <w:rPr>
          <w:b/>
        </w:rPr>
      </w:pPr>
    </w:p>
    <w:p w:rsidR="00EF3252" w:rsidRPr="006E16B5" w:rsidRDefault="00EF3252" w:rsidP="00EF3252">
      <w:pPr>
        <w:pStyle w:val="naisf"/>
        <w:spacing w:before="0" w:after="0"/>
        <w:ind w:firstLine="0"/>
        <w:jc w:val="center"/>
        <w:rPr>
          <w:b/>
        </w:rPr>
      </w:pPr>
    </w:p>
    <w:p w:rsidR="00EF3252" w:rsidRPr="00341F20" w:rsidRDefault="00EF3252" w:rsidP="00EF3252">
      <w:pPr>
        <w:pStyle w:val="naisf"/>
        <w:spacing w:before="0" w:after="0"/>
        <w:ind w:firstLine="0"/>
        <w:jc w:val="center"/>
        <w:rPr>
          <w:b/>
        </w:rPr>
      </w:pPr>
      <w:r w:rsidRPr="00341F20">
        <w:rPr>
          <w:b/>
        </w:rPr>
        <w:t>II. Jautājumi, par kuriem saskaņošanā vienošanās ir panākta</w:t>
      </w:r>
    </w:p>
    <w:p w:rsidR="00EF3252" w:rsidRPr="00341F20" w:rsidRDefault="00EF3252" w:rsidP="00EF3252">
      <w:pPr>
        <w:pStyle w:val="naisf"/>
        <w:spacing w:before="0" w:after="0"/>
        <w:ind w:firstLine="720"/>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08"/>
        <w:gridCol w:w="1373"/>
        <w:gridCol w:w="1192"/>
        <w:gridCol w:w="1072"/>
        <w:gridCol w:w="2605"/>
        <w:gridCol w:w="1473"/>
        <w:gridCol w:w="1265"/>
        <w:gridCol w:w="3637"/>
      </w:tblGrid>
      <w:tr w:rsidR="00EF3252" w:rsidRPr="006E16B5" w:rsidTr="000D6D5B">
        <w:trPr>
          <w:trHeight w:val="2041"/>
        </w:trPr>
        <w:tc>
          <w:tcPr>
            <w:tcW w:w="0" w:type="auto"/>
            <w:tcBorders>
              <w:top w:val="single" w:sz="6" w:space="0" w:color="000000"/>
              <w:left w:val="single" w:sz="6" w:space="0" w:color="000000"/>
              <w:bottom w:val="single" w:sz="4" w:space="0" w:color="auto"/>
              <w:right w:val="single" w:sz="6" w:space="0" w:color="000000"/>
            </w:tcBorders>
            <w:vAlign w:val="center"/>
          </w:tcPr>
          <w:p w:rsidR="00EF3252" w:rsidRPr="00341F20" w:rsidRDefault="00EF3252" w:rsidP="000D6D5B">
            <w:pPr>
              <w:pStyle w:val="naisc"/>
              <w:spacing w:before="0" w:after="0"/>
              <w:rPr>
                <w:b/>
              </w:rPr>
            </w:pPr>
            <w:r w:rsidRPr="00341F20">
              <w:rPr>
                <w:b/>
              </w:rPr>
              <w:t>Nr. p.k.</w:t>
            </w:r>
          </w:p>
        </w:tc>
        <w:tc>
          <w:tcPr>
            <w:tcW w:w="0" w:type="auto"/>
            <w:gridSpan w:val="3"/>
            <w:tcBorders>
              <w:top w:val="single" w:sz="6" w:space="0" w:color="000000"/>
              <w:left w:val="single" w:sz="6" w:space="0" w:color="000000"/>
              <w:bottom w:val="single" w:sz="4" w:space="0" w:color="auto"/>
              <w:right w:val="single" w:sz="6" w:space="0" w:color="000000"/>
            </w:tcBorders>
            <w:vAlign w:val="center"/>
          </w:tcPr>
          <w:p w:rsidR="00EF3252" w:rsidRPr="00341F20" w:rsidRDefault="00EF3252" w:rsidP="000D6D5B">
            <w:pPr>
              <w:pStyle w:val="naisc"/>
              <w:spacing w:before="0" w:after="0"/>
              <w:ind w:firstLine="12"/>
              <w:rPr>
                <w:b/>
              </w:rPr>
            </w:pPr>
            <w:r w:rsidRPr="00341F20">
              <w:rPr>
                <w:b/>
              </w:rPr>
              <w:t>Saskaņošanai nosūtītā projekta redakcija (konkrēta punkta (panta) redakcija)</w:t>
            </w:r>
          </w:p>
        </w:tc>
        <w:tc>
          <w:tcPr>
            <w:tcW w:w="0" w:type="auto"/>
            <w:tcBorders>
              <w:top w:val="single" w:sz="6" w:space="0" w:color="000000"/>
              <w:left w:val="single" w:sz="6" w:space="0" w:color="000000"/>
              <w:bottom w:val="single" w:sz="4" w:space="0" w:color="auto"/>
              <w:right w:val="single" w:sz="6" w:space="0" w:color="000000"/>
            </w:tcBorders>
            <w:vAlign w:val="center"/>
          </w:tcPr>
          <w:p w:rsidR="00EF3252" w:rsidRPr="00341F20" w:rsidRDefault="00EF3252" w:rsidP="000D6D5B">
            <w:pPr>
              <w:pStyle w:val="naisc"/>
              <w:spacing w:before="0" w:after="0"/>
              <w:ind w:right="3"/>
              <w:rPr>
                <w:b/>
              </w:rPr>
            </w:pPr>
            <w:r w:rsidRPr="00341F20">
              <w:rPr>
                <w:b/>
              </w:rPr>
              <w:t>Atzinumā norādītais ministrijas (citas institūcijas) iebildums, kā arī saskaņošanā papildus izteiktais iebildums par projekta konkrēto punktu (pantu)</w:t>
            </w:r>
          </w:p>
        </w:tc>
        <w:tc>
          <w:tcPr>
            <w:tcW w:w="0" w:type="auto"/>
            <w:gridSpan w:val="2"/>
            <w:tcBorders>
              <w:top w:val="single" w:sz="6" w:space="0" w:color="000000"/>
              <w:left w:val="single" w:sz="6" w:space="0" w:color="000000"/>
              <w:bottom w:val="single" w:sz="4" w:space="0" w:color="auto"/>
              <w:right w:val="single" w:sz="6" w:space="0" w:color="000000"/>
            </w:tcBorders>
            <w:vAlign w:val="center"/>
          </w:tcPr>
          <w:p w:rsidR="00EF3252" w:rsidRPr="00341F20" w:rsidRDefault="00EF3252" w:rsidP="000D6D5B">
            <w:pPr>
              <w:pStyle w:val="naisc"/>
              <w:spacing w:before="0" w:after="0"/>
              <w:ind w:firstLine="21"/>
              <w:rPr>
                <w:b/>
              </w:rPr>
            </w:pPr>
            <w:r w:rsidRPr="00341F20">
              <w:rPr>
                <w:b/>
              </w:rPr>
              <w:t>Atbildīgās ministrijas norāde par to, ka iebildums ir ņemts vērā, vai informācija par saskaņošanā panākto alternatīvo risinājumu</w:t>
            </w:r>
          </w:p>
        </w:tc>
        <w:tc>
          <w:tcPr>
            <w:tcW w:w="0" w:type="auto"/>
            <w:tcBorders>
              <w:top w:val="single" w:sz="4" w:space="0" w:color="auto"/>
              <w:left w:val="single" w:sz="4" w:space="0" w:color="auto"/>
              <w:bottom w:val="single" w:sz="4" w:space="0" w:color="auto"/>
            </w:tcBorders>
            <w:vAlign w:val="center"/>
          </w:tcPr>
          <w:p w:rsidR="00EF3252" w:rsidRPr="00341F20" w:rsidRDefault="00EF3252" w:rsidP="000D6D5B">
            <w:pPr>
              <w:jc w:val="center"/>
              <w:rPr>
                <w:b/>
              </w:rPr>
            </w:pPr>
            <w:r w:rsidRPr="00341F20">
              <w:rPr>
                <w:b/>
              </w:rPr>
              <w:t>Projekta attiecīgā punkta (panta) galīgā redakcija</w:t>
            </w:r>
          </w:p>
        </w:tc>
      </w:tr>
      <w:tr w:rsidR="00EF3252" w:rsidRPr="006E16B5" w:rsidTr="000D6D5B">
        <w:trPr>
          <w:trHeight w:val="556"/>
        </w:trPr>
        <w:tc>
          <w:tcPr>
            <w:tcW w:w="0" w:type="auto"/>
            <w:tcBorders>
              <w:top w:val="single" w:sz="6" w:space="0" w:color="000000"/>
              <w:left w:val="single" w:sz="6" w:space="0" w:color="000000"/>
              <w:bottom w:val="single" w:sz="4" w:space="0" w:color="auto"/>
              <w:right w:val="single" w:sz="6" w:space="0" w:color="000000"/>
            </w:tcBorders>
          </w:tcPr>
          <w:p w:rsidR="00EF3252" w:rsidRPr="006E16B5" w:rsidRDefault="00EF3252" w:rsidP="000D6D5B">
            <w:pPr>
              <w:pStyle w:val="naisc"/>
              <w:spacing w:before="0" w:after="0"/>
            </w:pPr>
            <w:r w:rsidRPr="00341F20">
              <w:t>1.</w:t>
            </w:r>
          </w:p>
          <w:p w:rsidR="00EF3252" w:rsidRPr="006E16B5" w:rsidRDefault="00EF3252" w:rsidP="000D6D5B">
            <w:pPr>
              <w:pStyle w:val="naisc"/>
              <w:spacing w:before="0" w:after="0"/>
              <w:rPr>
                <w:b/>
              </w:rPr>
            </w:pPr>
          </w:p>
        </w:tc>
        <w:tc>
          <w:tcPr>
            <w:tcW w:w="0" w:type="auto"/>
            <w:gridSpan w:val="3"/>
            <w:tcBorders>
              <w:top w:val="single" w:sz="6" w:space="0" w:color="000000"/>
              <w:left w:val="single" w:sz="6" w:space="0" w:color="000000"/>
              <w:bottom w:val="single" w:sz="4" w:space="0" w:color="auto"/>
              <w:right w:val="single" w:sz="6" w:space="0" w:color="000000"/>
            </w:tcBorders>
            <w:vAlign w:val="center"/>
          </w:tcPr>
          <w:p w:rsidR="00EF3252" w:rsidRPr="006E16B5" w:rsidRDefault="00EF3252" w:rsidP="000D6D5B">
            <w:pPr>
              <w:pStyle w:val="naisc"/>
              <w:spacing w:before="0" w:after="0"/>
              <w:ind w:firstLine="12"/>
              <w:rPr>
                <w:b/>
              </w:rPr>
            </w:pPr>
          </w:p>
        </w:tc>
        <w:tc>
          <w:tcPr>
            <w:tcW w:w="0" w:type="auto"/>
            <w:tcBorders>
              <w:top w:val="single" w:sz="6" w:space="0" w:color="000000"/>
              <w:left w:val="single" w:sz="6" w:space="0" w:color="000000"/>
              <w:bottom w:val="single" w:sz="4" w:space="0" w:color="auto"/>
              <w:right w:val="single" w:sz="6" w:space="0" w:color="000000"/>
            </w:tcBorders>
          </w:tcPr>
          <w:p w:rsidR="00EF3252" w:rsidRPr="00BD13DA" w:rsidRDefault="00EF3252" w:rsidP="000D6D5B">
            <w:pPr>
              <w:jc w:val="center"/>
              <w:rPr>
                <w:b/>
              </w:rPr>
            </w:pPr>
            <w:r w:rsidRPr="00BD13DA">
              <w:rPr>
                <w:b/>
              </w:rPr>
              <w:t>Tieslietu ministrija</w:t>
            </w:r>
          </w:p>
          <w:p w:rsidR="00EF3252" w:rsidRPr="00BD13DA" w:rsidRDefault="00EF3252" w:rsidP="000D6D5B">
            <w:pPr>
              <w:jc w:val="center"/>
              <w:rPr>
                <w:b/>
              </w:rPr>
            </w:pPr>
            <w:r w:rsidRPr="00BD13DA">
              <w:rPr>
                <w:b/>
              </w:rPr>
              <w:t>(28.09.2018., TM Nr. 1-9.1/1132)</w:t>
            </w:r>
          </w:p>
          <w:p w:rsidR="00EF3252" w:rsidRPr="006E16B5" w:rsidRDefault="00EF3252" w:rsidP="000D6D5B">
            <w:pPr>
              <w:pStyle w:val="naisc"/>
              <w:spacing w:before="0" w:after="0"/>
              <w:ind w:right="3"/>
              <w:jc w:val="both"/>
              <w:rPr>
                <w:b/>
              </w:rPr>
            </w:pPr>
            <w:r w:rsidRPr="00341F20">
              <w:rPr>
                <w:rFonts w:eastAsia="Calibri"/>
                <w:szCs w:val="22"/>
                <w:lang w:eastAsia="en-US"/>
              </w:rPr>
              <w:t xml:space="preserve">Noteikumu projektu paredzēts izdot uz likumprojektā "Ieroču aprites likums" (turpmāk – likumprojekts) ietvertā deleģējuma pamata. Vēršam uzmanību, ka noteikumu projektā nevar ietvert regulējumu, kas atbilst tādām likuma normām, kuras vēl nav spēkā, proti, likumprojekts "Ieroču aprites likums" (Nr. 1355/Lp12) tikai 2018. gada 25. septembrī iesniegts Saeimā un vēl nav izskatīts nevienā </w:t>
            </w:r>
            <w:r w:rsidRPr="00341F20">
              <w:rPr>
                <w:rFonts w:eastAsia="Calibri"/>
                <w:szCs w:val="22"/>
                <w:lang w:eastAsia="en-US"/>
              </w:rPr>
              <w:lastRenderedPageBreak/>
              <w:t xml:space="preserve">lasījumā, līdz ar to nav skaidrs, kad tas varētu tikt pieņemts. Ievērojot minēto, Tieslietu ministrija nevar pilnvērtīgi un kvalitatīvi izvērtēt noteikumu projektu līdz likumprojekta "Ieroču aprites likums" (Nr. 1355/Lp12) atbalstīšanai un pieņemšanai Saeimā vismaz otrajā lasījumā. Papildus norādām, ka minētais apstiprināts arī Valsts iestāžu juridisko dienestu vadītāju 2010. gada 12. marta sanāksmes protokola Nr. 2 1. § 8. punktā, kurā noteikts ieteikums iesniegt likumprojektā paredzētos noteikumu projektus izsludināšanai Valsts sekretāru sanāksmē, kad likumprojekts Saeimā izskatīts otrajā lasījumā. Ievērojot minēto, Tieslietu ministrija aicina noteikumu projekta tālāku virzību un saskaņošanu </w:t>
            </w:r>
            <w:r w:rsidRPr="00341F20">
              <w:rPr>
                <w:rFonts w:eastAsia="Calibri"/>
                <w:szCs w:val="22"/>
                <w:lang w:eastAsia="en-US"/>
              </w:rPr>
              <w:lastRenderedPageBreak/>
              <w:t>nodrošināt tad, kad likumprojekts "Ieroču aprites likums" (Nr. 1355/Lp12) Saeimā tiks atbalstīts un pieņemts otrajā lasījumā.</w:t>
            </w:r>
          </w:p>
        </w:tc>
        <w:tc>
          <w:tcPr>
            <w:tcW w:w="0" w:type="auto"/>
            <w:gridSpan w:val="2"/>
            <w:tcBorders>
              <w:top w:val="single" w:sz="6" w:space="0" w:color="000000"/>
              <w:left w:val="single" w:sz="6" w:space="0" w:color="000000"/>
              <w:bottom w:val="single" w:sz="4" w:space="0" w:color="auto"/>
              <w:right w:val="single" w:sz="6" w:space="0" w:color="000000"/>
            </w:tcBorders>
          </w:tcPr>
          <w:p w:rsidR="00EF3252" w:rsidRDefault="00EF3252" w:rsidP="000D6D5B">
            <w:pPr>
              <w:jc w:val="center"/>
              <w:rPr>
                <w:rFonts w:eastAsia="Calibri"/>
                <w:b/>
                <w:bCs/>
              </w:rPr>
            </w:pPr>
          </w:p>
          <w:p w:rsidR="00EF3252" w:rsidRPr="006E16B5" w:rsidRDefault="00EF3252" w:rsidP="000D6D5B">
            <w:pPr>
              <w:jc w:val="center"/>
              <w:rPr>
                <w:rFonts w:eastAsia="Calibri"/>
                <w:b/>
                <w:bCs/>
              </w:rPr>
            </w:pPr>
            <w:r w:rsidRPr="00341F20">
              <w:rPr>
                <w:rFonts w:eastAsia="Calibri"/>
                <w:b/>
                <w:bCs/>
              </w:rPr>
              <w:t>Ņemts vērā</w:t>
            </w:r>
          </w:p>
          <w:p w:rsidR="00EF3252" w:rsidRPr="006E16B5" w:rsidRDefault="00EF3252" w:rsidP="000D6D5B">
            <w:pPr>
              <w:pStyle w:val="naisc"/>
              <w:spacing w:before="0" w:after="0"/>
              <w:ind w:firstLine="21"/>
              <w:rPr>
                <w:b/>
              </w:rPr>
            </w:pPr>
          </w:p>
        </w:tc>
        <w:tc>
          <w:tcPr>
            <w:tcW w:w="0" w:type="auto"/>
            <w:tcBorders>
              <w:top w:val="single" w:sz="4" w:space="0" w:color="auto"/>
              <w:left w:val="single" w:sz="4" w:space="0" w:color="auto"/>
              <w:bottom w:val="single" w:sz="4" w:space="0" w:color="auto"/>
            </w:tcBorders>
            <w:vAlign w:val="center"/>
          </w:tcPr>
          <w:p w:rsidR="00EF3252" w:rsidRPr="006E16B5" w:rsidRDefault="00EF3252" w:rsidP="000D6D5B">
            <w:pPr>
              <w:jc w:val="center"/>
              <w:rPr>
                <w:b/>
              </w:rPr>
            </w:pPr>
          </w:p>
        </w:tc>
      </w:tr>
      <w:tr w:rsidR="00EF3252" w:rsidRPr="00C35A16" w:rsidTr="000D6D5B">
        <w:trPr>
          <w:trHeight w:val="2041"/>
        </w:trPr>
        <w:tc>
          <w:tcPr>
            <w:tcW w:w="0" w:type="auto"/>
            <w:tcBorders>
              <w:top w:val="single" w:sz="6" w:space="0" w:color="000000"/>
              <w:left w:val="single" w:sz="6" w:space="0" w:color="000000"/>
              <w:bottom w:val="single" w:sz="4" w:space="0" w:color="auto"/>
              <w:right w:val="single" w:sz="6" w:space="0" w:color="000000"/>
            </w:tcBorders>
          </w:tcPr>
          <w:p w:rsidR="00EF3252" w:rsidRPr="00C35A16" w:rsidRDefault="00EF3252" w:rsidP="000D6D5B">
            <w:pPr>
              <w:pStyle w:val="naisc"/>
              <w:spacing w:before="0" w:after="0"/>
            </w:pPr>
            <w:r w:rsidRPr="00C35A16">
              <w:lastRenderedPageBreak/>
              <w:t>2.</w:t>
            </w:r>
          </w:p>
        </w:tc>
        <w:tc>
          <w:tcPr>
            <w:tcW w:w="0" w:type="auto"/>
            <w:gridSpan w:val="3"/>
            <w:tcBorders>
              <w:top w:val="single" w:sz="6" w:space="0" w:color="000000"/>
              <w:left w:val="single" w:sz="6" w:space="0" w:color="000000"/>
              <w:bottom w:val="single" w:sz="4" w:space="0" w:color="auto"/>
              <w:right w:val="single" w:sz="6" w:space="0" w:color="000000"/>
            </w:tcBorders>
          </w:tcPr>
          <w:p w:rsidR="00EF3252" w:rsidRPr="00C35A16" w:rsidRDefault="00EF3252" w:rsidP="000D6D5B">
            <w:pPr>
              <w:pBdr>
                <w:top w:val="nil"/>
                <w:left w:val="nil"/>
                <w:bottom w:val="nil"/>
                <w:right w:val="nil"/>
                <w:between w:val="nil"/>
              </w:pBdr>
              <w:shd w:val="clear" w:color="auto" w:fill="FFFFFF"/>
              <w:contextualSpacing/>
              <w:jc w:val="both"/>
              <w:rPr>
                <w:rFonts w:eastAsia="Arial"/>
              </w:rPr>
            </w:pPr>
            <w:r w:rsidRPr="00C35A16">
              <w:rPr>
                <w:rFonts w:eastAsia="Arial"/>
              </w:rPr>
              <w:t>“20. Ja šaujamierocis, tā maināmā būtiskā sastāvdaļa vai lielas enerģijas pneimatiskais ierocis, uz kuru attiecas </w:t>
            </w:r>
            <w:hyperlink r:id="rId7">
              <w:r w:rsidRPr="00C35A16">
                <w:rPr>
                  <w:rFonts w:eastAsia="Arial"/>
                </w:rPr>
                <w:t>Ieroču aprites likumā</w:t>
              </w:r>
            </w:hyperlink>
            <w:r w:rsidRPr="00C35A16">
              <w:rPr>
                <w:rFonts w:eastAsia="Arial"/>
              </w:rPr>
              <w:t> noteiktie aizliegumi, ievests Latvijā no citas valsts, kurā tas reģistrēts, un personai izsniegta attiecīgās valsts kompetentās iestādes atļauja tā glabāšanai, Valsts policijas struktūrvienība izsniedz atļauju šaujamieroča, tā maināmās būtiskās sastāvdaļas, šaujamieroča munīcijas vai lielas enerģijas pneimatiskā ieroča pārvadāšanai vai pārsūtīšanai no Latvijas uz Eiropas Savienības dalībvalstīm un Eiropas Ekonomikas zonas valstīm, vai trešajām valstīm, kurā tas reģistrēts (izņemot personu, kurai ir Eiropas šaujamieroču apliecība). Šādā gadījumā šaujamieroci, tā maināmo būtisko sastāvdaļu, šaujamieroča munīciju un lielas enerģijas pneimatisko ieroci tā īpašnieks izved no Latvijas piecu darbdienu laikā pēc atteikuma saņemšanas reģistrēt ieroci.”</w:t>
            </w:r>
          </w:p>
        </w:tc>
        <w:tc>
          <w:tcPr>
            <w:tcW w:w="0" w:type="auto"/>
            <w:tcBorders>
              <w:top w:val="single" w:sz="6" w:space="0" w:color="000000"/>
              <w:left w:val="single" w:sz="6" w:space="0" w:color="000000"/>
              <w:bottom w:val="single" w:sz="4" w:space="0" w:color="auto"/>
              <w:right w:val="single" w:sz="6" w:space="0" w:color="000000"/>
            </w:tcBorders>
          </w:tcPr>
          <w:p w:rsidR="00EF3252" w:rsidRPr="00C35A16" w:rsidRDefault="00EF3252" w:rsidP="000D6D5B">
            <w:pPr>
              <w:jc w:val="center"/>
              <w:rPr>
                <w:b/>
              </w:rPr>
            </w:pPr>
            <w:r w:rsidRPr="00C35A16">
              <w:rPr>
                <w:b/>
              </w:rPr>
              <w:t>Tieslietu ministrija</w:t>
            </w:r>
          </w:p>
          <w:p w:rsidR="00EF3252" w:rsidRPr="00C35A16" w:rsidRDefault="00EF3252" w:rsidP="000D6D5B">
            <w:pPr>
              <w:jc w:val="center"/>
              <w:rPr>
                <w:b/>
              </w:rPr>
            </w:pPr>
            <w:r w:rsidRPr="00C35A16">
              <w:rPr>
                <w:b/>
              </w:rPr>
              <w:t>(28.09.2018., TM Nr. 1-9.1/1132)</w:t>
            </w:r>
          </w:p>
          <w:p w:rsidR="00EF3252" w:rsidRPr="00C35A16" w:rsidRDefault="00EF3252" w:rsidP="000D6D5B">
            <w:pPr>
              <w:ind w:right="13"/>
              <w:jc w:val="both"/>
            </w:pPr>
            <w:r w:rsidRPr="00C35A16">
              <w:t>Saskaņā ar noteikumu projekta 20. punktu, Valsts policijas struktūrvienība izdod nelabvēlīgu administratīvo aktu – atteikumu reģistrēt ieroci, uz kuru attiecas likumprojektā noteiktie aizliegumi. Lai personai nodrošinātu Administratīvā procesa likumā nostiprinātās tiesības apstrīdēt un pārsūdzēt atteikumu, lūdzam redakcionāli precizēt noteikumu projekta 20. punktu, norādot, ka tiek pieņemts lēmums par atteikumu reģistrēt ieroci, un vienlaicīgi tiek izsniegta atļauja ieroča glabāšanai, pārvadāšanai vai pārsūtīšanai.</w:t>
            </w:r>
          </w:p>
          <w:p w:rsidR="00EF3252" w:rsidRPr="00C35A16" w:rsidRDefault="00EF3252" w:rsidP="000D6D5B">
            <w:pPr>
              <w:pStyle w:val="naisc"/>
              <w:spacing w:before="0" w:after="0"/>
              <w:ind w:right="3"/>
              <w:jc w:val="both"/>
              <w:rPr>
                <w:b/>
              </w:rPr>
            </w:pPr>
          </w:p>
          <w:p w:rsidR="00EF3252" w:rsidRPr="00C35A16" w:rsidRDefault="00EF3252" w:rsidP="000D6D5B">
            <w:pPr>
              <w:pStyle w:val="naisc"/>
              <w:spacing w:before="0" w:after="0"/>
              <w:ind w:right="3"/>
              <w:jc w:val="both"/>
              <w:rPr>
                <w:b/>
              </w:rPr>
            </w:pPr>
          </w:p>
          <w:p w:rsidR="00EF3252" w:rsidRPr="00C35A16" w:rsidRDefault="00EF3252" w:rsidP="000D6D5B">
            <w:pPr>
              <w:pStyle w:val="naisc"/>
              <w:spacing w:before="0" w:after="0"/>
              <w:ind w:right="3"/>
              <w:jc w:val="both"/>
              <w:rPr>
                <w:b/>
              </w:rPr>
            </w:pP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C35A16" w:rsidRDefault="00EF3252" w:rsidP="000D6D5B">
            <w:pPr>
              <w:jc w:val="center"/>
              <w:rPr>
                <w:rFonts w:eastAsia="Calibri"/>
                <w:b/>
                <w:bCs/>
              </w:rPr>
            </w:pPr>
            <w:r w:rsidRPr="00C35A16">
              <w:rPr>
                <w:rFonts w:eastAsia="Calibri"/>
                <w:b/>
                <w:bCs/>
              </w:rPr>
              <w:lastRenderedPageBreak/>
              <w:t>Ņemts vērā</w:t>
            </w:r>
          </w:p>
          <w:p w:rsidR="00EF3252" w:rsidRPr="00C35A16" w:rsidRDefault="00EF3252" w:rsidP="000D6D5B">
            <w:pPr>
              <w:pStyle w:val="naisc"/>
              <w:spacing w:before="0" w:after="0"/>
              <w:ind w:firstLine="21"/>
              <w:rPr>
                <w:b/>
              </w:rPr>
            </w:pPr>
          </w:p>
        </w:tc>
        <w:tc>
          <w:tcPr>
            <w:tcW w:w="0" w:type="auto"/>
            <w:tcBorders>
              <w:top w:val="single" w:sz="4" w:space="0" w:color="auto"/>
              <w:left w:val="single" w:sz="4" w:space="0" w:color="auto"/>
              <w:bottom w:val="single" w:sz="4" w:space="0" w:color="auto"/>
            </w:tcBorders>
          </w:tcPr>
          <w:p w:rsidR="00EF3252" w:rsidRPr="00C35A16" w:rsidRDefault="00EF3252" w:rsidP="000D6D5B">
            <w:pPr>
              <w:pBdr>
                <w:top w:val="nil"/>
                <w:left w:val="nil"/>
                <w:bottom w:val="nil"/>
                <w:right w:val="nil"/>
                <w:between w:val="nil"/>
              </w:pBdr>
              <w:shd w:val="clear" w:color="auto" w:fill="FFFFFF"/>
              <w:contextualSpacing/>
              <w:jc w:val="both"/>
              <w:rPr>
                <w:rFonts w:eastAsia="Arial"/>
              </w:rPr>
            </w:pPr>
            <w:r w:rsidRPr="00C35A16">
              <w:t>Projekta 20.punkts ir svītrots.</w:t>
            </w:r>
          </w:p>
        </w:tc>
      </w:tr>
      <w:tr w:rsidR="00EF3252" w:rsidRPr="006E16B5"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Pr="00460B76" w:rsidRDefault="00EF3252" w:rsidP="000D6D5B">
            <w:pPr>
              <w:pStyle w:val="naisc"/>
              <w:spacing w:before="0" w:after="0"/>
            </w:pPr>
            <w:r w:rsidRPr="00460B76">
              <w:t>3.</w:t>
            </w:r>
          </w:p>
        </w:tc>
        <w:tc>
          <w:tcPr>
            <w:tcW w:w="0" w:type="auto"/>
            <w:gridSpan w:val="3"/>
            <w:tcBorders>
              <w:top w:val="single" w:sz="6" w:space="0" w:color="000000"/>
              <w:left w:val="single" w:sz="6" w:space="0" w:color="000000"/>
              <w:bottom w:val="single" w:sz="4" w:space="0" w:color="auto"/>
              <w:right w:val="single" w:sz="6" w:space="0" w:color="000000"/>
            </w:tcBorders>
          </w:tcPr>
          <w:p w:rsidR="00EF3252" w:rsidRPr="00460B76" w:rsidRDefault="00EF3252" w:rsidP="000D6D5B">
            <w:pPr>
              <w:shd w:val="clear" w:color="auto" w:fill="FFFFFF"/>
              <w:contextualSpacing/>
              <w:jc w:val="both"/>
              <w:rPr>
                <w:rFonts w:eastAsia="Arial"/>
              </w:rPr>
            </w:pPr>
            <w:r w:rsidRPr="00460B76">
              <w:rPr>
                <w:rFonts w:eastAsia="Arial"/>
              </w:rPr>
              <w:t>“22. Reģistrējot šaujamieroci, tā maināmo būtisko sastāvdaļu un lielas enerģijas pneimatisko ieroci, Valsts policijas struktūrvienība triju darbdienu laikā pēc reģistrācijas Iekšlietu ministrijas Informācijas centra Ieroču reģistrā ievada ziņas par šaujamieroci, tā maināmo būtisko sastāvdaļu, lielas enerģijas pneimatisko ieroci, personas datus, kura to iegādājusies, datus par šaujamieroča, tā manāmo būtisko sastāvdaļu un lielas enerģijas pneimatiskā ieroča piegādātāju, kā arī ziņas par izsniegto atļauju.</w:t>
            </w:r>
            <w:bookmarkStart w:id="0" w:name="3ygebqi"/>
            <w:bookmarkStart w:id="1" w:name="2dlolyb"/>
            <w:bookmarkEnd w:id="0"/>
            <w:bookmarkEnd w:id="1"/>
            <w:r w:rsidRPr="00460B76">
              <w:rPr>
                <w:rFonts w:eastAsia="Arial"/>
              </w:rPr>
              <w:t>”</w:t>
            </w:r>
          </w:p>
          <w:p w:rsidR="00EF3252" w:rsidRPr="00460B76" w:rsidRDefault="00EF3252" w:rsidP="000D6D5B">
            <w:pPr>
              <w:pStyle w:val="naisc"/>
              <w:spacing w:before="0" w:after="0"/>
              <w:ind w:firstLine="12"/>
              <w:jc w:val="both"/>
              <w:rPr>
                <w:b/>
              </w:rPr>
            </w:pPr>
          </w:p>
        </w:tc>
        <w:tc>
          <w:tcPr>
            <w:tcW w:w="0" w:type="auto"/>
            <w:tcBorders>
              <w:top w:val="single" w:sz="6" w:space="0" w:color="000000"/>
              <w:left w:val="single" w:sz="6" w:space="0" w:color="000000"/>
              <w:bottom w:val="single" w:sz="4" w:space="0" w:color="auto"/>
              <w:right w:val="single" w:sz="6" w:space="0" w:color="000000"/>
            </w:tcBorders>
            <w:vAlign w:val="center"/>
          </w:tcPr>
          <w:p w:rsidR="00EF3252" w:rsidRPr="00BD13DA" w:rsidRDefault="00EF3252" w:rsidP="000D6D5B">
            <w:pPr>
              <w:jc w:val="center"/>
              <w:rPr>
                <w:b/>
              </w:rPr>
            </w:pPr>
            <w:r w:rsidRPr="00BD13DA">
              <w:rPr>
                <w:b/>
              </w:rPr>
              <w:t>Tieslietu ministrija</w:t>
            </w:r>
          </w:p>
          <w:p w:rsidR="00EF3252" w:rsidRPr="00BD13DA" w:rsidRDefault="00EF3252" w:rsidP="000D6D5B">
            <w:pPr>
              <w:jc w:val="center"/>
              <w:rPr>
                <w:b/>
              </w:rPr>
            </w:pPr>
            <w:r w:rsidRPr="00BD13DA">
              <w:rPr>
                <w:b/>
              </w:rPr>
              <w:t>(28.09.2018., TM Nr. 1-9.1/1132)</w:t>
            </w:r>
          </w:p>
          <w:p w:rsidR="00EF3252" w:rsidRPr="00460B76" w:rsidRDefault="00EF3252" w:rsidP="000D6D5B">
            <w:pPr>
              <w:ind w:right="13"/>
              <w:jc w:val="both"/>
            </w:pPr>
            <w:r w:rsidRPr="00460B76">
              <w:t xml:space="preserve">Noteikumu projekta 22. punktā noteikts, ka Valsts policijas struktūrvienība Iekšlietu ministrijas Informācijas centra Ieroču reģistrā ievada personas datus par personu, kas iegādājusies šaujamieroci, tā maināmo būtisko sastāvdaļu vai lielas enerģijas pneimatisko ieroci. Saskaņā ar Eiropas Parlamenta un Padomes 2016. gada 27. aprīļa regulu (ES) </w:t>
            </w:r>
            <w:hyperlink r:id="rId8" w:tgtFrame="_blank" w:history="1">
              <w:r w:rsidRPr="00460B76">
                <w:t>2016/679</w:t>
              </w:r>
            </w:hyperlink>
            <w:r w:rsidRPr="00460B76">
              <w:t xml:space="preserve"> par fizisku personu aizsardzību attiecībā uz personas datu apstrādi un šādu datu brīvu apriti un ar ko atceļ direktīvu </w:t>
            </w:r>
            <w:hyperlink r:id="rId9" w:tgtFrame="_blank" w:history="1">
              <w:r w:rsidRPr="00460B76">
                <w:t>95/46/EK</w:t>
              </w:r>
            </w:hyperlink>
            <w:r w:rsidRPr="00460B76">
              <w:t xml:space="preserve"> </w:t>
            </w:r>
            <w:r w:rsidRPr="00460B76">
              <w:lastRenderedPageBreak/>
              <w:t xml:space="preserve">(Vispārīgā datu aizsardzības regula) Valsts policija ir pārzinis, kas ir atbildīgs par personas datu apstrādes atbilstību normatīvo aktu prasībām. Jebkurai personas datu apstrādei ir jābūt atbilstošam tiesiskam pamatam. Ievērojot minēto, lūdzam izvērtēt un projekta sākotnējās </w:t>
            </w:r>
            <w:r w:rsidRPr="00460B76">
              <w:rPr>
                <w:i/>
              </w:rPr>
              <w:t>(</w:t>
            </w:r>
            <w:proofErr w:type="spellStart"/>
            <w:r w:rsidRPr="00460B76">
              <w:rPr>
                <w:i/>
              </w:rPr>
              <w:t>ex</w:t>
            </w:r>
            <w:proofErr w:type="spellEnd"/>
            <w:r w:rsidRPr="00460B76">
              <w:rPr>
                <w:i/>
              </w:rPr>
              <w:t xml:space="preserve"> – </w:t>
            </w:r>
            <w:proofErr w:type="spellStart"/>
            <w:r w:rsidRPr="00460B76">
              <w:rPr>
                <w:i/>
              </w:rPr>
              <w:t>ante</w:t>
            </w:r>
            <w:proofErr w:type="spellEnd"/>
            <w:r w:rsidRPr="00460B76">
              <w:rPr>
                <w:i/>
              </w:rPr>
              <w:t>)</w:t>
            </w:r>
            <w:r w:rsidRPr="00460B76">
              <w:t xml:space="preserve"> ietekmes novērtējuma ziņojumā (turpmāk – anotācija) norādīt plānotās personas datu apstrādes tiesisko pamatu, kā arī sniegt skaidrojumu, kādā apjomā personas datus apstrādās. </w:t>
            </w: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460B76" w:rsidRDefault="00EF3252" w:rsidP="000D6D5B">
            <w:pPr>
              <w:jc w:val="center"/>
              <w:rPr>
                <w:rFonts w:eastAsia="Calibri"/>
                <w:b/>
                <w:bCs/>
              </w:rPr>
            </w:pPr>
            <w:r w:rsidRPr="00460B76">
              <w:rPr>
                <w:rFonts w:eastAsia="Calibri"/>
                <w:b/>
                <w:bCs/>
              </w:rPr>
              <w:lastRenderedPageBreak/>
              <w:t>Ņemts vērā</w:t>
            </w:r>
          </w:p>
          <w:p w:rsidR="00EF3252" w:rsidRPr="00460B76" w:rsidRDefault="00EF3252" w:rsidP="000D6D5B">
            <w:pPr>
              <w:jc w:val="center"/>
              <w:rPr>
                <w:rFonts w:eastAsia="Calibri"/>
                <w:b/>
                <w:bCs/>
              </w:rPr>
            </w:pPr>
          </w:p>
          <w:p w:rsidR="00EF3252" w:rsidRPr="00460B76" w:rsidRDefault="00EF3252" w:rsidP="000D6D5B">
            <w:pPr>
              <w:jc w:val="center"/>
              <w:rPr>
                <w:b/>
              </w:rPr>
            </w:pPr>
          </w:p>
        </w:tc>
        <w:tc>
          <w:tcPr>
            <w:tcW w:w="0" w:type="auto"/>
            <w:tcBorders>
              <w:top w:val="single" w:sz="4" w:space="0" w:color="auto"/>
              <w:left w:val="single" w:sz="4" w:space="0" w:color="auto"/>
              <w:bottom w:val="single" w:sz="4" w:space="0" w:color="auto"/>
            </w:tcBorders>
          </w:tcPr>
          <w:p w:rsidR="00EF3252" w:rsidRPr="00460B76" w:rsidRDefault="00EF3252" w:rsidP="000D6D5B">
            <w:pPr>
              <w:pStyle w:val="tv213"/>
              <w:shd w:val="clear" w:color="auto" w:fill="FFFFFF"/>
              <w:spacing w:before="0" w:beforeAutospacing="0" w:after="0" w:afterAutospacing="0"/>
              <w:jc w:val="both"/>
            </w:pPr>
            <w:r w:rsidRPr="00460B76">
              <w:t xml:space="preserve">Papildināts projekta anotācijas </w:t>
            </w:r>
            <w:proofErr w:type="spellStart"/>
            <w:r w:rsidRPr="00460B76">
              <w:t>I.sadaļas</w:t>
            </w:r>
            <w:proofErr w:type="spellEnd"/>
            <w:r w:rsidRPr="00460B76">
              <w:t xml:space="preserve"> 2.punkts.</w:t>
            </w:r>
          </w:p>
          <w:p w:rsidR="00EF3252" w:rsidRPr="00460B76" w:rsidRDefault="00EF3252" w:rsidP="000D6D5B">
            <w:pPr>
              <w:jc w:val="both"/>
              <w:rPr>
                <w:b/>
              </w:rPr>
            </w:pPr>
          </w:p>
        </w:tc>
      </w:tr>
      <w:tr w:rsidR="00EF3252" w:rsidRPr="006E16B5"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Pr="009C7813" w:rsidRDefault="00EF3252" w:rsidP="000D6D5B">
            <w:pPr>
              <w:pStyle w:val="naisc"/>
              <w:spacing w:before="0" w:after="0"/>
            </w:pPr>
            <w:r w:rsidRPr="009C7813">
              <w:t>4.</w:t>
            </w:r>
          </w:p>
        </w:tc>
        <w:tc>
          <w:tcPr>
            <w:tcW w:w="0" w:type="auto"/>
            <w:gridSpan w:val="3"/>
            <w:tcBorders>
              <w:top w:val="single" w:sz="6" w:space="0" w:color="000000"/>
              <w:left w:val="single" w:sz="6" w:space="0" w:color="000000"/>
              <w:bottom w:val="single" w:sz="4" w:space="0" w:color="auto"/>
              <w:right w:val="single" w:sz="6" w:space="0" w:color="000000"/>
            </w:tcBorders>
            <w:vAlign w:val="center"/>
          </w:tcPr>
          <w:p w:rsidR="00EF3252" w:rsidRPr="00312CEA" w:rsidRDefault="00EF3252" w:rsidP="000D6D5B">
            <w:pPr>
              <w:shd w:val="clear" w:color="auto" w:fill="FFFFFF"/>
              <w:contextualSpacing/>
              <w:jc w:val="both"/>
              <w:rPr>
                <w:rFonts w:eastAsia="Arial"/>
              </w:rPr>
            </w:pPr>
            <w:r w:rsidRPr="00312CEA">
              <w:rPr>
                <w:rFonts w:eastAsia="Arial"/>
              </w:rPr>
              <w:t xml:space="preserve">“28. Eiropas Savienības dalībvalsts, Eiropas Ekonomikas zonas valsts pilsonis, ievedot Latvijā šaujamieroci, tā maināmo būtisko sastāvdaļu, šaujamieroča munīciju vai lielas enerģijas pneimatisko ieroci uz medību, šaušanas sporta sacensību vai </w:t>
            </w:r>
            <w:proofErr w:type="spellStart"/>
            <w:r w:rsidRPr="00312CEA">
              <w:rPr>
                <w:rFonts w:eastAsia="Arial"/>
              </w:rPr>
              <w:t>treniņšaušanas</w:t>
            </w:r>
            <w:proofErr w:type="spellEnd"/>
            <w:r w:rsidRPr="00312CEA">
              <w:rPr>
                <w:rFonts w:eastAsia="Arial"/>
              </w:rPr>
              <w:t xml:space="preserve"> laiku, bet trešās valsts pilsonis, ievedot Latvijā šaujamieroci, tā maināmo būtisko sastāvdaļu, šaujamieroča </w:t>
            </w:r>
            <w:r w:rsidRPr="00312CEA">
              <w:rPr>
                <w:rFonts w:eastAsia="Arial"/>
              </w:rPr>
              <w:lastRenderedPageBreak/>
              <w:t xml:space="preserve">munīciju vai lielas enerģijas pneimatisko ieroci uz medību, šaušanas sporta sacensību vai </w:t>
            </w:r>
            <w:proofErr w:type="spellStart"/>
            <w:r w:rsidRPr="00312CEA">
              <w:rPr>
                <w:rFonts w:eastAsia="Arial"/>
              </w:rPr>
              <w:t>treniņšaušanas</w:t>
            </w:r>
            <w:proofErr w:type="spellEnd"/>
            <w:r w:rsidRPr="00312CEA">
              <w:rPr>
                <w:rFonts w:eastAsia="Arial"/>
              </w:rPr>
              <w:t xml:space="preserve"> laiku, bet ne ilgāk par trim mēnešiem, glabā to savā deklarētajā dzīvesvietā vai nekustamā īpašuma (kopīpašuma) atrašanās vietā, vai pagaidu apmešanās vietā, slēgtā seifā vai metāla skapī (metāla kastē), ievērojot šo noteikumu 23., 24., 25. un 26.</w:t>
            </w:r>
            <w:hyperlink r:id="rId10" w:anchor="p32" w:history="1">
              <w:r w:rsidRPr="00312CEA">
                <w:rPr>
                  <w:rFonts w:eastAsia="Arial"/>
                </w:rPr>
                <w:t>punktā</w:t>
              </w:r>
            </w:hyperlink>
            <w:r w:rsidRPr="00312CEA">
              <w:rPr>
                <w:rFonts w:eastAsia="Arial"/>
              </w:rPr>
              <w:t> minētās prasības, vai nodod ieroci (arī šaujamieroča maināmās būtiskās sastāvdaļas) un šaujamieroča munīciju glabāšanā juridiskajai personai, kurai ir ieroču glabāšanas atļauja vai kura pēc saskaņošanas ar Valsts policijas struktūrvienību ir noteikusi fiziskajām personām ieroču un speciālo līdzekļu nēsāšanas ierobežojumus savās telpās vai teritorijā.”</w:t>
            </w:r>
          </w:p>
        </w:tc>
        <w:tc>
          <w:tcPr>
            <w:tcW w:w="0" w:type="auto"/>
            <w:tcBorders>
              <w:top w:val="single" w:sz="6" w:space="0" w:color="000000"/>
              <w:left w:val="single" w:sz="6" w:space="0" w:color="000000"/>
              <w:bottom w:val="single" w:sz="4" w:space="0" w:color="auto"/>
              <w:right w:val="single" w:sz="6" w:space="0" w:color="000000"/>
            </w:tcBorders>
            <w:vAlign w:val="center"/>
          </w:tcPr>
          <w:p w:rsidR="00EF3252" w:rsidRPr="00BD13DA" w:rsidRDefault="00EF3252" w:rsidP="000D6D5B">
            <w:pPr>
              <w:jc w:val="center"/>
              <w:rPr>
                <w:b/>
              </w:rPr>
            </w:pPr>
            <w:r w:rsidRPr="00BD13DA">
              <w:rPr>
                <w:b/>
              </w:rPr>
              <w:lastRenderedPageBreak/>
              <w:t>Tieslietu ministrija</w:t>
            </w:r>
          </w:p>
          <w:p w:rsidR="00EF3252" w:rsidRPr="00BD13DA" w:rsidRDefault="00EF3252" w:rsidP="000D6D5B">
            <w:pPr>
              <w:jc w:val="center"/>
              <w:rPr>
                <w:b/>
              </w:rPr>
            </w:pPr>
            <w:r w:rsidRPr="00BD13DA">
              <w:rPr>
                <w:b/>
              </w:rPr>
              <w:t>(28.09.2018., TM Nr. 1-9.1/1132)</w:t>
            </w:r>
          </w:p>
          <w:p w:rsidR="00EF3252" w:rsidRPr="00312CEA" w:rsidRDefault="00EF3252" w:rsidP="000D6D5B">
            <w:pPr>
              <w:widowControl w:val="0"/>
              <w:ind w:right="-2"/>
              <w:jc w:val="both"/>
              <w:rPr>
                <w:rFonts w:eastAsia="Calibri"/>
                <w:szCs w:val="22"/>
                <w:lang w:eastAsia="en-US"/>
              </w:rPr>
            </w:pPr>
            <w:r w:rsidRPr="00312CEA">
              <w:rPr>
                <w:rFonts w:eastAsia="Calibri"/>
                <w:szCs w:val="22"/>
                <w:lang w:eastAsia="en-US"/>
              </w:rPr>
              <w:t xml:space="preserve">Lūdzam redakcionāli precizēt noteikumu projekta 28. punktu, jo no tā nav saprotams, kādi nosacījumi attiecas uz Eiropas Savienības un Eiropas Ekonomiskās zonas valstu pilsoņiem, </w:t>
            </w:r>
            <w:r w:rsidRPr="00312CEA">
              <w:rPr>
                <w:rFonts w:eastAsia="Calibri"/>
                <w:szCs w:val="22"/>
                <w:lang w:eastAsia="en-US"/>
              </w:rPr>
              <w:lastRenderedPageBreak/>
              <w:t xml:space="preserve">bet kādi – uz trešo valstu pilsoņiem. Papildus vēršam uzmanību, ka saskaņā ar Dzīvesvietas deklarēšanas likuma 2. panta pirmo daļu personām, kuru dzīvesvieta nav Latvija (tostarp personām, kas ierodas Latvijā uz medību, šaušanas sporta sacensību vai </w:t>
            </w:r>
            <w:proofErr w:type="spellStart"/>
            <w:r w:rsidRPr="00312CEA">
              <w:rPr>
                <w:rFonts w:eastAsia="Calibri"/>
                <w:szCs w:val="22"/>
                <w:lang w:eastAsia="en-US"/>
              </w:rPr>
              <w:t>treniņšaušanas</w:t>
            </w:r>
            <w:proofErr w:type="spellEnd"/>
            <w:r w:rsidRPr="00312CEA">
              <w:rPr>
                <w:rFonts w:eastAsia="Calibri"/>
                <w:szCs w:val="22"/>
                <w:lang w:eastAsia="en-US"/>
              </w:rPr>
              <w:t xml:space="preserve"> laiku), nav pienākums deklarēt savu dzīvesvietu Latvijā, tāpēc lūdzam izvērtēt deklarētās dzīvesvietas, kā šaujamieroču, to maināmo būtisko sastāvdaļu un lielas enerģijas pneimatisko ieroču glabāšanas vietas, norādīšanas nepieciešamību. Vienlaikus lūdzam anotācijā izskaidrot, kas ir nekustamā īpašuma (kopīpašuma) atrašanās vieta, jo anotācijā nav sniegts skaidrojums, savukārt no tiesību normas tas nav saprotams.</w:t>
            </w: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312CEA" w:rsidRDefault="00EF3252" w:rsidP="000D6D5B">
            <w:pPr>
              <w:pStyle w:val="naisc"/>
              <w:spacing w:before="0" w:after="0"/>
              <w:rPr>
                <w:b/>
              </w:rPr>
            </w:pPr>
            <w:r w:rsidRPr="00312CEA">
              <w:rPr>
                <w:b/>
              </w:rPr>
              <w:lastRenderedPageBreak/>
              <w:t>Ņemts vērā</w:t>
            </w:r>
          </w:p>
          <w:p w:rsidR="00EF3252" w:rsidRPr="00312CEA" w:rsidRDefault="00EF3252" w:rsidP="000D6D5B">
            <w:pPr>
              <w:pStyle w:val="naisc"/>
              <w:spacing w:before="0" w:after="0"/>
              <w:jc w:val="both"/>
            </w:pPr>
            <w:r w:rsidRPr="00312CEA">
              <w:t>No projekta 28.punkta</w:t>
            </w:r>
            <w:r>
              <w:t xml:space="preserve"> (jaunais 26.punkts)</w:t>
            </w:r>
            <w:r w:rsidRPr="00312CEA">
              <w:t xml:space="preserve"> svītrota </w:t>
            </w:r>
          </w:p>
          <w:p w:rsidR="00EF3252" w:rsidRPr="00312CEA" w:rsidRDefault="00EF3252" w:rsidP="000D6D5B">
            <w:pPr>
              <w:pStyle w:val="naisc"/>
              <w:spacing w:before="0" w:after="0"/>
              <w:jc w:val="both"/>
              <w:rPr>
                <w:b/>
              </w:rPr>
            </w:pPr>
            <w:r w:rsidRPr="00312CEA">
              <w:rPr>
                <w:rFonts w:eastAsia="Calibri"/>
                <w:szCs w:val="22"/>
                <w:lang w:eastAsia="en-US"/>
              </w:rPr>
              <w:t xml:space="preserve">nepieciešamība šaujamieroci, tā maināmo būtisko sastāvdaļu un lielas enerģijas pneimatisko ieroci </w:t>
            </w:r>
            <w:r w:rsidRPr="00312CEA">
              <w:t xml:space="preserve">glabāt savā deklarētajā dzīvesvietā vai nekustamā </w:t>
            </w:r>
            <w:r w:rsidRPr="00312CEA">
              <w:lastRenderedPageBreak/>
              <w:t>īpašuma (kopīpašuma) atrašanās vietā.</w:t>
            </w:r>
          </w:p>
          <w:p w:rsidR="00EF3252" w:rsidRPr="00312CEA" w:rsidRDefault="00EF3252" w:rsidP="000D6D5B">
            <w:pPr>
              <w:pStyle w:val="naisc"/>
              <w:spacing w:before="0" w:after="0"/>
              <w:jc w:val="both"/>
            </w:pPr>
            <w:r w:rsidRPr="00312CEA">
              <w:t>Projekta 28.punktā aizstāta vārdkopa “pagaidu apmešanās vieta” ar vārdkopu “īslaicīgas apmešanās vieta”, lai ievērotu konsekvenci ar Ieroču aprites likuma 36.panta trešo daļu.</w:t>
            </w:r>
          </w:p>
          <w:p w:rsidR="00EF3252" w:rsidRPr="00312CEA" w:rsidRDefault="00EF3252" w:rsidP="000D6D5B">
            <w:pPr>
              <w:pStyle w:val="naisc"/>
              <w:spacing w:before="0" w:after="0"/>
              <w:jc w:val="left"/>
              <w:rPr>
                <w:b/>
              </w:rPr>
            </w:pPr>
          </w:p>
          <w:p w:rsidR="00EF3252" w:rsidRPr="00312CEA" w:rsidRDefault="00EF3252" w:rsidP="000D6D5B">
            <w:pPr>
              <w:jc w:val="center"/>
              <w:rPr>
                <w:rFonts w:eastAsia="Calibri"/>
                <w:b/>
                <w:bCs/>
              </w:rPr>
            </w:pPr>
          </w:p>
        </w:tc>
        <w:tc>
          <w:tcPr>
            <w:tcW w:w="0" w:type="auto"/>
            <w:tcBorders>
              <w:top w:val="single" w:sz="4" w:space="0" w:color="auto"/>
              <w:left w:val="single" w:sz="4" w:space="0" w:color="auto"/>
              <w:bottom w:val="single" w:sz="4" w:space="0" w:color="auto"/>
            </w:tcBorders>
          </w:tcPr>
          <w:p w:rsidR="00EF3252" w:rsidRPr="007213B2" w:rsidRDefault="00EF3252" w:rsidP="000D6D5B">
            <w:pPr>
              <w:pBdr>
                <w:top w:val="nil"/>
                <w:left w:val="nil"/>
                <w:bottom w:val="nil"/>
                <w:right w:val="nil"/>
                <w:between w:val="nil"/>
              </w:pBdr>
              <w:shd w:val="clear" w:color="auto" w:fill="FFFFFF"/>
              <w:spacing w:line="259" w:lineRule="auto"/>
              <w:contextualSpacing/>
              <w:jc w:val="both"/>
              <w:rPr>
                <w:rFonts w:eastAsia="Arial"/>
              </w:rPr>
            </w:pPr>
            <w:r w:rsidRPr="007213B2">
              <w:rPr>
                <w:rFonts w:eastAsia="Arial"/>
              </w:rPr>
              <w:lastRenderedPageBreak/>
              <w:t xml:space="preserve">“26. Eiropas Savienības dalībvalsts, Eiropas Ekonomikas zonas valsts pilsonis vai trešās valsts pilsonis (trešās valsts pilsonis ne ilgāk par trim mēnešiem), ievedot Latvijā šaujamieroci, tā maināmo būtisko sastāvdaļu, šaujamieroča munīciju vai lielas enerģijas pneimatisko ieroci uz medību, šaušanas sporta sacensību vai </w:t>
            </w:r>
            <w:proofErr w:type="spellStart"/>
            <w:r w:rsidRPr="007213B2">
              <w:rPr>
                <w:rFonts w:eastAsia="Arial"/>
              </w:rPr>
              <w:t>treniņšaušanas</w:t>
            </w:r>
            <w:proofErr w:type="spellEnd"/>
            <w:r w:rsidRPr="007213B2">
              <w:rPr>
                <w:rFonts w:eastAsia="Arial"/>
              </w:rPr>
              <w:t xml:space="preserve"> laiku, </w:t>
            </w:r>
            <w:r w:rsidRPr="007213B2">
              <w:rPr>
                <w:rFonts w:eastAsia="Arial"/>
              </w:rPr>
              <w:lastRenderedPageBreak/>
              <w:t xml:space="preserve">glabā to īslaicīgas apmešanās vietā, slēgtā seifā vai metāla skapī (metāla kastē), ievērojot šo noteikumu 20., </w:t>
            </w:r>
            <w:hyperlink r:id="rId11" w:anchor="p29"/>
            <w:r w:rsidRPr="007213B2">
              <w:rPr>
                <w:rFonts w:eastAsia="Arial"/>
              </w:rPr>
              <w:t>21. un 22.</w:t>
            </w:r>
            <w:hyperlink r:id="rId12" w:anchor="p32">
              <w:r w:rsidRPr="007213B2">
                <w:rPr>
                  <w:rFonts w:eastAsia="Arial"/>
                </w:rPr>
                <w:t>punktā</w:t>
              </w:r>
            </w:hyperlink>
            <w:r w:rsidRPr="007213B2">
              <w:rPr>
                <w:rFonts w:eastAsia="Arial"/>
              </w:rPr>
              <w:t> minētās prasības, vai nodod ieroci (arī šaujamieroča maināmās būtiskās sastāvdaļas) un šaujamieroča munīciju glabāšanā juridiskajai personai, kurai ir ieroču glabāšanas atļauja.”</w:t>
            </w:r>
          </w:p>
          <w:p w:rsidR="00EF3252" w:rsidRPr="007213B2" w:rsidRDefault="00EF3252" w:rsidP="000D6D5B">
            <w:pPr>
              <w:jc w:val="both"/>
              <w:rPr>
                <w:b/>
              </w:rPr>
            </w:pPr>
          </w:p>
        </w:tc>
      </w:tr>
      <w:tr w:rsidR="00EF3252" w:rsidRPr="006E16B5"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Pr="0030582D" w:rsidRDefault="00EF3252" w:rsidP="000D6D5B">
            <w:pPr>
              <w:pStyle w:val="naisc"/>
              <w:spacing w:before="0" w:after="0"/>
            </w:pPr>
            <w:r w:rsidRPr="0030582D">
              <w:lastRenderedPageBreak/>
              <w:t>5.</w:t>
            </w:r>
          </w:p>
        </w:tc>
        <w:tc>
          <w:tcPr>
            <w:tcW w:w="0" w:type="auto"/>
            <w:gridSpan w:val="3"/>
            <w:tcBorders>
              <w:top w:val="single" w:sz="6" w:space="0" w:color="000000"/>
              <w:left w:val="single" w:sz="6" w:space="0" w:color="000000"/>
              <w:bottom w:val="single" w:sz="4" w:space="0" w:color="auto"/>
              <w:right w:val="single" w:sz="6" w:space="0" w:color="000000"/>
            </w:tcBorders>
            <w:vAlign w:val="center"/>
          </w:tcPr>
          <w:p w:rsidR="00EF3252" w:rsidRPr="0030582D" w:rsidRDefault="00EF3252" w:rsidP="000D6D5B">
            <w:pPr>
              <w:pStyle w:val="naisc"/>
              <w:spacing w:before="0" w:after="0"/>
              <w:ind w:firstLine="12"/>
              <w:rPr>
                <w:b/>
              </w:rPr>
            </w:pPr>
          </w:p>
        </w:tc>
        <w:tc>
          <w:tcPr>
            <w:tcW w:w="0" w:type="auto"/>
            <w:tcBorders>
              <w:top w:val="single" w:sz="6" w:space="0" w:color="000000"/>
              <w:left w:val="single" w:sz="6" w:space="0" w:color="000000"/>
              <w:bottom w:val="single" w:sz="4" w:space="0" w:color="auto"/>
              <w:right w:val="single" w:sz="6" w:space="0" w:color="000000"/>
            </w:tcBorders>
            <w:vAlign w:val="center"/>
          </w:tcPr>
          <w:p w:rsidR="00EF3252" w:rsidRPr="00BD13DA" w:rsidRDefault="00EF3252" w:rsidP="000D6D5B">
            <w:pPr>
              <w:jc w:val="center"/>
              <w:rPr>
                <w:b/>
              </w:rPr>
            </w:pPr>
            <w:r w:rsidRPr="00BD13DA">
              <w:rPr>
                <w:b/>
              </w:rPr>
              <w:t>Tieslietu ministrija</w:t>
            </w:r>
          </w:p>
          <w:p w:rsidR="00EF3252" w:rsidRPr="00BD13DA" w:rsidRDefault="00EF3252" w:rsidP="000D6D5B">
            <w:pPr>
              <w:jc w:val="center"/>
              <w:rPr>
                <w:b/>
              </w:rPr>
            </w:pPr>
            <w:r w:rsidRPr="00BD13DA">
              <w:rPr>
                <w:b/>
              </w:rPr>
              <w:t>(28.09.2018., TM Nr. 1-9.1/1132)</w:t>
            </w:r>
          </w:p>
          <w:p w:rsidR="00EF3252" w:rsidRDefault="00EF3252" w:rsidP="000D6D5B">
            <w:pPr>
              <w:widowControl w:val="0"/>
              <w:ind w:right="-2"/>
              <w:jc w:val="both"/>
              <w:rPr>
                <w:rFonts w:eastAsia="Calibri"/>
                <w:szCs w:val="22"/>
                <w:lang w:eastAsia="en-US"/>
              </w:rPr>
            </w:pPr>
            <w:r w:rsidRPr="0030582D">
              <w:rPr>
                <w:rFonts w:eastAsia="Calibri"/>
                <w:szCs w:val="22"/>
                <w:lang w:eastAsia="en-US"/>
              </w:rPr>
              <w:t xml:space="preserve">Saskaņā ar anotācijā minēto, pamatojoties uz Ieroču un speciālo līdzekļu aprites likumā ietverto deleģējumu, tika izdoti Ministru kabineta 2011. gada 27. decembra noteikumi Nr. 1001 "Ieroču un munīcijas iegādāšanās, reģistrēšanas, uzskaites, glabāšanas, pārvadāšanas, pārsūtīšanas, nēsāšanas, realizēšanas un ieroču kolekciju glabāšanas noteikumi" (turpmāk – Noteikumi Nr. 1001), kuri pašlaik nosaka lielāko daļu noteikumu projektā pārņemtā regulējuma. Noteikumu projekta 51. un 107. punktā noteikts trīs mēnešu termiņš šaujamieroča, tā maināmās būtiskās sastāvdaļas un šaujamieroča munīcijas vai lielas enerģijas pneimatiskā ieroča </w:t>
            </w:r>
            <w:r w:rsidRPr="0030582D">
              <w:rPr>
                <w:rFonts w:eastAsia="Calibri"/>
                <w:szCs w:val="22"/>
                <w:lang w:eastAsia="en-US"/>
              </w:rPr>
              <w:lastRenderedPageBreak/>
              <w:t>realizēšanai fiziskām un juridiskām personām. Lūdzam anotācijā sniegt skaidrojumu, kāpēc tiek noteikts trīs mēnešu termiņš, ņemot vērā, ka šobrīd spēkā esošais regulējums attiecīgo ieroču, to sastāvdaļu un munīcijas realizēšanai paredz 30 dienu termiņu (noteikumu Nr. 1001 63. un 135. punkts).</w:t>
            </w:r>
          </w:p>
          <w:p w:rsidR="00EF3252" w:rsidRDefault="00EF3252" w:rsidP="000D6D5B">
            <w:pPr>
              <w:widowControl w:val="0"/>
              <w:ind w:right="-2"/>
              <w:jc w:val="both"/>
              <w:rPr>
                <w:rFonts w:eastAsia="Calibri"/>
                <w:szCs w:val="22"/>
                <w:lang w:eastAsia="en-US"/>
              </w:rPr>
            </w:pPr>
          </w:p>
          <w:p w:rsidR="00EF3252" w:rsidRPr="0030582D" w:rsidRDefault="00EF3252" w:rsidP="000D6D5B">
            <w:pPr>
              <w:widowControl w:val="0"/>
              <w:ind w:right="-2"/>
              <w:jc w:val="both"/>
              <w:rPr>
                <w:rFonts w:eastAsia="Calibri"/>
                <w:szCs w:val="22"/>
                <w:lang w:eastAsia="en-US"/>
              </w:rPr>
            </w:pP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30582D" w:rsidRDefault="00EF3252" w:rsidP="000D6D5B">
            <w:pPr>
              <w:jc w:val="center"/>
              <w:rPr>
                <w:rFonts w:eastAsia="Calibri"/>
                <w:b/>
                <w:bCs/>
              </w:rPr>
            </w:pPr>
            <w:r w:rsidRPr="0030582D">
              <w:rPr>
                <w:rFonts w:eastAsia="Calibri"/>
                <w:b/>
                <w:bCs/>
              </w:rPr>
              <w:lastRenderedPageBreak/>
              <w:t>Ņemts vērā</w:t>
            </w:r>
          </w:p>
          <w:p w:rsidR="00EF3252" w:rsidRPr="0030582D" w:rsidRDefault="00EF3252" w:rsidP="000D6D5B">
            <w:pPr>
              <w:pStyle w:val="tv213"/>
              <w:shd w:val="clear" w:color="auto" w:fill="FFFFFF"/>
              <w:spacing w:before="0" w:beforeAutospacing="0" w:after="0" w:afterAutospacing="0"/>
              <w:jc w:val="both"/>
            </w:pPr>
            <w:r w:rsidRPr="0030582D">
              <w:rPr>
                <w:bCs/>
              </w:rPr>
              <w:t xml:space="preserve">Noteikumu Nr.1001 63. un 135.punkts paredz </w:t>
            </w:r>
            <w:r w:rsidRPr="0030582D">
              <w:rPr>
                <w:rFonts w:eastAsia="Arial"/>
              </w:rPr>
              <w:t>šaujamieroča, tā maināmās būtiskās sastāvdaļas un šaujamieroča munīcijas vai lielas enerģijas pneimatiskā ieroča realizēšanai fiziskām un juridiskām personām 30 dienu termiņu,</w:t>
            </w:r>
            <w:r w:rsidRPr="0030582D">
              <w:rPr>
                <w:rFonts w:eastAsia="Arial"/>
                <w:u w:val="single"/>
              </w:rPr>
              <w:t xml:space="preserve"> </w:t>
            </w:r>
            <w:r w:rsidRPr="0030582D">
              <w:rPr>
                <w:rFonts w:eastAsia="Arial"/>
              </w:rPr>
              <w:t xml:space="preserve">savukārt projekta 51. un 107.punktā noteikts trīs mēnešu termiņš, kas pamatojams ar Ieroču aprites likuma 20.pantu, kas nosaka, ka </w:t>
            </w:r>
            <w:r w:rsidRPr="0030582D">
              <w:t>ieroča realizēšanas atļauja ir derīga trīs mēnešus no dienas, kad Valsts policija pieņēmusi lēmumu par tās izsniegšanu.</w:t>
            </w:r>
          </w:p>
          <w:p w:rsidR="00EF3252" w:rsidRPr="0030582D" w:rsidRDefault="00EF3252" w:rsidP="000D6D5B">
            <w:pPr>
              <w:jc w:val="center"/>
              <w:rPr>
                <w:rFonts w:eastAsia="Calibri"/>
                <w:b/>
                <w:bCs/>
              </w:rPr>
            </w:pPr>
          </w:p>
        </w:tc>
        <w:tc>
          <w:tcPr>
            <w:tcW w:w="0" w:type="auto"/>
            <w:tcBorders>
              <w:top w:val="single" w:sz="4" w:space="0" w:color="auto"/>
              <w:left w:val="single" w:sz="4" w:space="0" w:color="auto"/>
              <w:bottom w:val="single" w:sz="4" w:space="0" w:color="auto"/>
            </w:tcBorders>
          </w:tcPr>
          <w:p w:rsidR="00EF3252" w:rsidRPr="0030582D" w:rsidRDefault="00EF3252" w:rsidP="000D6D5B">
            <w:pPr>
              <w:pStyle w:val="tv213"/>
              <w:shd w:val="clear" w:color="auto" w:fill="FFFFFF"/>
              <w:spacing w:before="0" w:beforeAutospacing="0" w:after="0" w:afterAutospacing="0"/>
              <w:jc w:val="both"/>
            </w:pPr>
            <w:r w:rsidRPr="0030582D">
              <w:t xml:space="preserve">Papildināts projekta anotācijas </w:t>
            </w:r>
            <w:proofErr w:type="spellStart"/>
            <w:r w:rsidRPr="0030582D">
              <w:t>I.sadaļas</w:t>
            </w:r>
            <w:proofErr w:type="spellEnd"/>
            <w:r w:rsidRPr="0030582D">
              <w:t xml:space="preserve"> 2.punkts.</w:t>
            </w:r>
          </w:p>
          <w:p w:rsidR="00EF3252" w:rsidRPr="0030582D" w:rsidRDefault="00EF3252" w:rsidP="000D6D5B">
            <w:pPr>
              <w:pStyle w:val="tv213"/>
              <w:shd w:val="clear" w:color="auto" w:fill="FFFFFF"/>
              <w:spacing w:before="0" w:beforeAutospacing="0" w:after="0" w:afterAutospacing="0"/>
              <w:ind w:firstLine="300"/>
              <w:jc w:val="both"/>
            </w:pPr>
          </w:p>
          <w:p w:rsidR="00EF3252" w:rsidRPr="0030582D" w:rsidRDefault="00EF3252" w:rsidP="000D6D5B">
            <w:pPr>
              <w:jc w:val="both"/>
              <w:rPr>
                <w:b/>
              </w:rPr>
            </w:pPr>
          </w:p>
        </w:tc>
      </w:tr>
      <w:tr w:rsidR="00EF3252" w:rsidRPr="006E16B5"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Pr="00F807E1" w:rsidRDefault="00EF3252" w:rsidP="000D6D5B">
            <w:pPr>
              <w:pStyle w:val="naisc"/>
              <w:spacing w:before="0" w:after="0"/>
            </w:pPr>
            <w:r w:rsidRPr="00F807E1">
              <w:t>6.</w:t>
            </w:r>
          </w:p>
        </w:tc>
        <w:tc>
          <w:tcPr>
            <w:tcW w:w="0" w:type="auto"/>
            <w:gridSpan w:val="3"/>
            <w:tcBorders>
              <w:top w:val="single" w:sz="6" w:space="0" w:color="000000"/>
              <w:left w:val="single" w:sz="6" w:space="0" w:color="000000"/>
              <w:bottom w:val="single" w:sz="4" w:space="0" w:color="auto"/>
              <w:right w:val="single" w:sz="6" w:space="0" w:color="000000"/>
            </w:tcBorders>
            <w:vAlign w:val="center"/>
          </w:tcPr>
          <w:p w:rsidR="00EF3252" w:rsidRPr="00F807E1" w:rsidRDefault="00EF3252" w:rsidP="000D6D5B">
            <w:pPr>
              <w:pBdr>
                <w:top w:val="nil"/>
                <w:left w:val="nil"/>
                <w:bottom w:val="nil"/>
                <w:right w:val="nil"/>
                <w:between w:val="nil"/>
              </w:pBdr>
              <w:shd w:val="clear" w:color="auto" w:fill="FFFFFF"/>
              <w:contextualSpacing/>
              <w:jc w:val="both"/>
              <w:rPr>
                <w:rFonts w:eastAsia="Arial"/>
              </w:rPr>
            </w:pPr>
            <w:r w:rsidRPr="00F807E1">
              <w:rPr>
                <w:rFonts w:eastAsia="Arial"/>
              </w:rPr>
              <w:t>“65. Ziņas par iegādātajiem šaujamieročiem, to maināmām būtiskām sastāvdaļām un lielas enerģijas pneimatiskajiem ieročiem atbildīgā persona diennakts laikā pēc to iegādes vai ievešanas Latvijā ieraksta juridiskās personas ieroču un šaujamieroču maināmo būtisko sastāvdaļu uzskaites žurnālā (</w:t>
            </w:r>
            <w:hyperlink r:id="rId13" w:anchor="piel4">
              <w:r w:rsidRPr="00F807E1">
                <w:rPr>
                  <w:rFonts w:eastAsia="Arial"/>
                </w:rPr>
                <w:t>4.pielikums</w:t>
              </w:r>
            </w:hyperlink>
            <w:r w:rsidRPr="00F807E1">
              <w:rPr>
                <w:rFonts w:eastAsia="Arial"/>
              </w:rPr>
              <w:t xml:space="preserve">). Ierakstu apstiprina juridiskās personas vadītājs un Valsts policijas struktūrvienība, reģistrējot šaujamieročus vai lielas enerģijas pneimatiskos ieročus. Ziņas par iegādāto šaujamieroča munīciju juridiskās personas vadītājs vai atbildīgā persona diennakts laikā pēc to iegādes vai ievešanas Latvijā ieraksta juridiskās </w:t>
            </w:r>
            <w:r w:rsidRPr="00F807E1">
              <w:rPr>
                <w:rFonts w:eastAsia="Arial"/>
              </w:rPr>
              <w:lastRenderedPageBreak/>
              <w:t>personas šaujamieroču munīcijas uzskaites žurnālā (</w:t>
            </w:r>
            <w:hyperlink r:id="rId14" w:anchor="piel5">
              <w:r w:rsidRPr="00F807E1">
                <w:rPr>
                  <w:rFonts w:eastAsia="Arial"/>
                </w:rPr>
                <w:t>5.pielikums</w:t>
              </w:r>
            </w:hyperlink>
            <w:r w:rsidRPr="00F807E1">
              <w:rPr>
                <w:rFonts w:eastAsia="Arial"/>
              </w:rPr>
              <w:t>).”</w:t>
            </w:r>
          </w:p>
        </w:tc>
        <w:tc>
          <w:tcPr>
            <w:tcW w:w="0" w:type="auto"/>
            <w:tcBorders>
              <w:top w:val="single" w:sz="6" w:space="0" w:color="000000"/>
              <w:left w:val="single" w:sz="6" w:space="0" w:color="000000"/>
              <w:bottom w:val="single" w:sz="4" w:space="0" w:color="auto"/>
              <w:right w:val="single" w:sz="6" w:space="0" w:color="000000"/>
            </w:tcBorders>
          </w:tcPr>
          <w:p w:rsidR="00EF3252" w:rsidRPr="00BD13DA" w:rsidRDefault="00EF3252" w:rsidP="000D6D5B">
            <w:pPr>
              <w:jc w:val="center"/>
              <w:rPr>
                <w:b/>
              </w:rPr>
            </w:pPr>
            <w:r w:rsidRPr="00BD13DA">
              <w:rPr>
                <w:b/>
              </w:rPr>
              <w:lastRenderedPageBreak/>
              <w:t>Tieslietu ministrija</w:t>
            </w:r>
          </w:p>
          <w:p w:rsidR="00EF3252" w:rsidRPr="00BD13DA" w:rsidRDefault="00EF3252" w:rsidP="000D6D5B">
            <w:pPr>
              <w:jc w:val="center"/>
              <w:rPr>
                <w:b/>
              </w:rPr>
            </w:pPr>
            <w:r w:rsidRPr="00BD13DA">
              <w:rPr>
                <w:b/>
              </w:rPr>
              <w:t>(28.09.2018., TM Nr. 1-9.1/1132)</w:t>
            </w:r>
          </w:p>
          <w:p w:rsidR="00EF3252" w:rsidRPr="00F807E1" w:rsidRDefault="00EF3252" w:rsidP="000D6D5B">
            <w:pPr>
              <w:widowControl w:val="0"/>
              <w:ind w:right="-2"/>
              <w:jc w:val="both"/>
              <w:rPr>
                <w:rFonts w:eastAsia="Calibri"/>
                <w:szCs w:val="22"/>
                <w:lang w:eastAsia="en-US"/>
              </w:rPr>
            </w:pPr>
            <w:r w:rsidRPr="00F807E1">
              <w:rPr>
                <w:rFonts w:eastAsia="Calibri"/>
                <w:szCs w:val="22"/>
                <w:lang w:eastAsia="en-US"/>
              </w:rPr>
              <w:t>Noteikumu projekta 65. punktā tiek lietots jēdziens "juridiskās personas vadītājs", kas netiek skaidrots ne noteikumu projektā, ne anotācijā. Vēršam uzmanību, ka spēkā esošie normatīvie akti, kas regulē juridisko personu darbību, tostarp Komerclikums, šādu jēdzienu nenosaka, tāpēc lūdzam izvērtēt iespēju to precizēt.</w:t>
            </w:r>
          </w:p>
          <w:p w:rsidR="00EF3252" w:rsidRPr="00F807E1" w:rsidRDefault="00EF3252" w:rsidP="000D6D5B">
            <w:pPr>
              <w:widowControl w:val="0"/>
              <w:jc w:val="both"/>
              <w:rPr>
                <w:rFonts w:eastAsia="Calibri"/>
                <w:szCs w:val="22"/>
                <w:lang w:eastAsia="en-US"/>
              </w:rPr>
            </w:pP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F807E1" w:rsidRDefault="00EF3252" w:rsidP="000D6D5B">
            <w:pPr>
              <w:jc w:val="center"/>
              <w:rPr>
                <w:rFonts w:eastAsia="Calibri"/>
                <w:b/>
                <w:bCs/>
              </w:rPr>
            </w:pPr>
            <w:r w:rsidRPr="00F807E1">
              <w:rPr>
                <w:rFonts w:eastAsia="Calibri"/>
                <w:b/>
                <w:bCs/>
              </w:rPr>
              <w:t>Ņemts vērā</w:t>
            </w:r>
          </w:p>
          <w:p w:rsidR="00EF3252" w:rsidRPr="00F807E1" w:rsidRDefault="00EF3252" w:rsidP="000D6D5B">
            <w:pPr>
              <w:jc w:val="center"/>
              <w:rPr>
                <w:rFonts w:eastAsia="Calibri"/>
                <w:b/>
                <w:bCs/>
              </w:rPr>
            </w:pPr>
          </w:p>
        </w:tc>
        <w:tc>
          <w:tcPr>
            <w:tcW w:w="0" w:type="auto"/>
            <w:tcBorders>
              <w:top w:val="single" w:sz="4" w:space="0" w:color="auto"/>
              <w:left w:val="single" w:sz="4" w:space="0" w:color="auto"/>
              <w:bottom w:val="single" w:sz="4" w:space="0" w:color="auto"/>
            </w:tcBorders>
          </w:tcPr>
          <w:p w:rsidR="00EF3252" w:rsidRPr="00F807E1" w:rsidRDefault="00EF3252" w:rsidP="000D6D5B">
            <w:pPr>
              <w:pStyle w:val="tv213"/>
              <w:shd w:val="clear" w:color="auto" w:fill="FFFFFF"/>
              <w:spacing w:before="0" w:beforeAutospacing="0" w:after="0" w:afterAutospacing="0"/>
              <w:jc w:val="both"/>
            </w:pPr>
            <w:r w:rsidRPr="00F807E1">
              <w:t>Visā projektā un projekta sākotnējās ietekmes novērtējuma ziņojumā (anotācijā) aizstāti vārdi “juridiskās personas vadītājs” ar vārdiem “juridiskās personas pārvaldes (pārstāvības) amatpersona” (attiecīgā locījumā).</w:t>
            </w:r>
          </w:p>
          <w:p w:rsidR="00EF3252" w:rsidRPr="00F807E1" w:rsidRDefault="00EF3252" w:rsidP="000D6D5B">
            <w:pPr>
              <w:jc w:val="both"/>
              <w:rPr>
                <w:b/>
              </w:rPr>
            </w:pPr>
          </w:p>
        </w:tc>
      </w:tr>
      <w:tr w:rsidR="00EF3252" w:rsidRPr="006E16B5"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Pr="00BB0C13" w:rsidRDefault="00EF3252" w:rsidP="000D6D5B">
            <w:pPr>
              <w:pStyle w:val="naisc"/>
              <w:spacing w:before="0" w:after="0"/>
            </w:pPr>
            <w:r w:rsidRPr="00BB0C13">
              <w:t>7.</w:t>
            </w:r>
          </w:p>
        </w:tc>
        <w:tc>
          <w:tcPr>
            <w:tcW w:w="0" w:type="auto"/>
            <w:gridSpan w:val="3"/>
            <w:tcBorders>
              <w:top w:val="single" w:sz="6" w:space="0" w:color="000000"/>
              <w:left w:val="single" w:sz="6" w:space="0" w:color="000000"/>
              <w:bottom w:val="single" w:sz="4" w:space="0" w:color="auto"/>
              <w:right w:val="single" w:sz="6" w:space="0" w:color="000000"/>
            </w:tcBorders>
          </w:tcPr>
          <w:p w:rsidR="00EF3252" w:rsidRPr="00BB0C13" w:rsidRDefault="00EF3252" w:rsidP="000D6D5B">
            <w:pPr>
              <w:pBdr>
                <w:top w:val="nil"/>
                <w:left w:val="nil"/>
                <w:bottom w:val="nil"/>
                <w:right w:val="nil"/>
                <w:between w:val="nil"/>
              </w:pBdr>
              <w:shd w:val="clear" w:color="auto" w:fill="FFFFFF"/>
              <w:contextualSpacing/>
              <w:jc w:val="both"/>
              <w:rPr>
                <w:rFonts w:eastAsia="Arial"/>
              </w:rPr>
            </w:pPr>
            <w:r w:rsidRPr="00BB0C13">
              <w:rPr>
                <w:rFonts w:eastAsia="Arial"/>
              </w:rPr>
              <w:t>“82. Juridiskā persona pirms ieroču glabāšanas adreses maiņas par to rakstiski ziņo Valsts policijas struktūrvienībai, kura izsniegusi ieroču glabāšanas atļauju, un saņem jaunu ieroča glabāšanas atļauju atbilstoši jaunajai ieroču glabāšanas adresei.”</w:t>
            </w:r>
          </w:p>
        </w:tc>
        <w:tc>
          <w:tcPr>
            <w:tcW w:w="0" w:type="auto"/>
            <w:tcBorders>
              <w:top w:val="single" w:sz="6" w:space="0" w:color="000000"/>
              <w:left w:val="single" w:sz="6" w:space="0" w:color="000000"/>
              <w:bottom w:val="single" w:sz="4" w:space="0" w:color="auto"/>
              <w:right w:val="single" w:sz="6" w:space="0" w:color="000000"/>
            </w:tcBorders>
            <w:vAlign w:val="center"/>
          </w:tcPr>
          <w:p w:rsidR="00EF3252" w:rsidRPr="00BD13DA" w:rsidRDefault="00EF3252" w:rsidP="000D6D5B">
            <w:pPr>
              <w:jc w:val="center"/>
              <w:rPr>
                <w:b/>
              </w:rPr>
            </w:pPr>
            <w:r w:rsidRPr="00BD13DA">
              <w:rPr>
                <w:b/>
              </w:rPr>
              <w:t>Tieslietu ministrija</w:t>
            </w:r>
          </w:p>
          <w:p w:rsidR="00EF3252" w:rsidRPr="00BD13DA" w:rsidRDefault="00EF3252" w:rsidP="000D6D5B">
            <w:pPr>
              <w:jc w:val="center"/>
              <w:rPr>
                <w:b/>
              </w:rPr>
            </w:pPr>
            <w:r w:rsidRPr="00BD13DA">
              <w:rPr>
                <w:b/>
              </w:rPr>
              <w:t>(28.09.2018., TM Nr. 1-9.1/1132)</w:t>
            </w:r>
          </w:p>
          <w:p w:rsidR="00EF3252" w:rsidRPr="00BB0C13" w:rsidRDefault="00EF3252" w:rsidP="000D6D5B">
            <w:pPr>
              <w:jc w:val="both"/>
            </w:pPr>
            <w:r w:rsidRPr="00BB0C13">
              <w:t>Noteikumu projekta 82. punktā nav noteikts termiņš, kādā juridiskai personai rakstiski jāziņo Valsts policijas struktūrvienībai par ieroču glabāšanas adreses maiņu, lai gan noteikumu Nr. 1001 105. punktā bija noteikts pienākums ziņot mēnesi pirms glabāšanas adreses maiņas. Lūdzam anotācijā sniegt skaidrojumu, kāpēc turpmāk šāds termiņš vairs nav nepieciešams.</w:t>
            </w: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BB0C13" w:rsidRDefault="00EF3252" w:rsidP="000D6D5B">
            <w:pPr>
              <w:jc w:val="center"/>
              <w:rPr>
                <w:rFonts w:eastAsia="Calibri"/>
                <w:b/>
                <w:bCs/>
              </w:rPr>
            </w:pPr>
            <w:r w:rsidRPr="00BB0C13">
              <w:rPr>
                <w:rFonts w:eastAsia="Calibri"/>
                <w:b/>
                <w:bCs/>
              </w:rPr>
              <w:t>Ņemts vērā</w:t>
            </w:r>
          </w:p>
          <w:p w:rsidR="00EF3252" w:rsidRPr="00BB0C13" w:rsidRDefault="00EF3252" w:rsidP="000D6D5B">
            <w:pPr>
              <w:jc w:val="center"/>
              <w:rPr>
                <w:rFonts w:eastAsia="Calibri"/>
                <w:b/>
                <w:bCs/>
              </w:rPr>
            </w:pPr>
          </w:p>
        </w:tc>
        <w:tc>
          <w:tcPr>
            <w:tcW w:w="0" w:type="auto"/>
            <w:tcBorders>
              <w:top w:val="single" w:sz="4" w:space="0" w:color="auto"/>
              <w:left w:val="single" w:sz="4" w:space="0" w:color="auto"/>
              <w:bottom w:val="single" w:sz="4" w:space="0" w:color="auto"/>
            </w:tcBorders>
          </w:tcPr>
          <w:p w:rsidR="00EF3252" w:rsidRPr="00BB0C13" w:rsidRDefault="00EF3252" w:rsidP="000D6D5B">
            <w:pPr>
              <w:pBdr>
                <w:top w:val="nil"/>
                <w:left w:val="nil"/>
                <w:bottom w:val="nil"/>
                <w:right w:val="nil"/>
                <w:between w:val="nil"/>
              </w:pBdr>
              <w:shd w:val="clear" w:color="auto" w:fill="FFFFFF"/>
              <w:contextualSpacing/>
              <w:jc w:val="both"/>
              <w:rPr>
                <w:rFonts w:eastAsia="Arial"/>
              </w:rPr>
            </w:pPr>
            <w:r w:rsidRPr="00136B48">
              <w:rPr>
                <w:rFonts w:eastAsia="Arial"/>
              </w:rPr>
              <w:t xml:space="preserve">“81. Juridiskā persona </w:t>
            </w:r>
            <w:r w:rsidRPr="00136B48">
              <w:rPr>
                <w:rFonts w:eastAsia="Arial"/>
                <w:u w:val="single"/>
              </w:rPr>
              <w:t>mēnesi</w:t>
            </w:r>
            <w:r w:rsidRPr="00136B48">
              <w:rPr>
                <w:rFonts w:eastAsia="Arial"/>
                <w:color w:val="FF0000"/>
              </w:rPr>
              <w:t xml:space="preserve"> </w:t>
            </w:r>
            <w:r w:rsidRPr="00136B48">
              <w:rPr>
                <w:rFonts w:eastAsia="Arial"/>
              </w:rPr>
              <w:t>pirms ieroču glabāšanas adreses maiņas par to rakstiski ziņo Valsts policijas struktūrvienībai, kura izsniegusi ieroču glabāšanas atļauju, un saņem jaunu ieroča glabāšanas atļauju atbilstoši jaunajai ieroču glabāšanas adresei.”</w:t>
            </w:r>
          </w:p>
          <w:p w:rsidR="00EF3252" w:rsidRPr="00BB0C13" w:rsidRDefault="00EF3252" w:rsidP="000D6D5B">
            <w:pPr>
              <w:jc w:val="both"/>
              <w:rPr>
                <w:b/>
              </w:rPr>
            </w:pPr>
          </w:p>
        </w:tc>
      </w:tr>
      <w:tr w:rsidR="00EF3252" w:rsidRPr="006E16B5"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Pr="004B50DE" w:rsidRDefault="00EF3252" w:rsidP="000D6D5B">
            <w:pPr>
              <w:pStyle w:val="naisc"/>
              <w:spacing w:before="0" w:after="0"/>
            </w:pPr>
            <w:r w:rsidRPr="004B50DE">
              <w:t>8.</w:t>
            </w:r>
          </w:p>
        </w:tc>
        <w:tc>
          <w:tcPr>
            <w:tcW w:w="0" w:type="auto"/>
            <w:gridSpan w:val="3"/>
            <w:tcBorders>
              <w:top w:val="single" w:sz="6" w:space="0" w:color="000000"/>
              <w:left w:val="single" w:sz="6" w:space="0" w:color="000000"/>
              <w:bottom w:val="single" w:sz="4" w:space="0" w:color="auto"/>
              <w:right w:val="single" w:sz="6" w:space="0" w:color="000000"/>
            </w:tcBorders>
            <w:vAlign w:val="center"/>
          </w:tcPr>
          <w:p w:rsidR="00EF3252" w:rsidRPr="004B50DE" w:rsidRDefault="00EF3252" w:rsidP="000D6D5B">
            <w:pPr>
              <w:pStyle w:val="naisc"/>
              <w:spacing w:before="0" w:after="0"/>
              <w:ind w:firstLine="12"/>
              <w:rPr>
                <w:b/>
              </w:rPr>
            </w:pPr>
          </w:p>
        </w:tc>
        <w:tc>
          <w:tcPr>
            <w:tcW w:w="0" w:type="auto"/>
            <w:tcBorders>
              <w:top w:val="single" w:sz="6" w:space="0" w:color="000000"/>
              <w:left w:val="single" w:sz="6" w:space="0" w:color="000000"/>
              <w:bottom w:val="single" w:sz="4" w:space="0" w:color="auto"/>
              <w:right w:val="single" w:sz="6" w:space="0" w:color="000000"/>
            </w:tcBorders>
          </w:tcPr>
          <w:p w:rsidR="00EF3252" w:rsidRPr="00BD13DA" w:rsidRDefault="00EF3252" w:rsidP="000D6D5B">
            <w:pPr>
              <w:jc w:val="center"/>
              <w:rPr>
                <w:b/>
              </w:rPr>
            </w:pPr>
            <w:r w:rsidRPr="00BD13DA">
              <w:rPr>
                <w:b/>
              </w:rPr>
              <w:t>Tieslietu ministrija</w:t>
            </w:r>
          </w:p>
          <w:p w:rsidR="00EF3252" w:rsidRPr="00BD13DA" w:rsidRDefault="00EF3252" w:rsidP="000D6D5B">
            <w:pPr>
              <w:jc w:val="center"/>
              <w:rPr>
                <w:b/>
              </w:rPr>
            </w:pPr>
            <w:r w:rsidRPr="00BD13DA">
              <w:rPr>
                <w:b/>
              </w:rPr>
              <w:t>(28.09.2018., TM Nr. 1-9.1/1132)</w:t>
            </w:r>
          </w:p>
          <w:p w:rsidR="00EF3252" w:rsidRPr="004B50DE" w:rsidRDefault="00EF3252" w:rsidP="000D6D5B">
            <w:pPr>
              <w:jc w:val="both"/>
            </w:pPr>
            <w:r w:rsidRPr="004B50DE">
              <w:t xml:space="preserve">Noteikumu projekta 4. nodaļa nosaka prasības valsts, pašvaldību, privāto muzeju un fizisko personu ieroču un to sastāvdaļu kolekcijas glabātavai un izstādes telpai. Vēršam </w:t>
            </w:r>
            <w:r w:rsidRPr="004B50DE">
              <w:lastRenderedPageBreak/>
              <w:t>uzmanību, ka saskaņā ar Muzeja likuma 1. pantu, papildus valsts, pašvaldību un privātajiem muzejiem, Latvijā pastāv arī autonomi muzeji. Lūdzam anotācijā sniegt skaidrojumu, kāpēc noteikumu projekts netiek attiecināts uz visiem muzejiem, kuros atrodas šaujamieroču kolekcijas, bet tikai uz valsts, pašvaldību un privātajiem muzejiem.</w:t>
            </w: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4B50DE" w:rsidRDefault="00EF3252" w:rsidP="000D6D5B">
            <w:pPr>
              <w:jc w:val="center"/>
              <w:rPr>
                <w:rFonts w:eastAsia="Calibri"/>
                <w:b/>
                <w:bCs/>
              </w:rPr>
            </w:pPr>
            <w:r w:rsidRPr="004B50DE">
              <w:rPr>
                <w:rFonts w:eastAsia="Calibri"/>
                <w:b/>
                <w:bCs/>
              </w:rPr>
              <w:lastRenderedPageBreak/>
              <w:t>Ņemts vērā</w:t>
            </w:r>
          </w:p>
          <w:p w:rsidR="00EF3252" w:rsidRPr="004B50DE" w:rsidRDefault="00EF3252" w:rsidP="000D6D5B">
            <w:pPr>
              <w:tabs>
                <w:tab w:val="left" w:pos="470"/>
              </w:tabs>
              <w:suppressAutoHyphens/>
              <w:ind w:right="-1"/>
              <w:jc w:val="both"/>
            </w:pPr>
            <w:r w:rsidRPr="004B50DE">
              <w:rPr>
                <w:lang w:eastAsia="ar-SA"/>
              </w:rPr>
              <w:t xml:space="preserve">Saskaņā ar Ieroču aprites likuma 34.panta trešo daļu </w:t>
            </w:r>
            <w:r w:rsidRPr="004B50DE">
              <w:t xml:space="preserve">Nacionālie bruņotie spēki un Latvijas Kara muzejs veido Latvijā klasificēto un neklasificēto ieroču un to sastāvdaļu, munīcijas un speciālo līdzekļu kolekcijas, kā arī veic tajās ietilpstošo ieroču apriti atbilstoši šo </w:t>
            </w:r>
            <w:r w:rsidRPr="004B50DE">
              <w:lastRenderedPageBreak/>
              <w:t>institūciju darbību reglamentējošiem normatīvajiem aktiem,</w:t>
            </w:r>
            <w:r w:rsidRPr="004B50DE">
              <w:rPr>
                <w:i/>
              </w:rPr>
              <w:t xml:space="preserve"> </w:t>
            </w:r>
            <w:r w:rsidRPr="004B50DE">
              <w:t>līdz ar to projektā noteiktās prasības nav attiecināmas uz Nacionālajiem bruņotajiem spēkiem un Latvijas Kara muzeju.</w:t>
            </w:r>
          </w:p>
          <w:p w:rsidR="00EF3252" w:rsidRPr="004B50DE" w:rsidRDefault="00EF3252" w:rsidP="000D6D5B">
            <w:pPr>
              <w:jc w:val="center"/>
              <w:rPr>
                <w:rFonts w:eastAsia="Calibri"/>
                <w:b/>
                <w:bCs/>
              </w:rPr>
            </w:pPr>
          </w:p>
        </w:tc>
        <w:tc>
          <w:tcPr>
            <w:tcW w:w="0" w:type="auto"/>
            <w:tcBorders>
              <w:top w:val="single" w:sz="4" w:space="0" w:color="auto"/>
              <w:left w:val="single" w:sz="4" w:space="0" w:color="auto"/>
              <w:bottom w:val="single" w:sz="4" w:space="0" w:color="auto"/>
            </w:tcBorders>
          </w:tcPr>
          <w:p w:rsidR="00EF3252" w:rsidRPr="004B50DE" w:rsidRDefault="00EF3252" w:rsidP="000D6D5B">
            <w:pPr>
              <w:pStyle w:val="tv213"/>
              <w:shd w:val="clear" w:color="auto" w:fill="FFFFFF"/>
              <w:spacing w:before="0" w:beforeAutospacing="0" w:after="0" w:afterAutospacing="0"/>
              <w:jc w:val="both"/>
            </w:pPr>
            <w:r w:rsidRPr="004B50DE">
              <w:lastRenderedPageBreak/>
              <w:t xml:space="preserve">Papildināts projekta anotācijas </w:t>
            </w:r>
            <w:proofErr w:type="spellStart"/>
            <w:r w:rsidRPr="004B50DE">
              <w:t>I.sadaļas</w:t>
            </w:r>
            <w:proofErr w:type="spellEnd"/>
            <w:r w:rsidRPr="004B50DE">
              <w:t xml:space="preserve"> 2.punkts.</w:t>
            </w:r>
          </w:p>
          <w:p w:rsidR="00EF3252" w:rsidRPr="004B50DE" w:rsidRDefault="00EF3252" w:rsidP="000D6D5B">
            <w:pPr>
              <w:jc w:val="both"/>
              <w:rPr>
                <w:b/>
              </w:rPr>
            </w:pPr>
          </w:p>
        </w:tc>
      </w:tr>
      <w:tr w:rsidR="00EF3252" w:rsidRPr="006E16B5"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Pr="00765CD0" w:rsidRDefault="00EF3252" w:rsidP="000D6D5B">
            <w:pPr>
              <w:pStyle w:val="naisc"/>
              <w:spacing w:before="0" w:after="0"/>
            </w:pPr>
            <w:r w:rsidRPr="00765CD0">
              <w:t>9.</w:t>
            </w:r>
          </w:p>
        </w:tc>
        <w:tc>
          <w:tcPr>
            <w:tcW w:w="0" w:type="auto"/>
            <w:gridSpan w:val="3"/>
            <w:tcBorders>
              <w:top w:val="single" w:sz="6" w:space="0" w:color="000000"/>
              <w:left w:val="single" w:sz="6" w:space="0" w:color="000000"/>
              <w:bottom w:val="single" w:sz="4" w:space="0" w:color="auto"/>
              <w:right w:val="single" w:sz="6" w:space="0" w:color="000000"/>
            </w:tcBorders>
          </w:tcPr>
          <w:p w:rsidR="00EF3252" w:rsidRPr="00765CD0" w:rsidRDefault="00EF3252" w:rsidP="000D6D5B">
            <w:pPr>
              <w:pStyle w:val="tv213"/>
              <w:shd w:val="clear" w:color="auto" w:fill="FFFFFF"/>
              <w:spacing w:before="0" w:beforeAutospacing="0" w:after="0" w:afterAutospacing="0" w:line="293" w:lineRule="atLeast"/>
              <w:jc w:val="both"/>
            </w:pPr>
            <w:r w:rsidRPr="00765CD0">
              <w:t xml:space="preserve">“134. </w:t>
            </w:r>
            <w:r w:rsidRPr="00765CD0">
              <w:rPr>
                <w:rFonts w:eastAsia="Arial"/>
              </w:rPr>
              <w:t>Noteikumi stājas spēkā 2018.gada 14.septembrī.”</w:t>
            </w:r>
          </w:p>
        </w:tc>
        <w:tc>
          <w:tcPr>
            <w:tcW w:w="0" w:type="auto"/>
            <w:tcBorders>
              <w:top w:val="single" w:sz="6" w:space="0" w:color="000000"/>
              <w:left w:val="single" w:sz="6" w:space="0" w:color="000000"/>
              <w:bottom w:val="single" w:sz="4" w:space="0" w:color="auto"/>
              <w:right w:val="single" w:sz="6" w:space="0" w:color="000000"/>
            </w:tcBorders>
            <w:vAlign w:val="center"/>
          </w:tcPr>
          <w:p w:rsidR="00EF3252" w:rsidRPr="00BD13DA" w:rsidRDefault="00EF3252" w:rsidP="000D6D5B">
            <w:pPr>
              <w:jc w:val="center"/>
              <w:rPr>
                <w:b/>
              </w:rPr>
            </w:pPr>
            <w:r w:rsidRPr="00BD13DA">
              <w:rPr>
                <w:b/>
              </w:rPr>
              <w:t>Tieslietu ministrija</w:t>
            </w:r>
          </w:p>
          <w:p w:rsidR="00EF3252" w:rsidRPr="00BD13DA" w:rsidRDefault="00EF3252" w:rsidP="000D6D5B">
            <w:pPr>
              <w:jc w:val="center"/>
              <w:rPr>
                <w:b/>
              </w:rPr>
            </w:pPr>
            <w:r w:rsidRPr="00BD13DA">
              <w:rPr>
                <w:b/>
              </w:rPr>
              <w:t>(28.09.2018., TM Nr. 1-9.1/1132)</w:t>
            </w:r>
          </w:p>
          <w:p w:rsidR="00EF3252" w:rsidRPr="00765CD0" w:rsidRDefault="00EF3252" w:rsidP="000D6D5B">
            <w:pPr>
              <w:jc w:val="both"/>
            </w:pPr>
            <w:r w:rsidRPr="00765CD0">
              <w:t>Lūdzam precizēt projekta 134. punktu, kas nosaka, ka noteikumi stājas spēkā 2018. gada 14. septembrī. Nosacījumu izpildīt nav iespējams, jo noteiktais datums jau ir pagājis un Ministru kabineta noteikumi nevar stāties spēkā ar atpakaļejošu datumu.</w:t>
            </w: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765CD0" w:rsidRDefault="00EF3252" w:rsidP="000D6D5B">
            <w:pPr>
              <w:jc w:val="center"/>
              <w:rPr>
                <w:rFonts w:eastAsia="Calibri"/>
                <w:b/>
                <w:bCs/>
              </w:rPr>
            </w:pPr>
            <w:r w:rsidRPr="00765CD0">
              <w:rPr>
                <w:rFonts w:eastAsia="Calibri"/>
                <w:b/>
                <w:bCs/>
              </w:rPr>
              <w:t>Ņemts vērā</w:t>
            </w:r>
          </w:p>
          <w:p w:rsidR="00EF3252" w:rsidRPr="00765CD0" w:rsidRDefault="00EF3252" w:rsidP="000D6D5B">
            <w:pPr>
              <w:pStyle w:val="naisc"/>
              <w:spacing w:before="0" w:after="0"/>
              <w:jc w:val="both"/>
            </w:pPr>
            <w:r w:rsidRPr="00765CD0">
              <w:t>Projekta 134.punkts svītrots.</w:t>
            </w:r>
          </w:p>
          <w:p w:rsidR="00EF3252" w:rsidRPr="00765CD0" w:rsidRDefault="00EF3252" w:rsidP="000D6D5B">
            <w:pPr>
              <w:jc w:val="center"/>
              <w:rPr>
                <w:rFonts w:eastAsia="Calibri"/>
                <w:b/>
                <w:bCs/>
              </w:rPr>
            </w:pPr>
          </w:p>
        </w:tc>
        <w:tc>
          <w:tcPr>
            <w:tcW w:w="0" w:type="auto"/>
            <w:tcBorders>
              <w:top w:val="single" w:sz="4" w:space="0" w:color="auto"/>
              <w:left w:val="single" w:sz="4" w:space="0" w:color="auto"/>
              <w:bottom w:val="single" w:sz="4" w:space="0" w:color="auto"/>
            </w:tcBorders>
            <w:vAlign w:val="center"/>
          </w:tcPr>
          <w:p w:rsidR="00EF3252" w:rsidRPr="006E16B5" w:rsidRDefault="00EF3252" w:rsidP="000D6D5B">
            <w:pPr>
              <w:jc w:val="center"/>
              <w:rPr>
                <w:b/>
              </w:rPr>
            </w:pPr>
          </w:p>
        </w:tc>
      </w:tr>
      <w:tr w:rsidR="00EF3252" w:rsidRPr="006E16B5"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Pr="002740B8" w:rsidRDefault="00EF3252" w:rsidP="000D6D5B">
            <w:pPr>
              <w:pStyle w:val="naisc"/>
              <w:spacing w:before="0" w:after="0"/>
            </w:pPr>
            <w:r w:rsidRPr="002740B8">
              <w:t>10.</w:t>
            </w:r>
          </w:p>
        </w:tc>
        <w:tc>
          <w:tcPr>
            <w:tcW w:w="0" w:type="auto"/>
            <w:gridSpan w:val="3"/>
            <w:tcBorders>
              <w:top w:val="single" w:sz="6" w:space="0" w:color="000000"/>
              <w:left w:val="single" w:sz="6" w:space="0" w:color="000000"/>
              <w:bottom w:val="single" w:sz="4" w:space="0" w:color="auto"/>
              <w:right w:val="single" w:sz="6" w:space="0" w:color="000000"/>
            </w:tcBorders>
          </w:tcPr>
          <w:p w:rsidR="00EF3252" w:rsidRPr="002740B8" w:rsidRDefault="00EF3252" w:rsidP="000D6D5B">
            <w:pPr>
              <w:pStyle w:val="naisc"/>
              <w:spacing w:before="0" w:after="0"/>
              <w:ind w:firstLine="12"/>
              <w:jc w:val="both"/>
              <w:rPr>
                <w:b/>
              </w:rPr>
            </w:pPr>
          </w:p>
        </w:tc>
        <w:tc>
          <w:tcPr>
            <w:tcW w:w="0" w:type="auto"/>
            <w:tcBorders>
              <w:top w:val="single" w:sz="6" w:space="0" w:color="000000"/>
              <w:left w:val="single" w:sz="6" w:space="0" w:color="000000"/>
              <w:bottom w:val="single" w:sz="4" w:space="0" w:color="auto"/>
              <w:right w:val="single" w:sz="6" w:space="0" w:color="000000"/>
            </w:tcBorders>
            <w:vAlign w:val="center"/>
          </w:tcPr>
          <w:p w:rsidR="00EF3252" w:rsidRPr="00BD13DA" w:rsidRDefault="00EF3252" w:rsidP="000D6D5B">
            <w:pPr>
              <w:jc w:val="center"/>
              <w:rPr>
                <w:b/>
              </w:rPr>
            </w:pPr>
            <w:r w:rsidRPr="00BD13DA">
              <w:rPr>
                <w:b/>
              </w:rPr>
              <w:t>Tieslietu ministrija</w:t>
            </w:r>
          </w:p>
          <w:p w:rsidR="00EF3252" w:rsidRPr="00BD13DA" w:rsidRDefault="00EF3252" w:rsidP="000D6D5B">
            <w:pPr>
              <w:jc w:val="center"/>
              <w:rPr>
                <w:b/>
              </w:rPr>
            </w:pPr>
            <w:r w:rsidRPr="00BD13DA">
              <w:rPr>
                <w:b/>
              </w:rPr>
              <w:t>(28.09.2018., TM Nr. 1-9.1/1132)</w:t>
            </w:r>
          </w:p>
          <w:p w:rsidR="00EF3252" w:rsidRPr="002740B8" w:rsidRDefault="00EF3252" w:rsidP="000D6D5B">
            <w:pPr>
              <w:jc w:val="both"/>
            </w:pPr>
            <w:r w:rsidRPr="002740B8">
              <w:lastRenderedPageBreak/>
              <w:t xml:space="preserve">Lūdzam precizēt noteikumu projekta anotācijas V sadaļas 1. tabulas (turpmāk - Tabula) B aili, norādot konkrētas noteikumu projekta vienības (normas), kurās ir pārņemti Eiropas Parlamenta un Padomes 2017. gada 17. maija Direktīvas (ES) 2017/853, ar ko groza Padomes Direktīvu 91/477/EEK par ieroču iegādes un glabāšanas kontroli (turpmāk – Direktīva), 5.a panta nosacījumi. Vienlaikus lūdzam izvērtēt Direktīvā noteiktās prasības, kas tiek pārņemtas noteikumu projektā, un papildināt Tabulas A aili, norādot visas Direktīvas normas, kas tiek pārņemtas noteikumu projektā, atbilstoši Ministru kabineta 2009. gada 15. decembra instrukcijas Nr. 19 "Tiesību akta projekta sākotnējās </w:t>
            </w:r>
            <w:r w:rsidRPr="002740B8">
              <w:lastRenderedPageBreak/>
              <w:t>ietekmes izvērtēšanas kārtība" (turpmāk – Instrukcija) 56.1. apakšpunktam. Vēršam uzmanību, ka noteikumu projektā cita starpā ir noteikta arī prasība fiziskai personai ziņas par kolekcijai iegādātajiem A kategorijas šaujamieročiem un to būtiskajām sastāvdaļām reģistrēt kolekcijas ieroču uzskaites reģistrā (žurnālā), kas izriet no Direktīvas 1.pantā izteiktā 6.panta.</w:t>
            </w: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2740B8" w:rsidRDefault="00EF3252" w:rsidP="000D6D5B">
            <w:pPr>
              <w:pStyle w:val="naisc"/>
              <w:spacing w:before="0" w:after="0"/>
              <w:rPr>
                <w:b/>
              </w:rPr>
            </w:pPr>
            <w:r w:rsidRPr="002740B8">
              <w:rPr>
                <w:b/>
              </w:rPr>
              <w:lastRenderedPageBreak/>
              <w:t>Daļēji ņemts vērā</w:t>
            </w:r>
          </w:p>
          <w:p w:rsidR="00EF3252" w:rsidRPr="002740B8" w:rsidRDefault="00EF3252" w:rsidP="000D6D5B">
            <w:pPr>
              <w:pStyle w:val="naisc"/>
              <w:spacing w:before="0" w:after="0"/>
              <w:jc w:val="both"/>
            </w:pPr>
            <w:r w:rsidRPr="002740B8">
              <w:t xml:space="preserve">Direktīvas 5.a pants paredz: “Lai mazinātu </w:t>
            </w:r>
            <w:r w:rsidRPr="002740B8">
              <w:lastRenderedPageBreak/>
              <w:t xml:space="preserve">risku, ka šaujamieročiem un munīcijai var piekļūt personas, kurām nav izsniegta atļauja, </w:t>
            </w:r>
            <w:r w:rsidRPr="002740B8">
              <w:rPr>
                <w:u w:val="single"/>
              </w:rPr>
              <w:t xml:space="preserve">dalībvalstis izstrādā noteikumus par šaujamieroču un munīcijas pienācīgu uzraudzību un noteikumus par pienācīgu glabāšanu </w:t>
            </w:r>
            <w:r w:rsidRPr="002740B8">
              <w:t xml:space="preserve">drošā veidā. Šaujamieroči un to munīcija nav viegli pieejami kopā. </w:t>
            </w:r>
            <w:r w:rsidRPr="002740B8">
              <w:rPr>
                <w:u w:val="single"/>
              </w:rPr>
              <w:t>Pienācīga uzraudzība nozīmē, ka</w:t>
            </w:r>
            <w:r w:rsidRPr="002740B8">
              <w:t xml:space="preserve"> personai, kura likumīgi glabā attiecīgo šaujamieroci vai munīciju, </w:t>
            </w:r>
            <w:r w:rsidRPr="002740B8">
              <w:rPr>
                <w:u w:val="single"/>
              </w:rPr>
              <w:t>ir pār to kontrole</w:t>
            </w:r>
            <w:r w:rsidRPr="002740B8">
              <w:t xml:space="preserve"> to </w:t>
            </w:r>
            <w:r w:rsidRPr="002740B8">
              <w:rPr>
                <w:u w:val="single"/>
              </w:rPr>
              <w:t>transportēšanas un</w:t>
            </w:r>
            <w:r w:rsidRPr="002740B8">
              <w:t xml:space="preserve"> </w:t>
            </w:r>
            <w:r w:rsidRPr="002740B8">
              <w:rPr>
                <w:u w:val="single"/>
              </w:rPr>
              <w:t>lietošanas laikā</w:t>
            </w:r>
            <w:r w:rsidRPr="002740B8">
              <w:t>. Šādu pienācīgu glabāšanas apstākļu uzraudzības līmenis atbilst attiecīgo šaujamieroču un munīcijas daudzumam un kategorijai.”.</w:t>
            </w:r>
          </w:p>
          <w:p w:rsidR="00EF3252" w:rsidRPr="002740B8" w:rsidRDefault="00EF3252" w:rsidP="000D6D5B">
            <w:pPr>
              <w:pStyle w:val="naisc"/>
              <w:spacing w:before="0" w:after="0"/>
              <w:jc w:val="both"/>
            </w:pPr>
            <w:r w:rsidRPr="002740B8">
              <w:t xml:space="preserve">Norādām, ka projekta anotācijas Tabulas B ailē nav lietderīgi norādīt konkrētas projekta vienības (normas), kurās ir pārņemti Direktīvas 5.a panta nosacījumi, jo </w:t>
            </w:r>
            <w:r w:rsidRPr="002740B8">
              <w:lastRenderedPageBreak/>
              <w:t xml:space="preserve">projekts paredz nosacījumus un kārtību </w:t>
            </w:r>
            <w:r w:rsidRPr="002740B8">
              <w:rPr>
                <w:rFonts w:eastAsia="Arial"/>
              </w:rPr>
              <w:t xml:space="preserve">ieroču, to munīcijas apritei, savukārt </w:t>
            </w:r>
            <w:r w:rsidRPr="002740B8">
              <w:t>šaujamieroču un munīcijas uzraudzība, kā arī glabāšana izpaužas jebkurā ieroču un munīcijas aprites posmā.</w:t>
            </w:r>
          </w:p>
          <w:p w:rsidR="00EF3252" w:rsidRPr="002740B8" w:rsidRDefault="00EF3252" w:rsidP="000D6D5B">
            <w:pPr>
              <w:pStyle w:val="tv213"/>
              <w:shd w:val="clear" w:color="auto" w:fill="FFFFFF"/>
              <w:tabs>
                <w:tab w:val="center" w:pos="1626"/>
              </w:tabs>
              <w:spacing w:before="0" w:beforeAutospacing="0" w:after="0" w:afterAutospacing="0"/>
              <w:jc w:val="both"/>
            </w:pPr>
            <w:r w:rsidRPr="002740B8">
              <w:t>Papildināta projekta anotācijas</w:t>
            </w:r>
          </w:p>
          <w:p w:rsidR="00EF3252" w:rsidRPr="002740B8" w:rsidRDefault="00EF3252" w:rsidP="000D6D5B">
            <w:pPr>
              <w:pStyle w:val="tv213"/>
              <w:shd w:val="clear" w:color="auto" w:fill="FFFFFF"/>
              <w:spacing w:before="0" w:beforeAutospacing="0" w:after="0" w:afterAutospacing="0"/>
              <w:jc w:val="both"/>
            </w:pPr>
            <w:proofErr w:type="spellStart"/>
            <w:r w:rsidRPr="002740B8">
              <w:t>V.sadaļas</w:t>
            </w:r>
            <w:proofErr w:type="spellEnd"/>
            <w:r w:rsidRPr="002740B8">
              <w:t xml:space="preserve"> 1.tabulas A aile ar Direktīvas 1.pantā izteikto 6.panta 3.punktu.</w:t>
            </w:r>
          </w:p>
          <w:p w:rsidR="00EF3252" w:rsidRPr="002740B8" w:rsidRDefault="00EF3252" w:rsidP="000D6D5B">
            <w:pPr>
              <w:pStyle w:val="naisc"/>
              <w:spacing w:before="0" w:after="0"/>
              <w:jc w:val="both"/>
            </w:pPr>
            <w:r w:rsidRPr="002740B8">
              <w:t xml:space="preserve">Norādām, ka projekts neparedz atsevišķas prasības A kategorijas šaujamieroču iegādei un glabāšanai. Projektā noteiktas prasības šaujamieroču iegādei un glabāšanai, neizdalot ieročus atsevišķās kategorijās. Pamatā Ieroču aprites likums regulē A kategorijas šaujamieroču iegādi un glabāšanu, savukārt projekta 129. un 130.punkts paredz regulējumu kolekcijas ieroču uzskaites reģistram (žurnālam), kas izriet no </w:t>
            </w:r>
            <w:r w:rsidRPr="002740B8">
              <w:lastRenderedPageBreak/>
              <w:t>Direktīvas 1.pantā izteiktā 6.panta 3.punkta.</w:t>
            </w:r>
          </w:p>
          <w:p w:rsidR="00EF3252" w:rsidRPr="002740B8" w:rsidRDefault="00EF3252" w:rsidP="000D6D5B">
            <w:pPr>
              <w:pStyle w:val="naisc"/>
              <w:spacing w:before="0" w:after="0"/>
              <w:jc w:val="both"/>
            </w:pPr>
          </w:p>
        </w:tc>
        <w:tc>
          <w:tcPr>
            <w:tcW w:w="0" w:type="auto"/>
            <w:tcBorders>
              <w:top w:val="single" w:sz="4" w:space="0" w:color="auto"/>
              <w:left w:val="single" w:sz="4" w:space="0" w:color="auto"/>
              <w:bottom w:val="single" w:sz="4" w:space="0" w:color="auto"/>
            </w:tcBorders>
          </w:tcPr>
          <w:p w:rsidR="00EF3252" w:rsidRPr="002740B8" w:rsidRDefault="00EF3252" w:rsidP="000D6D5B">
            <w:pPr>
              <w:pStyle w:val="tv213"/>
              <w:shd w:val="clear" w:color="auto" w:fill="FFFFFF"/>
              <w:tabs>
                <w:tab w:val="center" w:pos="1626"/>
              </w:tabs>
              <w:spacing w:before="0" w:beforeAutospacing="0" w:after="0" w:afterAutospacing="0"/>
              <w:jc w:val="both"/>
            </w:pPr>
            <w:r w:rsidRPr="002740B8">
              <w:lastRenderedPageBreak/>
              <w:t xml:space="preserve">Papildināta projekta anotācijas </w:t>
            </w:r>
            <w:proofErr w:type="spellStart"/>
            <w:r w:rsidRPr="002740B8">
              <w:t>V.sadaļas</w:t>
            </w:r>
            <w:proofErr w:type="spellEnd"/>
            <w:r w:rsidRPr="002740B8">
              <w:t xml:space="preserve"> 1.tabulas A aile ar </w:t>
            </w:r>
            <w:r w:rsidRPr="002740B8">
              <w:lastRenderedPageBreak/>
              <w:t>Direktīvas 1.pantā izteikto 6.panta 3.punktu.</w:t>
            </w:r>
          </w:p>
          <w:p w:rsidR="00EF3252" w:rsidRPr="002740B8" w:rsidRDefault="00EF3252" w:rsidP="000D6D5B">
            <w:pPr>
              <w:jc w:val="both"/>
              <w:rPr>
                <w:b/>
              </w:rPr>
            </w:pPr>
          </w:p>
        </w:tc>
      </w:tr>
      <w:tr w:rsidR="00EF3252" w:rsidRPr="006E16B5"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Default="00EF3252" w:rsidP="000D6D5B">
            <w:pPr>
              <w:pStyle w:val="naisc"/>
              <w:spacing w:before="0" w:after="0"/>
            </w:pPr>
            <w:r w:rsidRPr="002676D2">
              <w:lastRenderedPageBreak/>
              <w:t>11.</w:t>
            </w:r>
          </w:p>
        </w:tc>
        <w:tc>
          <w:tcPr>
            <w:tcW w:w="0" w:type="auto"/>
            <w:gridSpan w:val="3"/>
            <w:tcBorders>
              <w:top w:val="single" w:sz="6" w:space="0" w:color="000000"/>
              <w:left w:val="single" w:sz="6" w:space="0" w:color="000000"/>
              <w:bottom w:val="single" w:sz="4" w:space="0" w:color="auto"/>
              <w:right w:val="single" w:sz="6" w:space="0" w:color="000000"/>
            </w:tcBorders>
          </w:tcPr>
          <w:p w:rsidR="00EF3252" w:rsidRPr="002676D2" w:rsidRDefault="00EF3252" w:rsidP="000D6D5B">
            <w:pPr>
              <w:pStyle w:val="tv213"/>
              <w:shd w:val="clear" w:color="auto" w:fill="FFFFFF"/>
              <w:spacing w:before="0" w:beforeAutospacing="0" w:after="0" w:afterAutospacing="0"/>
              <w:jc w:val="both"/>
            </w:pPr>
            <w:r w:rsidRPr="002676D2">
              <w:t xml:space="preserve">Projekta anotācijas </w:t>
            </w:r>
          </w:p>
          <w:p w:rsidR="00EF3252" w:rsidRDefault="00EF3252" w:rsidP="000D6D5B">
            <w:pPr>
              <w:pStyle w:val="tv213"/>
              <w:shd w:val="clear" w:color="auto" w:fill="FFFFFF"/>
              <w:spacing w:before="0" w:beforeAutospacing="0" w:after="0" w:afterAutospacing="0" w:line="293" w:lineRule="atLeast"/>
              <w:jc w:val="both"/>
            </w:pPr>
            <w:proofErr w:type="spellStart"/>
            <w:r w:rsidRPr="002676D2">
              <w:t>V.sadaļas</w:t>
            </w:r>
            <w:proofErr w:type="spellEnd"/>
            <w:r w:rsidRPr="002676D2">
              <w:t xml:space="preserve"> 1. tabulas A aile</w:t>
            </w:r>
          </w:p>
          <w:p w:rsidR="00EF3252" w:rsidRDefault="00EF3252" w:rsidP="000D6D5B">
            <w:pPr>
              <w:pStyle w:val="tv213"/>
              <w:shd w:val="clear" w:color="auto" w:fill="FFFFFF"/>
              <w:spacing w:before="0" w:beforeAutospacing="0" w:after="0" w:afterAutospacing="0" w:line="293" w:lineRule="atLeast"/>
              <w:jc w:val="both"/>
            </w:pPr>
          </w:p>
          <w:p w:rsidR="00EF3252" w:rsidRDefault="00EF3252" w:rsidP="000D6D5B">
            <w:pPr>
              <w:pStyle w:val="tv213"/>
              <w:shd w:val="clear" w:color="auto" w:fill="FFFFFF"/>
              <w:spacing w:before="0" w:beforeAutospacing="0" w:after="0" w:afterAutospacing="0" w:line="293" w:lineRule="atLeast"/>
              <w:jc w:val="both"/>
            </w:pPr>
          </w:p>
          <w:p w:rsidR="00EF3252" w:rsidRDefault="00EF3252" w:rsidP="000D6D5B">
            <w:pPr>
              <w:pStyle w:val="tv213"/>
              <w:shd w:val="clear" w:color="auto" w:fill="FFFFFF"/>
              <w:spacing w:before="0" w:beforeAutospacing="0" w:after="0" w:afterAutospacing="0" w:line="293" w:lineRule="atLeast"/>
              <w:jc w:val="both"/>
            </w:pPr>
          </w:p>
          <w:p w:rsidR="00EF3252" w:rsidRDefault="00EF3252" w:rsidP="000D6D5B">
            <w:pPr>
              <w:pStyle w:val="tv213"/>
              <w:shd w:val="clear" w:color="auto" w:fill="FFFFFF"/>
              <w:spacing w:before="0" w:beforeAutospacing="0" w:after="0" w:afterAutospacing="0" w:line="293" w:lineRule="atLeast"/>
              <w:jc w:val="both"/>
            </w:pPr>
          </w:p>
          <w:p w:rsidR="00EF3252" w:rsidRDefault="00EF3252" w:rsidP="000D6D5B">
            <w:pPr>
              <w:pStyle w:val="tv213"/>
              <w:shd w:val="clear" w:color="auto" w:fill="FFFFFF"/>
              <w:spacing w:before="0" w:beforeAutospacing="0" w:after="0" w:afterAutospacing="0" w:line="293" w:lineRule="atLeast"/>
              <w:jc w:val="both"/>
            </w:pPr>
          </w:p>
          <w:p w:rsidR="00EF3252" w:rsidRDefault="00EF3252" w:rsidP="000D6D5B">
            <w:pPr>
              <w:pStyle w:val="tv213"/>
              <w:shd w:val="clear" w:color="auto" w:fill="FFFFFF"/>
              <w:spacing w:before="0" w:beforeAutospacing="0" w:after="0" w:afterAutospacing="0" w:line="293" w:lineRule="atLeast"/>
              <w:jc w:val="both"/>
            </w:pPr>
          </w:p>
          <w:p w:rsidR="00EF3252" w:rsidRDefault="00EF3252" w:rsidP="000D6D5B">
            <w:pPr>
              <w:pStyle w:val="tv213"/>
              <w:shd w:val="clear" w:color="auto" w:fill="FFFFFF"/>
              <w:spacing w:before="0" w:beforeAutospacing="0" w:after="0" w:afterAutospacing="0" w:line="293" w:lineRule="atLeast"/>
              <w:jc w:val="both"/>
            </w:pPr>
          </w:p>
          <w:p w:rsidR="00EF3252" w:rsidRDefault="00EF3252" w:rsidP="000D6D5B">
            <w:pPr>
              <w:pStyle w:val="tv213"/>
              <w:shd w:val="clear" w:color="auto" w:fill="FFFFFF"/>
              <w:spacing w:before="0" w:beforeAutospacing="0" w:after="0" w:afterAutospacing="0" w:line="293" w:lineRule="atLeast"/>
              <w:jc w:val="both"/>
            </w:pPr>
          </w:p>
          <w:p w:rsidR="00EF3252" w:rsidRDefault="00EF3252" w:rsidP="000D6D5B">
            <w:pPr>
              <w:pStyle w:val="tv213"/>
              <w:shd w:val="clear" w:color="auto" w:fill="FFFFFF"/>
              <w:spacing w:before="0" w:beforeAutospacing="0" w:after="0" w:afterAutospacing="0" w:line="293" w:lineRule="atLeast"/>
              <w:jc w:val="both"/>
            </w:pPr>
          </w:p>
          <w:p w:rsidR="00EF3252" w:rsidRDefault="00EF3252" w:rsidP="000D6D5B">
            <w:pPr>
              <w:pStyle w:val="tv213"/>
              <w:shd w:val="clear" w:color="auto" w:fill="FFFFFF"/>
              <w:spacing w:before="0" w:beforeAutospacing="0" w:after="0" w:afterAutospacing="0" w:line="293" w:lineRule="atLeast"/>
              <w:jc w:val="both"/>
            </w:pPr>
          </w:p>
          <w:p w:rsidR="00EF3252" w:rsidRDefault="00EF3252" w:rsidP="000D6D5B">
            <w:pPr>
              <w:pStyle w:val="tv213"/>
              <w:shd w:val="clear" w:color="auto" w:fill="FFFFFF"/>
              <w:spacing w:before="0" w:beforeAutospacing="0" w:after="0" w:afterAutospacing="0" w:line="293" w:lineRule="atLeast"/>
              <w:jc w:val="both"/>
            </w:pPr>
          </w:p>
          <w:p w:rsidR="00EF3252" w:rsidRDefault="00EF3252" w:rsidP="000D6D5B">
            <w:pPr>
              <w:pStyle w:val="tv213"/>
              <w:shd w:val="clear" w:color="auto" w:fill="FFFFFF"/>
              <w:spacing w:before="0" w:beforeAutospacing="0" w:after="0" w:afterAutospacing="0" w:line="293" w:lineRule="atLeast"/>
              <w:jc w:val="both"/>
            </w:pPr>
          </w:p>
          <w:p w:rsidR="00EF3252" w:rsidRDefault="00EF3252" w:rsidP="000D6D5B">
            <w:pPr>
              <w:pStyle w:val="tv213"/>
              <w:shd w:val="clear" w:color="auto" w:fill="FFFFFF"/>
              <w:spacing w:before="0" w:beforeAutospacing="0" w:after="0" w:afterAutospacing="0" w:line="293" w:lineRule="atLeast"/>
              <w:jc w:val="both"/>
            </w:pPr>
          </w:p>
          <w:p w:rsidR="00EF3252" w:rsidRDefault="00EF3252" w:rsidP="000D6D5B">
            <w:pPr>
              <w:pStyle w:val="tv213"/>
              <w:shd w:val="clear" w:color="auto" w:fill="FFFFFF"/>
              <w:spacing w:before="0" w:beforeAutospacing="0" w:after="0" w:afterAutospacing="0" w:line="293" w:lineRule="atLeast"/>
              <w:jc w:val="both"/>
            </w:pPr>
          </w:p>
          <w:p w:rsidR="00EF3252" w:rsidRPr="005F6D6C" w:rsidRDefault="00EF3252" w:rsidP="000D6D5B">
            <w:pPr>
              <w:pStyle w:val="tv213"/>
              <w:shd w:val="clear" w:color="auto" w:fill="FFFFFF"/>
              <w:spacing w:before="0" w:beforeAutospacing="0" w:after="0" w:afterAutospacing="0"/>
              <w:jc w:val="both"/>
            </w:pPr>
            <w:r w:rsidRPr="005F6D6C">
              <w:t xml:space="preserve">Projekta anotācijas </w:t>
            </w:r>
          </w:p>
          <w:p w:rsidR="00EF3252" w:rsidRPr="00803816" w:rsidRDefault="00EF3252" w:rsidP="000D6D5B">
            <w:pPr>
              <w:pStyle w:val="tv213"/>
              <w:shd w:val="clear" w:color="auto" w:fill="FFFFFF"/>
              <w:spacing w:before="0" w:beforeAutospacing="0" w:after="0" w:afterAutospacing="0" w:line="293" w:lineRule="atLeast"/>
              <w:jc w:val="both"/>
            </w:pPr>
            <w:proofErr w:type="spellStart"/>
            <w:r w:rsidRPr="005F6D6C">
              <w:t>V.sadaļas</w:t>
            </w:r>
            <w:proofErr w:type="spellEnd"/>
            <w:r w:rsidRPr="005F6D6C">
              <w:t xml:space="preserve"> 1. tabulas A aile</w:t>
            </w:r>
          </w:p>
        </w:tc>
        <w:tc>
          <w:tcPr>
            <w:tcW w:w="0" w:type="auto"/>
            <w:tcBorders>
              <w:top w:val="single" w:sz="6" w:space="0" w:color="000000"/>
              <w:left w:val="single" w:sz="6" w:space="0" w:color="000000"/>
              <w:bottom w:val="single" w:sz="4" w:space="0" w:color="auto"/>
              <w:right w:val="single" w:sz="6" w:space="0" w:color="000000"/>
            </w:tcBorders>
          </w:tcPr>
          <w:p w:rsidR="00EF3252" w:rsidRPr="00BD13DA" w:rsidRDefault="00EF3252" w:rsidP="000D6D5B">
            <w:pPr>
              <w:jc w:val="center"/>
              <w:rPr>
                <w:b/>
              </w:rPr>
            </w:pPr>
            <w:r w:rsidRPr="00BD13DA">
              <w:rPr>
                <w:b/>
              </w:rPr>
              <w:t>Tieslietu ministrija</w:t>
            </w:r>
          </w:p>
          <w:p w:rsidR="00EF3252" w:rsidRPr="00BD13DA" w:rsidRDefault="00EF3252" w:rsidP="000D6D5B">
            <w:pPr>
              <w:jc w:val="center"/>
              <w:rPr>
                <w:b/>
              </w:rPr>
            </w:pPr>
            <w:r w:rsidRPr="00BD13DA">
              <w:rPr>
                <w:b/>
              </w:rPr>
              <w:t>(28.09.2018., TM Nr. 1-9.1/1132)</w:t>
            </w:r>
          </w:p>
          <w:p w:rsidR="00EF3252" w:rsidRDefault="00EF3252" w:rsidP="000D6D5B">
            <w:pPr>
              <w:jc w:val="both"/>
            </w:pPr>
            <w:r w:rsidRPr="002676D2">
              <w:t>Nepieciešams aizpildīt noteikumu projekta anotācijas Tabulas sadaļu attiecībā uz to, kā ir izmantota Direktīvā paredzētā rīcības brīvība dalībvalstij pārņemt Direktīvas normas, atbilstoši Instrukcijas 56.5. apakšpunktam, skaidrojot, kādēļ ir izmantota šī rīcības brīvība.</w:t>
            </w:r>
          </w:p>
          <w:p w:rsidR="00EF3252" w:rsidRDefault="00EF3252" w:rsidP="000D6D5B">
            <w:pPr>
              <w:jc w:val="both"/>
            </w:pPr>
          </w:p>
          <w:p w:rsidR="00EF3252" w:rsidRPr="005F6D6C" w:rsidRDefault="00EF3252" w:rsidP="000D6D5B">
            <w:pPr>
              <w:widowControl w:val="0"/>
              <w:jc w:val="center"/>
              <w:rPr>
                <w:rFonts w:eastAsia="Calibri"/>
                <w:b/>
                <w:szCs w:val="22"/>
                <w:lang w:eastAsia="en-US"/>
              </w:rPr>
            </w:pPr>
            <w:r w:rsidRPr="00A76404">
              <w:rPr>
                <w:rFonts w:eastAsia="Calibri"/>
                <w:b/>
                <w:color w:val="FF0000"/>
                <w:szCs w:val="22"/>
                <w:lang w:eastAsia="en-US"/>
              </w:rPr>
              <w:t xml:space="preserve"> </w:t>
            </w:r>
            <w:r w:rsidRPr="00A76404">
              <w:rPr>
                <w:rFonts w:eastAsia="Calibri"/>
                <w:b/>
                <w:szCs w:val="22"/>
                <w:lang w:eastAsia="en-US"/>
              </w:rPr>
              <w:t>18.02.2019.:</w:t>
            </w:r>
          </w:p>
          <w:p w:rsidR="00EF3252" w:rsidRPr="005F6D6C" w:rsidRDefault="00EF3252" w:rsidP="000D6D5B">
            <w:pPr>
              <w:jc w:val="both"/>
              <w:rPr>
                <w:rFonts w:eastAsia="Calibri"/>
                <w:lang w:eastAsia="en-US"/>
              </w:rPr>
            </w:pPr>
            <w:r w:rsidRPr="005F6D6C">
              <w:rPr>
                <w:rFonts w:eastAsia="Calibri"/>
                <w:lang w:eastAsia="en-US"/>
              </w:rPr>
              <w:t xml:space="preserve">Direktīvas 1.panta 6. punktā izteiktais Direktīvas 91/477/EEK 6. panta 3. punkts paredz dalībvalstij rīcības brīvību un nosaka: “Dalībvalstis var izvēlēties </w:t>
            </w:r>
            <w:r w:rsidRPr="005F6D6C">
              <w:rPr>
                <w:rFonts w:eastAsia="Calibri"/>
                <w:u w:val="single"/>
                <w:lang w:eastAsia="en-US"/>
              </w:rPr>
              <w:t>atsevišķos īpašos izņēmuma gadījumos</w:t>
            </w:r>
            <w:r w:rsidRPr="005F6D6C">
              <w:rPr>
                <w:rFonts w:eastAsia="Calibri"/>
                <w:lang w:eastAsia="en-US"/>
              </w:rPr>
              <w:t xml:space="preserve"> </w:t>
            </w:r>
            <w:r w:rsidRPr="005F6D6C">
              <w:rPr>
                <w:rFonts w:eastAsia="Calibri"/>
                <w:u w:val="single"/>
                <w:lang w:eastAsia="en-US"/>
              </w:rPr>
              <w:t>pienācīgi pamatotā veidā</w:t>
            </w:r>
            <w:r w:rsidRPr="005F6D6C">
              <w:rPr>
                <w:rFonts w:eastAsia="Calibri"/>
                <w:lang w:eastAsia="en-US"/>
              </w:rPr>
              <w:t xml:space="preserve"> piešķirt kolekcionāriem atļaujas iegādāties un glabāt </w:t>
            </w:r>
            <w:r w:rsidRPr="005F6D6C">
              <w:rPr>
                <w:rFonts w:eastAsia="Calibri"/>
                <w:lang w:eastAsia="en-US"/>
              </w:rPr>
              <w:lastRenderedPageBreak/>
              <w:t xml:space="preserve">šaujamieročus, būtiskas daļas un munīciju, kas klasificēti A kategorijā, </w:t>
            </w:r>
            <w:r w:rsidRPr="005F6D6C">
              <w:rPr>
                <w:rFonts w:eastAsia="Calibri"/>
                <w:u w:val="single"/>
                <w:lang w:eastAsia="en-US"/>
              </w:rPr>
              <w:t>ievērojot stingrus nosacījumus attiecībā uz drošību</w:t>
            </w:r>
            <w:r w:rsidRPr="005F6D6C">
              <w:rPr>
                <w:rFonts w:eastAsia="Calibri"/>
                <w:lang w:eastAsia="en-US"/>
              </w:rPr>
              <w:t xml:space="preserve">, tostarp to, ka valsts kompetentajām </w:t>
            </w:r>
            <w:r w:rsidRPr="005F6D6C">
              <w:rPr>
                <w:rFonts w:eastAsia="Calibri"/>
                <w:u w:val="single"/>
                <w:lang w:eastAsia="en-US"/>
              </w:rPr>
              <w:t>iestādēm tiek pierādīts, ka ir ieviesti pasākumi, lai novērstu jebkādu risku sabiedriskajai drošībai vai sabiedriskajai kārtībai</w:t>
            </w:r>
            <w:r w:rsidRPr="005F6D6C">
              <w:rPr>
                <w:rFonts w:eastAsia="Calibri"/>
                <w:lang w:eastAsia="en-US"/>
              </w:rPr>
              <w:t xml:space="preserve">, un ka attiecīgie šaujamieroči, būtiskās daļas vai munīcija tiek glabāti atbilstīgi drošības līmenim, kas ir </w:t>
            </w:r>
            <w:r w:rsidRPr="005F6D6C">
              <w:rPr>
                <w:rFonts w:eastAsia="Calibri"/>
                <w:u w:val="single"/>
                <w:lang w:eastAsia="en-US"/>
              </w:rPr>
              <w:t>samērīgs ar riskiem</w:t>
            </w:r>
            <w:r w:rsidRPr="005F6D6C">
              <w:rPr>
                <w:rFonts w:eastAsia="Calibri"/>
                <w:lang w:eastAsia="en-US"/>
              </w:rPr>
              <w:t>, ko radītu neatļauta piekļuve šādiem priekšmetiem.</w:t>
            </w:r>
          </w:p>
          <w:p w:rsidR="00EF3252" w:rsidRPr="005F6D6C" w:rsidRDefault="00EF3252" w:rsidP="000D6D5B">
            <w:pPr>
              <w:jc w:val="both"/>
              <w:rPr>
                <w:rFonts w:eastAsia="Calibri"/>
                <w:lang w:eastAsia="en-US"/>
              </w:rPr>
            </w:pPr>
            <w:r w:rsidRPr="005F6D6C">
              <w:rPr>
                <w:rFonts w:eastAsia="Calibri"/>
                <w:lang w:eastAsia="en-US"/>
              </w:rPr>
              <w:t xml:space="preserve">Dalībvalstis nodrošina, ka kolekcionāri, kam piešķirta atļauja saskaņā ar pirmo daļu, ir identificējami 4. pantā minētajos datu reģistros. Šādiem kolekcionāriem, kam piešķirta atļauja, ir pienākums uzturēt visu viņu glabāto A kategorijas šaujamieroču reģistru, kurš ir pieejams valsts kompetentajām </w:t>
            </w:r>
            <w:r w:rsidRPr="005F6D6C">
              <w:rPr>
                <w:rFonts w:eastAsia="Calibri"/>
                <w:lang w:eastAsia="en-US"/>
              </w:rPr>
              <w:lastRenderedPageBreak/>
              <w:t xml:space="preserve">iestādēm. </w:t>
            </w:r>
            <w:r w:rsidRPr="005F6D6C">
              <w:rPr>
                <w:rFonts w:eastAsia="Calibri"/>
                <w:u w:val="single"/>
                <w:lang w:eastAsia="en-US"/>
              </w:rPr>
              <w:t>Dalībvalstis izveido pienācīgu uzraudzības sistēmu</w:t>
            </w:r>
            <w:r w:rsidRPr="005F6D6C">
              <w:rPr>
                <w:rFonts w:eastAsia="Calibri"/>
                <w:lang w:eastAsia="en-US"/>
              </w:rPr>
              <w:t xml:space="preserve"> attiecībā uz šādiem kolekcionāriem, kam piešķirta šāda atļauja, ņemot vērā visus būtiskos faktorus.”</w:t>
            </w:r>
          </w:p>
          <w:p w:rsidR="00EF3252" w:rsidRPr="00AD6375" w:rsidRDefault="00EF3252" w:rsidP="000D6D5B">
            <w:pPr>
              <w:jc w:val="both"/>
              <w:rPr>
                <w:rFonts w:eastAsia="Calibri"/>
                <w:color w:val="FF0000"/>
                <w:lang w:eastAsia="en-US"/>
              </w:rPr>
            </w:pPr>
            <w:r w:rsidRPr="005F6D6C">
              <w:rPr>
                <w:rFonts w:eastAsia="Calibri"/>
                <w:lang w:eastAsia="en-US"/>
              </w:rPr>
              <w:t>Vēršam uzmanību, ka projekta anotācijas V sadaļas 1. tabulas rīcības brīvības sadaļā nav pietiekami izvērsts pamatojums 6. panta 3. punktā paredzētajai rīcības brīvības izmantošanai, tādējādi lūdzam aizpildīt Tabulas rīcības brīvības sadaļu, norādot izvērstāku pamatojumu, kādēļ ir  izmantota Direktīvā paredzētā rīcības brīvība dalībvalstij pārņemt minēto Direktīvas 6. panta 3. punktu atbilstoši instrukcijas 56.5. apakšpunktam.</w:t>
            </w: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6E16B5" w:rsidRDefault="00EF3252" w:rsidP="000D6D5B">
            <w:pPr>
              <w:jc w:val="center"/>
              <w:rPr>
                <w:rFonts w:eastAsia="Calibri"/>
                <w:b/>
                <w:bCs/>
              </w:rPr>
            </w:pPr>
            <w:r w:rsidRPr="002676D2">
              <w:rPr>
                <w:rFonts w:eastAsia="Calibri"/>
                <w:b/>
                <w:bCs/>
              </w:rPr>
              <w:lastRenderedPageBreak/>
              <w:t>Ņemts vērā</w:t>
            </w:r>
          </w:p>
          <w:p w:rsidR="00EF3252" w:rsidRDefault="00EF3252" w:rsidP="000D6D5B">
            <w:pPr>
              <w:jc w:val="center"/>
              <w:rPr>
                <w:rFonts w:eastAsia="Calibri"/>
                <w:b/>
                <w:bCs/>
              </w:rPr>
            </w:pPr>
          </w:p>
          <w:p w:rsidR="00EF3252" w:rsidRDefault="00EF3252" w:rsidP="000D6D5B">
            <w:pPr>
              <w:jc w:val="center"/>
              <w:rPr>
                <w:rFonts w:eastAsia="Calibri"/>
                <w:b/>
                <w:bCs/>
              </w:rPr>
            </w:pPr>
          </w:p>
          <w:p w:rsidR="00EF3252" w:rsidRDefault="00EF3252" w:rsidP="000D6D5B">
            <w:pPr>
              <w:jc w:val="center"/>
              <w:rPr>
                <w:rFonts w:eastAsia="Calibri"/>
                <w:b/>
                <w:bCs/>
              </w:rPr>
            </w:pPr>
          </w:p>
          <w:p w:rsidR="00EF3252" w:rsidRDefault="00EF3252" w:rsidP="000D6D5B">
            <w:pPr>
              <w:jc w:val="center"/>
              <w:rPr>
                <w:rFonts w:eastAsia="Calibri"/>
                <w:b/>
                <w:bCs/>
              </w:rPr>
            </w:pPr>
          </w:p>
          <w:p w:rsidR="00EF3252" w:rsidRDefault="00EF3252" w:rsidP="000D6D5B">
            <w:pPr>
              <w:jc w:val="center"/>
              <w:rPr>
                <w:rFonts w:eastAsia="Calibri"/>
                <w:b/>
                <w:bCs/>
              </w:rPr>
            </w:pPr>
          </w:p>
          <w:p w:rsidR="00EF3252" w:rsidRDefault="00EF3252" w:rsidP="000D6D5B">
            <w:pPr>
              <w:jc w:val="center"/>
              <w:rPr>
                <w:rFonts w:eastAsia="Calibri"/>
                <w:b/>
                <w:bCs/>
              </w:rPr>
            </w:pPr>
          </w:p>
          <w:p w:rsidR="00EF3252" w:rsidRDefault="00EF3252" w:rsidP="000D6D5B">
            <w:pPr>
              <w:jc w:val="center"/>
              <w:rPr>
                <w:rFonts w:eastAsia="Calibri"/>
                <w:b/>
                <w:bCs/>
              </w:rPr>
            </w:pPr>
          </w:p>
          <w:p w:rsidR="00EF3252" w:rsidRDefault="00EF3252" w:rsidP="000D6D5B">
            <w:pPr>
              <w:jc w:val="center"/>
              <w:rPr>
                <w:rFonts w:eastAsia="Calibri"/>
                <w:b/>
                <w:bCs/>
              </w:rPr>
            </w:pPr>
          </w:p>
          <w:p w:rsidR="00EF3252" w:rsidRDefault="00EF3252" w:rsidP="000D6D5B">
            <w:pPr>
              <w:rPr>
                <w:rFonts w:eastAsia="Calibri"/>
                <w:b/>
                <w:bCs/>
              </w:rPr>
            </w:pPr>
          </w:p>
          <w:p w:rsidR="00EF3252" w:rsidRDefault="00EF3252" w:rsidP="000D6D5B">
            <w:pPr>
              <w:rPr>
                <w:rFonts w:eastAsia="Calibri"/>
                <w:b/>
                <w:bCs/>
              </w:rPr>
            </w:pPr>
          </w:p>
          <w:p w:rsidR="00EF3252" w:rsidRDefault="00EF3252" w:rsidP="000D6D5B">
            <w:pPr>
              <w:rPr>
                <w:rFonts w:eastAsia="Calibri"/>
                <w:b/>
                <w:bCs/>
              </w:rPr>
            </w:pPr>
          </w:p>
          <w:p w:rsidR="00EF3252" w:rsidRDefault="00EF3252" w:rsidP="000D6D5B">
            <w:pPr>
              <w:rPr>
                <w:rFonts w:eastAsia="Calibri"/>
                <w:b/>
                <w:bCs/>
              </w:rPr>
            </w:pPr>
          </w:p>
          <w:p w:rsidR="00EF3252" w:rsidRDefault="00EF3252" w:rsidP="000D6D5B">
            <w:pPr>
              <w:rPr>
                <w:rFonts w:eastAsia="Calibri"/>
                <w:b/>
                <w:bCs/>
              </w:rPr>
            </w:pPr>
          </w:p>
          <w:p w:rsidR="00EF3252" w:rsidRDefault="00EF3252" w:rsidP="000D6D5B">
            <w:pPr>
              <w:rPr>
                <w:rFonts w:eastAsia="Calibri"/>
                <w:b/>
                <w:bCs/>
              </w:rPr>
            </w:pPr>
          </w:p>
          <w:p w:rsidR="00EF3252" w:rsidRDefault="00EF3252" w:rsidP="000D6D5B">
            <w:pPr>
              <w:rPr>
                <w:rFonts w:eastAsia="Calibri"/>
                <w:b/>
                <w:bCs/>
              </w:rPr>
            </w:pPr>
          </w:p>
          <w:p w:rsidR="00EF3252" w:rsidRDefault="00EF3252" w:rsidP="000D6D5B">
            <w:pPr>
              <w:jc w:val="center"/>
              <w:rPr>
                <w:rFonts w:eastAsia="Calibri"/>
                <w:b/>
                <w:bCs/>
              </w:rPr>
            </w:pPr>
          </w:p>
          <w:p w:rsidR="00EF3252" w:rsidRPr="005F6D6C" w:rsidRDefault="00EF3252" w:rsidP="000D6D5B">
            <w:pPr>
              <w:jc w:val="center"/>
              <w:rPr>
                <w:rFonts w:eastAsia="Calibri"/>
                <w:b/>
                <w:bCs/>
              </w:rPr>
            </w:pPr>
            <w:r w:rsidRPr="005F6D6C">
              <w:rPr>
                <w:rFonts w:eastAsia="Calibri"/>
                <w:b/>
                <w:bCs/>
              </w:rPr>
              <w:t>Ņemts vērā</w:t>
            </w:r>
          </w:p>
          <w:p w:rsidR="00EF3252" w:rsidRDefault="00EF3252" w:rsidP="000D6D5B">
            <w:pPr>
              <w:jc w:val="center"/>
              <w:rPr>
                <w:rFonts w:eastAsia="Calibri"/>
                <w:b/>
                <w:bCs/>
              </w:rPr>
            </w:pPr>
          </w:p>
          <w:p w:rsidR="00EF3252" w:rsidRDefault="00EF3252" w:rsidP="000D6D5B">
            <w:pPr>
              <w:jc w:val="center"/>
              <w:rPr>
                <w:rFonts w:eastAsia="Calibri"/>
                <w:b/>
                <w:bCs/>
              </w:rPr>
            </w:pPr>
          </w:p>
        </w:tc>
        <w:tc>
          <w:tcPr>
            <w:tcW w:w="0" w:type="auto"/>
            <w:tcBorders>
              <w:top w:val="single" w:sz="4" w:space="0" w:color="auto"/>
              <w:left w:val="single" w:sz="4" w:space="0" w:color="auto"/>
              <w:bottom w:val="single" w:sz="4" w:space="0" w:color="auto"/>
            </w:tcBorders>
          </w:tcPr>
          <w:p w:rsidR="00EF3252" w:rsidRPr="006E16B5" w:rsidRDefault="00EF3252" w:rsidP="000D6D5B">
            <w:pPr>
              <w:pStyle w:val="tv213"/>
              <w:shd w:val="clear" w:color="auto" w:fill="FFFFFF"/>
              <w:spacing w:before="0" w:beforeAutospacing="0" w:after="0" w:afterAutospacing="0"/>
              <w:jc w:val="both"/>
            </w:pPr>
            <w:r w:rsidRPr="002676D2">
              <w:t xml:space="preserve">Aizpildīta projekta anotācijas </w:t>
            </w:r>
            <w:proofErr w:type="spellStart"/>
            <w:r w:rsidRPr="002676D2">
              <w:t>V.sadaļas</w:t>
            </w:r>
            <w:proofErr w:type="spellEnd"/>
            <w:r w:rsidRPr="002676D2">
              <w:t xml:space="preserve"> 1. tabulas A aile par to, kā ir izmantota ES tiesību aktā paredzētā rīcības brīvība dalībvalstij pārņemt vai ieviest noteiktas ES tiesību akta normas.</w:t>
            </w:r>
          </w:p>
          <w:p w:rsidR="00EF3252" w:rsidRDefault="00EF3252" w:rsidP="000D6D5B">
            <w:pPr>
              <w:jc w:val="both"/>
              <w:rPr>
                <w:b/>
              </w:rPr>
            </w:pPr>
          </w:p>
          <w:p w:rsidR="00EF3252" w:rsidRDefault="00EF3252" w:rsidP="000D6D5B">
            <w:pPr>
              <w:jc w:val="both"/>
              <w:rPr>
                <w:b/>
              </w:rPr>
            </w:pPr>
          </w:p>
          <w:p w:rsidR="00EF3252" w:rsidRDefault="00EF3252" w:rsidP="000D6D5B">
            <w:pPr>
              <w:jc w:val="both"/>
              <w:rPr>
                <w:b/>
              </w:rPr>
            </w:pPr>
          </w:p>
          <w:p w:rsidR="00EF3252" w:rsidRDefault="00EF3252" w:rsidP="000D6D5B">
            <w:pPr>
              <w:jc w:val="both"/>
              <w:rPr>
                <w:b/>
              </w:rPr>
            </w:pPr>
          </w:p>
          <w:p w:rsidR="00EF3252" w:rsidRDefault="00EF3252" w:rsidP="000D6D5B">
            <w:pPr>
              <w:jc w:val="both"/>
              <w:rPr>
                <w:b/>
              </w:rPr>
            </w:pPr>
          </w:p>
          <w:p w:rsidR="00EF3252" w:rsidRDefault="00EF3252" w:rsidP="000D6D5B">
            <w:pPr>
              <w:jc w:val="both"/>
              <w:rPr>
                <w:b/>
              </w:rPr>
            </w:pPr>
          </w:p>
          <w:p w:rsidR="00EF3252" w:rsidRDefault="00EF3252" w:rsidP="000D6D5B">
            <w:pPr>
              <w:jc w:val="both"/>
              <w:rPr>
                <w:b/>
              </w:rPr>
            </w:pPr>
          </w:p>
          <w:p w:rsidR="00EF3252" w:rsidRDefault="00EF3252" w:rsidP="000D6D5B">
            <w:pPr>
              <w:jc w:val="both"/>
              <w:rPr>
                <w:b/>
              </w:rPr>
            </w:pPr>
          </w:p>
          <w:p w:rsidR="00EF3252" w:rsidRDefault="00EF3252" w:rsidP="000D6D5B">
            <w:pPr>
              <w:jc w:val="both"/>
              <w:rPr>
                <w:b/>
              </w:rPr>
            </w:pPr>
          </w:p>
          <w:p w:rsidR="00EF3252" w:rsidRDefault="00EF3252" w:rsidP="000D6D5B">
            <w:pPr>
              <w:jc w:val="both"/>
              <w:rPr>
                <w:b/>
              </w:rPr>
            </w:pPr>
          </w:p>
          <w:p w:rsidR="00EF3252" w:rsidRDefault="00EF3252" w:rsidP="000D6D5B">
            <w:pPr>
              <w:jc w:val="both"/>
              <w:rPr>
                <w:b/>
              </w:rPr>
            </w:pPr>
          </w:p>
          <w:p w:rsidR="00EF3252" w:rsidRPr="005F6D6C" w:rsidRDefault="00EF3252" w:rsidP="000D6D5B">
            <w:pPr>
              <w:pStyle w:val="tv213"/>
              <w:shd w:val="clear" w:color="auto" w:fill="FFFFFF"/>
              <w:spacing w:before="0" w:beforeAutospacing="0" w:after="0" w:afterAutospacing="0"/>
              <w:jc w:val="both"/>
            </w:pPr>
            <w:r w:rsidRPr="005F6D6C">
              <w:t xml:space="preserve">Papildināta projekta anotācijas </w:t>
            </w:r>
            <w:proofErr w:type="spellStart"/>
            <w:r w:rsidRPr="005F6D6C">
              <w:t>V.sadaļas</w:t>
            </w:r>
            <w:proofErr w:type="spellEnd"/>
            <w:r w:rsidRPr="005F6D6C">
              <w:t xml:space="preserve"> 1. tabulas A aile par to, kā ir izmantota ES tiesību aktā paredzētā rīcības brīvība dalībvalstij pārņemt vai ieviest noteiktas ES tiesību akta normas.</w:t>
            </w:r>
          </w:p>
          <w:p w:rsidR="00EF3252" w:rsidRPr="006E16B5" w:rsidRDefault="00EF3252" w:rsidP="000D6D5B">
            <w:pPr>
              <w:jc w:val="both"/>
              <w:rPr>
                <w:b/>
              </w:rPr>
            </w:pPr>
          </w:p>
        </w:tc>
      </w:tr>
      <w:tr w:rsidR="00EF3252" w:rsidRPr="006E16B5" w:rsidTr="000D6D5B">
        <w:trPr>
          <w:trHeight w:val="1690"/>
        </w:trPr>
        <w:tc>
          <w:tcPr>
            <w:tcW w:w="0" w:type="auto"/>
            <w:tcBorders>
              <w:top w:val="single" w:sz="6" w:space="0" w:color="000000"/>
              <w:left w:val="single" w:sz="6" w:space="0" w:color="000000"/>
              <w:bottom w:val="single" w:sz="4" w:space="0" w:color="auto"/>
              <w:right w:val="single" w:sz="6" w:space="0" w:color="000000"/>
            </w:tcBorders>
          </w:tcPr>
          <w:p w:rsidR="00EF3252" w:rsidRPr="00FF3E45" w:rsidRDefault="00EF3252" w:rsidP="000D6D5B">
            <w:pPr>
              <w:pStyle w:val="naisc"/>
              <w:spacing w:before="0" w:after="0"/>
            </w:pPr>
            <w:r w:rsidRPr="00FF3E45">
              <w:lastRenderedPageBreak/>
              <w:t>12.</w:t>
            </w:r>
          </w:p>
        </w:tc>
        <w:tc>
          <w:tcPr>
            <w:tcW w:w="0" w:type="auto"/>
            <w:gridSpan w:val="3"/>
            <w:tcBorders>
              <w:top w:val="single" w:sz="6" w:space="0" w:color="000000"/>
              <w:left w:val="single" w:sz="6" w:space="0" w:color="000000"/>
              <w:bottom w:val="single" w:sz="4" w:space="0" w:color="auto"/>
              <w:right w:val="single" w:sz="6" w:space="0" w:color="000000"/>
            </w:tcBorders>
          </w:tcPr>
          <w:p w:rsidR="00EF3252" w:rsidRPr="00FF3E45" w:rsidRDefault="00EF3252" w:rsidP="000D6D5B">
            <w:pPr>
              <w:pStyle w:val="naisc"/>
              <w:spacing w:before="0" w:after="0"/>
              <w:ind w:firstLine="12"/>
              <w:jc w:val="both"/>
              <w:rPr>
                <w:b/>
              </w:rPr>
            </w:pPr>
          </w:p>
        </w:tc>
        <w:tc>
          <w:tcPr>
            <w:tcW w:w="0" w:type="auto"/>
            <w:tcBorders>
              <w:top w:val="single" w:sz="6" w:space="0" w:color="000000"/>
              <w:left w:val="single" w:sz="6" w:space="0" w:color="000000"/>
              <w:bottom w:val="single" w:sz="4" w:space="0" w:color="auto"/>
              <w:right w:val="single" w:sz="6" w:space="0" w:color="000000"/>
            </w:tcBorders>
          </w:tcPr>
          <w:p w:rsidR="00EF3252" w:rsidRPr="00FF3E45" w:rsidRDefault="00EF3252" w:rsidP="000D6D5B">
            <w:pPr>
              <w:jc w:val="both"/>
              <w:rPr>
                <w:b/>
              </w:rPr>
            </w:pPr>
            <w:r w:rsidRPr="00FF3E45">
              <w:rPr>
                <w:b/>
              </w:rPr>
              <w:t>Aizsardzības ministrija</w:t>
            </w:r>
          </w:p>
          <w:p w:rsidR="00EF3252" w:rsidRPr="00FF3E45" w:rsidRDefault="00EF3252" w:rsidP="000D6D5B">
            <w:pPr>
              <w:widowControl w:val="0"/>
              <w:jc w:val="both"/>
            </w:pPr>
            <w:r w:rsidRPr="00FF3E45">
              <w:t xml:space="preserve">Ministru kabineta noteikumu projekta 4.nodaļa “Prasības valsts, pašvaldību, privāto muzeju un </w:t>
            </w:r>
            <w:r w:rsidRPr="00FF3E45">
              <w:lastRenderedPageBreak/>
              <w:t xml:space="preserve">fizisko personu šaujamieroču, šaujamieroču būtisko sastāvdaļu un lielas enerģijas pneimatisko ieroču kolekcijas glabātuvei un izstādes telpai” izstrādāta, pamatojoties uz likumprojekta “Ieroču aprites likums” (VSS-322) 32.panta otrajā daļā Ministru kabinetam doto deleģējumu noteikt prasības valsts, pašvaldību un privāto muzeju šaujamieroču, šaujamieroču būtisko sastāvdaļu un lielas enerģijas pneimatisko ieroču kolekcijas glabātuvei un izstādes telpai. Savukārt likumprojekta “Ieroču aprites likums” 34.panta trešā daļa nosaka, ka NBS un LKM veido Latvijā klasificēto un neklasificēto ieroču un to sastāvdaļu, munīcijas un speciālo līdzekļu kolekcijas atbilstoši šo institūciju darbību reglamentējošiem </w:t>
            </w:r>
            <w:r w:rsidRPr="00FF3E45">
              <w:lastRenderedPageBreak/>
              <w:t>normatīvajiem aktiem.</w:t>
            </w:r>
          </w:p>
          <w:p w:rsidR="00EF3252" w:rsidRPr="00FF3E45" w:rsidRDefault="00EF3252" w:rsidP="000D6D5B">
            <w:pPr>
              <w:widowControl w:val="0"/>
              <w:contextualSpacing/>
              <w:jc w:val="both"/>
            </w:pPr>
            <w:r w:rsidRPr="00FF3E45">
              <w:t>Ņemot vērā likumprojekta “Ieroču aprites likums” saskaņošanās gaitā gūto atziņu, AM interpretē šā likumprojekta 34. panta trešajā daļā noteikto, ka MK noteikumu projektā noteiktās prasības valsts, pašvaldību un privāto muzeju šaujamieroču, šaujamieroču būtisko sastāvdaļu un lielas enerģijas pneimatisko ieroču kolekcijas glabātuvei un izstādes telpai nav attiecināmas uz NBS un LKM, jo tās noteiks NBS un LKM darbību reglamentējošie normatīvie akti. Taču no MK noteikumu projekta anotācijas tas neizriet.</w:t>
            </w:r>
          </w:p>
          <w:p w:rsidR="00EF3252" w:rsidRPr="00FF3E45" w:rsidRDefault="00EF3252" w:rsidP="000D6D5B">
            <w:pPr>
              <w:widowControl w:val="0"/>
              <w:contextualSpacing/>
              <w:jc w:val="both"/>
            </w:pPr>
            <w:r w:rsidRPr="00FF3E45">
              <w:t xml:space="preserve">Tiesiskās noteiktības dēļ, lūdzu papildināt Ministru kabineta noteikumu projekta anotācijas 4. daļā sniegto skaidrojumu un skaidri noteikt, ka Ministru kabineta noteikumu projektā noteiktās prasības valsts, </w:t>
            </w:r>
            <w:r w:rsidRPr="00FF3E45">
              <w:lastRenderedPageBreak/>
              <w:t>pašvaldību un privāto muzeju šaujamieroču, šaujamieroču būtisko sastāvdaļu un lielas enerģijas pneimatisko ieroču kolekcijas glabātuvei un izstādes telpai nav attiecināmas uz NBS un LKM, jo tās noteiks NBS un LKM darbību reglamentējošie normatīvie akti.</w:t>
            </w: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FF3E45" w:rsidRDefault="00EF3252" w:rsidP="000D6D5B">
            <w:pPr>
              <w:jc w:val="center"/>
              <w:rPr>
                <w:rFonts w:eastAsia="Calibri"/>
                <w:b/>
                <w:bCs/>
              </w:rPr>
            </w:pPr>
            <w:r w:rsidRPr="00FF3E45">
              <w:rPr>
                <w:rFonts w:eastAsia="Calibri"/>
                <w:b/>
                <w:bCs/>
              </w:rPr>
              <w:lastRenderedPageBreak/>
              <w:t>Ņemts vērā</w:t>
            </w:r>
          </w:p>
          <w:p w:rsidR="00EF3252" w:rsidRPr="00FF3E45" w:rsidRDefault="00EF3252" w:rsidP="000D6D5B">
            <w:pPr>
              <w:spacing w:line="300" w:lineRule="atLeast"/>
              <w:ind w:left="-108"/>
              <w:jc w:val="both"/>
            </w:pPr>
            <w:r w:rsidRPr="00FF3E45">
              <w:rPr>
                <w:lang w:eastAsia="ar-SA"/>
              </w:rPr>
              <w:t xml:space="preserve">Saskaņā ar Ieroču aprites likuma 34.panta trešo daļu </w:t>
            </w:r>
            <w:r w:rsidRPr="00FF3E45">
              <w:t xml:space="preserve">Nacionālie bruņotie spēki un Latvijas Kara muzejs </w:t>
            </w:r>
            <w:r w:rsidRPr="00FF3E45">
              <w:lastRenderedPageBreak/>
              <w:t>veido Latvijā klasificēto un neklasificēto ieroču un to sastāvdaļu, munīcijas un speciālo līdzekļu kolekcijas, kā arī veic tajās ietilpstošo ieroču apriti atbilstoši šo institūciju darbību reglamentējošiem normatīvajiem aktiem,</w:t>
            </w:r>
            <w:r w:rsidRPr="00FF3E45">
              <w:rPr>
                <w:i/>
              </w:rPr>
              <w:t xml:space="preserve"> </w:t>
            </w:r>
            <w:r w:rsidRPr="00FF3E45">
              <w:t>līdz ar to projektā noteiktās prasības nav attiecināmas uz Nacionālajiem bruņotajiem spēkiem un Latvijas Kara muzeju.</w:t>
            </w:r>
          </w:p>
          <w:p w:rsidR="00EF3252" w:rsidRPr="00FF3E45" w:rsidRDefault="00EF3252" w:rsidP="000D6D5B">
            <w:pPr>
              <w:jc w:val="both"/>
              <w:rPr>
                <w:rFonts w:eastAsia="Calibri"/>
                <w:b/>
                <w:bCs/>
              </w:rPr>
            </w:pPr>
          </w:p>
        </w:tc>
        <w:tc>
          <w:tcPr>
            <w:tcW w:w="0" w:type="auto"/>
            <w:tcBorders>
              <w:top w:val="single" w:sz="4" w:space="0" w:color="auto"/>
              <w:left w:val="single" w:sz="4" w:space="0" w:color="auto"/>
              <w:bottom w:val="single" w:sz="4" w:space="0" w:color="auto"/>
            </w:tcBorders>
          </w:tcPr>
          <w:p w:rsidR="00EF3252" w:rsidRPr="00FF3E45" w:rsidRDefault="00EF3252" w:rsidP="000D6D5B">
            <w:pPr>
              <w:pStyle w:val="tv213"/>
              <w:shd w:val="clear" w:color="auto" w:fill="FFFFFF"/>
              <w:spacing w:before="0" w:beforeAutospacing="0" w:after="0" w:afterAutospacing="0"/>
              <w:jc w:val="both"/>
            </w:pPr>
            <w:r w:rsidRPr="00FF3E45">
              <w:lastRenderedPageBreak/>
              <w:t xml:space="preserve">Papildināts projekta anotācijas </w:t>
            </w:r>
            <w:proofErr w:type="spellStart"/>
            <w:r w:rsidRPr="00FF3E45">
              <w:t>I.sadaļas</w:t>
            </w:r>
            <w:proofErr w:type="spellEnd"/>
            <w:r w:rsidRPr="00FF3E45">
              <w:t xml:space="preserve"> 2.punkts.</w:t>
            </w:r>
          </w:p>
          <w:p w:rsidR="00EF3252" w:rsidRPr="00FF3E45" w:rsidRDefault="00EF3252" w:rsidP="000D6D5B">
            <w:pPr>
              <w:jc w:val="both"/>
              <w:rPr>
                <w:b/>
              </w:rPr>
            </w:pPr>
          </w:p>
        </w:tc>
      </w:tr>
      <w:tr w:rsidR="00EF3252" w:rsidRPr="006E16B5"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Pr="003A012B" w:rsidRDefault="00EF3252" w:rsidP="000D6D5B">
            <w:pPr>
              <w:pStyle w:val="naisc"/>
              <w:spacing w:before="0" w:after="0"/>
            </w:pPr>
            <w:r w:rsidRPr="003A012B">
              <w:lastRenderedPageBreak/>
              <w:t>13.</w:t>
            </w:r>
          </w:p>
        </w:tc>
        <w:tc>
          <w:tcPr>
            <w:tcW w:w="0" w:type="auto"/>
            <w:gridSpan w:val="3"/>
            <w:tcBorders>
              <w:top w:val="single" w:sz="6" w:space="0" w:color="000000"/>
              <w:left w:val="single" w:sz="6" w:space="0" w:color="000000"/>
              <w:bottom w:val="single" w:sz="4" w:space="0" w:color="auto"/>
              <w:right w:val="single" w:sz="6" w:space="0" w:color="000000"/>
            </w:tcBorders>
          </w:tcPr>
          <w:p w:rsidR="00EF3252" w:rsidRPr="003A012B" w:rsidRDefault="00EF3252" w:rsidP="000D6D5B">
            <w:pPr>
              <w:shd w:val="clear" w:color="auto" w:fill="FFFFFF"/>
              <w:spacing w:after="160" w:line="256" w:lineRule="auto"/>
              <w:contextualSpacing/>
              <w:jc w:val="both"/>
              <w:rPr>
                <w:rFonts w:eastAsia="Arial"/>
              </w:rPr>
            </w:pPr>
            <w:r w:rsidRPr="003A012B">
              <w:rPr>
                <w:rFonts w:eastAsia="Arial"/>
              </w:rPr>
              <w:t>“24. Šaujamieroci, tā maināmo būtisko sastāvdaļu, lielas enerģijas pneimatisko ieroci, šaujamieroča munīciju un ieroču sastāvdaļas ieroča glabāšanas vai nēsāšanas atļaujā norādītajā adresē glabā saskaņā ar</w:t>
            </w:r>
            <w:bookmarkStart w:id="2" w:name="1664s55"/>
            <w:bookmarkStart w:id="3" w:name="2r0uhxc"/>
            <w:bookmarkEnd w:id="2"/>
            <w:bookmarkEnd w:id="3"/>
            <w:r w:rsidRPr="003A012B">
              <w:rPr>
                <w:rFonts w:eastAsia="Arial"/>
              </w:rPr>
              <w:t xml:space="preserve"> Ieroču aprites likuma prasībām, nodrošinot to pienācīgu uzraudzību un glabāšanu.”;</w:t>
            </w:r>
          </w:p>
          <w:p w:rsidR="00EF3252" w:rsidRPr="003A012B" w:rsidRDefault="00EF3252" w:rsidP="000D6D5B">
            <w:pPr>
              <w:shd w:val="clear" w:color="auto" w:fill="FFFFFF"/>
              <w:spacing w:after="160" w:line="256" w:lineRule="auto"/>
              <w:contextualSpacing/>
              <w:jc w:val="both"/>
              <w:rPr>
                <w:rFonts w:eastAsia="Arial"/>
              </w:rPr>
            </w:pPr>
            <w:r w:rsidRPr="003A012B">
              <w:rPr>
                <w:rFonts w:eastAsia="Arial"/>
              </w:rPr>
              <w:t xml:space="preserve">“89. Fiziskā persona, kurai izsniegts juridiskās personas šaujamierocis, tā maināmās būtiskās sastāvdaļas, šaujamieroča munīcija vai lielas enerģijas pneimatiskais ierocis, to pārvadā (pārnēsā) tikai uz </w:t>
            </w:r>
            <w:proofErr w:type="spellStart"/>
            <w:r w:rsidRPr="003A012B">
              <w:rPr>
                <w:rFonts w:eastAsia="Arial"/>
              </w:rPr>
              <w:t>treniņšaušanas</w:t>
            </w:r>
            <w:proofErr w:type="spellEnd"/>
            <w:r w:rsidRPr="003A012B">
              <w:rPr>
                <w:rFonts w:eastAsia="Arial"/>
              </w:rPr>
              <w:t xml:space="preserve"> (mācību šaušanas), sporta sacensību, medību, apsardzes komersanta vai iekšējās drošības dienesta darba pienākumu pildīšanas vietu un no tās – uz </w:t>
            </w:r>
            <w:r w:rsidRPr="003A012B">
              <w:rPr>
                <w:rFonts w:eastAsia="Arial"/>
              </w:rPr>
              <w:lastRenderedPageBreak/>
              <w:t xml:space="preserve">ieroču glabātavu, kurā ierocis saņemts. Šaujamieroci, tā maināmās būtiskās sastāvdaļas, šaujamieroča munīciju vai lielas enerģijas pneimatisko ieroci pārvadā iesaiņotu (ievietotu futlārī vai cita veida ieroču somā vai citā speciālā iesaiņojumā), izlādētā veidā (bez šaujamieroča munīcijas patrontelpā un nepielādētu magazīnu vai no ieroča izņemtu pielādētu magazīnu), nodrošinot </w:t>
            </w:r>
            <w:r w:rsidRPr="003A012B">
              <w:rPr>
                <w:rFonts w:eastAsia="Arial"/>
                <w:u w:val="single"/>
              </w:rPr>
              <w:t>to pienācīgu uzraudzību un glabāšanu pārvadāšanas laikā.</w:t>
            </w:r>
            <w:bookmarkStart w:id="4" w:name="1yib0wl"/>
            <w:bookmarkStart w:id="5" w:name="2xn8ts7"/>
            <w:bookmarkStart w:id="6" w:name="3jd0qos"/>
            <w:bookmarkStart w:id="7" w:name="4ihyjke"/>
            <w:bookmarkEnd w:id="4"/>
            <w:bookmarkEnd w:id="5"/>
            <w:bookmarkEnd w:id="6"/>
            <w:bookmarkEnd w:id="7"/>
            <w:r w:rsidRPr="003A012B">
              <w:rPr>
                <w:rFonts w:eastAsia="Arial"/>
              </w:rPr>
              <w:t>”</w:t>
            </w:r>
          </w:p>
          <w:p w:rsidR="00EF3252" w:rsidRPr="003A012B" w:rsidRDefault="00EF3252" w:rsidP="000D6D5B">
            <w:pPr>
              <w:pStyle w:val="naisc"/>
              <w:spacing w:before="0" w:after="0"/>
              <w:ind w:firstLine="12"/>
              <w:jc w:val="both"/>
              <w:rPr>
                <w:b/>
                <w:color w:val="FF0000"/>
              </w:rPr>
            </w:pPr>
          </w:p>
        </w:tc>
        <w:tc>
          <w:tcPr>
            <w:tcW w:w="0" w:type="auto"/>
            <w:tcBorders>
              <w:top w:val="single" w:sz="6" w:space="0" w:color="000000"/>
              <w:left w:val="single" w:sz="6" w:space="0" w:color="000000"/>
              <w:bottom w:val="single" w:sz="4" w:space="0" w:color="auto"/>
              <w:right w:val="single" w:sz="6" w:space="0" w:color="000000"/>
            </w:tcBorders>
            <w:vAlign w:val="center"/>
          </w:tcPr>
          <w:p w:rsidR="00EF3252" w:rsidRPr="00C648B0" w:rsidRDefault="00EF3252" w:rsidP="000D6D5B">
            <w:pPr>
              <w:widowControl w:val="0"/>
              <w:jc w:val="center"/>
              <w:rPr>
                <w:rFonts w:eastAsia="Calibri"/>
                <w:b/>
                <w:szCs w:val="22"/>
                <w:lang w:eastAsia="en-US"/>
              </w:rPr>
            </w:pPr>
            <w:r w:rsidRPr="00BD13DA">
              <w:rPr>
                <w:rFonts w:eastAsia="Calibri"/>
                <w:b/>
                <w:szCs w:val="22"/>
                <w:lang w:eastAsia="en-US"/>
              </w:rPr>
              <w:lastRenderedPageBreak/>
              <w:t>Tieslietu ministrija (18.02.2019.)</w:t>
            </w:r>
          </w:p>
          <w:p w:rsidR="00EF3252" w:rsidRPr="003A012B" w:rsidRDefault="00EF3252" w:rsidP="000D6D5B">
            <w:pPr>
              <w:jc w:val="both"/>
              <w:rPr>
                <w:rFonts w:eastAsia="Calibri"/>
                <w:lang w:eastAsia="en-US"/>
              </w:rPr>
            </w:pPr>
            <w:r w:rsidRPr="003A012B">
              <w:rPr>
                <w:rFonts w:eastAsia="Calibri"/>
                <w:lang w:eastAsia="en-US"/>
              </w:rPr>
              <w:t>Lūdzam atkārtoti izvērtēt un nepieciešamības gadījumā precizēt projekta 24. un 89. punktā lietoto norādi “nodrošinot to pienācīgu uzraudzību un glabāšanu”.</w:t>
            </w:r>
          </w:p>
          <w:p w:rsidR="00EF3252" w:rsidRPr="003A012B" w:rsidRDefault="00EF3252" w:rsidP="000D6D5B">
            <w:pPr>
              <w:jc w:val="both"/>
              <w:rPr>
                <w:rFonts w:eastAsia="Calibri"/>
                <w:lang w:eastAsia="en-US"/>
              </w:rPr>
            </w:pPr>
            <w:r w:rsidRPr="003A012B">
              <w:rPr>
                <w:rFonts w:eastAsia="Calibri"/>
                <w:lang w:eastAsia="en-US"/>
              </w:rPr>
              <w:t xml:space="preserve">Projekta anotācijas I sadaļā norādīts: “Projekta 24. un 89.punktā lietots apzīmējums “pienācīga uzraudzība un glabāšana”, kas pārņemts no Direktīvas (ES) 2017/853 5.a panta, kas nosaka, ka pienācīga uzraudzība nozīmē, ka </w:t>
            </w:r>
            <w:r w:rsidRPr="003A012B">
              <w:rPr>
                <w:rFonts w:eastAsia="Calibri"/>
                <w:lang w:eastAsia="en-US"/>
              </w:rPr>
              <w:lastRenderedPageBreak/>
              <w:t xml:space="preserve">personai, kura likumīgi glabā attiecīgo šaujamieroci vai munīciju, ir pār to kontrole to transportēšanas un lietošanas laikā. Šādu pienācīgu glabāšanas apstākļu uzraudzības līmenis atbilst attiecīgo šaujamieroču un munīcijas daudzumam un kategorijai.” </w:t>
            </w:r>
          </w:p>
          <w:p w:rsidR="00EF3252" w:rsidRPr="003A012B" w:rsidRDefault="00EF3252" w:rsidP="000D6D5B">
            <w:pPr>
              <w:jc w:val="both"/>
              <w:rPr>
                <w:rFonts w:eastAsia="Calibri"/>
                <w:lang w:eastAsia="en-US"/>
              </w:rPr>
            </w:pPr>
            <w:r w:rsidRPr="003A012B">
              <w:rPr>
                <w:rFonts w:eastAsia="Calibri"/>
                <w:lang w:eastAsia="en-US"/>
              </w:rPr>
              <w:t>Eiropas Parlamenta un Padomes 2017.gada 17.maija Direktīvas (ES) 2017/853 ar ko groza Padomes Direktīvu 91/477/EEK par ieroču iegādes un glabāšanas kontroli (turpmāk - Direktīva) 1. panta 6. punktā izteiktais 5.a pants cita starpa nosaka: “[..] Pienācīga uzraudzība nozīmē, ka personai, kura likumīgi glabā attiecīgo šaujamieroci vai munīciju</w:t>
            </w:r>
            <w:r w:rsidRPr="003A012B">
              <w:rPr>
                <w:rFonts w:eastAsia="Calibri"/>
                <w:u w:val="single"/>
                <w:lang w:eastAsia="en-US"/>
              </w:rPr>
              <w:t>, ir pār to kontrole to transportēšanas un lietošanas laikā</w:t>
            </w:r>
            <w:r w:rsidRPr="003A012B">
              <w:rPr>
                <w:rFonts w:eastAsia="Calibri"/>
                <w:lang w:eastAsia="en-US"/>
              </w:rPr>
              <w:t xml:space="preserve">. </w:t>
            </w:r>
            <w:r w:rsidRPr="003A012B">
              <w:rPr>
                <w:rFonts w:eastAsia="Calibri"/>
                <w:u w:val="single"/>
                <w:lang w:eastAsia="en-US"/>
              </w:rPr>
              <w:t xml:space="preserve">Šādu pienācīgu glabāšanas </w:t>
            </w:r>
            <w:r w:rsidRPr="003A012B">
              <w:rPr>
                <w:rFonts w:eastAsia="Calibri"/>
                <w:u w:val="single"/>
                <w:lang w:eastAsia="en-US"/>
              </w:rPr>
              <w:lastRenderedPageBreak/>
              <w:t>apstākļu uzraudzības līmenis atbilst attiecīgo šaujamieroču un munīcijas daudzumam un kategorijai</w:t>
            </w:r>
            <w:r w:rsidRPr="003A012B">
              <w:rPr>
                <w:rFonts w:eastAsia="Calibri"/>
                <w:lang w:eastAsia="en-US"/>
              </w:rPr>
              <w:t>.”</w:t>
            </w:r>
          </w:p>
          <w:p w:rsidR="00EF3252" w:rsidRPr="003A012B" w:rsidRDefault="00EF3252" w:rsidP="000D6D5B">
            <w:pPr>
              <w:jc w:val="both"/>
              <w:rPr>
                <w:rFonts w:eastAsia="Calibri"/>
                <w:lang w:eastAsia="en-US"/>
              </w:rPr>
            </w:pPr>
            <w:r w:rsidRPr="003A012B">
              <w:rPr>
                <w:rFonts w:eastAsia="Calibri"/>
                <w:lang w:eastAsia="en-US"/>
              </w:rPr>
              <w:t xml:space="preserve">Lūdzam skaidrot, kā projektā ir pārņemts Direktīvas nosacījums “šādu pienācīgu glabāšanas apstākļu uzraudzības līmenis atbilst attiecīgo šaujamieroču un munīcijas daudzumam un kategorijai”, norādot projekta vienības, kur minētais nosacījums ir pārņemts, vai arī nepieciešamības gadījumā precizējot projektu. </w:t>
            </w:r>
          </w:p>
          <w:p w:rsidR="00EF3252" w:rsidRPr="00137CB0" w:rsidRDefault="00EF3252" w:rsidP="000D6D5B">
            <w:pPr>
              <w:jc w:val="both"/>
              <w:rPr>
                <w:rFonts w:eastAsia="Calibri"/>
                <w:color w:val="FF0000"/>
                <w:lang w:eastAsia="en-US"/>
              </w:rPr>
            </w:pPr>
            <w:r w:rsidRPr="003A012B">
              <w:rPr>
                <w:rFonts w:eastAsia="Calibri"/>
                <w:lang w:eastAsia="en-US"/>
              </w:rPr>
              <w:t xml:space="preserve">Vienlaikus lūdzam izvērtēt nepieciešamību precizēt projekta 24. un 89 punktā precizēt jēdzienu “pienācīga uzraudzība”, papildinot to ar Direktīvā norādīto skaidrojumu - pienācīga uzraudzība nozīmē, ka personai, kura likumīgi glabā attiecīgo šaujamieroci vai munīciju, ir pār to </w:t>
            </w:r>
            <w:r w:rsidRPr="003A012B">
              <w:rPr>
                <w:rFonts w:eastAsia="Calibri"/>
                <w:lang w:eastAsia="en-US"/>
              </w:rPr>
              <w:lastRenderedPageBreak/>
              <w:t>kontrole to transportēšanas un lietošanas laikā.</w:t>
            </w: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3A012B" w:rsidRDefault="00EF3252" w:rsidP="000D6D5B">
            <w:pPr>
              <w:jc w:val="center"/>
              <w:rPr>
                <w:rFonts w:eastAsia="Calibri"/>
                <w:b/>
                <w:bCs/>
              </w:rPr>
            </w:pPr>
            <w:r w:rsidRPr="003A012B">
              <w:rPr>
                <w:rFonts w:eastAsia="Calibri"/>
                <w:b/>
                <w:bCs/>
              </w:rPr>
              <w:lastRenderedPageBreak/>
              <w:t>Ņemts vērā</w:t>
            </w:r>
          </w:p>
          <w:p w:rsidR="00EF3252" w:rsidRPr="00137CB0" w:rsidRDefault="00EF3252" w:rsidP="000D6D5B">
            <w:pPr>
              <w:spacing w:line="300" w:lineRule="atLeast"/>
              <w:ind w:left="-108"/>
              <w:jc w:val="both"/>
              <w:rPr>
                <w:color w:val="FF0000"/>
              </w:rPr>
            </w:pPr>
            <w:r w:rsidRPr="003A012B">
              <w:t xml:space="preserve">Projekta 24. </w:t>
            </w:r>
            <w:r>
              <w:t xml:space="preserve">(jaunais 20.punkts) </w:t>
            </w:r>
            <w:r w:rsidRPr="003A012B">
              <w:t xml:space="preserve">un 89.punktā noteiktais regulējums paliek nemainīgs, kā šobrīd spēkā esošajos </w:t>
            </w:r>
            <w:r w:rsidRPr="003A012B">
              <w:rPr>
                <w:lang w:eastAsia="ar-SA"/>
              </w:rPr>
              <w:t xml:space="preserve">Ministru kabineta 2011.gada 27.decembra noteikumos Nr.1001 </w:t>
            </w:r>
            <w:r w:rsidRPr="003A012B">
              <w:rPr>
                <w:bCs/>
              </w:rPr>
              <w:t>“Ieroču un munīcijas iegādāšanās, reģistrēšanas, uzskaites, glabāšanas, pārvadāšanas, pārsūtīšanas, nēsāšanas, realizēšanas un ieroču kolekciju glabāšanas noteikumi”.</w:t>
            </w:r>
          </w:p>
        </w:tc>
        <w:tc>
          <w:tcPr>
            <w:tcW w:w="0" w:type="auto"/>
            <w:tcBorders>
              <w:top w:val="single" w:sz="4" w:space="0" w:color="auto"/>
              <w:left w:val="single" w:sz="4" w:space="0" w:color="auto"/>
              <w:bottom w:val="single" w:sz="4" w:space="0" w:color="auto"/>
            </w:tcBorders>
          </w:tcPr>
          <w:p w:rsidR="00EF3252" w:rsidRPr="00853624" w:rsidRDefault="00EF3252" w:rsidP="000D6D5B">
            <w:pPr>
              <w:pBdr>
                <w:top w:val="nil"/>
                <w:left w:val="nil"/>
                <w:bottom w:val="nil"/>
                <w:right w:val="nil"/>
                <w:between w:val="nil"/>
              </w:pBdr>
              <w:shd w:val="clear" w:color="auto" w:fill="FFFFFF"/>
              <w:spacing w:after="160" w:line="259" w:lineRule="auto"/>
              <w:contextualSpacing/>
              <w:jc w:val="both"/>
              <w:rPr>
                <w:rFonts w:eastAsia="Arial"/>
              </w:rPr>
            </w:pPr>
            <w:r w:rsidRPr="00853624">
              <w:rPr>
                <w:rFonts w:eastAsia="Arial"/>
              </w:rPr>
              <w:t>“20. Šaujamieroci, tā maināmo būtisko sastāvdaļu, lielas enerģijas pneimatisko ieroci, šaujamieroča munīciju un ieroču sastāvdaļas ieroča glabāšanas vai nēsāšanas atļaujā norādītajā adresē glabā saskaņā ar Ieroču aprites likuma prasībām.”;</w:t>
            </w:r>
          </w:p>
          <w:p w:rsidR="00853624" w:rsidRPr="00853624" w:rsidRDefault="00EF3252" w:rsidP="00853624">
            <w:pPr>
              <w:numPr>
                <w:ilvl w:val="0"/>
                <w:numId w:val="1"/>
              </w:numPr>
              <w:pBdr>
                <w:top w:val="nil"/>
                <w:left w:val="nil"/>
                <w:bottom w:val="nil"/>
                <w:right w:val="nil"/>
                <w:between w:val="nil"/>
              </w:pBdr>
              <w:shd w:val="clear" w:color="auto" w:fill="FFFFFF"/>
              <w:spacing w:line="259" w:lineRule="auto"/>
              <w:contextualSpacing/>
              <w:jc w:val="both"/>
              <w:rPr>
                <w:rFonts w:eastAsia="Arial"/>
                <w:u w:val="single"/>
              </w:rPr>
            </w:pPr>
            <w:r w:rsidRPr="00853624">
              <w:rPr>
                <w:rFonts w:eastAsia="Arial"/>
              </w:rPr>
              <w:t xml:space="preserve">“89. Fiziskā persona, kurai izsniegts juridiskās personas šaujamierocis, tā maināmās būtiskās sastāvdaļas, šaujamieroča munīcija vai lielas enerģijas pneimatiskais ierocis, to pārvadā (pārnēsā) tikai uz </w:t>
            </w:r>
            <w:proofErr w:type="spellStart"/>
            <w:r w:rsidRPr="00853624">
              <w:rPr>
                <w:rFonts w:eastAsia="Arial"/>
              </w:rPr>
              <w:t>treniņšaušanas</w:t>
            </w:r>
            <w:proofErr w:type="spellEnd"/>
            <w:r w:rsidRPr="00853624">
              <w:rPr>
                <w:rFonts w:eastAsia="Arial"/>
              </w:rPr>
              <w:t xml:space="preserve"> (mācību šaušanas), sporta sacensību, medību, apsardzes komersanta vai iekšējās drošības dienesta darba pienākumu pildīšanas </w:t>
            </w:r>
            <w:r w:rsidRPr="00853624">
              <w:rPr>
                <w:rFonts w:eastAsia="Arial"/>
              </w:rPr>
              <w:lastRenderedPageBreak/>
              <w:t xml:space="preserve">vietu un no tās – uz ieroču glabātavu, kurā ierocis saņemts. Šaujamieroci, tā maināmās būtiskās sastāvdaļas, šaujamieroča munīciju vai lielas enerģijas pneimatisko ieroci pārvadā iesaiņotu (ievietotu futlārī vai cita veida ieroču somā vai citā speciālā iesaiņojumā), izlādētā veidā (bez šaujamieroča munīcijas patrontelpā un nepielādētu magazīnu vai no ieroča izņemtu pielādētu magazīnu), </w:t>
            </w:r>
            <w:bookmarkStart w:id="8" w:name="_GoBack"/>
            <w:r w:rsidR="00853624" w:rsidRPr="00853624">
              <w:rPr>
                <w:rFonts w:eastAsia="Arial"/>
                <w:u w:val="single"/>
              </w:rPr>
              <w:t>nodrošinot to pienācīgu uzraudzību un glabāšanu pārvadāšanas laikā</w:t>
            </w:r>
            <w:r w:rsidR="00853624" w:rsidRPr="00853624">
              <w:rPr>
                <w:u w:val="single"/>
              </w:rPr>
              <w:t xml:space="preserve">, kas nepieļauj nejaušu </w:t>
            </w:r>
            <w:r w:rsidR="00853624" w:rsidRPr="00853624">
              <w:rPr>
                <w:rFonts w:eastAsia="Arial"/>
                <w:u w:val="single"/>
              </w:rPr>
              <w:t>šaujamieroča, tā maināmo būtisko sastāvdaļu, šaujamieroča munīcijas vai lielas enerģijas pneimatiskā ieroča</w:t>
            </w:r>
            <w:r w:rsidR="00853624" w:rsidRPr="00853624">
              <w:rPr>
                <w:u w:val="single"/>
              </w:rPr>
              <w:t xml:space="preserve"> nokļūšanu nepiederošas personas rokās.</w:t>
            </w:r>
          </w:p>
          <w:bookmarkEnd w:id="8"/>
          <w:p w:rsidR="00EF3252" w:rsidRPr="00853624" w:rsidRDefault="00EF3252" w:rsidP="000D6D5B">
            <w:pPr>
              <w:pBdr>
                <w:top w:val="nil"/>
                <w:left w:val="nil"/>
                <w:bottom w:val="nil"/>
                <w:right w:val="nil"/>
                <w:between w:val="nil"/>
              </w:pBdr>
              <w:shd w:val="clear" w:color="auto" w:fill="FFFFFF"/>
              <w:spacing w:after="160" w:line="259" w:lineRule="auto"/>
              <w:contextualSpacing/>
              <w:jc w:val="both"/>
              <w:rPr>
                <w:rFonts w:eastAsia="Arial"/>
              </w:rPr>
            </w:pPr>
          </w:p>
          <w:p w:rsidR="00EF3252" w:rsidRPr="00853624" w:rsidRDefault="00EF3252" w:rsidP="000D6D5B">
            <w:pPr>
              <w:jc w:val="both"/>
              <w:rPr>
                <w:b/>
                <w:color w:val="FF0000"/>
              </w:rPr>
            </w:pPr>
          </w:p>
        </w:tc>
      </w:tr>
      <w:tr w:rsidR="00EF3252" w:rsidRPr="006E16B5"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Pr="00984E8E" w:rsidRDefault="00EF3252" w:rsidP="000D6D5B">
            <w:pPr>
              <w:pStyle w:val="naisc"/>
              <w:spacing w:before="0" w:after="0"/>
            </w:pPr>
            <w:r w:rsidRPr="00984E8E">
              <w:lastRenderedPageBreak/>
              <w:t>14.</w:t>
            </w:r>
          </w:p>
        </w:tc>
        <w:tc>
          <w:tcPr>
            <w:tcW w:w="0" w:type="auto"/>
            <w:gridSpan w:val="3"/>
            <w:tcBorders>
              <w:top w:val="single" w:sz="6" w:space="0" w:color="000000"/>
              <w:left w:val="single" w:sz="6" w:space="0" w:color="000000"/>
              <w:bottom w:val="single" w:sz="4" w:space="0" w:color="auto"/>
              <w:right w:val="single" w:sz="6" w:space="0" w:color="000000"/>
            </w:tcBorders>
          </w:tcPr>
          <w:p w:rsidR="00EF3252" w:rsidRPr="00984E8E" w:rsidRDefault="00EF3252" w:rsidP="000D6D5B">
            <w:pPr>
              <w:pStyle w:val="naisc"/>
              <w:spacing w:before="0" w:after="0"/>
              <w:ind w:firstLine="12"/>
              <w:jc w:val="both"/>
              <w:rPr>
                <w:b/>
              </w:rPr>
            </w:pPr>
          </w:p>
        </w:tc>
        <w:tc>
          <w:tcPr>
            <w:tcW w:w="0" w:type="auto"/>
            <w:tcBorders>
              <w:top w:val="single" w:sz="6" w:space="0" w:color="000000"/>
              <w:left w:val="single" w:sz="6" w:space="0" w:color="000000"/>
              <w:bottom w:val="single" w:sz="4" w:space="0" w:color="auto"/>
              <w:right w:val="single" w:sz="6" w:space="0" w:color="000000"/>
            </w:tcBorders>
            <w:vAlign w:val="center"/>
          </w:tcPr>
          <w:p w:rsidR="00EF3252" w:rsidRPr="001154B9" w:rsidRDefault="00EF3252" w:rsidP="000D6D5B">
            <w:pPr>
              <w:widowControl w:val="0"/>
              <w:jc w:val="center"/>
              <w:rPr>
                <w:rFonts w:eastAsia="Calibri"/>
                <w:b/>
                <w:szCs w:val="22"/>
                <w:lang w:eastAsia="en-US"/>
              </w:rPr>
            </w:pPr>
            <w:r w:rsidRPr="00BD13DA">
              <w:rPr>
                <w:rFonts w:eastAsia="Calibri"/>
                <w:b/>
                <w:szCs w:val="22"/>
                <w:lang w:eastAsia="en-US"/>
              </w:rPr>
              <w:t>Tieslietu ministrija (18.02.2019.)</w:t>
            </w:r>
          </w:p>
          <w:p w:rsidR="00EF3252" w:rsidRPr="00984E8E" w:rsidRDefault="00EF3252" w:rsidP="000D6D5B">
            <w:pPr>
              <w:jc w:val="both"/>
              <w:rPr>
                <w:rFonts w:eastAsia="Calibri"/>
                <w:lang w:eastAsia="en-US"/>
              </w:rPr>
            </w:pPr>
            <w:r w:rsidRPr="00984E8E">
              <w:rPr>
                <w:rFonts w:eastAsia="Calibri"/>
                <w:lang w:eastAsia="en-US"/>
              </w:rPr>
              <w:t>Lūdzam izvērtēt, vai projektā ir ieviests arī Direktīvas</w:t>
            </w:r>
            <w:r w:rsidRPr="00984E8E">
              <w:rPr>
                <w:rFonts w:eastAsia="Calibri"/>
              </w:rPr>
              <w:t xml:space="preserve"> </w:t>
            </w:r>
            <w:r w:rsidRPr="00984E8E">
              <w:rPr>
                <w:rFonts w:eastAsia="Calibri"/>
                <w:lang w:eastAsia="en-US"/>
              </w:rPr>
              <w:t xml:space="preserve">1. panta 6. punktā izteiktais Direktīvas 91/477/EEK 5. pants, piemēram, projekta 44.11. apakšpunktā, un attiecīgi precizēt projekta anotācijas V sadaļas 1. tabulu, norādot projekta vienības, kurās ir ieviests minētais Direktīvas 5. pants. </w:t>
            </w:r>
          </w:p>
          <w:p w:rsidR="00EF3252" w:rsidRPr="00984E8E" w:rsidRDefault="00EF3252" w:rsidP="000D6D5B">
            <w:pPr>
              <w:jc w:val="both"/>
              <w:rPr>
                <w:rFonts w:eastAsia="Calibri"/>
                <w:lang w:eastAsia="en-US"/>
              </w:rPr>
            </w:pPr>
            <w:r w:rsidRPr="00984E8E">
              <w:rPr>
                <w:rFonts w:eastAsia="Calibri"/>
                <w:lang w:eastAsia="en-US"/>
              </w:rPr>
              <w:t xml:space="preserve">Vienlaikus lūdzam precizēt minēto 1. tabulu, norādot konkrētus projekta punktus, kuros ir pārņemts Direktīvas 1. panta 6. punktā izteiktais Direktīvas 91/477/EEK 5. pants, ņemot vērā Ministru kabineta 2009. gada 15. decembra instrukcijas Nr. 19 “Tiesību akta projekta sākotnējās ietekmes izvērtēšanas kārtība” </w:t>
            </w:r>
            <w:r w:rsidRPr="00984E8E">
              <w:rPr>
                <w:rFonts w:eastAsia="Calibri"/>
                <w:lang w:eastAsia="en-US"/>
              </w:rPr>
              <w:lastRenderedPageBreak/>
              <w:t xml:space="preserve">(turpmāk - instrukcija) 56.1. un 56.2. apakšpunktam. </w:t>
            </w: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984E8E" w:rsidRDefault="00EF3252" w:rsidP="000D6D5B">
            <w:pPr>
              <w:jc w:val="center"/>
              <w:rPr>
                <w:rFonts w:eastAsia="Calibri"/>
                <w:b/>
                <w:bCs/>
              </w:rPr>
            </w:pPr>
            <w:r w:rsidRPr="00984E8E">
              <w:rPr>
                <w:rFonts w:eastAsia="Calibri"/>
                <w:b/>
                <w:bCs/>
              </w:rPr>
              <w:lastRenderedPageBreak/>
              <w:t>Ņemts vērā</w:t>
            </w:r>
          </w:p>
          <w:p w:rsidR="00EF3252" w:rsidRPr="00984E8E" w:rsidRDefault="00EF3252" w:rsidP="000D6D5B">
            <w:pPr>
              <w:jc w:val="both"/>
              <w:rPr>
                <w:rFonts w:eastAsia="Calibri"/>
                <w:lang w:eastAsia="en-US"/>
              </w:rPr>
            </w:pPr>
            <w:r w:rsidRPr="00984E8E">
              <w:rPr>
                <w:rFonts w:eastAsia="Calibri"/>
                <w:lang w:eastAsia="en-US"/>
              </w:rPr>
              <w:t>Norādām, ka papildināt projekta anotācijas V sadaļas 1. tabulu nav nepieciešams, jo Direktīvas</w:t>
            </w:r>
            <w:r w:rsidRPr="00984E8E">
              <w:rPr>
                <w:rFonts w:eastAsia="Calibri"/>
              </w:rPr>
              <w:t xml:space="preserve"> </w:t>
            </w:r>
            <w:r w:rsidRPr="00984E8E">
              <w:rPr>
                <w:rFonts w:eastAsia="Calibri"/>
                <w:lang w:eastAsia="en-US"/>
              </w:rPr>
              <w:t>1. panta 6. punktā izteiktais Direktīvas 91/477/EEK 5. pants ir pārņemts ar Ieroču aprites likumu, turklāt Direktīvas</w:t>
            </w:r>
            <w:r w:rsidRPr="00984E8E">
              <w:rPr>
                <w:rFonts w:eastAsia="Calibri"/>
              </w:rPr>
              <w:t xml:space="preserve"> </w:t>
            </w:r>
            <w:r w:rsidRPr="00984E8E">
              <w:rPr>
                <w:rFonts w:eastAsia="Calibri"/>
                <w:lang w:eastAsia="en-US"/>
              </w:rPr>
              <w:t xml:space="preserve">1. panta 6. punktā izteiktais Direktīvas 91/477/EEK 5. panta 1.punkta a) apakšpunkts attiecas uz šaujamieroču iegādi un glabāšanu, savukārt projekta 44.11.apakšpunkts paredz gadījumu, kurā ir atļauts </w:t>
            </w:r>
            <w:r w:rsidRPr="00984E8E">
              <w:rPr>
                <w:rFonts w:eastAsia="Calibri"/>
                <w:u w:val="single"/>
                <w:lang w:eastAsia="en-US"/>
              </w:rPr>
              <w:t>dot medību ieroci</w:t>
            </w:r>
            <w:r w:rsidRPr="00984E8E">
              <w:rPr>
                <w:rFonts w:eastAsia="Arial"/>
                <w:u w:val="single"/>
              </w:rPr>
              <w:t xml:space="preserve"> lietošanai medībās</w:t>
            </w:r>
            <w:r w:rsidRPr="00984E8E">
              <w:rPr>
                <w:rFonts w:eastAsia="Arial"/>
              </w:rPr>
              <w:t xml:space="preserve"> personai, kas sasniegusi 16 gadu vecumu, bet nav sasniegusi 18 gadu vecumu,</w:t>
            </w:r>
            <w:r w:rsidRPr="00984E8E">
              <w:rPr>
                <w:rFonts w:eastAsia="Calibri"/>
                <w:lang w:eastAsia="en-US"/>
              </w:rPr>
              <w:t xml:space="preserve"> </w:t>
            </w:r>
            <w:r w:rsidRPr="00984E8E">
              <w:rPr>
                <w:rFonts w:eastAsia="Arial"/>
              </w:rPr>
              <w:t>ja šaujamieroča lietošana notiek tā īpašnieka tiešā klātbūtnē.</w:t>
            </w:r>
          </w:p>
          <w:p w:rsidR="00EF3252" w:rsidRPr="00984E8E" w:rsidRDefault="00EF3252" w:rsidP="000D6D5B">
            <w:pPr>
              <w:jc w:val="both"/>
              <w:rPr>
                <w:rFonts w:eastAsia="Arial"/>
              </w:rPr>
            </w:pPr>
            <w:r w:rsidRPr="00984E8E">
              <w:rPr>
                <w:rFonts w:eastAsia="Arial"/>
              </w:rPr>
              <w:t xml:space="preserve">Norādām, ka projekta 44.11.apakšpunktā un 45.punktā noteiktais </w:t>
            </w:r>
            <w:r w:rsidRPr="00984E8E">
              <w:rPr>
                <w:rFonts w:eastAsia="Arial"/>
              </w:rPr>
              <w:lastRenderedPageBreak/>
              <w:t>regulējums nav ieviests ar Direktīvu.</w:t>
            </w:r>
          </w:p>
        </w:tc>
        <w:tc>
          <w:tcPr>
            <w:tcW w:w="0" w:type="auto"/>
            <w:tcBorders>
              <w:top w:val="single" w:sz="4" w:space="0" w:color="auto"/>
              <w:left w:val="single" w:sz="4" w:space="0" w:color="auto"/>
              <w:bottom w:val="single" w:sz="4" w:space="0" w:color="auto"/>
            </w:tcBorders>
          </w:tcPr>
          <w:p w:rsidR="00EF3252" w:rsidRPr="006E16B5" w:rsidRDefault="00EF3252" w:rsidP="000D6D5B">
            <w:pPr>
              <w:jc w:val="both"/>
              <w:rPr>
                <w:b/>
              </w:rPr>
            </w:pPr>
          </w:p>
        </w:tc>
      </w:tr>
      <w:tr w:rsidR="00EF3252" w:rsidRPr="006E16B5"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Pr="00880772" w:rsidRDefault="00EF3252" w:rsidP="000D6D5B">
            <w:pPr>
              <w:pStyle w:val="naisc"/>
              <w:spacing w:before="0" w:after="0"/>
            </w:pPr>
            <w:r w:rsidRPr="00880772">
              <w:t>15.</w:t>
            </w:r>
          </w:p>
        </w:tc>
        <w:tc>
          <w:tcPr>
            <w:tcW w:w="0" w:type="auto"/>
            <w:gridSpan w:val="3"/>
            <w:tcBorders>
              <w:top w:val="single" w:sz="6" w:space="0" w:color="000000"/>
              <w:left w:val="single" w:sz="6" w:space="0" w:color="000000"/>
              <w:bottom w:val="single" w:sz="4" w:space="0" w:color="auto"/>
              <w:right w:val="single" w:sz="6" w:space="0" w:color="000000"/>
            </w:tcBorders>
          </w:tcPr>
          <w:p w:rsidR="00EF3252" w:rsidRPr="00880772" w:rsidRDefault="00EF3252" w:rsidP="000D6D5B">
            <w:pPr>
              <w:pBdr>
                <w:top w:val="nil"/>
                <w:left w:val="nil"/>
                <w:bottom w:val="nil"/>
                <w:right w:val="nil"/>
                <w:between w:val="nil"/>
              </w:pBdr>
              <w:shd w:val="clear" w:color="auto" w:fill="FFFFFF"/>
              <w:contextualSpacing/>
              <w:jc w:val="both"/>
              <w:rPr>
                <w:rFonts w:eastAsia="Arial"/>
              </w:rPr>
            </w:pPr>
            <w:r w:rsidRPr="00880772">
              <w:rPr>
                <w:rFonts w:eastAsia="Arial"/>
              </w:rPr>
              <w:t>“44.11. medību norises vietā personai, kas sasniegusi 16 gadu vecumu, bet nav sasniegusi 18 gadu vecumu un saņēmusi attiecīgu atļauju, - medību ieroča lietošanai medībās, ja šaujamieroča lietošana notiek tā īpašnieka tiešā klātbūtnē. Medību pārskatā norāda abu personu vārdu, uzvārdu un ieroča īpašnieka medību šaujamieroča numuru un glabāšanas atļaujas numuru;”;</w:t>
            </w:r>
          </w:p>
          <w:p w:rsidR="00EF3252" w:rsidRPr="00880772" w:rsidRDefault="00EF3252" w:rsidP="000D6D5B">
            <w:pPr>
              <w:pBdr>
                <w:top w:val="nil"/>
                <w:left w:val="nil"/>
                <w:bottom w:val="nil"/>
                <w:right w:val="nil"/>
                <w:between w:val="nil"/>
              </w:pBdr>
              <w:shd w:val="clear" w:color="auto" w:fill="FFFFFF"/>
              <w:contextualSpacing/>
              <w:jc w:val="both"/>
              <w:rPr>
                <w:rFonts w:eastAsia="Arial"/>
              </w:rPr>
            </w:pPr>
          </w:p>
          <w:p w:rsidR="00EF3252" w:rsidRPr="00880772" w:rsidRDefault="00EF3252" w:rsidP="000D6D5B">
            <w:pPr>
              <w:pBdr>
                <w:top w:val="nil"/>
                <w:left w:val="nil"/>
                <w:bottom w:val="nil"/>
                <w:right w:val="nil"/>
                <w:between w:val="nil"/>
              </w:pBdr>
              <w:shd w:val="clear" w:color="auto" w:fill="FFFFFF"/>
              <w:contextualSpacing/>
              <w:jc w:val="both"/>
              <w:rPr>
                <w:rFonts w:eastAsia="Arial"/>
              </w:rPr>
            </w:pPr>
            <w:r w:rsidRPr="00880772">
              <w:rPr>
                <w:rFonts w:eastAsia="Arial"/>
              </w:rPr>
              <w:t>“45. Šaujamieroča vai lielas enerģijas pneimatiskā ieroča īpašnieks, šo noteikumu </w:t>
            </w:r>
            <w:hyperlink r:id="rId15" w:anchor="p55">
              <w:r w:rsidRPr="00880772">
                <w:rPr>
                  <w:rFonts w:eastAsia="Arial"/>
                </w:rPr>
                <w:t>44.punktā</w:t>
              </w:r>
            </w:hyperlink>
            <w:r w:rsidRPr="00880772">
              <w:rPr>
                <w:rFonts w:eastAsia="Arial"/>
              </w:rPr>
              <w:t xml:space="preserve"> minētajos gadījumos dodot ieroci citai fiziskai personai, ievēro drošības prasības (izlādētā veidā, patrona neatrodas patrontelpā, nolaižamā </w:t>
            </w:r>
            <w:proofErr w:type="spellStart"/>
            <w:r w:rsidRPr="00880772">
              <w:rPr>
                <w:rFonts w:eastAsia="Arial"/>
              </w:rPr>
              <w:t>belzējierīce</w:t>
            </w:r>
            <w:proofErr w:type="spellEnd"/>
            <w:r w:rsidRPr="00880772">
              <w:rPr>
                <w:rFonts w:eastAsia="Arial"/>
              </w:rPr>
              <w:t xml:space="preserve"> ir nolaistā stāvoklī, drošinātājs (ja tāds ir) ir ieslēgts), lai nenotiktu neparedzēts šāviens un netiktu nodarīts kaitējums sev, citām personām vai mantai. Persona, kas sasniegusi 16 gadu vecumu, bet nav sasniegusi 18 gadu vecumu, medību norises vietā šāvienu izdara tikai pēc ieroča īpašnieka norādījuma saņemšanas.”</w:t>
            </w:r>
          </w:p>
        </w:tc>
        <w:tc>
          <w:tcPr>
            <w:tcW w:w="0" w:type="auto"/>
            <w:tcBorders>
              <w:top w:val="single" w:sz="6" w:space="0" w:color="000000"/>
              <w:left w:val="single" w:sz="6" w:space="0" w:color="000000"/>
              <w:bottom w:val="single" w:sz="4" w:space="0" w:color="auto"/>
              <w:right w:val="single" w:sz="6" w:space="0" w:color="000000"/>
            </w:tcBorders>
          </w:tcPr>
          <w:p w:rsidR="00EF3252" w:rsidRPr="001154B9" w:rsidRDefault="00EF3252" w:rsidP="000D6D5B">
            <w:pPr>
              <w:widowControl w:val="0"/>
              <w:jc w:val="center"/>
              <w:rPr>
                <w:rFonts w:eastAsia="Calibri"/>
                <w:b/>
                <w:szCs w:val="22"/>
                <w:lang w:eastAsia="en-US"/>
              </w:rPr>
            </w:pPr>
            <w:r w:rsidRPr="00BD13DA">
              <w:rPr>
                <w:rFonts w:eastAsia="Calibri"/>
                <w:b/>
                <w:szCs w:val="22"/>
                <w:lang w:eastAsia="en-US"/>
              </w:rPr>
              <w:t>Tieslietu ministrija (18.02.2019.)</w:t>
            </w:r>
          </w:p>
          <w:p w:rsidR="00EF3252" w:rsidRPr="009C167D" w:rsidRDefault="00EF3252" w:rsidP="000D6D5B">
            <w:pPr>
              <w:widowControl w:val="0"/>
              <w:jc w:val="both"/>
              <w:rPr>
                <w:rFonts w:eastAsia="Calibri"/>
                <w:lang w:eastAsia="en-US"/>
              </w:rPr>
            </w:pPr>
            <w:r w:rsidRPr="00880772">
              <w:rPr>
                <w:rFonts w:eastAsia="Calibri"/>
                <w:lang w:eastAsia="en-US"/>
              </w:rPr>
              <w:t>Lūdzam izvērtēt un skaidrot projekta 44.11. apakšpunkta un 45. punkta pēdējā teikuma nepieciešamību un tiesisko pamatotību, kā arī skaidrot, vai minētie projekta punktu nosacījumi izriet no Direktīvas un attiecīgi nepieciešamības gadījumā precizēt projekta anotācijas V sadaļas 1. tabulu.</w:t>
            </w: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564173" w:rsidRDefault="00EF3252" w:rsidP="000D6D5B">
            <w:pPr>
              <w:jc w:val="center"/>
              <w:rPr>
                <w:rFonts w:eastAsia="Calibri"/>
                <w:b/>
                <w:bCs/>
              </w:rPr>
            </w:pPr>
            <w:r w:rsidRPr="00564173">
              <w:rPr>
                <w:rFonts w:eastAsia="Calibri"/>
                <w:b/>
                <w:bCs/>
              </w:rPr>
              <w:t>Ņemts vērā</w:t>
            </w:r>
          </w:p>
          <w:p w:rsidR="00EF3252" w:rsidRPr="00564173" w:rsidRDefault="00EF3252" w:rsidP="000D6D5B">
            <w:pPr>
              <w:suppressAutoHyphens/>
              <w:jc w:val="both"/>
            </w:pPr>
            <w:r w:rsidRPr="00564173">
              <w:t xml:space="preserve">Ieroču aprites likuma 14.pants nosaka </w:t>
            </w:r>
            <w:r w:rsidRPr="00564173">
              <w:rPr>
                <w:bCs/>
              </w:rPr>
              <w:t>fiziskās personas, kurām ir tiesības iegādāties, glabāt, nēsāt un pārvadāt ieročus, to sastāvdaļas un tiem paredzēto munīciju, kā arī speciālos līdzekļus.</w:t>
            </w:r>
          </w:p>
          <w:p w:rsidR="00EF3252" w:rsidRPr="00564173" w:rsidRDefault="00EF3252" w:rsidP="000D6D5B">
            <w:pPr>
              <w:suppressAutoHyphens/>
              <w:ind w:firstLine="275"/>
              <w:jc w:val="both"/>
            </w:pPr>
            <w:r w:rsidRPr="00564173">
              <w:t>Ieroču aprites likuma 14.panta otrā daļa nosaka, ka fiziskajai personai, kura sasniegusi 16 gadu vecumu, bet nav sasniegusi 18 gadu vecumu, kurai ir Valsts meža dienesta izsniegta mednieka apliecība un uz kuru neattiecas šajā likumā minētie aizliegumi, ar vecāku vai likumisko pārstāvju rakstveida piekrišanu un Valsts policijas atļauju ieroča īpašnieka tiešā klātbūtnē ir tiesības individuālajās medībās izmantot medībām klasificētu ieroci (izņemot vītņstobra ieroci).</w:t>
            </w:r>
            <w:r w:rsidRPr="00564173">
              <w:rPr>
                <w:color w:val="FF0000"/>
              </w:rPr>
              <w:t xml:space="preserve"> </w:t>
            </w:r>
            <w:r w:rsidRPr="00564173">
              <w:t xml:space="preserve">Par drošības prasību un </w:t>
            </w:r>
            <w:r w:rsidRPr="00564173">
              <w:lastRenderedPageBreak/>
              <w:t>medības reglamentējošo normatīvo aktu prasību ievērošanu ir atbildīgs ieroča īpašnieks.</w:t>
            </w:r>
          </w:p>
          <w:p w:rsidR="00EF3252" w:rsidRPr="00564173" w:rsidRDefault="00EF3252" w:rsidP="000D6D5B">
            <w:pPr>
              <w:suppressAutoHyphens/>
              <w:ind w:firstLine="275"/>
              <w:jc w:val="both"/>
              <w:rPr>
                <w:rFonts w:eastAsia="Arial"/>
              </w:rPr>
            </w:pPr>
            <w:r w:rsidRPr="00564173">
              <w:t xml:space="preserve">Ņemot vērā minēto, projekta 44.11.apakšpunkts </w:t>
            </w:r>
            <w:r>
              <w:t xml:space="preserve"> (jaunais 41.11.) </w:t>
            </w:r>
            <w:r w:rsidRPr="00564173">
              <w:t xml:space="preserve">nosaka, ka </w:t>
            </w:r>
            <w:r w:rsidRPr="00564173">
              <w:rPr>
                <w:rFonts w:eastAsia="Arial"/>
              </w:rPr>
              <w:t xml:space="preserve">šaujamieroča vai lielas enerģijas pneimatiskā ieroča īpašniekam, kuram ir ieroča glabāšanas vai nēsāšanas atļauja, aizliegts bez Valsts policijas struktūrvienības atļaujas dot ieroci citai fiziskajai personai, izņemot gadījumus, ja ieroci dod individuālo medību norises vietā personai, kas sasniegusi 16 gadu vecumu, bet nav sasniegusi 18 gadu vecumu, ievērojot Ieroču aprites likumā noteiktās prasības, - medību ieroča lietošanai medībās, ja šaujamieroča lietošana notiek tā īpašnieka tiešā klātbūtnē. Medību pārskatā norāda abu personu vārdu, uzvārdu un ieroča īpašnieka medību šaujamieroča numuru un </w:t>
            </w:r>
            <w:r w:rsidRPr="00564173">
              <w:rPr>
                <w:rFonts w:eastAsia="Arial"/>
              </w:rPr>
              <w:lastRenderedPageBreak/>
              <w:t>glabāšanas atļaujas numuru.</w:t>
            </w:r>
          </w:p>
          <w:p w:rsidR="00EF3252" w:rsidRPr="006E16B5" w:rsidRDefault="00EF3252" w:rsidP="000D6D5B">
            <w:pPr>
              <w:jc w:val="both"/>
              <w:rPr>
                <w:rFonts w:eastAsia="Calibri"/>
                <w:b/>
                <w:bCs/>
              </w:rPr>
            </w:pPr>
            <w:r w:rsidRPr="00564173">
              <w:rPr>
                <w:rFonts w:eastAsia="Arial"/>
              </w:rPr>
              <w:t>Ņemot vērā minēto, norādām, ka minētajos punktos noteiktais regulējums nav ieviests ar Direktīvu.</w:t>
            </w:r>
          </w:p>
        </w:tc>
        <w:tc>
          <w:tcPr>
            <w:tcW w:w="0" w:type="auto"/>
            <w:tcBorders>
              <w:top w:val="single" w:sz="4" w:space="0" w:color="auto"/>
              <w:left w:val="single" w:sz="4" w:space="0" w:color="auto"/>
              <w:bottom w:val="single" w:sz="4" w:space="0" w:color="auto"/>
            </w:tcBorders>
          </w:tcPr>
          <w:p w:rsidR="00EF3252" w:rsidRPr="001549B0" w:rsidRDefault="00EF3252" w:rsidP="000D6D5B">
            <w:pPr>
              <w:pBdr>
                <w:top w:val="nil"/>
                <w:left w:val="nil"/>
                <w:bottom w:val="nil"/>
                <w:right w:val="nil"/>
                <w:between w:val="nil"/>
              </w:pBdr>
              <w:shd w:val="clear" w:color="auto" w:fill="FFFFFF"/>
              <w:spacing w:line="259" w:lineRule="auto"/>
              <w:contextualSpacing/>
              <w:jc w:val="both"/>
              <w:rPr>
                <w:rFonts w:eastAsia="Arial"/>
              </w:rPr>
            </w:pPr>
            <w:r w:rsidRPr="001549B0">
              <w:rPr>
                <w:rFonts w:eastAsia="Arial"/>
              </w:rPr>
              <w:lastRenderedPageBreak/>
              <w:t>“</w:t>
            </w:r>
            <w:r>
              <w:rPr>
                <w:rFonts w:eastAsia="Arial"/>
              </w:rPr>
              <w:t>41</w:t>
            </w:r>
            <w:r w:rsidRPr="00A03F60">
              <w:rPr>
                <w:rFonts w:eastAsia="Arial"/>
              </w:rPr>
              <w:t>.11. individuālo medību norises vietā personai, kas sasniegusi 16 gadu vecumu, bet nav sasniegusi 18 gadu vecumu, ievērojot Ieroču aprites likumā noteiktās prasības, - medību ieroča lietošanai medībās, ja šaujamieroča lietošana notiek tā īpašnieka tiešā klātbūtnē. Medību pārskatā norāda abu personu vārdu, uzvārdu un medību šaujamieroča numuru un abām personām izsniegto atļauju numurus;”;</w:t>
            </w:r>
          </w:p>
          <w:p w:rsidR="00EF3252" w:rsidRPr="001549B0" w:rsidRDefault="00EF3252" w:rsidP="000D6D5B">
            <w:pPr>
              <w:pBdr>
                <w:top w:val="nil"/>
                <w:left w:val="nil"/>
                <w:bottom w:val="nil"/>
                <w:right w:val="nil"/>
                <w:between w:val="nil"/>
              </w:pBdr>
              <w:shd w:val="clear" w:color="auto" w:fill="FFFFFF"/>
              <w:spacing w:line="259" w:lineRule="auto"/>
              <w:contextualSpacing/>
              <w:jc w:val="both"/>
              <w:rPr>
                <w:rFonts w:eastAsia="Arial"/>
              </w:rPr>
            </w:pPr>
            <w:r w:rsidRPr="001549B0">
              <w:rPr>
                <w:rFonts w:eastAsia="Arial"/>
              </w:rPr>
              <w:t>“4</w:t>
            </w:r>
            <w:r>
              <w:rPr>
                <w:rFonts w:eastAsia="Arial"/>
              </w:rPr>
              <w:t>2</w:t>
            </w:r>
            <w:r w:rsidRPr="001549B0">
              <w:rPr>
                <w:rFonts w:eastAsia="Arial"/>
              </w:rPr>
              <w:t>. Šaujamieroča vai lielas enerģijas pneimatiskā ieroča īpašnieks</w:t>
            </w:r>
            <w:r w:rsidRPr="00136B48">
              <w:rPr>
                <w:rFonts w:eastAsia="Arial"/>
              </w:rPr>
              <w:t>, šo noteikumu </w:t>
            </w:r>
            <w:hyperlink r:id="rId16" w:anchor="p55">
              <w:r w:rsidRPr="00136B48">
                <w:rPr>
                  <w:rFonts w:eastAsia="Arial"/>
                </w:rPr>
                <w:t>41.punktā</w:t>
              </w:r>
            </w:hyperlink>
            <w:r w:rsidRPr="00136B48">
              <w:rPr>
                <w:rFonts w:eastAsia="Arial"/>
              </w:rPr>
              <w:t> minētajos gadījumos dodot ieroci citai fiziskai personai, ievēro drošības prasības (izlādētā veidā,</w:t>
            </w:r>
            <w:r w:rsidRPr="001549B0">
              <w:rPr>
                <w:rFonts w:eastAsia="Arial"/>
              </w:rPr>
              <w:t xml:space="preserve"> patrona neatrodas patrontelpā, nolaižamā </w:t>
            </w:r>
            <w:proofErr w:type="spellStart"/>
            <w:r w:rsidRPr="001549B0">
              <w:rPr>
                <w:rFonts w:eastAsia="Arial"/>
              </w:rPr>
              <w:t>belzējierīce</w:t>
            </w:r>
            <w:proofErr w:type="spellEnd"/>
            <w:r w:rsidRPr="001549B0">
              <w:rPr>
                <w:rFonts w:eastAsia="Arial"/>
              </w:rPr>
              <w:t xml:space="preserve"> ir nolaistā stāvoklī, drošinātājs (ja tāds ir) ir ieslēgts), lai nenotiktu neparedzēts šāviens un netiktu nodarīts kaitējums sev, citām personām vai mantai. </w:t>
            </w:r>
          </w:p>
          <w:p w:rsidR="00EF3252" w:rsidRPr="001549B0" w:rsidRDefault="00EF3252" w:rsidP="000D6D5B">
            <w:pPr>
              <w:pBdr>
                <w:top w:val="nil"/>
                <w:left w:val="nil"/>
                <w:bottom w:val="nil"/>
                <w:right w:val="nil"/>
                <w:between w:val="nil"/>
              </w:pBdr>
              <w:shd w:val="clear" w:color="auto" w:fill="FFFFFF"/>
              <w:spacing w:line="259" w:lineRule="auto"/>
              <w:contextualSpacing/>
              <w:jc w:val="both"/>
            </w:pPr>
          </w:p>
          <w:p w:rsidR="00EF3252" w:rsidRPr="006E16B5" w:rsidRDefault="00EF3252" w:rsidP="000D6D5B">
            <w:pPr>
              <w:pStyle w:val="tv213"/>
              <w:shd w:val="clear" w:color="auto" w:fill="FFFFFF"/>
              <w:spacing w:before="0" w:beforeAutospacing="0" w:after="0" w:afterAutospacing="0"/>
              <w:jc w:val="both"/>
            </w:pPr>
            <w:r w:rsidRPr="001549B0">
              <w:t xml:space="preserve">Papildināts projekta anotācijas </w:t>
            </w:r>
            <w:proofErr w:type="spellStart"/>
            <w:r w:rsidRPr="001549B0">
              <w:t>I.sadaļas</w:t>
            </w:r>
            <w:proofErr w:type="spellEnd"/>
            <w:r w:rsidRPr="001549B0">
              <w:t xml:space="preserve"> 2.punkts.</w:t>
            </w:r>
          </w:p>
          <w:p w:rsidR="00EF3252" w:rsidRDefault="00EF3252" w:rsidP="000D6D5B">
            <w:pPr>
              <w:pBdr>
                <w:top w:val="nil"/>
                <w:left w:val="nil"/>
                <w:bottom w:val="nil"/>
                <w:right w:val="nil"/>
                <w:between w:val="nil"/>
              </w:pBdr>
              <w:shd w:val="clear" w:color="auto" w:fill="FFFFFF"/>
              <w:spacing w:line="259" w:lineRule="auto"/>
              <w:contextualSpacing/>
              <w:jc w:val="both"/>
            </w:pPr>
          </w:p>
        </w:tc>
      </w:tr>
      <w:tr w:rsidR="00EF3252" w:rsidRPr="00E6669D"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Pr="00E6669D" w:rsidRDefault="00EF3252" w:rsidP="000D6D5B">
            <w:pPr>
              <w:pStyle w:val="naisc"/>
              <w:spacing w:before="0" w:after="0"/>
            </w:pPr>
            <w:r w:rsidRPr="00E6669D">
              <w:lastRenderedPageBreak/>
              <w:t>16.</w:t>
            </w:r>
          </w:p>
        </w:tc>
        <w:tc>
          <w:tcPr>
            <w:tcW w:w="0" w:type="auto"/>
            <w:gridSpan w:val="3"/>
            <w:tcBorders>
              <w:top w:val="single" w:sz="6" w:space="0" w:color="000000"/>
              <w:left w:val="single" w:sz="6" w:space="0" w:color="000000"/>
              <w:bottom w:val="single" w:sz="4" w:space="0" w:color="auto"/>
              <w:right w:val="single" w:sz="6" w:space="0" w:color="000000"/>
            </w:tcBorders>
          </w:tcPr>
          <w:p w:rsidR="00EF3252" w:rsidRPr="00E6669D" w:rsidRDefault="00EF3252" w:rsidP="000D6D5B">
            <w:pPr>
              <w:shd w:val="clear" w:color="auto" w:fill="FFFFFF"/>
              <w:spacing w:after="160" w:line="256" w:lineRule="auto"/>
              <w:contextualSpacing/>
              <w:jc w:val="both"/>
              <w:rPr>
                <w:rFonts w:eastAsia="Arial"/>
              </w:rPr>
            </w:pPr>
            <w:r w:rsidRPr="00E6669D">
              <w:rPr>
                <w:rFonts w:eastAsia="Arial"/>
              </w:rPr>
              <w:t>24. Šaujamieroci, tā maināmo būtisko sastāvdaļu, lielas enerģijas pneimatisko ieroci, šaujamieroča munīciju un ieroču sastāvdaļas ieroča glabāšanas vai nēsāšanas atļaujā norādītajā adresē glabā saskaņā ar Ieroču aprites likuma prasībām.</w:t>
            </w:r>
          </w:p>
          <w:p w:rsidR="00EF3252" w:rsidRPr="00E6669D" w:rsidRDefault="00EF3252" w:rsidP="000D6D5B">
            <w:pPr>
              <w:shd w:val="clear" w:color="auto" w:fill="FFFFFF"/>
              <w:spacing w:after="160" w:line="256" w:lineRule="auto"/>
              <w:contextualSpacing/>
              <w:jc w:val="both"/>
              <w:rPr>
                <w:rFonts w:eastAsia="Arial"/>
              </w:rPr>
            </w:pPr>
            <w:r w:rsidRPr="00E6669D">
              <w:rPr>
                <w:rFonts w:eastAsia="Arial"/>
              </w:rPr>
              <w:t xml:space="preserve">89. Fiziskā persona, kurai izsniegts juridiskās personas šaujamierocis, tā maināmās būtiskās sastāvdaļas, šaujamieroča munīcija vai lielas enerģijas pneimatiskais ierocis, to pārvadā (pārnēsā) tikai uz </w:t>
            </w:r>
            <w:proofErr w:type="spellStart"/>
            <w:r w:rsidRPr="00E6669D">
              <w:rPr>
                <w:rFonts w:eastAsia="Arial"/>
              </w:rPr>
              <w:t>treniņšaušanas</w:t>
            </w:r>
            <w:proofErr w:type="spellEnd"/>
            <w:r w:rsidRPr="00E6669D">
              <w:rPr>
                <w:rFonts w:eastAsia="Arial"/>
              </w:rPr>
              <w:t xml:space="preserve"> (mācību šaušanas), sporta sacensību, medību, apsardzes komersanta vai iekšējās drošības dienesta darba pienākumu pildīšanas vietu un no tās – uz ieroču glabātavu, kurā ierocis saņemts. Šaujamieroci, tā maināmās būtiskās sastāvdaļas, šaujamieroča munīciju vai lielas enerģijas pneimatisko ieroci pārvadā iesaiņotu (ievietotu futlārī </w:t>
            </w:r>
            <w:r w:rsidRPr="00E6669D">
              <w:rPr>
                <w:rFonts w:eastAsia="Arial"/>
              </w:rPr>
              <w:lastRenderedPageBreak/>
              <w:t xml:space="preserve">vai cita veida ieroču somā vai citā speciālā iesaiņojumā), izlādētā veidā (bez šaujamieroča munīcijas patrontelpā un nepielādētu magazīnu vai no ieroča izņemtu pielādētu magazīnu), nodrošinot </w:t>
            </w:r>
            <w:r w:rsidRPr="00E6669D">
              <w:rPr>
                <w:rFonts w:eastAsia="Calibri"/>
              </w:rPr>
              <w:t>tādus pārvadāšanas apstākļus, kas nepieļauj nejaušu ieroča un munīcijas nokļūšanu nepiederošas personas rokās.</w:t>
            </w:r>
          </w:p>
          <w:p w:rsidR="00EF3252" w:rsidRPr="00E6669D" w:rsidRDefault="00EF3252" w:rsidP="000D6D5B">
            <w:pPr>
              <w:pBdr>
                <w:top w:val="nil"/>
                <w:left w:val="nil"/>
                <w:bottom w:val="nil"/>
                <w:right w:val="nil"/>
                <w:between w:val="nil"/>
              </w:pBdr>
              <w:shd w:val="clear" w:color="auto" w:fill="FFFFFF"/>
              <w:contextualSpacing/>
              <w:jc w:val="both"/>
              <w:rPr>
                <w:rFonts w:eastAsia="Arial"/>
              </w:rPr>
            </w:pPr>
          </w:p>
        </w:tc>
        <w:tc>
          <w:tcPr>
            <w:tcW w:w="0" w:type="auto"/>
            <w:tcBorders>
              <w:top w:val="single" w:sz="6" w:space="0" w:color="000000"/>
              <w:left w:val="single" w:sz="6" w:space="0" w:color="000000"/>
              <w:bottom w:val="single" w:sz="4" w:space="0" w:color="auto"/>
              <w:right w:val="single" w:sz="6" w:space="0" w:color="000000"/>
            </w:tcBorders>
          </w:tcPr>
          <w:p w:rsidR="00EF3252" w:rsidRPr="00E6669D" w:rsidRDefault="00EF3252" w:rsidP="000D6D5B">
            <w:pPr>
              <w:widowControl w:val="0"/>
              <w:jc w:val="center"/>
              <w:rPr>
                <w:rFonts w:eastAsia="Calibri"/>
                <w:b/>
                <w:szCs w:val="22"/>
                <w:lang w:eastAsia="en-US"/>
              </w:rPr>
            </w:pPr>
            <w:r w:rsidRPr="00E6669D">
              <w:rPr>
                <w:rFonts w:eastAsia="Calibri"/>
                <w:b/>
                <w:szCs w:val="22"/>
                <w:lang w:eastAsia="en-US"/>
              </w:rPr>
              <w:lastRenderedPageBreak/>
              <w:t>Tieslietu ministrija (30.04.2019.)</w:t>
            </w:r>
          </w:p>
          <w:p w:rsidR="00EF3252" w:rsidRPr="00E6669D" w:rsidRDefault="00EF3252" w:rsidP="000D6D5B">
            <w:pPr>
              <w:spacing w:before="100" w:beforeAutospacing="1" w:after="100" w:afterAutospacing="1"/>
              <w:jc w:val="both"/>
            </w:pPr>
            <w:r w:rsidRPr="00E6669D">
              <w:t>Lūdzam atkārtoti izvērtēt un nepieciešamības gadījumā saglabāt projekta 24. un 89. punktā norādi "nodrošinot to pienācīgu uzraudzību un glabāšanu". Pašlaik izziņas 13. punktā nav sniegts  pietiekošs pamatojums, kādēļ minētā norāde ir svītrota.</w:t>
            </w:r>
          </w:p>
          <w:p w:rsidR="00EF3252" w:rsidRPr="00E6669D" w:rsidRDefault="00EF3252" w:rsidP="000D6D5B">
            <w:pPr>
              <w:widowControl w:val="0"/>
              <w:jc w:val="center"/>
              <w:rPr>
                <w:rFonts w:eastAsia="Calibri"/>
                <w:b/>
                <w:szCs w:val="22"/>
                <w:lang w:eastAsia="en-US"/>
              </w:rPr>
            </w:pPr>
          </w:p>
          <w:p w:rsidR="00EF3252" w:rsidRPr="00E6669D" w:rsidRDefault="00EF3252" w:rsidP="000D6D5B">
            <w:pPr>
              <w:widowControl w:val="0"/>
              <w:jc w:val="center"/>
              <w:rPr>
                <w:rFonts w:eastAsia="Calibri"/>
                <w:b/>
                <w:szCs w:val="22"/>
                <w:lang w:eastAsia="en-US"/>
              </w:rPr>
            </w:pP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E6669D" w:rsidRDefault="00EF3252" w:rsidP="000D6D5B">
            <w:pPr>
              <w:jc w:val="center"/>
              <w:rPr>
                <w:rFonts w:eastAsia="Calibri"/>
                <w:b/>
                <w:bCs/>
              </w:rPr>
            </w:pPr>
            <w:r w:rsidRPr="00E6669D">
              <w:rPr>
                <w:rFonts w:eastAsia="Calibri"/>
                <w:b/>
                <w:bCs/>
              </w:rPr>
              <w:t>Ņemts vērā</w:t>
            </w:r>
          </w:p>
          <w:p w:rsidR="00EF3252" w:rsidRPr="00E6669D" w:rsidRDefault="00EF3252" w:rsidP="000D6D5B">
            <w:pPr>
              <w:pStyle w:val="NormalWeb"/>
              <w:jc w:val="both"/>
            </w:pPr>
            <w:r w:rsidRPr="00E6669D">
              <w:t>Direktīva</w:t>
            </w:r>
            <w:r w:rsidR="008227F5" w:rsidRPr="00E6669D">
              <w:t>s</w:t>
            </w:r>
            <w:r w:rsidRPr="00E6669D">
              <w:t xml:space="preserve"> (ES) 2017/853 1.pantā ietverta 5.a panta vadlīnija, piedāvājot veidot pienācīgu glabāšanas apstākļu uzraudzības sistēmu, balstoties uz attiecīgo šaujamieroču un munīcijas daudzumu un kategoriju ir saistīta ar to, ka Direktīva (ES) 2017/853 paredz, ka A kategorijas ieroči ir aizliegti (izņemot A6 un A7 apakšgrupas šaujamieročus, kas var būt pēc dalībvalsts rīcības brīvības atļauti sportistiem, izsniedzot ieroču atļaujas), B kategorijas ieročiem arī ir paredzēts izsniegt ieroču atļaujas, bet C kategorijas ieročiem var neizsniegt </w:t>
            </w:r>
            <w:r w:rsidRPr="00E6669D">
              <w:lastRenderedPageBreak/>
              <w:t xml:space="preserve">ieroču atļaujas, bet tās tikai reģistrēt un izsekot. </w:t>
            </w:r>
          </w:p>
          <w:p w:rsidR="00EF3252" w:rsidRPr="00E6669D" w:rsidRDefault="00EF3252" w:rsidP="000D6D5B">
            <w:pPr>
              <w:pStyle w:val="NormalWeb"/>
              <w:jc w:val="both"/>
            </w:pPr>
            <w:r w:rsidRPr="00E6669D">
              <w:t>Pārņemot Direktīvas (ES) 2017/853 prasības Ieroču aprites likumā tika izmantota iespēja noteikt stingrākās prasības, nosakot, ka A, B un C kategorijas šaujamieročiem, kas ir paredzēti civilajām vajadzībām, ir nepieciešams saņemt ieroču atļaujas.</w:t>
            </w:r>
          </w:p>
          <w:p w:rsidR="00EF3252" w:rsidRPr="00E6669D" w:rsidRDefault="00EF3252" w:rsidP="000D6D5B">
            <w:pPr>
              <w:pStyle w:val="NormalWeb"/>
              <w:jc w:val="both"/>
            </w:pPr>
            <w:r w:rsidRPr="00E6669D">
              <w:t xml:space="preserve"> Ņemot vērā minēto, Noteikumu projektā tiek izvirzītas vienādi augstas drošības prasības šaujamieroču un šaujamieroču munīcijas glabāšanai un netiek izmantota diferencēta pieeja, vadoties no šaujamieroča vai munīcijas piederībai kādai no Direktīvā (ES) 2017/853 esošai kategorijai. </w:t>
            </w:r>
          </w:p>
          <w:p w:rsidR="00EF3252" w:rsidRPr="00E6669D" w:rsidRDefault="00EF3252" w:rsidP="000D6D5B">
            <w:pPr>
              <w:pStyle w:val="NormalWeb"/>
              <w:jc w:val="both"/>
            </w:pPr>
            <w:r w:rsidRPr="00E6669D">
              <w:t xml:space="preserve">Ieroču aprites likuma 14.panta divpadsmitajā daļā ir noteikts, ka </w:t>
            </w:r>
            <w:r w:rsidRPr="00E6669D">
              <w:lastRenderedPageBreak/>
              <w:t>fiziskajai personai ir tiesības iegādāties vai glabāt ne vairāk kā 10 šaujamieročus un lielas enerģijas pneimatiskos ieročus, neskaitot šaujamieroču maināmās būtiskās sastāvdaļas. Izstrādājot Noteikumu projektu, netika realizēta diferencēta pieeja drošības kritērijos arī attiecībā uz šaujamieroču un munīcijas skaitu, jo pārņemot Direktīvas (ES) 2017/853 prasības Ieroču aprites likumā, tika izmantota iespēja noteikt stingrākās prasības, paredzot glabāt aizslēgtā seifā (metāliskā kastē) šaujamieročus, sakot ar pirmo šaujamieroci un analoģiska prasība ir attiecināma arī uz šaujamieroču munīciju. </w:t>
            </w:r>
          </w:p>
          <w:p w:rsidR="00EF3252" w:rsidRPr="00E6669D" w:rsidRDefault="00EF3252" w:rsidP="000D6D5B">
            <w:pPr>
              <w:pStyle w:val="NormalWeb"/>
              <w:jc w:val="both"/>
            </w:pPr>
            <w:r w:rsidRPr="00E6669D">
              <w:t xml:space="preserve">Direktīvas (ES) 2017/853 1.pantā ietverta 5.a panta vadlīnija piedāvā, veidojot pienācīgu glabāšanas apstākļu uzraudzības sistēmu balstīties uz attiecīgo </w:t>
            </w:r>
            <w:r w:rsidRPr="00E6669D">
              <w:lastRenderedPageBreak/>
              <w:t>šaujamieroču skaitu, ir liberālāka. Direktīvas (ES) 2017/853 1.pantā ietverta 5.a panta vadlīnija pieļauj viena vai divus šaujamieroču glabāšanu arī citā veidā ārpus seifa (metāla kastes). Piemēram, saskaņā ar Igaunijas normatīvajiem aktiem, ja fiziskajai personai pieder tikai viens šaujamierocis nav nepieciešams to uzglabāt aizslēgta seifā (metāla kastē), kā arī tam paredzētu munīciju. Pārņemot Direktīvas (ES) 2017/853 1.pantā ietverta 5.a panta prasības paredzēti stingrāki kritēriji šaujamieroču un to munīcijas glabāšanai ar pienācīgu glabāšanas apstākļu uzraudzības līmeni. </w:t>
            </w:r>
          </w:p>
          <w:p w:rsidR="00EF3252" w:rsidRPr="00E6669D" w:rsidRDefault="00EF3252" w:rsidP="000D6D5B">
            <w:pPr>
              <w:jc w:val="center"/>
              <w:rPr>
                <w:rFonts w:eastAsia="Calibri"/>
                <w:b/>
                <w:bCs/>
              </w:rPr>
            </w:pPr>
          </w:p>
          <w:p w:rsidR="00EF3252" w:rsidRPr="00E6669D" w:rsidRDefault="00EF3252" w:rsidP="000D6D5B">
            <w:pPr>
              <w:jc w:val="center"/>
              <w:rPr>
                <w:rFonts w:eastAsia="Calibri"/>
                <w:b/>
                <w:bCs/>
              </w:rPr>
            </w:pPr>
          </w:p>
        </w:tc>
        <w:tc>
          <w:tcPr>
            <w:tcW w:w="0" w:type="auto"/>
            <w:tcBorders>
              <w:top w:val="single" w:sz="4" w:space="0" w:color="auto"/>
              <w:left w:val="single" w:sz="4" w:space="0" w:color="auto"/>
              <w:bottom w:val="single" w:sz="4" w:space="0" w:color="auto"/>
            </w:tcBorders>
          </w:tcPr>
          <w:p w:rsidR="00EF3252" w:rsidRPr="00E6669D" w:rsidRDefault="00EF3252" w:rsidP="000D6D5B">
            <w:pPr>
              <w:pBdr>
                <w:top w:val="nil"/>
                <w:left w:val="nil"/>
                <w:bottom w:val="nil"/>
                <w:right w:val="nil"/>
                <w:between w:val="nil"/>
              </w:pBdr>
              <w:shd w:val="clear" w:color="auto" w:fill="FFFFFF"/>
              <w:spacing w:line="259" w:lineRule="auto"/>
              <w:contextualSpacing/>
              <w:jc w:val="both"/>
              <w:rPr>
                <w:rFonts w:eastAsia="Arial"/>
              </w:rPr>
            </w:pPr>
            <w:r w:rsidRPr="00E6669D">
              <w:rPr>
                <w:rFonts w:eastAsia="Arial"/>
              </w:rPr>
              <w:lastRenderedPageBreak/>
              <w:t>Projekts precizēts atbilstoši Tieslietu ministrijas iebildumam.</w:t>
            </w:r>
          </w:p>
          <w:p w:rsidR="00EF3252" w:rsidRPr="00E6669D" w:rsidRDefault="00EF3252" w:rsidP="000D6D5B">
            <w:pPr>
              <w:shd w:val="clear" w:color="auto" w:fill="FFFFFF"/>
              <w:spacing w:after="160" w:line="256" w:lineRule="auto"/>
              <w:contextualSpacing/>
              <w:jc w:val="both"/>
              <w:rPr>
                <w:rFonts w:eastAsia="Arial"/>
              </w:rPr>
            </w:pPr>
            <w:r w:rsidRPr="00E6669D">
              <w:rPr>
                <w:rFonts w:eastAsia="Arial"/>
              </w:rPr>
              <w:t xml:space="preserve">20. Šaujamieroci, tā maināmo būtisko sastāvdaļu, lielas enerģijas pneimatisko ieroci, šaujamieroča munīciju un ieroču sastāvdaļas ieroča glabāšanas vai nēsāšanas atļaujā norādītajā adresē glabā saskaņā ar Ieroču aprites likuma prasībām, </w:t>
            </w:r>
            <w:r w:rsidRPr="00E6669D">
              <w:rPr>
                <w:u w:val="single"/>
              </w:rPr>
              <w:t>nodrošinot to pienācīgu uzraudzību un glabāšanu</w:t>
            </w:r>
            <w:r w:rsidRPr="00E6669D">
              <w:t>.</w:t>
            </w:r>
          </w:p>
          <w:p w:rsidR="00E6669D" w:rsidRPr="00FD43BE" w:rsidRDefault="00EF3252" w:rsidP="008227F5">
            <w:pPr>
              <w:shd w:val="clear" w:color="auto" w:fill="FFFFFF"/>
              <w:spacing w:after="160" w:line="256" w:lineRule="auto"/>
              <w:contextualSpacing/>
              <w:jc w:val="both"/>
            </w:pPr>
            <w:r w:rsidRPr="00E6669D">
              <w:rPr>
                <w:rFonts w:eastAsia="Arial"/>
              </w:rPr>
              <w:t xml:space="preserve">89. Fiziskā persona, kurai izsniegts juridiskās personas šaujamierocis, tā maināmās būtiskās sastāvdaļas, šaujamieroča munīcija vai lielas enerģijas pneimatiskais ierocis, to pārvadā (pārnēsā) tikai uz </w:t>
            </w:r>
            <w:proofErr w:type="spellStart"/>
            <w:r w:rsidRPr="00E6669D">
              <w:rPr>
                <w:rFonts w:eastAsia="Arial"/>
              </w:rPr>
              <w:t>treniņšaušanas</w:t>
            </w:r>
            <w:proofErr w:type="spellEnd"/>
            <w:r w:rsidRPr="00E6669D">
              <w:rPr>
                <w:rFonts w:eastAsia="Arial"/>
              </w:rPr>
              <w:t xml:space="preserve"> (mācību šaušanas), sporta sacensību, medību, apsardzes komersanta vai iekšējās drošības dienesta darba pienākumu pildīšanas vietu un no tās – uz ieroču glabātavu, kurā ierocis saņemts. Šaujamieroci, tā maināmās būtiskās sastāvdaļas, </w:t>
            </w:r>
            <w:r w:rsidRPr="00E6669D">
              <w:rPr>
                <w:rFonts w:eastAsia="Arial"/>
              </w:rPr>
              <w:lastRenderedPageBreak/>
              <w:t xml:space="preserve">šaujamieroča munīciju vai lielas enerģijas pneimatisko ieroci pārvadā iesaiņotu (ievietotu futlārī vai cita veida ieroču somā vai citā speciālā iesaiņojumā), izlādētā veidā (bez šaujamieroča munīcijas patrontelpā un nepielādētu magazīnu vai no ieroča izņemtu pielādētu magazīnu), </w:t>
            </w:r>
            <w:r w:rsidR="00E6669D" w:rsidRPr="00E6669D">
              <w:rPr>
                <w:rFonts w:eastAsia="Arial"/>
              </w:rPr>
              <w:t>nodrošinot to pienācīgu uzraudzību un glabāšanu pārvadāšanas laikā</w:t>
            </w:r>
            <w:r w:rsidR="00E6669D" w:rsidRPr="00E6669D">
              <w:t xml:space="preserve">, </w:t>
            </w:r>
            <w:r w:rsidR="00FD43BE">
              <w:t>kas nepieļauj</w:t>
            </w:r>
            <w:r w:rsidR="00E6669D" w:rsidRPr="00E6669D">
              <w:t xml:space="preserve"> nejaušu </w:t>
            </w:r>
            <w:r w:rsidR="00E6669D" w:rsidRPr="00E6669D">
              <w:rPr>
                <w:rFonts w:eastAsia="Arial"/>
              </w:rPr>
              <w:t xml:space="preserve">šaujamieroča, tā </w:t>
            </w:r>
            <w:r w:rsidR="00E6669D" w:rsidRPr="00FD43BE">
              <w:rPr>
                <w:rFonts w:eastAsia="Arial"/>
              </w:rPr>
              <w:t>maināmo būtisko sastāvdaļu, šaujamieroča munīcijas vai lielas enerģijas pneimatiskā ieroča</w:t>
            </w:r>
            <w:r w:rsidR="00E6669D" w:rsidRPr="00FD43BE">
              <w:t xml:space="preserve"> nokļūšanu nepiederošas personas rokās. </w:t>
            </w:r>
          </w:p>
          <w:p w:rsidR="008C25BF" w:rsidRPr="00E6669D" w:rsidRDefault="008C25BF" w:rsidP="008227F5">
            <w:pPr>
              <w:shd w:val="clear" w:color="auto" w:fill="FFFFFF"/>
              <w:spacing w:after="160" w:line="256" w:lineRule="auto"/>
              <w:contextualSpacing/>
              <w:jc w:val="both"/>
              <w:rPr>
                <w:rFonts w:eastAsia="Calibri"/>
              </w:rPr>
            </w:pPr>
            <w:r w:rsidRPr="00FD43BE">
              <w:rPr>
                <w:rFonts w:eastAsia="Calibri"/>
              </w:rPr>
              <w:t>Papildin</w:t>
            </w:r>
            <w:r w:rsidR="00CF27E8" w:rsidRPr="00FD43BE">
              <w:rPr>
                <w:rFonts w:eastAsia="Calibri"/>
              </w:rPr>
              <w:t>āta P</w:t>
            </w:r>
            <w:r w:rsidRPr="00FD43BE">
              <w:rPr>
                <w:rFonts w:eastAsia="Calibri"/>
              </w:rPr>
              <w:t xml:space="preserve">rojekta anotācijas </w:t>
            </w:r>
            <w:r w:rsidR="008227F5" w:rsidRPr="00FD43BE">
              <w:rPr>
                <w:rFonts w:eastAsia="Calibri"/>
              </w:rPr>
              <w:t>V</w:t>
            </w:r>
            <w:r w:rsidRPr="00FD43BE">
              <w:rPr>
                <w:rFonts w:eastAsia="Calibri"/>
              </w:rPr>
              <w:t xml:space="preserve"> sadaļa</w:t>
            </w:r>
          </w:p>
        </w:tc>
      </w:tr>
      <w:tr w:rsidR="00EF3252" w:rsidRPr="00E6669D"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Pr="00E6669D" w:rsidRDefault="00EF3252" w:rsidP="000D6D5B">
            <w:pPr>
              <w:pStyle w:val="naisc"/>
              <w:spacing w:before="0" w:after="0"/>
            </w:pPr>
            <w:r w:rsidRPr="00E6669D">
              <w:lastRenderedPageBreak/>
              <w:t>17.</w:t>
            </w:r>
          </w:p>
        </w:tc>
        <w:tc>
          <w:tcPr>
            <w:tcW w:w="0" w:type="auto"/>
            <w:gridSpan w:val="3"/>
            <w:tcBorders>
              <w:top w:val="single" w:sz="6" w:space="0" w:color="000000"/>
              <w:left w:val="single" w:sz="6" w:space="0" w:color="000000"/>
              <w:bottom w:val="single" w:sz="4" w:space="0" w:color="auto"/>
              <w:right w:val="single" w:sz="6" w:space="0" w:color="000000"/>
            </w:tcBorders>
          </w:tcPr>
          <w:p w:rsidR="00EF3252" w:rsidRPr="00E6669D" w:rsidRDefault="00EF3252" w:rsidP="000D6D5B">
            <w:pPr>
              <w:pBdr>
                <w:top w:val="nil"/>
                <w:left w:val="nil"/>
                <w:bottom w:val="nil"/>
                <w:right w:val="nil"/>
                <w:between w:val="nil"/>
              </w:pBdr>
              <w:shd w:val="clear" w:color="auto" w:fill="FFFFFF"/>
              <w:contextualSpacing/>
              <w:jc w:val="both"/>
              <w:rPr>
                <w:rFonts w:eastAsia="Arial"/>
              </w:rPr>
            </w:pPr>
          </w:p>
        </w:tc>
        <w:tc>
          <w:tcPr>
            <w:tcW w:w="0" w:type="auto"/>
            <w:tcBorders>
              <w:top w:val="single" w:sz="6" w:space="0" w:color="000000"/>
              <w:left w:val="single" w:sz="6" w:space="0" w:color="000000"/>
              <w:bottom w:val="single" w:sz="4" w:space="0" w:color="auto"/>
              <w:right w:val="single" w:sz="6" w:space="0" w:color="000000"/>
            </w:tcBorders>
          </w:tcPr>
          <w:p w:rsidR="00EF3252" w:rsidRPr="00E6669D" w:rsidRDefault="00EF3252" w:rsidP="000D6D5B">
            <w:pPr>
              <w:widowControl w:val="0"/>
              <w:jc w:val="center"/>
              <w:rPr>
                <w:rFonts w:eastAsia="Calibri"/>
                <w:b/>
                <w:szCs w:val="22"/>
                <w:lang w:eastAsia="en-US"/>
              </w:rPr>
            </w:pPr>
            <w:r w:rsidRPr="00E6669D">
              <w:rPr>
                <w:rFonts w:eastAsia="Calibri"/>
                <w:b/>
                <w:szCs w:val="22"/>
                <w:lang w:eastAsia="en-US"/>
              </w:rPr>
              <w:t>Tieslietu ministrija (30.04.2019.)</w:t>
            </w:r>
          </w:p>
          <w:p w:rsidR="00EF3252" w:rsidRPr="00E6669D" w:rsidRDefault="00EF3252" w:rsidP="000D6D5B">
            <w:pPr>
              <w:widowControl w:val="0"/>
              <w:jc w:val="both"/>
              <w:rPr>
                <w:rFonts w:eastAsia="Calibri"/>
                <w:b/>
                <w:szCs w:val="22"/>
                <w:lang w:eastAsia="en-US"/>
              </w:rPr>
            </w:pPr>
            <w:r w:rsidRPr="00E6669D">
              <w:t xml:space="preserve">Lūdzam papildināt projekta anotācijas I sadaļas 2. punktu ar </w:t>
            </w:r>
            <w:r w:rsidRPr="00E6669D">
              <w:lastRenderedPageBreak/>
              <w:t>izziņas 15. punktā iekļauto skaidrojumu par projekta 45. punkta pamatojumu un nepieciešamību.</w:t>
            </w: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E6669D" w:rsidRDefault="00EF3252" w:rsidP="000D6D5B">
            <w:pPr>
              <w:jc w:val="center"/>
              <w:rPr>
                <w:rFonts w:eastAsia="Calibri"/>
                <w:b/>
                <w:bCs/>
              </w:rPr>
            </w:pPr>
            <w:r w:rsidRPr="00E6669D">
              <w:rPr>
                <w:rFonts w:eastAsia="Calibri"/>
                <w:b/>
                <w:bCs/>
              </w:rPr>
              <w:lastRenderedPageBreak/>
              <w:t>Ņemts vērā</w:t>
            </w:r>
          </w:p>
          <w:p w:rsidR="00EF3252" w:rsidRPr="00E6669D" w:rsidRDefault="00EF3252" w:rsidP="000D6D5B">
            <w:pPr>
              <w:jc w:val="center"/>
              <w:rPr>
                <w:rFonts w:eastAsia="Calibri"/>
                <w:b/>
                <w:bCs/>
              </w:rPr>
            </w:pPr>
          </w:p>
        </w:tc>
        <w:tc>
          <w:tcPr>
            <w:tcW w:w="0" w:type="auto"/>
            <w:tcBorders>
              <w:top w:val="single" w:sz="4" w:space="0" w:color="auto"/>
              <w:left w:val="single" w:sz="4" w:space="0" w:color="auto"/>
              <w:bottom w:val="single" w:sz="4" w:space="0" w:color="auto"/>
            </w:tcBorders>
          </w:tcPr>
          <w:p w:rsidR="00EF3252" w:rsidRPr="00E6669D" w:rsidRDefault="00EF3252" w:rsidP="000D6D5B">
            <w:pPr>
              <w:pBdr>
                <w:top w:val="nil"/>
                <w:left w:val="nil"/>
                <w:bottom w:val="nil"/>
                <w:right w:val="nil"/>
                <w:between w:val="nil"/>
              </w:pBdr>
              <w:shd w:val="clear" w:color="auto" w:fill="FFFFFF"/>
              <w:spacing w:line="259" w:lineRule="auto"/>
              <w:contextualSpacing/>
              <w:jc w:val="both"/>
              <w:rPr>
                <w:rFonts w:eastAsia="Arial"/>
              </w:rPr>
            </w:pPr>
            <w:r w:rsidRPr="00E6669D">
              <w:rPr>
                <w:rFonts w:eastAsia="Arial"/>
              </w:rPr>
              <w:t>Projekta anotācija I sadaļas 2.punkts papildināts atbilstoši Tieslietu ministrijas iebildumam.</w:t>
            </w:r>
          </w:p>
        </w:tc>
      </w:tr>
      <w:tr w:rsidR="00EF3252" w:rsidRPr="00E6669D"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Pr="00E6669D" w:rsidRDefault="00EF3252" w:rsidP="000D6D5B">
            <w:pPr>
              <w:pStyle w:val="naisc"/>
              <w:spacing w:before="0" w:after="0"/>
            </w:pPr>
            <w:r w:rsidRPr="00E6669D">
              <w:t>18.</w:t>
            </w:r>
          </w:p>
        </w:tc>
        <w:tc>
          <w:tcPr>
            <w:tcW w:w="0" w:type="auto"/>
            <w:gridSpan w:val="3"/>
            <w:tcBorders>
              <w:top w:val="single" w:sz="6" w:space="0" w:color="000000"/>
              <w:left w:val="single" w:sz="6" w:space="0" w:color="000000"/>
              <w:bottom w:val="single" w:sz="4" w:space="0" w:color="auto"/>
              <w:right w:val="single" w:sz="6" w:space="0" w:color="000000"/>
            </w:tcBorders>
          </w:tcPr>
          <w:p w:rsidR="00EF3252" w:rsidRPr="00E6669D" w:rsidRDefault="00EF3252" w:rsidP="000D6D5B">
            <w:pPr>
              <w:pBdr>
                <w:top w:val="nil"/>
                <w:left w:val="nil"/>
                <w:bottom w:val="nil"/>
                <w:right w:val="nil"/>
                <w:between w:val="nil"/>
              </w:pBdr>
              <w:shd w:val="clear" w:color="auto" w:fill="FFFFFF"/>
              <w:contextualSpacing/>
              <w:jc w:val="both"/>
              <w:rPr>
                <w:rFonts w:eastAsia="Arial"/>
              </w:rPr>
            </w:pPr>
            <w:r w:rsidRPr="00E6669D">
              <w:rPr>
                <w:rFonts w:eastAsia="Arial"/>
              </w:rPr>
              <w:t>Projekta anotācija V sadaļas 1.tabula</w:t>
            </w:r>
          </w:p>
        </w:tc>
        <w:tc>
          <w:tcPr>
            <w:tcW w:w="0" w:type="auto"/>
            <w:tcBorders>
              <w:top w:val="single" w:sz="6" w:space="0" w:color="000000"/>
              <w:left w:val="single" w:sz="6" w:space="0" w:color="000000"/>
              <w:bottom w:val="single" w:sz="4" w:space="0" w:color="auto"/>
              <w:right w:val="single" w:sz="6" w:space="0" w:color="000000"/>
            </w:tcBorders>
          </w:tcPr>
          <w:p w:rsidR="00EF3252" w:rsidRPr="00E6669D" w:rsidRDefault="00EF3252" w:rsidP="000D6D5B">
            <w:pPr>
              <w:widowControl w:val="0"/>
              <w:jc w:val="center"/>
              <w:rPr>
                <w:rFonts w:eastAsia="Calibri"/>
                <w:b/>
                <w:szCs w:val="22"/>
                <w:lang w:eastAsia="en-US"/>
              </w:rPr>
            </w:pPr>
            <w:r w:rsidRPr="00E6669D">
              <w:rPr>
                <w:rFonts w:eastAsia="Calibri"/>
                <w:b/>
                <w:szCs w:val="22"/>
                <w:lang w:eastAsia="en-US"/>
              </w:rPr>
              <w:t>Tieslietu ministrija (30.04.2019.)</w:t>
            </w:r>
          </w:p>
          <w:p w:rsidR="00EF3252" w:rsidRPr="00E6669D" w:rsidRDefault="00EF3252" w:rsidP="00622358">
            <w:pPr>
              <w:widowControl w:val="0"/>
              <w:jc w:val="both"/>
              <w:rPr>
                <w:rFonts w:eastAsia="Calibri"/>
                <w:b/>
                <w:szCs w:val="22"/>
                <w:lang w:eastAsia="en-US"/>
              </w:rPr>
            </w:pPr>
            <w:r w:rsidRPr="00E6669D">
              <w:t xml:space="preserve">Vēršam uzmanību, ka projekta anotācijas V sadaļas 1. tabulas rīcības brīvības sadaļa nav aizpildīta. Lūdzam šajā sadaļā sniegt izvērstu pamatojumu Eiropas Parlamenta un Padomes 2017. gada 17. maija Direktīvas (ES) 2017/853, ar ko groza Padomes Direktīvu 91/477/EEK par ieroču iegādes un glabāšanas kontroli, (turpmāk – Direktīva) 6. panta 3. punktā paredzētajai rīcības brīvības izmantošanai, norādot izvērstāku pamatojumu, kādēļ ir izmantota Direktīvā paredzētā rīcības brīvība dalībvalstij pārņemt minēto Direktīvas 6. panta 3. punktu atbilstoši Ministru </w:t>
            </w:r>
            <w:r w:rsidRPr="00E6669D">
              <w:lastRenderedPageBreak/>
              <w:t>kabineta 2009. gada 15. decembra instrukcijas Nr. 19 "Tiesību akta projekta sākotnējās ietekmes izvērtēšanas kārtība" 56.5. apakšpunktam.</w:t>
            </w: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E6669D" w:rsidRDefault="00EF3252" w:rsidP="000D6D5B">
            <w:pPr>
              <w:jc w:val="center"/>
              <w:rPr>
                <w:rFonts w:eastAsia="Calibri"/>
                <w:b/>
                <w:bCs/>
              </w:rPr>
            </w:pPr>
            <w:r w:rsidRPr="00E6669D">
              <w:rPr>
                <w:rFonts w:eastAsia="Calibri"/>
                <w:b/>
                <w:bCs/>
              </w:rPr>
              <w:lastRenderedPageBreak/>
              <w:t>Ņemts vērā</w:t>
            </w:r>
          </w:p>
          <w:p w:rsidR="00EF3252" w:rsidRPr="00E6669D" w:rsidRDefault="00EF3252" w:rsidP="000D6D5B">
            <w:pPr>
              <w:jc w:val="center"/>
              <w:rPr>
                <w:rFonts w:eastAsia="Calibri"/>
                <w:b/>
                <w:bCs/>
              </w:rPr>
            </w:pPr>
          </w:p>
        </w:tc>
        <w:tc>
          <w:tcPr>
            <w:tcW w:w="0" w:type="auto"/>
            <w:tcBorders>
              <w:top w:val="single" w:sz="4" w:space="0" w:color="auto"/>
              <w:left w:val="single" w:sz="4" w:space="0" w:color="auto"/>
              <w:bottom w:val="single" w:sz="4" w:space="0" w:color="auto"/>
            </w:tcBorders>
          </w:tcPr>
          <w:p w:rsidR="00EF3252" w:rsidRPr="00E6669D" w:rsidRDefault="00EF3252" w:rsidP="000D6D5B">
            <w:pPr>
              <w:pBdr>
                <w:top w:val="nil"/>
                <w:left w:val="nil"/>
                <w:bottom w:val="nil"/>
                <w:right w:val="nil"/>
                <w:between w:val="nil"/>
              </w:pBdr>
              <w:shd w:val="clear" w:color="auto" w:fill="FFFFFF"/>
              <w:spacing w:line="259" w:lineRule="auto"/>
              <w:contextualSpacing/>
              <w:jc w:val="both"/>
              <w:rPr>
                <w:rFonts w:eastAsia="Arial"/>
              </w:rPr>
            </w:pPr>
            <w:r w:rsidRPr="00E6669D">
              <w:rPr>
                <w:rFonts w:eastAsia="Arial"/>
              </w:rPr>
              <w:t>Projekta anotācija V sadaļas 1.tabula papildināta atbilstoši Tieslietu ministrijas iebildumam.</w:t>
            </w:r>
          </w:p>
        </w:tc>
      </w:tr>
      <w:tr w:rsidR="00EF3252" w:rsidRPr="00E6669D"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Pr="00E6669D" w:rsidRDefault="00EF3252" w:rsidP="000D6D5B">
            <w:pPr>
              <w:pStyle w:val="naisc"/>
              <w:spacing w:before="0" w:after="0"/>
            </w:pPr>
          </w:p>
        </w:tc>
        <w:tc>
          <w:tcPr>
            <w:tcW w:w="0" w:type="auto"/>
            <w:gridSpan w:val="3"/>
            <w:tcBorders>
              <w:top w:val="single" w:sz="6" w:space="0" w:color="000000"/>
              <w:left w:val="single" w:sz="6" w:space="0" w:color="000000"/>
              <w:bottom w:val="single" w:sz="4" w:space="0" w:color="auto"/>
              <w:right w:val="single" w:sz="6" w:space="0" w:color="000000"/>
            </w:tcBorders>
          </w:tcPr>
          <w:p w:rsidR="00EF3252" w:rsidRPr="00E6669D" w:rsidRDefault="00EF3252" w:rsidP="000D6D5B">
            <w:pPr>
              <w:pBdr>
                <w:top w:val="nil"/>
                <w:left w:val="nil"/>
                <w:bottom w:val="nil"/>
                <w:right w:val="nil"/>
                <w:between w:val="nil"/>
              </w:pBdr>
              <w:shd w:val="clear" w:color="auto" w:fill="FFFFFF"/>
              <w:contextualSpacing/>
              <w:jc w:val="both"/>
              <w:rPr>
                <w:rFonts w:eastAsia="Arial"/>
              </w:rPr>
            </w:pPr>
            <w:r w:rsidRPr="00E6669D">
              <w:rPr>
                <w:rFonts w:eastAsia="Arial"/>
              </w:rPr>
              <w:t>Projekts</w:t>
            </w:r>
          </w:p>
        </w:tc>
        <w:tc>
          <w:tcPr>
            <w:tcW w:w="0" w:type="auto"/>
            <w:tcBorders>
              <w:top w:val="single" w:sz="6" w:space="0" w:color="000000"/>
              <w:left w:val="single" w:sz="6" w:space="0" w:color="000000"/>
              <w:bottom w:val="single" w:sz="4" w:space="0" w:color="auto"/>
              <w:right w:val="single" w:sz="6" w:space="0" w:color="000000"/>
            </w:tcBorders>
          </w:tcPr>
          <w:p w:rsidR="00EF3252" w:rsidRPr="00E6669D" w:rsidRDefault="00EF3252" w:rsidP="00EF3252">
            <w:pPr>
              <w:pStyle w:val="naisc"/>
              <w:spacing w:before="0" w:after="0"/>
              <w:jc w:val="left"/>
              <w:rPr>
                <w:b/>
              </w:rPr>
            </w:pPr>
            <w:r w:rsidRPr="00E6669D">
              <w:rPr>
                <w:b/>
              </w:rPr>
              <w:t xml:space="preserve">Tieslietu ministrijas iebildums </w:t>
            </w:r>
          </w:p>
          <w:p w:rsidR="00EF3252" w:rsidRPr="00E6669D" w:rsidRDefault="00EF3252" w:rsidP="00EF3252">
            <w:pPr>
              <w:pStyle w:val="naisc"/>
              <w:spacing w:before="0" w:after="0"/>
              <w:jc w:val="left"/>
              <w:rPr>
                <w:b/>
              </w:rPr>
            </w:pPr>
            <w:r w:rsidRPr="00E6669D">
              <w:rPr>
                <w:b/>
              </w:rPr>
              <w:t>(30.04.2019.)</w:t>
            </w:r>
          </w:p>
          <w:p w:rsidR="00EF3252" w:rsidRPr="00E6669D" w:rsidRDefault="00EF3252" w:rsidP="00EF3252">
            <w:pPr>
              <w:widowControl w:val="0"/>
              <w:jc w:val="both"/>
              <w:rPr>
                <w:rFonts w:eastAsia="Calibri"/>
                <w:b/>
                <w:szCs w:val="22"/>
                <w:lang w:eastAsia="en-US"/>
              </w:rPr>
            </w:pPr>
            <w:r w:rsidRPr="00E6669D">
              <w:t xml:space="preserve">Projektā tiek lietoti termini "Valsts policija", "Valsts policijas struktūrvienība", "Valsts policijas Kriminālistikas pārvalde" un "Valsts policijas teritoriālā struktūrvienība". Ieroču aprites likuma 16. panta pirmā daļa nosaka, ka Valsts policija izsniedz dažādas ieroču atļaujas, līdz ar to projektā būtu lietojami vārdi "Valsts policijas izsniegta atļauja", savukārt gadījumos, kad nav runa par Valsts policijas izsniegto atļauju, var lietot terminu "Valsts policijas struktūrvienība", ja tas nav pretrunā ar Ieroču aprites likumā noteikto, </w:t>
            </w:r>
            <w:r w:rsidRPr="00E6669D">
              <w:lastRenderedPageBreak/>
              <w:t>kā arī īpašos gadījumos lietot terminu "Valsts policijas Kriminālistikas pārvalde". Ņemot vērā minēto, lūdzam precizēt projektā lietoto terminoloģiju</w:t>
            </w: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E6669D" w:rsidRDefault="00EF3252" w:rsidP="000D6D5B">
            <w:pPr>
              <w:jc w:val="center"/>
              <w:rPr>
                <w:rFonts w:eastAsia="Calibri"/>
                <w:b/>
                <w:bCs/>
              </w:rPr>
            </w:pPr>
            <w:r w:rsidRPr="00E6669D">
              <w:rPr>
                <w:rFonts w:eastAsia="Calibri"/>
                <w:b/>
                <w:bCs/>
              </w:rPr>
              <w:lastRenderedPageBreak/>
              <w:t>Panākta vienošanās ar Tieslietu ministriju</w:t>
            </w:r>
          </w:p>
        </w:tc>
        <w:tc>
          <w:tcPr>
            <w:tcW w:w="0" w:type="auto"/>
            <w:tcBorders>
              <w:top w:val="single" w:sz="4" w:space="0" w:color="auto"/>
              <w:left w:val="single" w:sz="4" w:space="0" w:color="auto"/>
              <w:bottom w:val="single" w:sz="4" w:space="0" w:color="auto"/>
            </w:tcBorders>
          </w:tcPr>
          <w:p w:rsidR="00EF3252" w:rsidRPr="00E6669D" w:rsidRDefault="00EF3252" w:rsidP="000D6D5B">
            <w:pPr>
              <w:pBdr>
                <w:top w:val="nil"/>
                <w:left w:val="nil"/>
                <w:bottom w:val="nil"/>
                <w:right w:val="nil"/>
                <w:between w:val="nil"/>
              </w:pBdr>
              <w:shd w:val="clear" w:color="auto" w:fill="FFFFFF"/>
              <w:spacing w:line="259" w:lineRule="auto"/>
              <w:contextualSpacing/>
              <w:jc w:val="both"/>
              <w:rPr>
                <w:rFonts w:eastAsia="Arial"/>
              </w:rPr>
            </w:pPr>
            <w:r w:rsidRPr="00E6669D">
              <w:rPr>
                <w:rFonts w:eastAsia="Arial"/>
              </w:rPr>
              <w:t>Projekts</w:t>
            </w:r>
          </w:p>
        </w:tc>
      </w:tr>
      <w:tr w:rsidR="00EF3252" w:rsidRPr="006E16B5" w:rsidTr="000D6D5B">
        <w:trPr>
          <w:trHeight w:val="214"/>
        </w:trPr>
        <w:tc>
          <w:tcPr>
            <w:tcW w:w="0" w:type="auto"/>
            <w:tcBorders>
              <w:top w:val="single" w:sz="6" w:space="0" w:color="000000"/>
              <w:left w:val="single" w:sz="6" w:space="0" w:color="000000"/>
              <w:bottom w:val="single" w:sz="4" w:space="0" w:color="auto"/>
              <w:right w:val="single" w:sz="6" w:space="0" w:color="000000"/>
            </w:tcBorders>
          </w:tcPr>
          <w:p w:rsidR="00EF3252" w:rsidRPr="00E6669D" w:rsidRDefault="00EF3252" w:rsidP="000D6D5B">
            <w:pPr>
              <w:pStyle w:val="naisc"/>
              <w:spacing w:before="0" w:after="0"/>
            </w:pPr>
          </w:p>
        </w:tc>
        <w:tc>
          <w:tcPr>
            <w:tcW w:w="0" w:type="auto"/>
            <w:gridSpan w:val="3"/>
            <w:tcBorders>
              <w:top w:val="single" w:sz="6" w:space="0" w:color="000000"/>
              <w:left w:val="single" w:sz="6" w:space="0" w:color="000000"/>
              <w:bottom w:val="single" w:sz="4" w:space="0" w:color="auto"/>
              <w:right w:val="single" w:sz="6" w:space="0" w:color="000000"/>
            </w:tcBorders>
          </w:tcPr>
          <w:p w:rsidR="00EF3252" w:rsidRPr="00E6669D" w:rsidRDefault="00EF3252" w:rsidP="000D6D5B">
            <w:pPr>
              <w:pBdr>
                <w:top w:val="nil"/>
                <w:left w:val="nil"/>
                <w:bottom w:val="nil"/>
                <w:right w:val="nil"/>
                <w:between w:val="nil"/>
              </w:pBdr>
              <w:shd w:val="clear" w:color="auto" w:fill="FFFFFF"/>
              <w:contextualSpacing/>
              <w:jc w:val="both"/>
              <w:rPr>
                <w:rFonts w:eastAsia="Arial"/>
              </w:rPr>
            </w:pPr>
            <w:r w:rsidRPr="00E6669D">
              <w:rPr>
                <w:rFonts w:eastAsia="Arial"/>
              </w:rPr>
              <w:t>Projekta anotācijas IV sadaļas 1.punkts</w:t>
            </w:r>
          </w:p>
        </w:tc>
        <w:tc>
          <w:tcPr>
            <w:tcW w:w="0" w:type="auto"/>
            <w:tcBorders>
              <w:top w:val="single" w:sz="6" w:space="0" w:color="000000"/>
              <w:left w:val="single" w:sz="6" w:space="0" w:color="000000"/>
              <w:bottom w:val="single" w:sz="4" w:space="0" w:color="auto"/>
              <w:right w:val="single" w:sz="6" w:space="0" w:color="000000"/>
            </w:tcBorders>
          </w:tcPr>
          <w:p w:rsidR="00EF3252" w:rsidRPr="00E6669D" w:rsidRDefault="00EF3252" w:rsidP="00EF3252">
            <w:pPr>
              <w:widowControl w:val="0"/>
              <w:jc w:val="center"/>
              <w:rPr>
                <w:rFonts w:eastAsia="Calibri"/>
                <w:b/>
                <w:szCs w:val="22"/>
                <w:lang w:eastAsia="en-US"/>
              </w:rPr>
            </w:pPr>
            <w:r w:rsidRPr="00E6669D">
              <w:rPr>
                <w:rFonts w:eastAsia="Calibri"/>
                <w:b/>
                <w:szCs w:val="22"/>
                <w:lang w:eastAsia="en-US"/>
              </w:rPr>
              <w:t>Tieslietu ministrija (30.04.2019.)</w:t>
            </w:r>
          </w:p>
          <w:p w:rsidR="00EF3252" w:rsidRPr="00E6669D" w:rsidRDefault="00EF3252" w:rsidP="00EF3252">
            <w:pPr>
              <w:spacing w:before="100" w:beforeAutospacing="1" w:after="100" w:afterAutospacing="1"/>
              <w:ind w:firstLine="720"/>
              <w:jc w:val="both"/>
            </w:pPr>
            <w:r w:rsidRPr="00E6669D">
              <w:t xml:space="preserve">Projekta anotācijas IV sadaļas 1. punktā ir minēts, ka ar projektu saistītais tiesību akts ir Ministru kabineta noteikumu projekts "Noteikumi par ieroču, munīcijas un speciālo līdzekļu komerciālo apriti", kuram jāstājas spēkā vienlaikus ar Ieroču aprites likumu. Vēršam uzmanību, ka Ieroču aprites likums stājās spēkā 2019. gada 10. aprīlī, savukārt minētais Ministru kabineta noteikumu projekts vēl aizvien nav pieņemts un stājies spēkā. Līdz ar to lūdzam precizēt projekta </w:t>
            </w:r>
            <w:r w:rsidRPr="00E6669D">
              <w:lastRenderedPageBreak/>
              <w:t>anotācijas IV sadaļas 1. punktu.</w:t>
            </w:r>
          </w:p>
          <w:p w:rsidR="00EF3252" w:rsidRPr="00622358" w:rsidRDefault="00EF3252" w:rsidP="00622358">
            <w:pPr>
              <w:spacing w:before="100" w:beforeAutospacing="1" w:after="100" w:afterAutospacing="1"/>
              <w:jc w:val="both"/>
            </w:pPr>
            <w:r w:rsidRPr="00E6669D">
              <w:t xml:space="preserve">            Vienlaikus vēršam uzmanību, ka projektā tiek runāts par dažādām ieroču atļaujām. Ieroču atļauju izsniegšanas kārtība noteikta Ministru kabineta noteikumu projektā "Ieroču atļauju noteikumi, kā arī ieroču izņemšanas un iznīcināšanas kārtība", kurā ir minēts, ka noteiktas darbības veicamas atbilstoši normatīvajos aktos, kas nosaka ieroču reģistrācijas kārtību, noteiktajām prasībām un normatīvajos aktos, kas nosaka šaujamieroču, lielas enerģijas pneimatisko ieroču un munīcijas glabāšanas kārtību, noteiktajām prasībām. Proti, lai varētu saņemt ieroču atļauju būs nepieciešams veikt projektā noteiktās darbības, līdz ar to projektam jāstājas spēkā </w:t>
            </w:r>
            <w:r w:rsidRPr="00E6669D">
              <w:lastRenderedPageBreak/>
              <w:t>vienlaicīgi vai pirms Ministru kabineta noteikumu projekta "Ieroču atļauju noteikumi, kā arī ieroču izņemšanas un iznīcināšanas kārtība". Ņemot vērā minēto, lūdzam papildināt projekta anotācijas IV sadaļas 1. punktu ar informāciju par minēto Ministru kabineta noteikumu projektu, uzsverot tā spēkā stāšanos vienlaicīgi vai pirms projekta spēkā stāšanās.</w:t>
            </w:r>
          </w:p>
        </w:tc>
        <w:tc>
          <w:tcPr>
            <w:tcW w:w="0" w:type="auto"/>
            <w:gridSpan w:val="2"/>
            <w:tcBorders>
              <w:top w:val="single" w:sz="6" w:space="0" w:color="000000"/>
              <w:left w:val="single" w:sz="6" w:space="0" w:color="000000"/>
              <w:bottom w:val="single" w:sz="4" w:space="0" w:color="auto"/>
              <w:right w:val="single" w:sz="6" w:space="0" w:color="000000"/>
            </w:tcBorders>
          </w:tcPr>
          <w:p w:rsidR="00EF3252" w:rsidRPr="00E6669D" w:rsidRDefault="00EF3252" w:rsidP="000D6D5B">
            <w:pPr>
              <w:jc w:val="center"/>
              <w:rPr>
                <w:rFonts w:eastAsia="Calibri"/>
                <w:b/>
                <w:bCs/>
              </w:rPr>
            </w:pPr>
            <w:r w:rsidRPr="00E6669D">
              <w:rPr>
                <w:rFonts w:eastAsia="Calibri"/>
                <w:b/>
                <w:bCs/>
              </w:rPr>
              <w:lastRenderedPageBreak/>
              <w:t>Iebildums ņemts vērā</w:t>
            </w:r>
          </w:p>
        </w:tc>
        <w:tc>
          <w:tcPr>
            <w:tcW w:w="0" w:type="auto"/>
            <w:tcBorders>
              <w:top w:val="single" w:sz="4" w:space="0" w:color="auto"/>
              <w:left w:val="single" w:sz="4" w:space="0" w:color="auto"/>
              <w:bottom w:val="single" w:sz="4" w:space="0" w:color="auto"/>
            </w:tcBorders>
          </w:tcPr>
          <w:p w:rsidR="00EF3252" w:rsidRDefault="00EF3252" w:rsidP="000D6D5B">
            <w:pPr>
              <w:pBdr>
                <w:top w:val="nil"/>
                <w:left w:val="nil"/>
                <w:bottom w:val="nil"/>
                <w:right w:val="nil"/>
                <w:between w:val="nil"/>
              </w:pBdr>
              <w:shd w:val="clear" w:color="auto" w:fill="FFFFFF"/>
              <w:spacing w:line="259" w:lineRule="auto"/>
              <w:contextualSpacing/>
              <w:jc w:val="both"/>
              <w:rPr>
                <w:rFonts w:eastAsia="Arial"/>
              </w:rPr>
            </w:pPr>
            <w:r w:rsidRPr="00E6669D">
              <w:t>Projekta anotācijas IV sadaļas 1. punkts precizēts atbilstoši Tieslietu ministrijas iebildumam.</w:t>
            </w:r>
          </w:p>
        </w:tc>
      </w:tr>
      <w:tr w:rsidR="00EF3252" w:rsidRPr="006E16B5" w:rsidTr="000D6D5B">
        <w:tblPrEx>
          <w:tblBorders>
            <w:top w:val="none" w:sz="0" w:space="0" w:color="auto"/>
            <w:left w:val="none" w:sz="0" w:space="0" w:color="auto"/>
            <w:bottom w:val="none" w:sz="0" w:space="0" w:color="auto"/>
            <w:right w:val="none" w:sz="0" w:space="0" w:color="auto"/>
          </w:tblBorders>
        </w:tblPrEx>
        <w:trPr>
          <w:gridAfter w:val="2"/>
        </w:trPr>
        <w:tc>
          <w:tcPr>
            <w:tcW w:w="0" w:type="auto"/>
            <w:gridSpan w:val="3"/>
          </w:tcPr>
          <w:p w:rsidR="00622358" w:rsidRDefault="00622358" w:rsidP="000D6D5B">
            <w:pPr>
              <w:pStyle w:val="naiskr"/>
              <w:spacing w:before="0" w:after="0"/>
            </w:pPr>
          </w:p>
          <w:p w:rsidR="00622358" w:rsidRPr="006E16B5" w:rsidRDefault="00622358" w:rsidP="000D6D5B">
            <w:pPr>
              <w:pStyle w:val="naiskr"/>
              <w:spacing w:before="0" w:after="0"/>
            </w:pPr>
          </w:p>
        </w:tc>
        <w:tc>
          <w:tcPr>
            <w:tcW w:w="0" w:type="auto"/>
            <w:gridSpan w:val="3"/>
          </w:tcPr>
          <w:p w:rsidR="00EF3252" w:rsidRPr="006E16B5" w:rsidRDefault="00EF3252" w:rsidP="00622358">
            <w:pPr>
              <w:pStyle w:val="naiskr"/>
              <w:spacing w:before="0" w:after="0"/>
            </w:pPr>
          </w:p>
        </w:tc>
      </w:tr>
      <w:tr w:rsidR="00EF3252" w:rsidRPr="00137CB0" w:rsidTr="000D6D5B">
        <w:tblPrEx>
          <w:tblBorders>
            <w:top w:val="none" w:sz="0" w:space="0" w:color="auto"/>
            <w:left w:val="none" w:sz="0" w:space="0" w:color="auto"/>
            <w:bottom w:val="none" w:sz="0" w:space="0" w:color="auto"/>
            <w:right w:val="none" w:sz="0" w:space="0" w:color="auto"/>
          </w:tblBorders>
        </w:tblPrEx>
        <w:trPr>
          <w:trHeight w:val="457"/>
        </w:trPr>
        <w:tc>
          <w:tcPr>
            <w:tcW w:w="0" w:type="auto"/>
            <w:gridSpan w:val="2"/>
          </w:tcPr>
          <w:p w:rsidR="00EF3252" w:rsidRDefault="00EF3252" w:rsidP="000D6D5B">
            <w:pPr>
              <w:pStyle w:val="naiskr"/>
              <w:spacing w:before="0" w:after="0"/>
            </w:pPr>
          </w:p>
          <w:p w:rsidR="00EF3252" w:rsidRDefault="00EF3252" w:rsidP="000D6D5B">
            <w:pPr>
              <w:pStyle w:val="naiskr"/>
              <w:spacing w:before="0" w:after="0"/>
            </w:pPr>
          </w:p>
          <w:p w:rsidR="00EF3252" w:rsidRDefault="00EF3252" w:rsidP="000D6D5B">
            <w:pPr>
              <w:pStyle w:val="naiskr"/>
              <w:spacing w:before="0" w:after="0"/>
            </w:pPr>
          </w:p>
          <w:p w:rsidR="00EF3252" w:rsidRPr="00ED25F4" w:rsidRDefault="00EF3252" w:rsidP="000D6D5B">
            <w:pPr>
              <w:pStyle w:val="naiskr"/>
              <w:spacing w:before="0" w:after="0"/>
            </w:pPr>
            <w:r w:rsidRPr="00ED25F4">
              <w:t>Atbildīgā amatpersona:</w:t>
            </w:r>
          </w:p>
        </w:tc>
        <w:tc>
          <w:tcPr>
            <w:tcW w:w="0" w:type="auto"/>
            <w:gridSpan w:val="6"/>
          </w:tcPr>
          <w:p w:rsidR="00EF3252" w:rsidRPr="00ED25F4" w:rsidRDefault="00EF3252" w:rsidP="000D6D5B">
            <w:pPr>
              <w:pStyle w:val="naiskr"/>
              <w:spacing w:before="0" w:after="0"/>
            </w:pPr>
            <w:r w:rsidRPr="00ED25F4">
              <w:t>  _____________________________________________</w:t>
            </w:r>
          </w:p>
          <w:p w:rsidR="00EF3252" w:rsidRPr="00ED25F4" w:rsidRDefault="00EF3252" w:rsidP="000D6D5B">
            <w:pPr>
              <w:pStyle w:val="naiskr"/>
              <w:spacing w:before="0" w:after="0"/>
            </w:pPr>
          </w:p>
        </w:tc>
      </w:tr>
      <w:tr w:rsidR="00EF3252" w:rsidRPr="00137CB0" w:rsidTr="000D6D5B">
        <w:tblPrEx>
          <w:tblBorders>
            <w:top w:val="none" w:sz="0" w:space="0" w:color="auto"/>
            <w:left w:val="none" w:sz="0" w:space="0" w:color="auto"/>
            <w:bottom w:val="none" w:sz="0" w:space="0" w:color="auto"/>
            <w:right w:val="none" w:sz="0" w:space="0" w:color="auto"/>
          </w:tblBorders>
        </w:tblPrEx>
        <w:tc>
          <w:tcPr>
            <w:tcW w:w="0" w:type="auto"/>
            <w:gridSpan w:val="2"/>
          </w:tcPr>
          <w:p w:rsidR="00EF3252" w:rsidRPr="00ED25F4" w:rsidRDefault="00EF3252" w:rsidP="000D6D5B">
            <w:pPr>
              <w:pStyle w:val="naiskr"/>
              <w:spacing w:before="0" w:after="0"/>
              <w:rPr>
                <w:i/>
              </w:rPr>
            </w:pPr>
          </w:p>
        </w:tc>
        <w:tc>
          <w:tcPr>
            <w:tcW w:w="0" w:type="auto"/>
            <w:gridSpan w:val="6"/>
          </w:tcPr>
          <w:p w:rsidR="00622358" w:rsidRPr="00622358" w:rsidRDefault="00622358" w:rsidP="00622358">
            <w:r w:rsidRPr="00622358">
              <w:t>Valsts policijas Galvenās kārtības policijas pārvaldes</w:t>
            </w:r>
          </w:p>
          <w:p w:rsidR="00622358" w:rsidRPr="00622358" w:rsidRDefault="00622358" w:rsidP="00622358">
            <w:r w:rsidRPr="00622358">
              <w:t>Koordinācijas un kontroles pārvaldes</w:t>
            </w:r>
          </w:p>
          <w:p w:rsidR="00622358" w:rsidRPr="00622358" w:rsidRDefault="00622358" w:rsidP="00622358">
            <w:r w:rsidRPr="00622358">
              <w:t>Licencēšanas un atļauju sistēmas biroja</w:t>
            </w:r>
          </w:p>
          <w:p w:rsidR="00622358" w:rsidRPr="00622358" w:rsidRDefault="00622358" w:rsidP="00622358">
            <w:r w:rsidRPr="00622358">
              <w:t>priekšnieka vietnieks pulkvežleitnants</w:t>
            </w:r>
          </w:p>
          <w:p w:rsidR="00622358" w:rsidRPr="00622358" w:rsidRDefault="00622358" w:rsidP="00622358">
            <w:r w:rsidRPr="00622358">
              <w:t>67219310, 67208232, e-pasts: </w:t>
            </w:r>
            <w:hyperlink r:id="rId17" w:history="1">
              <w:r w:rsidRPr="00622358">
                <w:rPr>
                  <w:color w:val="0000FF"/>
                  <w:u w:val="single"/>
                </w:rPr>
                <w:t>andris.melkers@vp.gov.lv</w:t>
              </w:r>
            </w:hyperlink>
          </w:p>
          <w:p w:rsidR="00622358" w:rsidRPr="00622358" w:rsidRDefault="00622358" w:rsidP="00622358">
            <w:r w:rsidRPr="00622358">
              <w:t> </w:t>
            </w:r>
          </w:p>
          <w:p w:rsidR="00EF3252" w:rsidRPr="00622358" w:rsidRDefault="00EF3252" w:rsidP="000D6D5B">
            <w:pPr>
              <w:pStyle w:val="naisc"/>
              <w:spacing w:before="0" w:after="0"/>
              <w:jc w:val="left"/>
            </w:pPr>
          </w:p>
        </w:tc>
      </w:tr>
      <w:tr w:rsidR="00EF3252" w:rsidRPr="00137CB0" w:rsidTr="000D6D5B">
        <w:tblPrEx>
          <w:tblBorders>
            <w:top w:val="none" w:sz="0" w:space="0" w:color="auto"/>
            <w:left w:val="none" w:sz="0" w:space="0" w:color="auto"/>
            <w:bottom w:val="none" w:sz="0" w:space="0" w:color="auto"/>
            <w:right w:val="none" w:sz="0" w:space="0" w:color="auto"/>
          </w:tblBorders>
        </w:tblPrEx>
        <w:tc>
          <w:tcPr>
            <w:tcW w:w="0" w:type="auto"/>
            <w:gridSpan w:val="2"/>
          </w:tcPr>
          <w:p w:rsidR="00EF3252" w:rsidRPr="00ED25F4" w:rsidRDefault="00EF3252" w:rsidP="000D6D5B">
            <w:pPr>
              <w:pStyle w:val="naiskr"/>
              <w:spacing w:before="0" w:after="0"/>
              <w:ind w:firstLine="720"/>
              <w:rPr>
                <w:i/>
              </w:rPr>
            </w:pPr>
          </w:p>
        </w:tc>
        <w:tc>
          <w:tcPr>
            <w:tcW w:w="0" w:type="auto"/>
            <w:gridSpan w:val="6"/>
          </w:tcPr>
          <w:p w:rsidR="00EF3252" w:rsidRPr="00622358" w:rsidRDefault="00EF3252" w:rsidP="000D6D5B">
            <w:pPr>
              <w:pStyle w:val="naisc"/>
              <w:spacing w:before="0" w:after="0"/>
              <w:jc w:val="left"/>
            </w:pPr>
          </w:p>
        </w:tc>
      </w:tr>
    </w:tbl>
    <w:p w:rsidR="0031368A" w:rsidRDefault="0031368A" w:rsidP="00622358"/>
    <w:sectPr w:rsidR="0031368A" w:rsidSect="00127424">
      <w:headerReference w:type="even" r:id="rId18"/>
      <w:headerReference w:type="default" r:id="rId19"/>
      <w:footerReference w:type="default" r:id="rId20"/>
      <w:footerReference w:type="first" r:id="rId21"/>
      <w:pgSz w:w="16838" w:h="11906" w:orient="landscape" w:code="9"/>
      <w:pgMar w:top="851"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BF" w:rsidRDefault="008C25BF" w:rsidP="008C25BF">
      <w:r>
        <w:separator/>
      </w:r>
    </w:p>
  </w:endnote>
  <w:endnote w:type="continuationSeparator" w:id="0">
    <w:p w:rsidR="008C25BF" w:rsidRDefault="008C25BF" w:rsidP="008C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E02" w:rsidRPr="008329FF" w:rsidRDefault="008C25BF" w:rsidP="008329FF">
    <w:pPr>
      <w:pStyle w:val="Footer"/>
    </w:pPr>
    <w:r>
      <w:rPr>
        <w:sz w:val="20"/>
        <w:szCs w:val="16"/>
      </w:rPr>
      <w:t>IEMIzz_0305</w:t>
    </w:r>
    <w:r w:rsidR="004945D0">
      <w:rPr>
        <w:sz w:val="20"/>
        <w:szCs w:val="16"/>
      </w:rPr>
      <w:t>19_aprite.doc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E02" w:rsidRPr="001D503C" w:rsidRDefault="004945D0" w:rsidP="001D503C">
    <w:pPr>
      <w:pStyle w:val="Footer"/>
      <w:rPr>
        <w:sz w:val="20"/>
        <w:szCs w:val="16"/>
      </w:rPr>
    </w:pPr>
    <w:r>
      <w:rPr>
        <w:sz w:val="20"/>
        <w:szCs w:val="16"/>
      </w:rPr>
      <w:t>IE</w:t>
    </w:r>
    <w:r w:rsidR="008C25BF">
      <w:rPr>
        <w:sz w:val="20"/>
        <w:szCs w:val="16"/>
      </w:rPr>
      <w:t>MIzz_0305</w:t>
    </w:r>
    <w:r>
      <w:rPr>
        <w:sz w:val="20"/>
        <w:szCs w:val="16"/>
      </w:rPr>
      <w:t>19_aprite.doc</w:t>
    </w:r>
  </w:p>
  <w:p w:rsidR="00BF7E02" w:rsidRPr="000F78F7" w:rsidRDefault="00853624" w:rsidP="00364BB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BF" w:rsidRDefault="008C25BF" w:rsidP="008C25BF">
      <w:r>
        <w:separator/>
      </w:r>
    </w:p>
  </w:footnote>
  <w:footnote w:type="continuationSeparator" w:id="0">
    <w:p w:rsidR="008C25BF" w:rsidRDefault="008C25BF" w:rsidP="008C2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E02" w:rsidRDefault="004945D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E02" w:rsidRDefault="00853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E02" w:rsidRDefault="004945D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624">
      <w:rPr>
        <w:rStyle w:val="PageNumber"/>
        <w:noProof/>
      </w:rPr>
      <w:t>29</w:t>
    </w:r>
    <w:r>
      <w:rPr>
        <w:rStyle w:val="PageNumber"/>
      </w:rPr>
      <w:fldChar w:fldCharType="end"/>
    </w:r>
  </w:p>
  <w:p w:rsidR="00BF7E02" w:rsidRDefault="00853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00EF"/>
    <w:multiLevelType w:val="multilevel"/>
    <w:tmpl w:val="82BCF15E"/>
    <w:lvl w:ilvl="0">
      <w:start w:val="1"/>
      <w:numFmt w:val="decimal"/>
      <w:lvlText w:val="%1."/>
      <w:lvlJc w:val="left"/>
      <w:pPr>
        <w:ind w:left="360" w:hanging="360"/>
      </w:pPr>
      <w:rPr>
        <w:color w:val="auto"/>
      </w:r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52"/>
    <w:rsid w:val="00215959"/>
    <w:rsid w:val="0031368A"/>
    <w:rsid w:val="004945D0"/>
    <w:rsid w:val="00622358"/>
    <w:rsid w:val="006F7A28"/>
    <w:rsid w:val="008227F5"/>
    <w:rsid w:val="00853624"/>
    <w:rsid w:val="008C25BF"/>
    <w:rsid w:val="00CF27E8"/>
    <w:rsid w:val="00E6669D"/>
    <w:rsid w:val="00EF3252"/>
    <w:rsid w:val="00FD43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FC462-E343-4BA9-B0C8-DC982CC4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5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F3252"/>
    <w:pPr>
      <w:spacing w:before="100" w:beforeAutospacing="1" w:after="100" w:afterAutospacing="1"/>
    </w:pPr>
  </w:style>
  <w:style w:type="paragraph" w:customStyle="1" w:styleId="naisf">
    <w:name w:val="naisf"/>
    <w:basedOn w:val="Normal"/>
    <w:rsid w:val="00EF3252"/>
    <w:pPr>
      <w:spacing w:before="75" w:after="75"/>
      <w:ind w:firstLine="375"/>
      <w:jc w:val="both"/>
    </w:pPr>
  </w:style>
  <w:style w:type="paragraph" w:customStyle="1" w:styleId="naisnod">
    <w:name w:val="naisnod"/>
    <w:basedOn w:val="Normal"/>
    <w:uiPriority w:val="99"/>
    <w:rsid w:val="00EF3252"/>
    <w:pPr>
      <w:spacing w:before="150" w:after="150"/>
      <w:jc w:val="center"/>
    </w:pPr>
    <w:rPr>
      <w:b/>
      <w:bCs/>
    </w:rPr>
  </w:style>
  <w:style w:type="paragraph" w:customStyle="1" w:styleId="naiskr">
    <w:name w:val="naiskr"/>
    <w:basedOn w:val="Normal"/>
    <w:rsid w:val="00EF3252"/>
    <w:pPr>
      <w:spacing w:before="75" w:after="75"/>
    </w:pPr>
  </w:style>
  <w:style w:type="paragraph" w:customStyle="1" w:styleId="naisc">
    <w:name w:val="naisc"/>
    <w:basedOn w:val="Normal"/>
    <w:rsid w:val="00EF3252"/>
    <w:pPr>
      <w:spacing w:before="75" w:after="75"/>
      <w:jc w:val="center"/>
    </w:pPr>
  </w:style>
  <w:style w:type="paragraph" w:styleId="Header">
    <w:name w:val="header"/>
    <w:basedOn w:val="Normal"/>
    <w:link w:val="HeaderChar"/>
    <w:uiPriority w:val="99"/>
    <w:rsid w:val="00EF3252"/>
    <w:pPr>
      <w:tabs>
        <w:tab w:val="center" w:pos="4153"/>
        <w:tab w:val="right" w:pos="8306"/>
      </w:tabs>
    </w:pPr>
  </w:style>
  <w:style w:type="character" w:customStyle="1" w:styleId="HeaderChar">
    <w:name w:val="Header Char"/>
    <w:basedOn w:val="DefaultParagraphFont"/>
    <w:link w:val="Header"/>
    <w:uiPriority w:val="99"/>
    <w:rsid w:val="00EF3252"/>
    <w:rPr>
      <w:rFonts w:ascii="Times New Roman" w:eastAsia="Times New Roman" w:hAnsi="Times New Roman" w:cs="Times New Roman"/>
      <w:sz w:val="24"/>
      <w:szCs w:val="24"/>
      <w:lang w:eastAsia="lv-LV"/>
    </w:rPr>
  </w:style>
  <w:style w:type="character" w:styleId="PageNumber">
    <w:name w:val="page number"/>
    <w:uiPriority w:val="99"/>
    <w:rsid w:val="00EF3252"/>
    <w:rPr>
      <w:rFonts w:cs="Times New Roman"/>
    </w:rPr>
  </w:style>
  <w:style w:type="paragraph" w:styleId="Footer">
    <w:name w:val="footer"/>
    <w:basedOn w:val="Normal"/>
    <w:link w:val="FooterChar"/>
    <w:uiPriority w:val="99"/>
    <w:rsid w:val="00EF3252"/>
    <w:pPr>
      <w:tabs>
        <w:tab w:val="center" w:pos="4153"/>
        <w:tab w:val="right" w:pos="8306"/>
      </w:tabs>
    </w:pPr>
  </w:style>
  <w:style w:type="character" w:customStyle="1" w:styleId="FooterChar">
    <w:name w:val="Footer Char"/>
    <w:basedOn w:val="DefaultParagraphFont"/>
    <w:link w:val="Footer"/>
    <w:uiPriority w:val="99"/>
    <w:rsid w:val="00EF3252"/>
    <w:rPr>
      <w:rFonts w:ascii="Times New Roman" w:eastAsia="Times New Roman" w:hAnsi="Times New Roman" w:cs="Times New Roman"/>
      <w:sz w:val="24"/>
      <w:szCs w:val="24"/>
      <w:lang w:eastAsia="lv-LV"/>
    </w:rPr>
  </w:style>
  <w:style w:type="paragraph" w:customStyle="1" w:styleId="tv213">
    <w:name w:val="tv213"/>
    <w:basedOn w:val="Normal"/>
    <w:rsid w:val="00EF3252"/>
    <w:pPr>
      <w:spacing w:before="100" w:beforeAutospacing="1" w:after="100" w:afterAutospacing="1"/>
    </w:pPr>
  </w:style>
  <w:style w:type="character" w:styleId="Hyperlink">
    <w:name w:val="Hyperlink"/>
    <w:basedOn w:val="DefaultParagraphFont"/>
    <w:uiPriority w:val="99"/>
    <w:semiHidden/>
    <w:unhideWhenUsed/>
    <w:rsid w:val="00622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72587">
      <w:bodyDiv w:val="1"/>
      <w:marLeft w:val="0"/>
      <w:marRight w:val="0"/>
      <w:marTop w:val="0"/>
      <w:marBottom w:val="0"/>
      <w:divBdr>
        <w:top w:val="none" w:sz="0" w:space="0" w:color="auto"/>
        <w:left w:val="none" w:sz="0" w:space="0" w:color="auto"/>
        <w:bottom w:val="none" w:sz="0" w:space="0" w:color="auto"/>
        <w:right w:val="none" w:sz="0" w:space="0" w:color="auto"/>
      </w:divBdr>
      <w:divsChild>
        <w:div w:id="72044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6/679/oj/?locale=LV" TargetMode="External"/><Relationship Id="rId13" Type="http://schemas.openxmlformats.org/officeDocument/2006/relationships/hyperlink" Target="https://likumi.lv/doc.php?id=24203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ikumi.lv/ta/id/221384-ierocu-un-specialo-lidzeklu-aprites-likums" TargetMode="External"/><Relationship Id="rId12" Type="http://schemas.openxmlformats.org/officeDocument/2006/relationships/hyperlink" Target="https://likumi.lv/doc.php?id=242034" TargetMode="External"/><Relationship Id="rId17" Type="http://schemas.openxmlformats.org/officeDocument/2006/relationships/hyperlink" Target="mailto:andris.melkers@vp.gov.lv" TargetMode="External"/><Relationship Id="rId2" Type="http://schemas.openxmlformats.org/officeDocument/2006/relationships/styles" Target="styles.xml"/><Relationship Id="rId16" Type="http://schemas.openxmlformats.org/officeDocument/2006/relationships/hyperlink" Target="https://likumi.lv/doc.php?id=24203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242034" TargetMode="External"/><Relationship Id="rId5" Type="http://schemas.openxmlformats.org/officeDocument/2006/relationships/footnotes" Target="footnotes.xml"/><Relationship Id="rId15" Type="http://schemas.openxmlformats.org/officeDocument/2006/relationships/hyperlink" Target="https://likumi.lv/doc.php?id=242034" TargetMode="External"/><Relationship Id="rId23" Type="http://schemas.openxmlformats.org/officeDocument/2006/relationships/theme" Target="theme/theme1.xml"/><Relationship Id="rId10" Type="http://schemas.openxmlformats.org/officeDocument/2006/relationships/hyperlink" Target="https://likumi.lv/doc.php?id=24203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ur-lex.europa.eu/eli/dir/1995/46/oj/?locale=LV" TargetMode="External"/><Relationship Id="rId14" Type="http://schemas.openxmlformats.org/officeDocument/2006/relationships/hyperlink" Target="https://likumi.lv/doc.php?id=2420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26536</Words>
  <Characters>15127</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7</cp:revision>
  <dcterms:created xsi:type="dcterms:W3CDTF">2019-05-03T08:37:00Z</dcterms:created>
  <dcterms:modified xsi:type="dcterms:W3CDTF">2019-05-07T08:42:00Z</dcterms:modified>
</cp:coreProperties>
</file>