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24C" w:rsidRPr="000C1E0E" w:rsidRDefault="00196278" w:rsidP="003B293D">
      <w:pPr>
        <w:pStyle w:val="naisnod"/>
        <w:spacing w:before="0" w:after="0"/>
        <w:rPr>
          <w:sz w:val="22"/>
          <w:szCs w:val="22"/>
        </w:rPr>
      </w:pPr>
      <w:bookmarkStart w:id="0" w:name="OLE_LINK5"/>
      <w:bookmarkStart w:id="1" w:name="OLE_LINK6"/>
      <w:r w:rsidRPr="000C1E0E">
        <w:rPr>
          <w:sz w:val="22"/>
          <w:szCs w:val="22"/>
        </w:rPr>
        <w:t>Izziņa par atzinumos sniegtajiem iebildumiem</w:t>
      </w:r>
      <w:r w:rsidR="008C673C" w:rsidRPr="000C1E0E">
        <w:rPr>
          <w:sz w:val="22"/>
          <w:szCs w:val="22"/>
        </w:rPr>
        <w:t xml:space="preserve"> </w:t>
      </w:r>
    </w:p>
    <w:p w:rsidR="009F52B3" w:rsidRDefault="008C673C" w:rsidP="001319C3">
      <w:pPr>
        <w:pStyle w:val="naisnod"/>
        <w:spacing w:before="0" w:after="0"/>
        <w:rPr>
          <w:sz w:val="22"/>
          <w:szCs w:val="22"/>
        </w:rPr>
      </w:pPr>
      <w:r w:rsidRPr="000C1E0E">
        <w:rPr>
          <w:sz w:val="22"/>
          <w:szCs w:val="22"/>
        </w:rPr>
        <w:t xml:space="preserve">par </w:t>
      </w:r>
      <w:r w:rsidR="003F6E30" w:rsidRPr="000C1E0E">
        <w:rPr>
          <w:sz w:val="22"/>
          <w:szCs w:val="22"/>
        </w:rPr>
        <w:t xml:space="preserve">Ministru kabineta rīkojuma projektu </w:t>
      </w:r>
      <w:r w:rsidR="00B37686">
        <w:rPr>
          <w:sz w:val="22"/>
          <w:szCs w:val="22"/>
        </w:rPr>
        <w:t>„</w:t>
      </w:r>
      <w:r w:rsidR="003F6E30" w:rsidRPr="000C1E0E">
        <w:rPr>
          <w:sz w:val="22"/>
          <w:szCs w:val="22"/>
        </w:rPr>
        <w:t xml:space="preserve">Par informācijas sabiedrības attīstības pamatnostādņu ieviešanu </w:t>
      </w:r>
    </w:p>
    <w:p w:rsidR="009F52B3" w:rsidRDefault="003F6E30" w:rsidP="009F52B3">
      <w:pPr>
        <w:pStyle w:val="naisnod"/>
        <w:spacing w:before="0" w:after="0"/>
        <w:rPr>
          <w:sz w:val="22"/>
          <w:szCs w:val="22"/>
        </w:rPr>
      </w:pPr>
      <w:r w:rsidRPr="000C1E0E">
        <w:rPr>
          <w:sz w:val="22"/>
          <w:szCs w:val="22"/>
        </w:rPr>
        <w:t xml:space="preserve">publiskās pārvaldes informācijas sistēmu jomā (mērķarhitektūras </w:t>
      </w:r>
      <w:r w:rsidR="00744BDA">
        <w:rPr>
          <w:sz w:val="22"/>
          <w:szCs w:val="22"/>
        </w:rPr>
        <w:t>53</w:t>
      </w:r>
      <w:r w:rsidR="00240C1C">
        <w:rPr>
          <w:sz w:val="22"/>
          <w:szCs w:val="22"/>
        </w:rPr>
        <w:t xml:space="preserve">.0.versija, </w:t>
      </w:r>
    </w:p>
    <w:p w:rsidR="00032061" w:rsidRPr="000C1E0E" w:rsidRDefault="00240C1C" w:rsidP="009F52B3">
      <w:pPr>
        <w:pStyle w:val="naisnod"/>
        <w:spacing w:before="0" w:after="0"/>
        <w:rPr>
          <w:color w:val="000000"/>
          <w:sz w:val="22"/>
          <w:szCs w:val="22"/>
        </w:rPr>
      </w:pPr>
      <w:r>
        <w:rPr>
          <w:sz w:val="22"/>
          <w:szCs w:val="22"/>
        </w:rPr>
        <w:t>Kultūras mantojuma satura digitalizācija (2.kārta))</w:t>
      </w:r>
      <w:bookmarkStart w:id="2" w:name="_GoBack"/>
      <w:bookmarkEnd w:id="2"/>
    </w:p>
    <w:bookmarkEnd w:id="0"/>
    <w:bookmarkEnd w:id="1"/>
    <w:p w:rsidR="002061EB" w:rsidRPr="000C1E0E" w:rsidRDefault="002061EB" w:rsidP="002061EB">
      <w:pPr>
        <w:pStyle w:val="naisnod"/>
        <w:spacing w:before="0" w:after="0"/>
        <w:jc w:val="left"/>
        <w:rPr>
          <w:b w:val="0"/>
          <w:bCs w:val="0"/>
          <w:sz w:val="22"/>
          <w:szCs w:val="22"/>
        </w:rPr>
      </w:pPr>
    </w:p>
    <w:p w:rsidR="001229CC" w:rsidRPr="000C1E0E" w:rsidRDefault="00F64DE4" w:rsidP="003B293D">
      <w:pPr>
        <w:numPr>
          <w:ilvl w:val="0"/>
          <w:numId w:val="1"/>
        </w:numPr>
        <w:ind w:left="567" w:hanging="207"/>
        <w:jc w:val="center"/>
        <w:rPr>
          <w:b/>
          <w:bCs/>
          <w:sz w:val="22"/>
          <w:szCs w:val="22"/>
        </w:rPr>
      </w:pPr>
      <w:r w:rsidRPr="000C1E0E">
        <w:rPr>
          <w:b/>
          <w:bCs/>
          <w:sz w:val="22"/>
          <w:szCs w:val="22"/>
        </w:rPr>
        <w:t>Jautājumi, par kuriem saskaņošanā vienošanās nav panākta</w:t>
      </w:r>
    </w:p>
    <w:p w:rsidR="002061EB" w:rsidRPr="000C1E0E" w:rsidRDefault="002061EB" w:rsidP="002061EB">
      <w:pPr>
        <w:rPr>
          <w:bCs/>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tblPr>
      <w:tblGrid>
        <w:gridCol w:w="737"/>
        <w:gridCol w:w="2861"/>
        <w:gridCol w:w="3037"/>
        <w:gridCol w:w="2886"/>
        <w:gridCol w:w="2321"/>
        <w:gridCol w:w="2377"/>
      </w:tblGrid>
      <w:tr w:rsidR="00F64DE4" w:rsidRPr="00636CB6" w:rsidTr="009F52B3">
        <w:tc>
          <w:tcPr>
            <w:tcW w:w="259" w:type="pct"/>
            <w:tcBorders>
              <w:top w:val="single" w:sz="6" w:space="0" w:color="000000"/>
              <w:left w:val="single" w:sz="6" w:space="0" w:color="000000"/>
              <w:bottom w:val="single" w:sz="6" w:space="0" w:color="000000"/>
              <w:right w:val="single" w:sz="6" w:space="0" w:color="000000"/>
            </w:tcBorders>
            <w:vAlign w:val="center"/>
            <w:hideMark/>
          </w:tcPr>
          <w:p w:rsidR="00C01E51" w:rsidRPr="00636CB6" w:rsidRDefault="00F64DE4" w:rsidP="000C1E0E">
            <w:pPr>
              <w:pStyle w:val="naisc"/>
              <w:spacing w:before="0" w:after="0"/>
              <w:rPr>
                <w:lang w:eastAsia="en-US"/>
              </w:rPr>
            </w:pPr>
            <w:r w:rsidRPr="00636CB6">
              <w:rPr>
                <w:sz w:val="22"/>
                <w:szCs w:val="22"/>
                <w:lang w:eastAsia="en-US"/>
              </w:rPr>
              <w:t>Nr. p.k.</w:t>
            </w:r>
          </w:p>
        </w:tc>
        <w:tc>
          <w:tcPr>
            <w:tcW w:w="1006" w:type="pct"/>
            <w:tcBorders>
              <w:top w:val="single" w:sz="6" w:space="0" w:color="000000"/>
              <w:left w:val="single" w:sz="6" w:space="0" w:color="000000"/>
              <w:bottom w:val="single" w:sz="6" w:space="0" w:color="000000"/>
              <w:right w:val="single" w:sz="6" w:space="0" w:color="000000"/>
            </w:tcBorders>
            <w:vAlign w:val="center"/>
            <w:hideMark/>
          </w:tcPr>
          <w:p w:rsidR="00C01E51" w:rsidRPr="00636CB6" w:rsidRDefault="00F64DE4" w:rsidP="000C1E0E">
            <w:pPr>
              <w:pStyle w:val="naisc"/>
              <w:spacing w:before="0" w:after="0"/>
              <w:ind w:firstLine="12"/>
              <w:rPr>
                <w:lang w:eastAsia="en-US"/>
              </w:rPr>
            </w:pPr>
            <w:r w:rsidRPr="00636CB6">
              <w:rPr>
                <w:sz w:val="22"/>
                <w:szCs w:val="22"/>
                <w:lang w:eastAsia="en-US"/>
              </w:rPr>
              <w:t>Saskaņošanai nosūtītā projekta redakcija (konkrēta punkta (panta) redakcija)</w:t>
            </w:r>
          </w:p>
        </w:tc>
        <w:tc>
          <w:tcPr>
            <w:tcW w:w="1068" w:type="pct"/>
            <w:tcBorders>
              <w:top w:val="single" w:sz="6" w:space="0" w:color="000000"/>
              <w:left w:val="single" w:sz="6" w:space="0" w:color="000000"/>
              <w:bottom w:val="single" w:sz="6" w:space="0" w:color="000000"/>
              <w:right w:val="single" w:sz="6" w:space="0" w:color="000000"/>
            </w:tcBorders>
            <w:vAlign w:val="center"/>
            <w:hideMark/>
          </w:tcPr>
          <w:p w:rsidR="00C01E51" w:rsidRPr="00636CB6" w:rsidRDefault="00F64DE4" w:rsidP="000C1E0E">
            <w:pPr>
              <w:pStyle w:val="naisc"/>
              <w:spacing w:before="0" w:after="0"/>
              <w:ind w:right="3"/>
              <w:rPr>
                <w:lang w:eastAsia="en-US"/>
              </w:rPr>
            </w:pPr>
            <w:r w:rsidRPr="00636CB6">
              <w:rPr>
                <w:sz w:val="22"/>
                <w:szCs w:val="22"/>
                <w:lang w:eastAsia="en-US"/>
              </w:rPr>
              <w:t>Atzinumā norādītais ministrijas (citas institūcijas) iebildums, kā arī saskaņošanā papildus izte</w:t>
            </w:r>
            <w:r w:rsidR="00734AC4" w:rsidRPr="00636CB6">
              <w:rPr>
                <w:sz w:val="22"/>
                <w:szCs w:val="22"/>
                <w:lang w:eastAsia="en-US"/>
              </w:rPr>
              <w:t>iktais iebildums par projekta konkrēto punktu (pantu)</w:t>
            </w:r>
          </w:p>
        </w:tc>
        <w:tc>
          <w:tcPr>
            <w:tcW w:w="1015" w:type="pct"/>
            <w:tcBorders>
              <w:top w:val="single" w:sz="6" w:space="0" w:color="000000"/>
              <w:left w:val="single" w:sz="6" w:space="0" w:color="000000"/>
              <w:bottom w:val="single" w:sz="6" w:space="0" w:color="000000"/>
              <w:right w:val="single" w:sz="6" w:space="0" w:color="000000"/>
            </w:tcBorders>
            <w:vAlign w:val="center"/>
            <w:hideMark/>
          </w:tcPr>
          <w:p w:rsidR="00C01E51" w:rsidRPr="00636CB6" w:rsidRDefault="00F64DE4" w:rsidP="000C1E0E">
            <w:pPr>
              <w:pStyle w:val="naisc"/>
              <w:spacing w:before="0" w:after="0"/>
              <w:ind w:firstLine="21"/>
              <w:rPr>
                <w:lang w:eastAsia="en-US"/>
              </w:rPr>
            </w:pPr>
            <w:r w:rsidRPr="00636CB6">
              <w:rPr>
                <w:sz w:val="22"/>
                <w:szCs w:val="22"/>
                <w:lang w:eastAsia="en-US"/>
              </w:rPr>
              <w:t>Atbildīgās ministrijas pamatojums iebilduma noraidījumam</w:t>
            </w:r>
          </w:p>
        </w:tc>
        <w:tc>
          <w:tcPr>
            <w:tcW w:w="816" w:type="pct"/>
            <w:tcBorders>
              <w:top w:val="single" w:sz="4" w:space="0" w:color="auto"/>
              <w:left w:val="single" w:sz="4" w:space="0" w:color="auto"/>
              <w:bottom w:val="single" w:sz="4" w:space="0" w:color="auto"/>
              <w:right w:val="single" w:sz="4" w:space="0" w:color="auto"/>
            </w:tcBorders>
            <w:vAlign w:val="center"/>
            <w:hideMark/>
          </w:tcPr>
          <w:p w:rsidR="00C01E51" w:rsidRPr="00636CB6" w:rsidRDefault="00F64DE4" w:rsidP="000C1E0E">
            <w:pPr>
              <w:jc w:val="center"/>
              <w:rPr>
                <w:lang w:eastAsia="en-US"/>
              </w:rPr>
            </w:pPr>
            <w:r w:rsidRPr="00636CB6">
              <w:rPr>
                <w:sz w:val="22"/>
                <w:szCs w:val="22"/>
                <w:lang w:eastAsia="en-US"/>
              </w:rPr>
              <w:t>Atzinuma sniedzēja uzturētais iebildums, ja tas atšķiras no atzinumā norādītā iebilduma pamatojuma</w:t>
            </w:r>
          </w:p>
        </w:tc>
        <w:tc>
          <w:tcPr>
            <w:tcW w:w="836" w:type="pct"/>
            <w:tcBorders>
              <w:top w:val="single" w:sz="4" w:space="0" w:color="auto"/>
              <w:left w:val="single" w:sz="4" w:space="0" w:color="auto"/>
              <w:bottom w:val="single" w:sz="4" w:space="0" w:color="auto"/>
              <w:right w:val="single" w:sz="4" w:space="0" w:color="auto"/>
            </w:tcBorders>
            <w:vAlign w:val="center"/>
            <w:hideMark/>
          </w:tcPr>
          <w:p w:rsidR="00C01E51" w:rsidRPr="00636CB6" w:rsidRDefault="00F64DE4" w:rsidP="000C1E0E">
            <w:pPr>
              <w:jc w:val="center"/>
              <w:rPr>
                <w:lang w:eastAsia="en-US"/>
              </w:rPr>
            </w:pPr>
            <w:r w:rsidRPr="00636CB6">
              <w:rPr>
                <w:sz w:val="22"/>
                <w:szCs w:val="22"/>
                <w:lang w:eastAsia="en-US"/>
              </w:rPr>
              <w:t>Projekta attiecīgā punkta (panta) galīgā redakcija</w:t>
            </w:r>
          </w:p>
        </w:tc>
      </w:tr>
      <w:tr w:rsidR="00F64DE4" w:rsidRPr="00636CB6" w:rsidTr="009F52B3">
        <w:tc>
          <w:tcPr>
            <w:tcW w:w="259" w:type="pct"/>
            <w:tcBorders>
              <w:top w:val="single" w:sz="6" w:space="0" w:color="000000"/>
              <w:left w:val="single" w:sz="6" w:space="0" w:color="000000"/>
              <w:bottom w:val="single" w:sz="6" w:space="0" w:color="000000"/>
              <w:right w:val="single" w:sz="6" w:space="0" w:color="000000"/>
            </w:tcBorders>
            <w:hideMark/>
          </w:tcPr>
          <w:p w:rsidR="00C01E51" w:rsidRPr="00636CB6" w:rsidRDefault="00F64DE4" w:rsidP="000C1E0E">
            <w:pPr>
              <w:pStyle w:val="naisc"/>
              <w:spacing w:before="0" w:after="0"/>
              <w:rPr>
                <w:lang w:eastAsia="en-US"/>
              </w:rPr>
            </w:pPr>
            <w:r w:rsidRPr="00636CB6">
              <w:rPr>
                <w:sz w:val="22"/>
                <w:szCs w:val="22"/>
                <w:lang w:eastAsia="en-US"/>
              </w:rPr>
              <w:t>1</w:t>
            </w:r>
          </w:p>
        </w:tc>
        <w:tc>
          <w:tcPr>
            <w:tcW w:w="1006" w:type="pct"/>
            <w:tcBorders>
              <w:top w:val="single" w:sz="6" w:space="0" w:color="000000"/>
              <w:left w:val="single" w:sz="6" w:space="0" w:color="000000"/>
              <w:bottom w:val="single" w:sz="6" w:space="0" w:color="000000"/>
              <w:right w:val="single" w:sz="6" w:space="0" w:color="000000"/>
            </w:tcBorders>
            <w:hideMark/>
          </w:tcPr>
          <w:p w:rsidR="00C01E51" w:rsidRPr="00636CB6" w:rsidRDefault="00F64DE4" w:rsidP="000C1E0E">
            <w:pPr>
              <w:pStyle w:val="naisc"/>
              <w:spacing w:before="0" w:after="0"/>
              <w:ind w:hanging="11"/>
              <w:rPr>
                <w:lang w:eastAsia="en-US"/>
              </w:rPr>
            </w:pPr>
            <w:r w:rsidRPr="00636CB6">
              <w:rPr>
                <w:sz w:val="22"/>
                <w:szCs w:val="22"/>
                <w:lang w:eastAsia="en-US"/>
              </w:rPr>
              <w:t>2</w:t>
            </w:r>
          </w:p>
        </w:tc>
        <w:tc>
          <w:tcPr>
            <w:tcW w:w="1068" w:type="pct"/>
            <w:tcBorders>
              <w:top w:val="single" w:sz="6" w:space="0" w:color="000000"/>
              <w:left w:val="single" w:sz="6" w:space="0" w:color="000000"/>
              <w:bottom w:val="single" w:sz="6" w:space="0" w:color="000000"/>
              <w:right w:val="single" w:sz="6" w:space="0" w:color="000000"/>
            </w:tcBorders>
            <w:hideMark/>
          </w:tcPr>
          <w:p w:rsidR="00C01E51" w:rsidRPr="00636CB6" w:rsidRDefault="00F64DE4" w:rsidP="000C1E0E">
            <w:pPr>
              <w:pStyle w:val="naisc"/>
              <w:spacing w:before="0" w:after="0"/>
              <w:rPr>
                <w:lang w:eastAsia="en-US"/>
              </w:rPr>
            </w:pPr>
            <w:r w:rsidRPr="00636CB6">
              <w:rPr>
                <w:sz w:val="22"/>
                <w:szCs w:val="22"/>
                <w:lang w:eastAsia="en-US"/>
              </w:rPr>
              <w:t>3</w:t>
            </w:r>
          </w:p>
        </w:tc>
        <w:tc>
          <w:tcPr>
            <w:tcW w:w="1015" w:type="pct"/>
            <w:tcBorders>
              <w:top w:val="single" w:sz="6" w:space="0" w:color="000000"/>
              <w:left w:val="single" w:sz="6" w:space="0" w:color="000000"/>
              <w:bottom w:val="single" w:sz="6" w:space="0" w:color="000000"/>
              <w:right w:val="single" w:sz="6" w:space="0" w:color="000000"/>
            </w:tcBorders>
            <w:hideMark/>
          </w:tcPr>
          <w:p w:rsidR="00C01E51" w:rsidRPr="00636CB6" w:rsidRDefault="00F64DE4" w:rsidP="000C1E0E">
            <w:pPr>
              <w:pStyle w:val="naisc"/>
              <w:spacing w:before="0" w:after="0"/>
              <w:rPr>
                <w:lang w:eastAsia="en-US"/>
              </w:rPr>
            </w:pPr>
            <w:r w:rsidRPr="00636CB6">
              <w:rPr>
                <w:sz w:val="22"/>
                <w:szCs w:val="22"/>
                <w:lang w:eastAsia="en-US"/>
              </w:rPr>
              <w:t>4</w:t>
            </w:r>
          </w:p>
        </w:tc>
        <w:tc>
          <w:tcPr>
            <w:tcW w:w="816" w:type="pct"/>
            <w:tcBorders>
              <w:top w:val="single" w:sz="4" w:space="0" w:color="auto"/>
              <w:left w:val="single" w:sz="4" w:space="0" w:color="auto"/>
              <w:bottom w:val="single" w:sz="4" w:space="0" w:color="auto"/>
              <w:right w:val="single" w:sz="4" w:space="0" w:color="auto"/>
            </w:tcBorders>
            <w:hideMark/>
          </w:tcPr>
          <w:p w:rsidR="00C01E51" w:rsidRPr="00636CB6" w:rsidRDefault="00F64DE4" w:rsidP="000C1E0E">
            <w:pPr>
              <w:jc w:val="center"/>
              <w:rPr>
                <w:lang w:eastAsia="en-US"/>
              </w:rPr>
            </w:pPr>
            <w:r w:rsidRPr="00636CB6">
              <w:rPr>
                <w:sz w:val="22"/>
                <w:szCs w:val="22"/>
                <w:lang w:eastAsia="en-US"/>
              </w:rPr>
              <w:t>5</w:t>
            </w:r>
          </w:p>
        </w:tc>
        <w:tc>
          <w:tcPr>
            <w:tcW w:w="836" w:type="pct"/>
            <w:tcBorders>
              <w:top w:val="single" w:sz="4" w:space="0" w:color="auto"/>
              <w:left w:val="single" w:sz="4" w:space="0" w:color="auto"/>
              <w:bottom w:val="single" w:sz="4" w:space="0" w:color="auto"/>
              <w:right w:val="single" w:sz="4" w:space="0" w:color="auto"/>
            </w:tcBorders>
            <w:hideMark/>
          </w:tcPr>
          <w:p w:rsidR="00C01E51" w:rsidRPr="00636CB6" w:rsidRDefault="00F64DE4" w:rsidP="000C1E0E">
            <w:pPr>
              <w:jc w:val="center"/>
              <w:rPr>
                <w:lang w:eastAsia="en-US"/>
              </w:rPr>
            </w:pPr>
            <w:r w:rsidRPr="00636CB6">
              <w:rPr>
                <w:sz w:val="22"/>
                <w:szCs w:val="22"/>
                <w:lang w:eastAsia="en-US"/>
              </w:rPr>
              <w:t>6</w:t>
            </w:r>
          </w:p>
        </w:tc>
      </w:tr>
      <w:tr w:rsidR="00222E72" w:rsidRPr="00636CB6" w:rsidTr="009F52B3">
        <w:tc>
          <w:tcPr>
            <w:tcW w:w="259" w:type="pct"/>
            <w:tcBorders>
              <w:top w:val="single" w:sz="6" w:space="0" w:color="000000"/>
              <w:left w:val="single" w:sz="6" w:space="0" w:color="000000"/>
              <w:bottom w:val="single" w:sz="6" w:space="0" w:color="000000"/>
              <w:right w:val="single" w:sz="6" w:space="0" w:color="000000"/>
            </w:tcBorders>
          </w:tcPr>
          <w:p w:rsidR="00222E72" w:rsidRPr="00636CB6" w:rsidRDefault="00222E72" w:rsidP="001B73C0">
            <w:pPr>
              <w:pStyle w:val="naisc"/>
              <w:spacing w:before="0" w:after="0"/>
              <w:ind w:left="284"/>
              <w:jc w:val="left"/>
              <w:rPr>
                <w:lang w:eastAsia="en-US"/>
              </w:rPr>
            </w:pPr>
          </w:p>
        </w:tc>
        <w:tc>
          <w:tcPr>
            <w:tcW w:w="1006" w:type="pct"/>
            <w:tcBorders>
              <w:top w:val="single" w:sz="6" w:space="0" w:color="000000"/>
              <w:left w:val="single" w:sz="6" w:space="0" w:color="000000"/>
              <w:bottom w:val="single" w:sz="6" w:space="0" w:color="000000"/>
              <w:right w:val="single" w:sz="6" w:space="0" w:color="000000"/>
            </w:tcBorders>
          </w:tcPr>
          <w:p w:rsidR="006666B8" w:rsidRPr="00636CB6" w:rsidRDefault="006666B8" w:rsidP="000C1E0E">
            <w:pPr>
              <w:pStyle w:val="Bezatstarpm"/>
              <w:jc w:val="both"/>
              <w:rPr>
                <w:rFonts w:ascii="Times New Roman" w:hAnsi="Times New Roman"/>
              </w:rPr>
            </w:pPr>
          </w:p>
        </w:tc>
        <w:tc>
          <w:tcPr>
            <w:tcW w:w="1068" w:type="pct"/>
            <w:tcBorders>
              <w:top w:val="single" w:sz="6" w:space="0" w:color="000000"/>
              <w:left w:val="single" w:sz="6" w:space="0" w:color="000000"/>
              <w:bottom w:val="single" w:sz="6" w:space="0" w:color="000000"/>
              <w:right w:val="single" w:sz="6" w:space="0" w:color="000000"/>
            </w:tcBorders>
          </w:tcPr>
          <w:p w:rsidR="00222E72" w:rsidRPr="00636CB6" w:rsidRDefault="00222E72" w:rsidP="000C1E0E">
            <w:pPr>
              <w:pStyle w:val="naisc"/>
              <w:spacing w:before="0" w:after="0"/>
              <w:jc w:val="both"/>
              <w:rPr>
                <w:lang w:eastAsia="en-US"/>
              </w:rPr>
            </w:pPr>
          </w:p>
        </w:tc>
        <w:tc>
          <w:tcPr>
            <w:tcW w:w="1015" w:type="pct"/>
            <w:tcBorders>
              <w:top w:val="single" w:sz="6" w:space="0" w:color="000000"/>
              <w:left w:val="single" w:sz="6" w:space="0" w:color="000000"/>
              <w:bottom w:val="single" w:sz="6" w:space="0" w:color="000000"/>
              <w:right w:val="single" w:sz="6" w:space="0" w:color="000000"/>
            </w:tcBorders>
          </w:tcPr>
          <w:p w:rsidR="00373BD1" w:rsidRPr="00636CB6" w:rsidRDefault="00373BD1" w:rsidP="00373BD1">
            <w:pPr>
              <w:pStyle w:val="naisc"/>
              <w:spacing w:before="0" w:after="0"/>
              <w:jc w:val="both"/>
              <w:rPr>
                <w:lang w:eastAsia="en-US"/>
              </w:rPr>
            </w:pPr>
          </w:p>
        </w:tc>
        <w:tc>
          <w:tcPr>
            <w:tcW w:w="816" w:type="pct"/>
            <w:tcBorders>
              <w:top w:val="single" w:sz="4" w:space="0" w:color="auto"/>
              <w:left w:val="single" w:sz="4" w:space="0" w:color="auto"/>
              <w:bottom w:val="single" w:sz="4" w:space="0" w:color="auto"/>
              <w:right w:val="single" w:sz="4" w:space="0" w:color="auto"/>
            </w:tcBorders>
          </w:tcPr>
          <w:p w:rsidR="00222E72" w:rsidRPr="00636CB6" w:rsidRDefault="00222E72" w:rsidP="000C1E0E">
            <w:pPr>
              <w:jc w:val="center"/>
              <w:rPr>
                <w:lang w:eastAsia="en-US"/>
              </w:rPr>
            </w:pPr>
          </w:p>
        </w:tc>
        <w:tc>
          <w:tcPr>
            <w:tcW w:w="836" w:type="pct"/>
            <w:tcBorders>
              <w:top w:val="single" w:sz="4" w:space="0" w:color="auto"/>
              <w:left w:val="single" w:sz="4" w:space="0" w:color="auto"/>
              <w:bottom w:val="single" w:sz="4" w:space="0" w:color="auto"/>
              <w:right w:val="single" w:sz="4" w:space="0" w:color="auto"/>
            </w:tcBorders>
          </w:tcPr>
          <w:p w:rsidR="00222E72" w:rsidRPr="00636CB6" w:rsidRDefault="00222E72" w:rsidP="00D36753">
            <w:pPr>
              <w:jc w:val="both"/>
              <w:rPr>
                <w:lang w:eastAsia="en-US"/>
              </w:rPr>
            </w:pPr>
          </w:p>
        </w:tc>
      </w:tr>
    </w:tbl>
    <w:p w:rsidR="00D36753" w:rsidRPr="000C1E0E" w:rsidRDefault="00D36753" w:rsidP="002061EB">
      <w:pPr>
        <w:ind w:right="57"/>
        <w:contextualSpacing/>
        <w:mirrorIndents/>
        <w:jc w:val="both"/>
        <w:rPr>
          <w:sz w:val="22"/>
          <w:szCs w:val="22"/>
        </w:rPr>
      </w:pPr>
    </w:p>
    <w:p w:rsidR="00C01E51" w:rsidRPr="000C1E0E" w:rsidRDefault="00734AC4" w:rsidP="003B293D">
      <w:pPr>
        <w:ind w:left="57" w:right="57"/>
        <w:contextualSpacing/>
        <w:mirrorIndents/>
        <w:rPr>
          <w:sz w:val="22"/>
          <w:szCs w:val="22"/>
        </w:rPr>
      </w:pPr>
      <w:r w:rsidRPr="000C1E0E">
        <w:rPr>
          <w:b/>
          <w:bCs/>
          <w:sz w:val="22"/>
          <w:szCs w:val="22"/>
        </w:rPr>
        <w:t>Informācija par starpministriju (starpinstitūciju) sanāksmi vai elektronisko saskaņošanu</w:t>
      </w:r>
      <w:r w:rsidRPr="000C1E0E">
        <w:rPr>
          <w:sz w:val="22"/>
          <w:szCs w:val="22"/>
        </w:rPr>
        <w:t> </w:t>
      </w:r>
    </w:p>
    <w:p w:rsidR="00D724E9" w:rsidRPr="000C1E0E" w:rsidRDefault="00D724E9" w:rsidP="003B293D">
      <w:pPr>
        <w:ind w:left="57" w:right="57"/>
        <w:contextualSpacing/>
        <w:mirrorIndents/>
        <w:rPr>
          <w:sz w:val="22"/>
          <w:szCs w:val="22"/>
        </w:rPr>
      </w:pPr>
    </w:p>
    <w:tbl>
      <w:tblPr>
        <w:tblW w:w="14283" w:type="dxa"/>
        <w:tblLook w:val="00A0"/>
      </w:tblPr>
      <w:tblGrid>
        <w:gridCol w:w="14283"/>
      </w:tblGrid>
      <w:tr w:rsidR="00F64DE4" w:rsidRPr="000C1E0E" w:rsidTr="000C1E0E">
        <w:tc>
          <w:tcPr>
            <w:tcW w:w="14283" w:type="dxa"/>
            <w:hideMark/>
          </w:tcPr>
          <w:tbl>
            <w:tblPr>
              <w:tblW w:w="5000" w:type="pct"/>
              <w:tblLook w:val="00A0"/>
            </w:tblPr>
            <w:tblGrid>
              <w:gridCol w:w="6130"/>
              <w:gridCol w:w="1561"/>
              <w:gridCol w:w="5706"/>
              <w:gridCol w:w="135"/>
              <w:gridCol w:w="535"/>
            </w:tblGrid>
            <w:tr w:rsidR="00F64DE4" w:rsidRPr="000C1E0E" w:rsidTr="003C46B9">
              <w:tc>
                <w:tcPr>
                  <w:tcW w:w="2179" w:type="pct"/>
                  <w:hideMark/>
                </w:tcPr>
                <w:p w:rsidR="00C01E51" w:rsidRPr="000C1E0E" w:rsidRDefault="004520D3" w:rsidP="003B293D">
                  <w:pPr>
                    <w:pStyle w:val="naisf"/>
                    <w:spacing w:before="0" w:after="0"/>
                    <w:ind w:firstLine="0"/>
                    <w:rPr>
                      <w:lang w:eastAsia="en-US"/>
                    </w:rPr>
                  </w:pPr>
                  <w:r w:rsidRPr="000C1E0E">
                    <w:rPr>
                      <w:sz w:val="22"/>
                      <w:szCs w:val="22"/>
                      <w:lang w:eastAsia="en-US"/>
                    </w:rPr>
                    <w:t>Datums</w:t>
                  </w:r>
                </w:p>
              </w:tc>
              <w:tc>
                <w:tcPr>
                  <w:tcW w:w="2821" w:type="pct"/>
                  <w:gridSpan w:val="4"/>
                  <w:tcBorders>
                    <w:top w:val="nil"/>
                    <w:left w:val="nil"/>
                    <w:bottom w:val="single" w:sz="4" w:space="0" w:color="auto"/>
                    <w:right w:val="nil"/>
                  </w:tcBorders>
                  <w:hideMark/>
                </w:tcPr>
                <w:p w:rsidR="00C01E51" w:rsidRPr="000C1E0E" w:rsidRDefault="00672235" w:rsidP="008A0C69">
                  <w:pPr>
                    <w:pStyle w:val="ParastaisWeb"/>
                    <w:spacing w:before="0" w:beforeAutospacing="0" w:after="0" w:afterAutospacing="0"/>
                    <w:rPr>
                      <w:lang w:eastAsia="en-US"/>
                    </w:rPr>
                  </w:pPr>
                  <w:r>
                    <w:rPr>
                      <w:sz w:val="22"/>
                      <w:szCs w:val="22"/>
                      <w:lang w:eastAsia="en-US"/>
                    </w:rPr>
                    <w:t>2019.gada 2</w:t>
                  </w:r>
                  <w:r w:rsidR="008A7CCC">
                    <w:rPr>
                      <w:sz w:val="22"/>
                      <w:szCs w:val="22"/>
                      <w:lang w:eastAsia="en-US"/>
                    </w:rPr>
                    <w:t>6</w:t>
                  </w:r>
                  <w:r>
                    <w:rPr>
                      <w:sz w:val="22"/>
                      <w:szCs w:val="22"/>
                      <w:lang w:eastAsia="en-US"/>
                    </w:rPr>
                    <w:t>.aprīl</w:t>
                  </w:r>
                  <w:r w:rsidR="009F52B3">
                    <w:rPr>
                      <w:sz w:val="22"/>
                      <w:szCs w:val="22"/>
                      <w:lang w:eastAsia="en-US"/>
                    </w:rPr>
                    <w:t>ī</w:t>
                  </w:r>
                </w:p>
              </w:tc>
            </w:tr>
            <w:tr w:rsidR="00F64DE4" w:rsidRPr="000C1E0E" w:rsidTr="003C46B9">
              <w:tc>
                <w:tcPr>
                  <w:tcW w:w="2179" w:type="pct"/>
                </w:tcPr>
                <w:p w:rsidR="00C01E51" w:rsidRPr="000C1E0E" w:rsidRDefault="00C01E51" w:rsidP="003B293D">
                  <w:pPr>
                    <w:pStyle w:val="naisf"/>
                    <w:spacing w:before="0" w:after="0"/>
                    <w:rPr>
                      <w:lang w:eastAsia="en-US"/>
                    </w:rPr>
                  </w:pPr>
                </w:p>
              </w:tc>
              <w:tc>
                <w:tcPr>
                  <w:tcW w:w="2821" w:type="pct"/>
                  <w:gridSpan w:val="4"/>
                  <w:tcBorders>
                    <w:top w:val="single" w:sz="4" w:space="0" w:color="auto"/>
                    <w:left w:val="nil"/>
                    <w:bottom w:val="nil"/>
                    <w:right w:val="nil"/>
                  </w:tcBorders>
                </w:tcPr>
                <w:p w:rsidR="00C01E51" w:rsidRPr="000C1E0E" w:rsidRDefault="00C01E51" w:rsidP="003B293D">
                  <w:pPr>
                    <w:pStyle w:val="ParastaisWeb"/>
                    <w:spacing w:before="0" w:beforeAutospacing="0" w:after="0" w:afterAutospacing="0"/>
                    <w:ind w:firstLine="720"/>
                    <w:rPr>
                      <w:lang w:eastAsia="en-US"/>
                    </w:rPr>
                  </w:pPr>
                </w:p>
              </w:tc>
            </w:tr>
            <w:tr w:rsidR="00F64DE4" w:rsidRPr="000C1E0E" w:rsidTr="003C46B9">
              <w:trPr>
                <w:gridAfter w:val="2"/>
                <w:wAfter w:w="238" w:type="pct"/>
              </w:trPr>
              <w:tc>
                <w:tcPr>
                  <w:tcW w:w="2179" w:type="pct"/>
                  <w:hideMark/>
                </w:tcPr>
                <w:p w:rsidR="00C01E51" w:rsidRPr="000C1E0E" w:rsidRDefault="00F64DE4" w:rsidP="003B293D">
                  <w:pPr>
                    <w:pStyle w:val="naiskr"/>
                    <w:spacing w:before="0" w:after="0"/>
                    <w:rPr>
                      <w:lang w:eastAsia="en-US"/>
                    </w:rPr>
                  </w:pPr>
                  <w:r w:rsidRPr="000C1E0E">
                    <w:rPr>
                      <w:sz w:val="22"/>
                      <w:szCs w:val="22"/>
                      <w:lang w:eastAsia="en-US"/>
                    </w:rPr>
                    <w:t>Saskaņošanas dalībnieki</w:t>
                  </w:r>
                </w:p>
              </w:tc>
              <w:tc>
                <w:tcPr>
                  <w:tcW w:w="2583" w:type="pct"/>
                  <w:gridSpan w:val="2"/>
                  <w:tcBorders>
                    <w:top w:val="nil"/>
                    <w:left w:val="nil"/>
                    <w:bottom w:val="single" w:sz="4" w:space="0" w:color="auto"/>
                    <w:right w:val="nil"/>
                  </w:tcBorders>
                  <w:hideMark/>
                </w:tcPr>
                <w:p w:rsidR="00C01E51" w:rsidRPr="000C1E0E" w:rsidRDefault="000C1E0E" w:rsidP="00744BDA">
                  <w:pPr>
                    <w:pStyle w:val="ParastaisWeb"/>
                    <w:spacing w:before="0" w:beforeAutospacing="0" w:after="0" w:afterAutospacing="0"/>
                    <w:ind w:left="34"/>
                    <w:jc w:val="both"/>
                    <w:rPr>
                      <w:lang w:eastAsia="en-US"/>
                    </w:rPr>
                  </w:pPr>
                  <w:r w:rsidRPr="000C1E0E">
                    <w:rPr>
                      <w:sz w:val="22"/>
                      <w:szCs w:val="22"/>
                      <w:lang w:eastAsia="en-US"/>
                    </w:rPr>
                    <w:t>Tieslietu ministrij</w:t>
                  </w:r>
                  <w:r>
                    <w:rPr>
                      <w:sz w:val="22"/>
                      <w:szCs w:val="22"/>
                      <w:lang w:eastAsia="en-US"/>
                    </w:rPr>
                    <w:t>a</w:t>
                  </w:r>
                  <w:r w:rsidRPr="000C1E0E">
                    <w:rPr>
                      <w:sz w:val="22"/>
                      <w:szCs w:val="22"/>
                      <w:lang w:eastAsia="en-US"/>
                    </w:rPr>
                    <w:t>, Finanšu ministrij</w:t>
                  </w:r>
                  <w:r>
                    <w:rPr>
                      <w:sz w:val="22"/>
                      <w:szCs w:val="22"/>
                      <w:lang w:eastAsia="en-US"/>
                    </w:rPr>
                    <w:t>a</w:t>
                  </w:r>
                  <w:r w:rsidR="00744BDA">
                    <w:rPr>
                      <w:sz w:val="22"/>
                      <w:szCs w:val="22"/>
                      <w:lang w:eastAsia="en-US"/>
                    </w:rPr>
                    <w:t>,</w:t>
                  </w:r>
                  <w:r w:rsidRPr="000C1E0E">
                    <w:rPr>
                      <w:sz w:val="22"/>
                      <w:szCs w:val="22"/>
                      <w:lang w:eastAsia="en-US"/>
                    </w:rPr>
                    <w:t xml:space="preserve"> Vides aizsardzības un reģionālās attīstības ministrij</w:t>
                  </w:r>
                  <w:r>
                    <w:rPr>
                      <w:sz w:val="22"/>
                      <w:szCs w:val="22"/>
                      <w:lang w:eastAsia="en-US"/>
                    </w:rPr>
                    <w:t>a</w:t>
                  </w:r>
                  <w:r w:rsidRPr="000C1E0E">
                    <w:rPr>
                      <w:sz w:val="22"/>
                      <w:szCs w:val="22"/>
                      <w:lang w:eastAsia="en-US"/>
                    </w:rPr>
                    <w:t>, Latvijas Pašvaldību savienīb</w:t>
                  </w:r>
                  <w:r>
                    <w:rPr>
                      <w:sz w:val="22"/>
                      <w:szCs w:val="22"/>
                      <w:lang w:eastAsia="en-US"/>
                    </w:rPr>
                    <w:t xml:space="preserve">a, </w:t>
                  </w:r>
                  <w:r w:rsidRPr="000C1E0E">
                    <w:rPr>
                      <w:sz w:val="22"/>
                      <w:szCs w:val="22"/>
                      <w:lang w:eastAsia="en-US"/>
                    </w:rPr>
                    <w:t>La</w:t>
                  </w:r>
                  <w:r>
                    <w:rPr>
                      <w:sz w:val="22"/>
                      <w:szCs w:val="22"/>
                      <w:lang w:eastAsia="en-US"/>
                    </w:rPr>
                    <w:t xml:space="preserve">tvijas Lielo pilsētu asociācija </w:t>
                  </w:r>
                </w:p>
              </w:tc>
            </w:tr>
            <w:tr w:rsidR="00F64DE4" w:rsidRPr="000C1E0E" w:rsidTr="003C46B9">
              <w:trPr>
                <w:gridAfter w:val="1"/>
                <w:wAfter w:w="190" w:type="pct"/>
                <w:trHeight w:val="208"/>
              </w:trPr>
              <w:tc>
                <w:tcPr>
                  <w:tcW w:w="2179" w:type="pct"/>
                </w:tcPr>
                <w:p w:rsidR="00C01E51" w:rsidRPr="000C1E0E" w:rsidRDefault="00C01E51" w:rsidP="003B293D">
                  <w:pPr>
                    <w:pStyle w:val="naiskr"/>
                    <w:spacing w:before="0" w:after="0"/>
                    <w:rPr>
                      <w:lang w:eastAsia="en-US"/>
                    </w:rPr>
                  </w:pPr>
                </w:p>
              </w:tc>
              <w:tc>
                <w:tcPr>
                  <w:tcW w:w="555" w:type="pct"/>
                </w:tcPr>
                <w:p w:rsidR="00C01E51" w:rsidRPr="000C1E0E" w:rsidRDefault="00C01E51" w:rsidP="003B293D">
                  <w:pPr>
                    <w:pStyle w:val="naiskr"/>
                    <w:spacing w:before="0" w:after="0"/>
                    <w:ind w:firstLine="720"/>
                    <w:rPr>
                      <w:lang w:eastAsia="en-US"/>
                    </w:rPr>
                  </w:pPr>
                </w:p>
              </w:tc>
              <w:tc>
                <w:tcPr>
                  <w:tcW w:w="2076" w:type="pct"/>
                  <w:gridSpan w:val="2"/>
                </w:tcPr>
                <w:p w:rsidR="00C01E51" w:rsidRPr="000C1E0E" w:rsidRDefault="00C01E51" w:rsidP="003B293D">
                  <w:pPr>
                    <w:pStyle w:val="naiskr"/>
                    <w:spacing w:before="0" w:after="0"/>
                    <w:ind w:firstLine="12"/>
                    <w:rPr>
                      <w:lang w:eastAsia="en-US"/>
                    </w:rPr>
                  </w:pPr>
                </w:p>
              </w:tc>
            </w:tr>
            <w:tr w:rsidR="00F64DE4" w:rsidRPr="000C1E0E" w:rsidTr="003C46B9">
              <w:trPr>
                <w:gridAfter w:val="1"/>
                <w:wAfter w:w="190" w:type="pct"/>
                <w:trHeight w:val="461"/>
              </w:trPr>
              <w:tc>
                <w:tcPr>
                  <w:tcW w:w="2179" w:type="pct"/>
                  <w:hideMark/>
                </w:tcPr>
                <w:p w:rsidR="00C01E51" w:rsidRPr="000C1E0E" w:rsidRDefault="00F64DE4" w:rsidP="003B293D">
                  <w:pPr>
                    <w:pStyle w:val="naiskr"/>
                    <w:spacing w:before="0" w:after="0"/>
                    <w:ind w:right="500"/>
                    <w:rPr>
                      <w:lang w:eastAsia="en-US"/>
                    </w:rPr>
                  </w:pPr>
                  <w:r w:rsidRPr="000C1E0E">
                    <w:rPr>
                      <w:sz w:val="22"/>
                      <w:szCs w:val="22"/>
                      <w:lang w:eastAsia="en-US"/>
                    </w:rPr>
                    <w:t>Saskaņošanas dalībnieki izskatīja šādu ministriju (citu institūciju) iebildumus</w:t>
                  </w:r>
                </w:p>
              </w:tc>
              <w:tc>
                <w:tcPr>
                  <w:tcW w:w="2630" w:type="pct"/>
                  <w:gridSpan w:val="3"/>
                  <w:tcBorders>
                    <w:top w:val="nil"/>
                    <w:left w:val="nil"/>
                    <w:bottom w:val="single" w:sz="4" w:space="0" w:color="auto"/>
                    <w:right w:val="nil"/>
                  </w:tcBorders>
                  <w:hideMark/>
                </w:tcPr>
                <w:p w:rsidR="00C01E51" w:rsidRPr="000C1E0E" w:rsidRDefault="00F64DE4" w:rsidP="003B293D">
                  <w:pPr>
                    <w:pStyle w:val="naiskr"/>
                    <w:spacing w:before="0" w:after="0"/>
                    <w:ind w:right="-149" w:hanging="7"/>
                    <w:rPr>
                      <w:lang w:eastAsia="en-US"/>
                    </w:rPr>
                  </w:pPr>
                  <w:r w:rsidRPr="000C1E0E">
                    <w:rPr>
                      <w:sz w:val="22"/>
                      <w:szCs w:val="22"/>
                      <w:lang w:eastAsia="en-US"/>
                    </w:rPr>
                    <w:t>            </w:t>
                  </w:r>
                </w:p>
                <w:p w:rsidR="00C01E51" w:rsidRPr="000C1E0E" w:rsidRDefault="003A0B53" w:rsidP="003F6EF8">
                  <w:pPr>
                    <w:pStyle w:val="naiskr"/>
                    <w:spacing w:before="0" w:after="0"/>
                    <w:ind w:right="500"/>
                    <w:rPr>
                      <w:lang w:eastAsia="en-US"/>
                    </w:rPr>
                  </w:pPr>
                  <w:r w:rsidRPr="000C1E0E">
                    <w:rPr>
                      <w:sz w:val="22"/>
                      <w:szCs w:val="22"/>
                      <w:lang w:eastAsia="en-US"/>
                    </w:rPr>
                    <w:t>Latvijas Pašvaldību savienīb</w:t>
                  </w:r>
                  <w:r>
                    <w:rPr>
                      <w:sz w:val="22"/>
                      <w:szCs w:val="22"/>
                      <w:lang w:eastAsia="en-US"/>
                    </w:rPr>
                    <w:t>a</w:t>
                  </w:r>
                  <w:r w:rsidR="009F52B3">
                    <w:rPr>
                      <w:sz w:val="22"/>
                      <w:szCs w:val="22"/>
                      <w:lang w:eastAsia="en-US"/>
                    </w:rPr>
                    <w:t xml:space="preserve">, </w:t>
                  </w:r>
                  <w:r w:rsidR="000C1E0E">
                    <w:rPr>
                      <w:sz w:val="22"/>
                      <w:szCs w:val="22"/>
                      <w:lang w:eastAsia="en-US"/>
                    </w:rPr>
                    <w:t xml:space="preserve">Finanšu </w:t>
                  </w:r>
                  <w:r>
                    <w:rPr>
                      <w:sz w:val="22"/>
                      <w:szCs w:val="22"/>
                      <w:lang w:eastAsia="en-US"/>
                    </w:rPr>
                    <w:t>ministrija</w:t>
                  </w:r>
                </w:p>
              </w:tc>
            </w:tr>
            <w:tr w:rsidR="00F64DE4" w:rsidRPr="000C1E0E" w:rsidTr="003C46B9">
              <w:trPr>
                <w:gridAfter w:val="1"/>
                <w:wAfter w:w="190" w:type="pct"/>
                <w:trHeight w:val="224"/>
              </w:trPr>
              <w:tc>
                <w:tcPr>
                  <w:tcW w:w="4810" w:type="pct"/>
                  <w:gridSpan w:val="4"/>
                </w:tcPr>
                <w:p w:rsidR="00C01E51" w:rsidRPr="000C1E0E" w:rsidRDefault="00C01E51" w:rsidP="003B293D">
                  <w:pPr>
                    <w:pStyle w:val="naisc"/>
                    <w:spacing w:before="0" w:after="0"/>
                    <w:ind w:right="500"/>
                    <w:rPr>
                      <w:lang w:eastAsia="en-US"/>
                    </w:rPr>
                  </w:pPr>
                </w:p>
              </w:tc>
            </w:tr>
            <w:tr w:rsidR="00F64DE4" w:rsidRPr="000C1E0E" w:rsidTr="003C46B9">
              <w:trPr>
                <w:gridAfter w:val="1"/>
                <w:wAfter w:w="190" w:type="pct"/>
              </w:trPr>
              <w:tc>
                <w:tcPr>
                  <w:tcW w:w="2179" w:type="pct"/>
                  <w:hideMark/>
                </w:tcPr>
                <w:p w:rsidR="00C01E51" w:rsidRPr="000C1E0E" w:rsidRDefault="00F64DE4" w:rsidP="003B293D">
                  <w:pPr>
                    <w:pStyle w:val="naiskr"/>
                    <w:spacing w:before="0" w:after="0"/>
                    <w:ind w:right="500"/>
                    <w:rPr>
                      <w:lang w:eastAsia="en-US"/>
                    </w:rPr>
                  </w:pPr>
                  <w:r w:rsidRPr="000C1E0E">
                    <w:rPr>
                      <w:sz w:val="22"/>
                      <w:szCs w:val="22"/>
                      <w:lang w:eastAsia="en-US"/>
                    </w:rPr>
                    <w:t>Ministrijas (citas institūcijas), kuras nav ieradušās uz sanāksmi vai kuras nav atbildējušas uz uzaicinājumu piedalīties elektroniskajā saskaņošanā</w:t>
                  </w:r>
                </w:p>
              </w:tc>
              <w:tc>
                <w:tcPr>
                  <w:tcW w:w="2630" w:type="pct"/>
                  <w:gridSpan w:val="3"/>
                  <w:tcBorders>
                    <w:top w:val="nil"/>
                    <w:left w:val="nil"/>
                    <w:bottom w:val="single" w:sz="4" w:space="0" w:color="auto"/>
                    <w:right w:val="nil"/>
                  </w:tcBorders>
                </w:tcPr>
                <w:p w:rsidR="00C01E51" w:rsidRPr="000C1E0E" w:rsidRDefault="00C01E51" w:rsidP="003B293D">
                  <w:pPr>
                    <w:pStyle w:val="naiskr"/>
                    <w:spacing w:before="0" w:after="0"/>
                    <w:ind w:right="500" w:firstLine="720"/>
                    <w:rPr>
                      <w:lang w:eastAsia="en-US"/>
                    </w:rPr>
                  </w:pPr>
                </w:p>
              </w:tc>
            </w:tr>
          </w:tbl>
          <w:p w:rsidR="0062324C" w:rsidRPr="000C1E0E" w:rsidRDefault="0062324C" w:rsidP="003B293D">
            <w:pPr>
              <w:pStyle w:val="naiskr"/>
              <w:spacing w:before="0" w:after="0"/>
              <w:ind w:right="500" w:firstLine="720"/>
              <w:rPr>
                <w:lang w:eastAsia="en-US"/>
              </w:rPr>
            </w:pPr>
          </w:p>
        </w:tc>
      </w:tr>
    </w:tbl>
    <w:p w:rsidR="00B40726" w:rsidRDefault="00B40726" w:rsidP="003B293D">
      <w:pPr>
        <w:pStyle w:val="naisnod"/>
        <w:spacing w:before="0" w:after="0"/>
        <w:ind w:left="57" w:right="57"/>
        <w:contextualSpacing/>
        <w:mirrorIndents/>
        <w:rPr>
          <w:sz w:val="22"/>
          <w:szCs w:val="22"/>
        </w:rPr>
      </w:pPr>
    </w:p>
    <w:p w:rsidR="009F52B3" w:rsidRDefault="009F52B3" w:rsidP="003B293D">
      <w:pPr>
        <w:pStyle w:val="naisnod"/>
        <w:spacing w:before="0" w:after="0"/>
        <w:ind w:left="57" w:right="57"/>
        <w:contextualSpacing/>
        <w:mirrorIndents/>
        <w:rPr>
          <w:sz w:val="22"/>
          <w:szCs w:val="22"/>
        </w:rPr>
      </w:pPr>
    </w:p>
    <w:p w:rsidR="009F52B3" w:rsidRDefault="009F52B3" w:rsidP="003B293D">
      <w:pPr>
        <w:pStyle w:val="naisnod"/>
        <w:spacing w:before="0" w:after="0"/>
        <w:ind w:left="57" w:right="57"/>
        <w:contextualSpacing/>
        <w:mirrorIndents/>
        <w:rPr>
          <w:sz w:val="22"/>
          <w:szCs w:val="22"/>
        </w:rPr>
      </w:pPr>
    </w:p>
    <w:p w:rsidR="009F52B3" w:rsidRDefault="009F52B3" w:rsidP="003B293D">
      <w:pPr>
        <w:pStyle w:val="naisnod"/>
        <w:spacing w:before="0" w:after="0"/>
        <w:ind w:left="57" w:right="57"/>
        <w:contextualSpacing/>
        <w:mirrorIndents/>
        <w:rPr>
          <w:sz w:val="22"/>
          <w:szCs w:val="22"/>
        </w:rPr>
      </w:pPr>
    </w:p>
    <w:p w:rsidR="009F52B3" w:rsidRDefault="009F52B3" w:rsidP="003B293D">
      <w:pPr>
        <w:pStyle w:val="naisnod"/>
        <w:spacing w:before="0" w:after="0"/>
        <w:ind w:left="57" w:right="57"/>
        <w:contextualSpacing/>
        <w:mirrorIndents/>
        <w:rPr>
          <w:sz w:val="22"/>
          <w:szCs w:val="22"/>
        </w:rPr>
      </w:pPr>
    </w:p>
    <w:p w:rsidR="009F52B3" w:rsidRDefault="009F52B3" w:rsidP="003B293D">
      <w:pPr>
        <w:pStyle w:val="naisnod"/>
        <w:spacing w:before="0" w:after="0"/>
        <w:ind w:left="57" w:right="57"/>
        <w:contextualSpacing/>
        <w:mirrorIndents/>
        <w:rPr>
          <w:sz w:val="22"/>
          <w:szCs w:val="22"/>
        </w:rPr>
      </w:pPr>
    </w:p>
    <w:p w:rsidR="00F64DE4" w:rsidRPr="000C1E0E" w:rsidRDefault="00F64DE4" w:rsidP="003B293D">
      <w:pPr>
        <w:pStyle w:val="naisnod"/>
        <w:spacing w:before="0" w:after="0"/>
        <w:ind w:left="57" w:right="57"/>
        <w:contextualSpacing/>
        <w:mirrorIndents/>
        <w:rPr>
          <w:sz w:val="22"/>
          <w:szCs w:val="22"/>
        </w:rPr>
      </w:pPr>
      <w:r w:rsidRPr="000C1E0E">
        <w:rPr>
          <w:sz w:val="22"/>
          <w:szCs w:val="22"/>
        </w:rPr>
        <w:lastRenderedPageBreak/>
        <w:t>II. Jautājumi, par kuriem saskaņošanā vienošanās ir panākta</w:t>
      </w:r>
    </w:p>
    <w:p w:rsidR="00F64DE4" w:rsidRPr="000C1E0E" w:rsidRDefault="00F64DE4" w:rsidP="003B293D">
      <w:pPr>
        <w:pStyle w:val="naisnod"/>
        <w:spacing w:before="0" w:after="0"/>
        <w:ind w:left="57" w:right="57"/>
        <w:contextualSpacing/>
        <w:mirrorIndents/>
        <w:rPr>
          <w:sz w:val="22"/>
          <w:szCs w:val="22"/>
        </w:rPr>
      </w:pPr>
    </w:p>
    <w:tbl>
      <w:tblPr>
        <w:tblW w:w="5000" w:type="pct"/>
        <w:tblBorders>
          <w:top w:val="single" w:sz="4" w:space="0" w:color="auto"/>
          <w:left w:val="single" w:sz="4" w:space="0" w:color="auto"/>
          <w:bottom w:val="single" w:sz="4" w:space="0" w:color="auto"/>
          <w:right w:val="single" w:sz="4" w:space="0" w:color="auto"/>
        </w:tblBorders>
        <w:tblLayout w:type="fixed"/>
        <w:tblLook w:val="00A0"/>
      </w:tblPr>
      <w:tblGrid>
        <w:gridCol w:w="674"/>
        <w:gridCol w:w="3805"/>
        <w:gridCol w:w="3367"/>
        <w:gridCol w:w="3319"/>
        <w:gridCol w:w="3054"/>
      </w:tblGrid>
      <w:tr w:rsidR="009F52B3" w:rsidRPr="009F52B3" w:rsidTr="009F52B3">
        <w:tc>
          <w:tcPr>
            <w:tcW w:w="237" w:type="pct"/>
            <w:tcBorders>
              <w:top w:val="single" w:sz="6" w:space="0" w:color="000000"/>
              <w:left w:val="single" w:sz="6" w:space="0" w:color="000000"/>
              <w:bottom w:val="single" w:sz="6" w:space="0" w:color="000000"/>
              <w:right w:val="single" w:sz="6" w:space="0" w:color="000000"/>
            </w:tcBorders>
            <w:vAlign w:val="center"/>
          </w:tcPr>
          <w:p w:rsidR="00C01E51" w:rsidRPr="009F52B3" w:rsidRDefault="00C01E51" w:rsidP="00D82961">
            <w:pPr>
              <w:pStyle w:val="naisc"/>
              <w:spacing w:before="0" w:after="0"/>
              <w:rPr>
                <w:lang w:eastAsia="en-US"/>
              </w:rPr>
            </w:pPr>
          </w:p>
        </w:tc>
        <w:tc>
          <w:tcPr>
            <w:tcW w:w="1338" w:type="pct"/>
            <w:tcBorders>
              <w:top w:val="single" w:sz="6" w:space="0" w:color="000000"/>
              <w:left w:val="single" w:sz="6" w:space="0" w:color="000000"/>
              <w:bottom w:val="single" w:sz="6" w:space="0" w:color="000000"/>
              <w:right w:val="single" w:sz="6" w:space="0" w:color="000000"/>
            </w:tcBorders>
            <w:vAlign w:val="center"/>
            <w:hideMark/>
          </w:tcPr>
          <w:p w:rsidR="00C01E51" w:rsidRPr="009F52B3" w:rsidRDefault="00F64DE4" w:rsidP="00D82961">
            <w:pPr>
              <w:pStyle w:val="naisc"/>
              <w:spacing w:before="0" w:after="0"/>
              <w:ind w:firstLine="12"/>
              <w:rPr>
                <w:lang w:eastAsia="en-US"/>
              </w:rPr>
            </w:pPr>
            <w:r w:rsidRPr="009F52B3">
              <w:rPr>
                <w:sz w:val="22"/>
                <w:szCs w:val="22"/>
                <w:lang w:eastAsia="en-US"/>
              </w:rPr>
              <w:t>Saskaņošanai nosūtītā projekta redakcija (konkrēta punkta (panta) redakcija)</w:t>
            </w:r>
          </w:p>
        </w:tc>
        <w:tc>
          <w:tcPr>
            <w:tcW w:w="1184" w:type="pct"/>
            <w:tcBorders>
              <w:top w:val="single" w:sz="6" w:space="0" w:color="000000"/>
              <w:left w:val="single" w:sz="6" w:space="0" w:color="000000"/>
              <w:bottom w:val="single" w:sz="6" w:space="0" w:color="000000"/>
              <w:right w:val="single" w:sz="6" w:space="0" w:color="000000"/>
            </w:tcBorders>
            <w:vAlign w:val="center"/>
            <w:hideMark/>
          </w:tcPr>
          <w:p w:rsidR="00C01E51" w:rsidRPr="009F52B3" w:rsidRDefault="00F64DE4" w:rsidP="00D82961">
            <w:pPr>
              <w:pStyle w:val="naisc"/>
              <w:spacing w:before="0" w:after="0"/>
              <w:rPr>
                <w:lang w:eastAsia="en-US"/>
              </w:rPr>
            </w:pPr>
            <w:r w:rsidRPr="009F52B3">
              <w:rPr>
                <w:sz w:val="22"/>
                <w:szCs w:val="22"/>
                <w:lang w:eastAsia="en-US"/>
              </w:rPr>
              <w:t>Atzinumā norādītais ministrijas (citas institūcijas) iebildums, kā arī saskaņošanā papildus izteiktais iebildums par projekta konkrēto punktu (pantu)</w:t>
            </w:r>
          </w:p>
        </w:tc>
        <w:tc>
          <w:tcPr>
            <w:tcW w:w="1167" w:type="pct"/>
            <w:tcBorders>
              <w:top w:val="single" w:sz="6" w:space="0" w:color="000000"/>
              <w:left w:val="single" w:sz="6" w:space="0" w:color="000000"/>
              <w:bottom w:val="single" w:sz="6" w:space="0" w:color="000000"/>
              <w:right w:val="single" w:sz="6" w:space="0" w:color="000000"/>
            </w:tcBorders>
            <w:vAlign w:val="center"/>
            <w:hideMark/>
          </w:tcPr>
          <w:p w:rsidR="00C01E51" w:rsidRPr="009F52B3" w:rsidRDefault="00F64DE4" w:rsidP="00D82961">
            <w:pPr>
              <w:pStyle w:val="naisc"/>
              <w:spacing w:before="0" w:after="0"/>
              <w:rPr>
                <w:lang w:eastAsia="en-US"/>
              </w:rPr>
            </w:pPr>
            <w:r w:rsidRPr="009F52B3">
              <w:rPr>
                <w:sz w:val="22"/>
                <w:szCs w:val="22"/>
                <w:lang w:eastAsia="en-US"/>
              </w:rPr>
              <w:t xml:space="preserve">Atbildīgās ministrijas norāde par to, ka </w:t>
            </w:r>
            <w:r w:rsidR="00734AC4" w:rsidRPr="009F52B3">
              <w:rPr>
                <w:sz w:val="22"/>
                <w:szCs w:val="22"/>
                <w:lang w:eastAsia="en-US"/>
              </w:rPr>
              <w:t>iebildums ir ņemts vērā, vai informācija par saskaņošanā panākto alternatīvo risinājumu</w:t>
            </w:r>
          </w:p>
        </w:tc>
        <w:tc>
          <w:tcPr>
            <w:tcW w:w="1074" w:type="pct"/>
            <w:tcBorders>
              <w:top w:val="single" w:sz="4" w:space="0" w:color="auto"/>
              <w:left w:val="single" w:sz="4" w:space="0" w:color="auto"/>
              <w:bottom w:val="single" w:sz="4" w:space="0" w:color="auto"/>
              <w:right w:val="single" w:sz="4" w:space="0" w:color="auto"/>
            </w:tcBorders>
            <w:vAlign w:val="center"/>
            <w:hideMark/>
          </w:tcPr>
          <w:p w:rsidR="00C01E51" w:rsidRPr="009F52B3" w:rsidRDefault="00F64DE4" w:rsidP="003B293D">
            <w:pPr>
              <w:pStyle w:val="naisc"/>
              <w:spacing w:before="0" w:after="0"/>
              <w:rPr>
                <w:lang w:eastAsia="en-US"/>
              </w:rPr>
            </w:pPr>
            <w:r w:rsidRPr="009F52B3">
              <w:rPr>
                <w:sz w:val="22"/>
                <w:szCs w:val="22"/>
                <w:lang w:eastAsia="en-US"/>
              </w:rPr>
              <w:t>Projekta attiecīgā punkta (panta) galīgā redakcija</w:t>
            </w:r>
          </w:p>
        </w:tc>
      </w:tr>
      <w:tr w:rsidR="009F52B3" w:rsidRPr="009F52B3" w:rsidTr="009F52B3">
        <w:tc>
          <w:tcPr>
            <w:tcW w:w="237" w:type="pct"/>
            <w:tcBorders>
              <w:top w:val="single" w:sz="6" w:space="0" w:color="000000"/>
              <w:left w:val="single" w:sz="6" w:space="0" w:color="000000"/>
              <w:bottom w:val="single" w:sz="4" w:space="0" w:color="auto"/>
              <w:right w:val="single" w:sz="6" w:space="0" w:color="000000"/>
            </w:tcBorders>
            <w:hideMark/>
          </w:tcPr>
          <w:p w:rsidR="00C01E51" w:rsidRPr="009F52B3" w:rsidRDefault="00F64DE4" w:rsidP="00D82961">
            <w:pPr>
              <w:pStyle w:val="naisc"/>
              <w:spacing w:before="0" w:after="0"/>
              <w:rPr>
                <w:lang w:eastAsia="en-US"/>
              </w:rPr>
            </w:pPr>
            <w:r w:rsidRPr="009F52B3">
              <w:rPr>
                <w:sz w:val="22"/>
                <w:szCs w:val="22"/>
                <w:lang w:eastAsia="en-US"/>
              </w:rPr>
              <w:t>1</w:t>
            </w:r>
          </w:p>
        </w:tc>
        <w:tc>
          <w:tcPr>
            <w:tcW w:w="1338" w:type="pct"/>
            <w:tcBorders>
              <w:top w:val="single" w:sz="6" w:space="0" w:color="000000"/>
              <w:left w:val="single" w:sz="6" w:space="0" w:color="000000"/>
              <w:bottom w:val="single" w:sz="4" w:space="0" w:color="auto"/>
              <w:right w:val="single" w:sz="6" w:space="0" w:color="000000"/>
            </w:tcBorders>
            <w:hideMark/>
          </w:tcPr>
          <w:p w:rsidR="00C01E51" w:rsidRPr="009F52B3" w:rsidRDefault="00F64DE4" w:rsidP="00D82961">
            <w:pPr>
              <w:pStyle w:val="naisc"/>
              <w:spacing w:before="0" w:after="0"/>
              <w:ind w:firstLine="12"/>
              <w:rPr>
                <w:lang w:eastAsia="en-US"/>
              </w:rPr>
            </w:pPr>
            <w:r w:rsidRPr="009F52B3">
              <w:rPr>
                <w:sz w:val="22"/>
                <w:szCs w:val="22"/>
                <w:lang w:eastAsia="en-US"/>
              </w:rPr>
              <w:t>2</w:t>
            </w:r>
          </w:p>
        </w:tc>
        <w:tc>
          <w:tcPr>
            <w:tcW w:w="1184" w:type="pct"/>
            <w:tcBorders>
              <w:top w:val="single" w:sz="6" w:space="0" w:color="000000"/>
              <w:left w:val="single" w:sz="6" w:space="0" w:color="000000"/>
              <w:bottom w:val="single" w:sz="4" w:space="0" w:color="auto"/>
              <w:right w:val="single" w:sz="6" w:space="0" w:color="000000"/>
            </w:tcBorders>
            <w:hideMark/>
          </w:tcPr>
          <w:p w:rsidR="00C01E51" w:rsidRPr="009F52B3" w:rsidRDefault="00F64DE4" w:rsidP="00D82961">
            <w:pPr>
              <w:pStyle w:val="naisc"/>
              <w:spacing w:before="0" w:after="0"/>
              <w:rPr>
                <w:lang w:eastAsia="en-US"/>
              </w:rPr>
            </w:pPr>
            <w:r w:rsidRPr="009F52B3">
              <w:rPr>
                <w:sz w:val="22"/>
                <w:szCs w:val="22"/>
                <w:lang w:eastAsia="en-US"/>
              </w:rPr>
              <w:t>3</w:t>
            </w:r>
          </w:p>
        </w:tc>
        <w:tc>
          <w:tcPr>
            <w:tcW w:w="1167" w:type="pct"/>
            <w:tcBorders>
              <w:top w:val="single" w:sz="6" w:space="0" w:color="000000"/>
              <w:left w:val="single" w:sz="6" w:space="0" w:color="000000"/>
              <w:bottom w:val="single" w:sz="4" w:space="0" w:color="auto"/>
              <w:right w:val="single" w:sz="6" w:space="0" w:color="000000"/>
            </w:tcBorders>
            <w:hideMark/>
          </w:tcPr>
          <w:p w:rsidR="00C01E51" w:rsidRPr="009F52B3" w:rsidRDefault="00F64DE4" w:rsidP="00D82961">
            <w:pPr>
              <w:pStyle w:val="naisc"/>
              <w:spacing w:before="0" w:after="0"/>
              <w:rPr>
                <w:lang w:eastAsia="en-US"/>
              </w:rPr>
            </w:pPr>
            <w:r w:rsidRPr="009F52B3">
              <w:rPr>
                <w:sz w:val="22"/>
                <w:szCs w:val="22"/>
                <w:lang w:eastAsia="en-US"/>
              </w:rPr>
              <w:t>4</w:t>
            </w:r>
          </w:p>
        </w:tc>
        <w:tc>
          <w:tcPr>
            <w:tcW w:w="1074" w:type="pct"/>
            <w:tcBorders>
              <w:top w:val="single" w:sz="4" w:space="0" w:color="auto"/>
              <w:left w:val="single" w:sz="4" w:space="0" w:color="auto"/>
              <w:bottom w:val="single" w:sz="4" w:space="0" w:color="auto"/>
              <w:right w:val="single" w:sz="4" w:space="0" w:color="auto"/>
            </w:tcBorders>
            <w:hideMark/>
          </w:tcPr>
          <w:p w:rsidR="00C01E51" w:rsidRPr="009F52B3" w:rsidRDefault="00F64DE4" w:rsidP="003B293D">
            <w:pPr>
              <w:jc w:val="center"/>
              <w:rPr>
                <w:lang w:eastAsia="en-US"/>
              </w:rPr>
            </w:pPr>
            <w:r w:rsidRPr="009F52B3">
              <w:rPr>
                <w:sz w:val="22"/>
                <w:szCs w:val="22"/>
                <w:lang w:eastAsia="en-US"/>
              </w:rPr>
              <w:t>5</w:t>
            </w:r>
          </w:p>
        </w:tc>
      </w:tr>
      <w:tr w:rsidR="009F52B3" w:rsidRPr="009F52B3" w:rsidTr="009F52B3">
        <w:tc>
          <w:tcPr>
            <w:tcW w:w="237" w:type="pct"/>
            <w:vMerge w:val="restart"/>
            <w:tcBorders>
              <w:top w:val="single" w:sz="4" w:space="0" w:color="auto"/>
              <w:left w:val="single" w:sz="6" w:space="0" w:color="000000"/>
              <w:right w:val="single" w:sz="6" w:space="0" w:color="000000"/>
            </w:tcBorders>
            <w:shd w:val="clear" w:color="auto" w:fill="auto"/>
          </w:tcPr>
          <w:p w:rsidR="00765939" w:rsidRPr="009F52B3" w:rsidRDefault="009F52B3" w:rsidP="009F52B3">
            <w:pPr>
              <w:pStyle w:val="naisc"/>
              <w:spacing w:before="0" w:after="0"/>
            </w:pPr>
            <w:r w:rsidRPr="009F52B3">
              <w:rPr>
                <w:sz w:val="22"/>
                <w:szCs w:val="22"/>
              </w:rPr>
              <w:t>1.</w:t>
            </w:r>
          </w:p>
        </w:tc>
        <w:tc>
          <w:tcPr>
            <w:tcW w:w="1338" w:type="pct"/>
            <w:vMerge w:val="restart"/>
            <w:tcBorders>
              <w:top w:val="single" w:sz="4" w:space="0" w:color="auto"/>
              <w:left w:val="single" w:sz="6" w:space="0" w:color="000000"/>
              <w:right w:val="single" w:sz="6" w:space="0" w:color="000000"/>
            </w:tcBorders>
            <w:shd w:val="clear" w:color="auto" w:fill="auto"/>
          </w:tcPr>
          <w:p w:rsidR="00765939" w:rsidRPr="009F52B3" w:rsidRDefault="00765939" w:rsidP="00D82961">
            <w:pPr>
              <w:pStyle w:val="Pamatteksts"/>
              <w:spacing w:after="0"/>
              <w:jc w:val="both"/>
            </w:pPr>
            <w:r w:rsidRPr="009F52B3">
              <w:rPr>
                <w:bCs/>
                <w:sz w:val="22"/>
                <w:szCs w:val="22"/>
              </w:rPr>
              <w:t>Ministru kabineta rīkojuma projekt</w:t>
            </w:r>
            <w:r w:rsidR="00714551">
              <w:rPr>
                <w:bCs/>
                <w:sz w:val="22"/>
                <w:szCs w:val="22"/>
              </w:rPr>
              <w:t>a</w:t>
            </w:r>
            <w:r w:rsidRPr="009F52B3">
              <w:rPr>
                <w:bCs/>
                <w:sz w:val="22"/>
                <w:szCs w:val="22"/>
              </w:rPr>
              <w:t xml:space="preserve"> „Par informācijas sabiedrības attīstības pamatnostādņu ieviešanu publiskās pārvaldes informācijas sistēmu jomā (mērķarhitektūras 53.0.versija, Kultūras mantojuma satura digitalizācija (2.kārta)) (turpmāk – MK rīkojuma projekts) sākotnējās ietekmes novērtējuma ziņojums (anotācija)</w:t>
            </w:r>
            <w:r w:rsidR="00714551">
              <w:rPr>
                <w:bCs/>
                <w:sz w:val="22"/>
                <w:szCs w:val="22"/>
              </w:rPr>
              <w:t>, MK r</w:t>
            </w:r>
            <w:r w:rsidRPr="009F52B3">
              <w:rPr>
                <w:bCs/>
                <w:sz w:val="22"/>
                <w:szCs w:val="22"/>
              </w:rPr>
              <w:t>īkojuma projekta pielikums.</w:t>
            </w:r>
          </w:p>
          <w:p w:rsidR="00765939" w:rsidRPr="009F52B3" w:rsidRDefault="00765939" w:rsidP="00D82961">
            <w:pPr>
              <w:pStyle w:val="naisc"/>
              <w:spacing w:after="0"/>
              <w:jc w:val="both"/>
            </w:pPr>
          </w:p>
        </w:tc>
        <w:tc>
          <w:tcPr>
            <w:tcW w:w="1184" w:type="pct"/>
            <w:tcBorders>
              <w:top w:val="single" w:sz="4" w:space="0" w:color="auto"/>
              <w:left w:val="single" w:sz="6" w:space="0" w:color="000000"/>
              <w:bottom w:val="single" w:sz="4" w:space="0" w:color="auto"/>
              <w:right w:val="single" w:sz="6" w:space="0" w:color="000000"/>
            </w:tcBorders>
            <w:shd w:val="clear" w:color="auto" w:fill="auto"/>
            <w:hideMark/>
          </w:tcPr>
          <w:p w:rsidR="00765939" w:rsidRPr="009F52B3" w:rsidRDefault="00765939" w:rsidP="00765939">
            <w:pPr>
              <w:pStyle w:val="Default"/>
              <w:jc w:val="both"/>
              <w:rPr>
                <w:b/>
                <w:sz w:val="22"/>
                <w:szCs w:val="22"/>
              </w:rPr>
            </w:pPr>
            <w:r w:rsidRPr="009F52B3">
              <w:rPr>
                <w:b/>
                <w:sz w:val="22"/>
                <w:szCs w:val="22"/>
              </w:rPr>
              <w:t>Finanšu ministrija:</w:t>
            </w:r>
          </w:p>
          <w:p w:rsidR="00765939" w:rsidRPr="009F52B3" w:rsidRDefault="00765939" w:rsidP="00765939">
            <w:pPr>
              <w:pStyle w:val="Default"/>
              <w:jc w:val="both"/>
              <w:rPr>
                <w:sz w:val="22"/>
                <w:szCs w:val="22"/>
              </w:rPr>
            </w:pPr>
            <w:r w:rsidRPr="009F52B3">
              <w:rPr>
                <w:sz w:val="22"/>
                <w:szCs w:val="22"/>
              </w:rPr>
              <w:t>Saskaņā ar pielikumā un anotācijā</w:t>
            </w:r>
            <w:r w:rsidR="00990DBB" w:rsidRPr="009F52B3">
              <w:rPr>
                <w:sz w:val="22"/>
                <w:szCs w:val="22"/>
              </w:rPr>
              <w:t xml:space="preserve"> sniegto informāciju, projektā „</w:t>
            </w:r>
            <w:r w:rsidRPr="009F52B3">
              <w:rPr>
                <w:sz w:val="22"/>
                <w:szCs w:val="22"/>
              </w:rPr>
              <w:t>Kultūras mantojuma satura digitalizācija (2.kārta)” (turpmāk – 2.kārtas projekts) tiks nodrošināta plašāka Latvijas kultūras mantojuma pieejamība sabiedrībai digitālajā vidē un ilgtspējīga tā saglabāšana, turpinot projektā “Kultūras mantojuma satura digitalizācija (1.kārta)” (turpmāk – 1.kārtas projekts) uzsākto. Lai nodrošinātu, ka abu minēto projektu ietvaros veiktās darbības ir savstarpēji papildinošas, bet nepārklājas, lūdzam precizēt pielikumu un anotāciju:</w:t>
            </w:r>
          </w:p>
          <w:p w:rsidR="00765939" w:rsidRPr="009F52B3" w:rsidRDefault="00990DBB" w:rsidP="00765939">
            <w:pPr>
              <w:tabs>
                <w:tab w:val="left" w:pos="0"/>
                <w:tab w:val="left" w:pos="993"/>
              </w:tabs>
              <w:suppressAutoHyphens/>
              <w:jc w:val="both"/>
            </w:pPr>
            <w:r w:rsidRPr="009F52B3">
              <w:rPr>
                <w:sz w:val="22"/>
                <w:szCs w:val="22"/>
              </w:rPr>
              <w:t xml:space="preserve">a) </w:t>
            </w:r>
            <w:r w:rsidR="00765939" w:rsidRPr="009F52B3">
              <w:rPr>
                <w:sz w:val="22"/>
                <w:szCs w:val="22"/>
              </w:rPr>
              <w:t>skaidrojot, kā 2.kārtas projektā plānotās darbības papildinās 1.kārtas projektā iesākto un kā 1.kārtas projektā sasniegtie rādītāji nepārklāsies ar 2.kārtas projektā plānoto</w:t>
            </w:r>
            <w:r w:rsidRPr="009F52B3">
              <w:rPr>
                <w:sz w:val="22"/>
                <w:szCs w:val="22"/>
              </w:rPr>
              <w:t>;</w:t>
            </w:r>
          </w:p>
        </w:tc>
        <w:tc>
          <w:tcPr>
            <w:tcW w:w="1167" w:type="pct"/>
            <w:tcBorders>
              <w:top w:val="single" w:sz="4" w:space="0" w:color="auto"/>
              <w:left w:val="single" w:sz="6" w:space="0" w:color="000000"/>
              <w:bottom w:val="single" w:sz="4" w:space="0" w:color="auto"/>
              <w:right w:val="single" w:sz="6" w:space="0" w:color="000000"/>
            </w:tcBorders>
            <w:shd w:val="clear" w:color="auto" w:fill="auto"/>
            <w:hideMark/>
          </w:tcPr>
          <w:p w:rsidR="00765939" w:rsidRPr="009F52B3" w:rsidRDefault="00765939" w:rsidP="009F52B3">
            <w:pPr>
              <w:pStyle w:val="naisc"/>
              <w:keepNext/>
              <w:keepLines/>
              <w:spacing w:before="0" w:after="0"/>
              <w:outlineLvl w:val="0"/>
              <w:rPr>
                <w:b/>
                <w:color w:val="000000"/>
              </w:rPr>
            </w:pPr>
            <w:r w:rsidRPr="009F52B3">
              <w:rPr>
                <w:b/>
                <w:color w:val="000000"/>
                <w:sz w:val="22"/>
                <w:szCs w:val="22"/>
              </w:rPr>
              <w:t>Panākta vienošanās</w:t>
            </w:r>
            <w:r w:rsidR="009F52B3">
              <w:rPr>
                <w:b/>
                <w:color w:val="000000"/>
                <w:sz w:val="22"/>
                <w:szCs w:val="22"/>
              </w:rPr>
              <w:t xml:space="preserve"> </w:t>
            </w:r>
            <w:r w:rsidRPr="009F52B3">
              <w:rPr>
                <w:b/>
                <w:color w:val="000000"/>
                <w:sz w:val="22"/>
                <w:szCs w:val="22"/>
              </w:rPr>
              <w:t>saskaņošanas laikā</w:t>
            </w:r>
          </w:p>
          <w:p w:rsidR="00765939" w:rsidRPr="009F52B3" w:rsidRDefault="00765939" w:rsidP="00D82961">
            <w:pPr>
              <w:pStyle w:val="naisc"/>
              <w:spacing w:before="0" w:after="0"/>
              <w:jc w:val="both"/>
            </w:pPr>
            <w:r w:rsidRPr="009F52B3">
              <w:rPr>
                <w:sz w:val="22"/>
                <w:szCs w:val="22"/>
              </w:rPr>
              <w:t xml:space="preserve">Detalizētajā projekta </w:t>
            </w:r>
            <w:r w:rsidRPr="009F52B3">
              <w:rPr>
                <w:bCs/>
                <w:sz w:val="22"/>
                <w:szCs w:val="22"/>
              </w:rPr>
              <w:t xml:space="preserve">„Kultūras mantojuma satura digitalizācija (2.kārta)” (turpmāk – 2.kārtas projekts) </w:t>
            </w:r>
            <w:r w:rsidRPr="009F52B3">
              <w:rPr>
                <w:sz w:val="22"/>
                <w:szCs w:val="22"/>
              </w:rPr>
              <w:t xml:space="preserve">aprakstā ir sniegts skaidrs nošķīrums par katrā no projektu kārtām realizējamām darbībām un sasniedzamajiem rādītājiem, skaidrojot to gan katras attīstāmās informācijas sistēmas līmenī, gan arī katra e-pakalpojuma un procesu līmenī. </w:t>
            </w:r>
          </w:p>
        </w:tc>
        <w:tc>
          <w:tcPr>
            <w:tcW w:w="1074" w:type="pct"/>
            <w:tcBorders>
              <w:top w:val="single" w:sz="4" w:space="0" w:color="auto"/>
              <w:left w:val="single" w:sz="4" w:space="0" w:color="auto"/>
              <w:bottom w:val="single" w:sz="4" w:space="0" w:color="auto"/>
              <w:right w:val="single" w:sz="4" w:space="0" w:color="auto"/>
            </w:tcBorders>
            <w:shd w:val="clear" w:color="auto" w:fill="auto"/>
          </w:tcPr>
          <w:p w:rsidR="00765939" w:rsidRPr="009F52B3" w:rsidRDefault="00765939" w:rsidP="006C638B">
            <w:pPr>
              <w:tabs>
                <w:tab w:val="left" w:pos="0"/>
                <w:tab w:val="left" w:pos="993"/>
              </w:tabs>
              <w:suppressAutoHyphens/>
              <w:jc w:val="both"/>
            </w:pPr>
            <w:r w:rsidRPr="009F52B3">
              <w:rPr>
                <w:sz w:val="22"/>
                <w:szCs w:val="22"/>
              </w:rPr>
              <w:t xml:space="preserve">MK rīkojuma projekta </w:t>
            </w:r>
            <w:r w:rsidR="00990DBB" w:rsidRPr="009F52B3">
              <w:rPr>
                <w:bCs/>
                <w:sz w:val="22"/>
                <w:szCs w:val="22"/>
              </w:rPr>
              <w:t>sākotnējās ietekmes novērtējuma ziņojums (anotācija)</w:t>
            </w:r>
            <w:r w:rsidR="00097009">
              <w:rPr>
                <w:bCs/>
                <w:sz w:val="22"/>
                <w:szCs w:val="22"/>
              </w:rPr>
              <w:t>,</w:t>
            </w:r>
            <w:r w:rsidR="008062AB">
              <w:rPr>
                <w:bCs/>
                <w:sz w:val="22"/>
                <w:szCs w:val="22"/>
              </w:rPr>
              <w:t xml:space="preserve"> </w:t>
            </w:r>
            <w:r w:rsidR="00097009">
              <w:rPr>
                <w:bCs/>
                <w:sz w:val="22"/>
                <w:szCs w:val="22"/>
              </w:rPr>
              <w:t>MK r</w:t>
            </w:r>
            <w:r w:rsidR="00097009" w:rsidRPr="009F52B3">
              <w:rPr>
                <w:bCs/>
                <w:sz w:val="22"/>
                <w:szCs w:val="22"/>
              </w:rPr>
              <w:t>īkojuma projekta pielikums</w:t>
            </w:r>
            <w:r w:rsidRPr="009F52B3">
              <w:rPr>
                <w:sz w:val="22"/>
                <w:szCs w:val="22"/>
              </w:rPr>
              <w:t>.</w:t>
            </w:r>
          </w:p>
        </w:tc>
      </w:tr>
      <w:tr w:rsidR="009F52B3" w:rsidRPr="009F52B3" w:rsidTr="009F52B3">
        <w:tc>
          <w:tcPr>
            <w:tcW w:w="237" w:type="pct"/>
            <w:vMerge/>
            <w:tcBorders>
              <w:left w:val="single" w:sz="6" w:space="0" w:color="000000"/>
              <w:right w:val="single" w:sz="6" w:space="0" w:color="000000"/>
            </w:tcBorders>
          </w:tcPr>
          <w:p w:rsidR="00765939" w:rsidRPr="009F52B3" w:rsidRDefault="00765939" w:rsidP="001A657A">
            <w:pPr>
              <w:pStyle w:val="naisc"/>
              <w:numPr>
                <w:ilvl w:val="0"/>
                <w:numId w:val="26"/>
              </w:numPr>
              <w:spacing w:before="0" w:after="0"/>
              <w:jc w:val="left"/>
            </w:pPr>
          </w:p>
        </w:tc>
        <w:tc>
          <w:tcPr>
            <w:tcW w:w="1338" w:type="pct"/>
            <w:vMerge/>
            <w:tcBorders>
              <w:left w:val="single" w:sz="6" w:space="0" w:color="000000"/>
              <w:right w:val="single" w:sz="6" w:space="0" w:color="000000"/>
            </w:tcBorders>
          </w:tcPr>
          <w:p w:rsidR="00592F81" w:rsidRPr="009F52B3" w:rsidRDefault="00592F81" w:rsidP="00592F81">
            <w:pPr>
              <w:pStyle w:val="naisc"/>
              <w:spacing w:after="0"/>
              <w:jc w:val="both"/>
              <w:rPr>
                <w:bCs/>
                <w:color w:val="000000"/>
              </w:rPr>
            </w:pPr>
          </w:p>
        </w:tc>
        <w:tc>
          <w:tcPr>
            <w:tcW w:w="1184" w:type="pct"/>
            <w:tcBorders>
              <w:top w:val="single" w:sz="4" w:space="0" w:color="auto"/>
              <w:left w:val="single" w:sz="6" w:space="0" w:color="000000"/>
              <w:bottom w:val="single" w:sz="4" w:space="0" w:color="auto"/>
              <w:right w:val="single" w:sz="6" w:space="0" w:color="000000"/>
            </w:tcBorders>
            <w:hideMark/>
          </w:tcPr>
          <w:p w:rsidR="00765939" w:rsidRPr="009F52B3" w:rsidRDefault="00990DBB" w:rsidP="00D82961">
            <w:pPr>
              <w:jc w:val="both"/>
            </w:pPr>
            <w:r w:rsidRPr="009F52B3">
              <w:rPr>
                <w:sz w:val="22"/>
                <w:szCs w:val="22"/>
              </w:rPr>
              <w:t>b)</w:t>
            </w:r>
            <w:r w:rsidR="00020187">
              <w:rPr>
                <w:sz w:val="22"/>
                <w:szCs w:val="22"/>
              </w:rPr>
              <w:t> </w:t>
            </w:r>
            <w:r w:rsidR="00765939" w:rsidRPr="009F52B3">
              <w:rPr>
                <w:sz w:val="22"/>
                <w:szCs w:val="22"/>
              </w:rPr>
              <w:t xml:space="preserve">pielikumā norādot visus darbības procesus, kas tiks pilnveidoti, kā arī skaidrot, vai tie nedublēs 1.kārtas projektā </w:t>
            </w:r>
            <w:r w:rsidR="00765939" w:rsidRPr="009F52B3">
              <w:rPr>
                <w:sz w:val="22"/>
                <w:szCs w:val="22"/>
              </w:rPr>
              <w:lastRenderedPageBreak/>
              <w:t>pilnveidotos darbības procesus, ņemot vērā, ka pielikuma sadaļā “Projekta iznākuma rādītāji” ietvertais iznākuma rādītājs Nr.17 “Pilnveidoti darbības procesi” liecina, ka tiks pilnveidoti 15</w:t>
            </w:r>
            <w:r w:rsidR="00020187">
              <w:rPr>
                <w:sz w:val="22"/>
                <w:szCs w:val="22"/>
              </w:rPr>
              <w:t> </w:t>
            </w:r>
            <w:r w:rsidR="00765939" w:rsidRPr="009F52B3">
              <w:rPr>
                <w:sz w:val="22"/>
                <w:szCs w:val="22"/>
              </w:rPr>
              <w:t>darbības procesi</w:t>
            </w:r>
            <w:r w:rsidRPr="009F52B3">
              <w:rPr>
                <w:sz w:val="22"/>
                <w:szCs w:val="22"/>
              </w:rPr>
              <w:t>;</w:t>
            </w:r>
          </w:p>
          <w:p w:rsidR="00765939" w:rsidRPr="009F52B3" w:rsidRDefault="00765939" w:rsidP="00D82961">
            <w:pPr>
              <w:tabs>
                <w:tab w:val="left" w:pos="0"/>
                <w:tab w:val="left" w:pos="993"/>
              </w:tabs>
              <w:jc w:val="both"/>
            </w:pPr>
          </w:p>
        </w:tc>
        <w:tc>
          <w:tcPr>
            <w:tcW w:w="1167" w:type="pct"/>
            <w:tcBorders>
              <w:top w:val="single" w:sz="4" w:space="0" w:color="auto"/>
              <w:left w:val="single" w:sz="6" w:space="0" w:color="000000"/>
              <w:bottom w:val="single" w:sz="4" w:space="0" w:color="auto"/>
              <w:right w:val="single" w:sz="6" w:space="0" w:color="000000"/>
            </w:tcBorders>
            <w:hideMark/>
          </w:tcPr>
          <w:p w:rsidR="00765939" w:rsidRPr="009F52B3" w:rsidRDefault="00765939" w:rsidP="00D82961">
            <w:pPr>
              <w:pStyle w:val="naisc"/>
              <w:spacing w:before="0" w:after="0"/>
              <w:rPr>
                <w:b/>
              </w:rPr>
            </w:pPr>
            <w:r w:rsidRPr="009F52B3">
              <w:rPr>
                <w:b/>
                <w:sz w:val="22"/>
                <w:szCs w:val="22"/>
              </w:rPr>
              <w:lastRenderedPageBreak/>
              <w:t>Ņemts vērā</w:t>
            </w:r>
          </w:p>
          <w:p w:rsidR="00765939" w:rsidRPr="009F52B3" w:rsidRDefault="00765939" w:rsidP="00D82961">
            <w:pPr>
              <w:pStyle w:val="VPBody"/>
              <w:spacing w:before="0" w:after="0"/>
            </w:pPr>
            <w:r w:rsidRPr="009F52B3">
              <w:rPr>
                <w:sz w:val="22"/>
              </w:rPr>
              <w:t xml:space="preserve">Skaidrojam, ka 2.kārtas projektā tiks veikts 1.kārtas projektā „Kultūras mantojuma satura </w:t>
            </w:r>
            <w:r w:rsidRPr="009F52B3">
              <w:rPr>
                <w:sz w:val="22"/>
              </w:rPr>
              <w:lastRenderedPageBreak/>
              <w:t xml:space="preserve">digitalizācija (1.kārta)” (turpmāk – 1.kārtas projekts) izveidoto procesu audits atbilstoši </w:t>
            </w:r>
            <w:proofErr w:type="spellStart"/>
            <w:r w:rsidRPr="009F52B3">
              <w:rPr>
                <w:sz w:val="22"/>
              </w:rPr>
              <w:t>digitalizācijas</w:t>
            </w:r>
            <w:proofErr w:type="spellEnd"/>
            <w:r w:rsidRPr="009F52B3">
              <w:rPr>
                <w:sz w:val="22"/>
              </w:rPr>
              <w:t xml:space="preserve"> vadlīnijām, informācijas sistēmu nākotnes arhitektūras dokumentam un infrastruktūras attīstības plānam (abi šie dokumenti 2.kārtas projekta detalizētā pieteikuma iesniegšanas brīdī nav izstrādāti un tiks izstrādāti 1.kārtas projekta ietvaros laikā secīgi pēc procesu attīstības) un pilnveidotajām informācijas sistēmām, kuru izstrāde paredzēta 1.kārtas projektā. Audita rezultātā iegūtās atziņas un secinājumi tiks ieviesti, pilnveidojot procesu norises kārtību un to aprakstus. Tāpat audita rezultātā iegūtās rekomendācijas var ietekmēt kopējo Vienotās kultūras mantojuma platformas attīstību, un tiks iespēju robežās ņemtas vērā gan IKT programmatūras, gan infrastruktūras tālākai attīstībai. </w:t>
            </w:r>
          </w:p>
        </w:tc>
        <w:tc>
          <w:tcPr>
            <w:tcW w:w="1074" w:type="pct"/>
            <w:tcBorders>
              <w:left w:val="single" w:sz="4" w:space="0" w:color="auto"/>
              <w:bottom w:val="single" w:sz="4" w:space="0" w:color="auto"/>
              <w:right w:val="single" w:sz="4" w:space="0" w:color="auto"/>
            </w:tcBorders>
          </w:tcPr>
          <w:p w:rsidR="00020187" w:rsidRDefault="00765939" w:rsidP="00BE2E9B">
            <w:pPr>
              <w:tabs>
                <w:tab w:val="left" w:pos="0"/>
                <w:tab w:val="left" w:pos="993"/>
              </w:tabs>
              <w:suppressAutoHyphens/>
              <w:jc w:val="both"/>
            </w:pPr>
            <w:r w:rsidRPr="009F52B3">
              <w:rPr>
                <w:sz w:val="22"/>
                <w:szCs w:val="22"/>
              </w:rPr>
              <w:lastRenderedPageBreak/>
              <w:t>Papildināts MK rīkojuma sākotnējās ietekmes novērtējuma ziņojum</w:t>
            </w:r>
            <w:r w:rsidR="00020187">
              <w:rPr>
                <w:sz w:val="22"/>
                <w:szCs w:val="22"/>
              </w:rPr>
              <w:t>a</w:t>
            </w:r>
            <w:r w:rsidRPr="009F52B3">
              <w:rPr>
                <w:sz w:val="22"/>
                <w:szCs w:val="22"/>
              </w:rPr>
              <w:t xml:space="preserve"> (anotācijas) I sadaļas 2.punkts</w:t>
            </w:r>
            <w:r w:rsidR="008062AB" w:rsidRPr="009F52B3">
              <w:rPr>
                <w:sz w:val="22"/>
                <w:szCs w:val="22"/>
              </w:rPr>
              <w:t xml:space="preserve"> </w:t>
            </w:r>
            <w:r w:rsidRPr="009F52B3">
              <w:rPr>
                <w:sz w:val="22"/>
                <w:szCs w:val="22"/>
              </w:rPr>
              <w:lastRenderedPageBreak/>
              <w:t xml:space="preserve">ar </w:t>
            </w:r>
            <w:r w:rsidR="00020187">
              <w:rPr>
                <w:sz w:val="22"/>
                <w:szCs w:val="22"/>
              </w:rPr>
              <w:t xml:space="preserve">šādu informāciju: </w:t>
            </w:r>
          </w:p>
          <w:p w:rsidR="00020187" w:rsidRDefault="00020187" w:rsidP="00BE2E9B">
            <w:pPr>
              <w:tabs>
                <w:tab w:val="left" w:pos="0"/>
                <w:tab w:val="left" w:pos="993"/>
              </w:tabs>
              <w:suppressAutoHyphens/>
              <w:jc w:val="both"/>
            </w:pPr>
          </w:p>
          <w:p w:rsidR="00765939" w:rsidRPr="009F52B3" w:rsidRDefault="00765939" w:rsidP="00BE2E9B">
            <w:pPr>
              <w:tabs>
                <w:tab w:val="left" w:pos="0"/>
                <w:tab w:val="left" w:pos="993"/>
              </w:tabs>
              <w:suppressAutoHyphens/>
              <w:jc w:val="both"/>
            </w:pPr>
            <w:r w:rsidRPr="009F52B3">
              <w:rPr>
                <w:sz w:val="22"/>
                <w:szCs w:val="22"/>
              </w:rPr>
              <w:t>„Digitalizācijas projektā tiks veikts 15 procesu audits, kā rezultātā atbilstoši tiks pilnveidota procesu norises kārtība un to apraksti.”</w:t>
            </w:r>
            <w:r w:rsidRPr="009F52B3" w:rsidDel="00460D5C">
              <w:rPr>
                <w:sz w:val="22"/>
                <w:szCs w:val="22"/>
              </w:rPr>
              <w:t xml:space="preserve"> </w:t>
            </w:r>
          </w:p>
        </w:tc>
      </w:tr>
      <w:tr w:rsidR="009F52B3" w:rsidRPr="009F52B3" w:rsidTr="009F52B3">
        <w:tc>
          <w:tcPr>
            <w:tcW w:w="237" w:type="pct"/>
            <w:vMerge/>
            <w:tcBorders>
              <w:left w:val="single" w:sz="6" w:space="0" w:color="000000"/>
              <w:bottom w:val="single" w:sz="4" w:space="0" w:color="auto"/>
              <w:right w:val="single" w:sz="6" w:space="0" w:color="000000"/>
            </w:tcBorders>
          </w:tcPr>
          <w:p w:rsidR="00765939" w:rsidRPr="009F52B3" w:rsidRDefault="00765939" w:rsidP="001A657A">
            <w:pPr>
              <w:pStyle w:val="naisc"/>
              <w:numPr>
                <w:ilvl w:val="0"/>
                <w:numId w:val="26"/>
              </w:numPr>
              <w:spacing w:before="0" w:after="0"/>
              <w:jc w:val="left"/>
            </w:pPr>
          </w:p>
        </w:tc>
        <w:tc>
          <w:tcPr>
            <w:tcW w:w="1338" w:type="pct"/>
            <w:vMerge/>
            <w:tcBorders>
              <w:left w:val="single" w:sz="6" w:space="0" w:color="000000"/>
              <w:bottom w:val="single" w:sz="4" w:space="0" w:color="auto"/>
              <w:right w:val="single" w:sz="6" w:space="0" w:color="000000"/>
            </w:tcBorders>
          </w:tcPr>
          <w:p w:rsidR="00765939" w:rsidRPr="009F52B3" w:rsidRDefault="00765939" w:rsidP="00D82961">
            <w:pPr>
              <w:pStyle w:val="naisc"/>
              <w:spacing w:before="0" w:after="0"/>
              <w:jc w:val="both"/>
            </w:pPr>
          </w:p>
        </w:tc>
        <w:tc>
          <w:tcPr>
            <w:tcW w:w="1184" w:type="pct"/>
            <w:tcBorders>
              <w:top w:val="single" w:sz="4" w:space="0" w:color="auto"/>
              <w:left w:val="single" w:sz="6" w:space="0" w:color="000000"/>
              <w:bottom w:val="single" w:sz="4" w:space="0" w:color="auto"/>
              <w:right w:val="single" w:sz="4" w:space="0" w:color="auto"/>
            </w:tcBorders>
            <w:hideMark/>
          </w:tcPr>
          <w:p w:rsidR="00765939" w:rsidRPr="009F52B3" w:rsidRDefault="00990DBB" w:rsidP="00D82961">
            <w:pPr>
              <w:jc w:val="both"/>
            </w:pPr>
            <w:r w:rsidRPr="009F52B3">
              <w:rPr>
                <w:sz w:val="22"/>
                <w:szCs w:val="22"/>
              </w:rPr>
              <w:t xml:space="preserve">c) </w:t>
            </w:r>
            <w:r w:rsidR="00765939" w:rsidRPr="009F52B3">
              <w:rPr>
                <w:sz w:val="22"/>
                <w:szCs w:val="22"/>
              </w:rPr>
              <w:t xml:space="preserve">skaidrojot, kādi elektroniskie pakalpojumi tiks attīstīti, t.sk. koplietošanas funkcionalitāte, un vai tie nepārklājas ar 1.kārtas projektā attīstītajiem elektroniskajiem pakalpojumiem. </w:t>
            </w:r>
          </w:p>
          <w:p w:rsidR="00765939" w:rsidRPr="009F52B3" w:rsidRDefault="00765939" w:rsidP="00D82961">
            <w:pPr>
              <w:tabs>
                <w:tab w:val="left" w:pos="0"/>
                <w:tab w:val="left" w:pos="993"/>
              </w:tabs>
              <w:suppressAutoHyphens/>
              <w:jc w:val="both"/>
            </w:pPr>
          </w:p>
        </w:tc>
        <w:tc>
          <w:tcPr>
            <w:tcW w:w="1167" w:type="pct"/>
            <w:tcBorders>
              <w:top w:val="single" w:sz="4" w:space="0" w:color="auto"/>
              <w:left w:val="single" w:sz="4" w:space="0" w:color="auto"/>
              <w:bottom w:val="single" w:sz="4" w:space="0" w:color="auto"/>
              <w:right w:val="single" w:sz="4" w:space="0" w:color="auto"/>
            </w:tcBorders>
            <w:hideMark/>
          </w:tcPr>
          <w:p w:rsidR="00765939" w:rsidRPr="009F52B3" w:rsidRDefault="00765939" w:rsidP="00D82961">
            <w:pPr>
              <w:pStyle w:val="naisc"/>
              <w:spacing w:before="0" w:after="0"/>
              <w:ind w:firstLine="32"/>
              <w:rPr>
                <w:b/>
              </w:rPr>
            </w:pPr>
            <w:r w:rsidRPr="009F52B3">
              <w:rPr>
                <w:b/>
                <w:sz w:val="22"/>
                <w:szCs w:val="22"/>
              </w:rPr>
              <w:t>Ņemts vērā</w:t>
            </w:r>
          </w:p>
          <w:p w:rsidR="00765939" w:rsidRPr="009F52B3" w:rsidRDefault="00765939" w:rsidP="00D82961">
            <w:pPr>
              <w:pStyle w:val="naisc"/>
              <w:spacing w:before="0" w:after="0"/>
              <w:jc w:val="both"/>
            </w:pPr>
            <w:r w:rsidRPr="009F52B3">
              <w:rPr>
                <w:sz w:val="22"/>
                <w:szCs w:val="22"/>
              </w:rPr>
              <w:t xml:space="preserve">2.kārtas projektā atbilstoši darbības procesu pilnveidei tiks attīstīti četri pakalpojumi, t.sk. koplietošanas funkcionalitāte: Latvijas kultūras mantojuma integrētā platforma, Latvijas kultūras mantojuma digitālā bibliotēka, Kultūras pieminekļu informācijas pārvaldība, </w:t>
            </w:r>
            <w:r w:rsidRPr="009F52B3">
              <w:rPr>
                <w:sz w:val="22"/>
                <w:szCs w:val="22"/>
              </w:rPr>
              <w:lastRenderedPageBreak/>
              <w:t>Autortiesību pārvaldība un licencēšana.</w:t>
            </w:r>
          </w:p>
          <w:p w:rsidR="00765939" w:rsidRPr="009F52B3" w:rsidRDefault="00765939" w:rsidP="00D82961">
            <w:pPr>
              <w:pStyle w:val="naisc"/>
              <w:spacing w:before="0" w:after="0"/>
              <w:jc w:val="both"/>
            </w:pPr>
          </w:p>
          <w:p w:rsidR="00765939" w:rsidRPr="009F52B3" w:rsidRDefault="00765939" w:rsidP="00D82961">
            <w:pPr>
              <w:pStyle w:val="naisc"/>
              <w:spacing w:before="0" w:after="0"/>
              <w:jc w:val="both"/>
            </w:pPr>
            <w:r w:rsidRPr="009F52B3">
              <w:rPr>
                <w:sz w:val="22"/>
                <w:szCs w:val="22"/>
              </w:rPr>
              <w:t>Detalizētajā 2.kārtas projekta aprakstā ir sniegts skaidrs nošķīrums katra e-pakalpojuma līmenī starp 1.kārtas projektā un 2.kārtas projektā īstenojamām darbībām. Minētie pakalpojumi veido un iekļaujas centralizētajā, atvērtajā informācijas sistēmas platformā, un to darbības nodrošināšanai tiks turpināts attīstīt esošās informācijas sistēmas, daļai no tām realizējot 2.kārtas projekta attīstību.</w:t>
            </w:r>
          </w:p>
        </w:tc>
        <w:tc>
          <w:tcPr>
            <w:tcW w:w="1074" w:type="pct"/>
            <w:tcBorders>
              <w:top w:val="single" w:sz="4" w:space="0" w:color="auto"/>
              <w:left w:val="single" w:sz="4" w:space="0" w:color="auto"/>
              <w:bottom w:val="single" w:sz="4" w:space="0" w:color="auto"/>
              <w:right w:val="single" w:sz="4" w:space="0" w:color="auto"/>
            </w:tcBorders>
          </w:tcPr>
          <w:p w:rsidR="00D4780E" w:rsidRDefault="00765939" w:rsidP="00D4780E">
            <w:pPr>
              <w:pStyle w:val="naisc"/>
              <w:spacing w:before="0" w:after="0"/>
              <w:jc w:val="both"/>
            </w:pPr>
            <w:r w:rsidRPr="009F52B3">
              <w:rPr>
                <w:sz w:val="22"/>
                <w:szCs w:val="22"/>
              </w:rPr>
              <w:lastRenderedPageBreak/>
              <w:t>Papildināts MK rīkojuma sākotnējās ietekmes novērtējuma ziņojum</w:t>
            </w:r>
            <w:r w:rsidR="00D4780E">
              <w:rPr>
                <w:sz w:val="22"/>
                <w:szCs w:val="22"/>
              </w:rPr>
              <w:t>a</w:t>
            </w:r>
            <w:r w:rsidRPr="009F52B3">
              <w:rPr>
                <w:sz w:val="22"/>
                <w:szCs w:val="22"/>
              </w:rPr>
              <w:t xml:space="preserve"> (anotācija) I sadaļas 2.punkts ar </w:t>
            </w:r>
            <w:r w:rsidR="00D4780E">
              <w:rPr>
                <w:sz w:val="22"/>
                <w:szCs w:val="22"/>
              </w:rPr>
              <w:t>šādu informāciju</w:t>
            </w:r>
            <w:r w:rsidRPr="009F52B3">
              <w:rPr>
                <w:sz w:val="22"/>
                <w:szCs w:val="22"/>
              </w:rPr>
              <w:t xml:space="preserve">:  </w:t>
            </w:r>
          </w:p>
          <w:p w:rsidR="00D4780E" w:rsidRDefault="00D4780E" w:rsidP="00D4780E">
            <w:pPr>
              <w:pStyle w:val="naisc"/>
              <w:spacing w:before="0" w:after="0"/>
              <w:jc w:val="both"/>
            </w:pPr>
          </w:p>
          <w:p w:rsidR="00765939" w:rsidRPr="009F52B3" w:rsidRDefault="00765939" w:rsidP="00D4780E">
            <w:pPr>
              <w:pStyle w:val="naisc"/>
              <w:spacing w:before="0" w:after="0"/>
              <w:jc w:val="both"/>
            </w:pPr>
            <w:r w:rsidRPr="009F52B3">
              <w:rPr>
                <w:sz w:val="22"/>
                <w:szCs w:val="22"/>
              </w:rPr>
              <w:t>„Digitalizācijas projekta gaitā atbilstoši darbības procesu pilnveidei tiks attīstīti četri pakalpojumi, t</w:t>
            </w:r>
            <w:r w:rsidR="009B3F09">
              <w:rPr>
                <w:sz w:val="22"/>
                <w:szCs w:val="22"/>
              </w:rPr>
              <w:t>ai skaitā</w:t>
            </w:r>
            <w:r w:rsidRPr="009F52B3">
              <w:rPr>
                <w:sz w:val="22"/>
                <w:szCs w:val="22"/>
              </w:rPr>
              <w:t xml:space="preserve"> </w:t>
            </w:r>
            <w:r w:rsidRPr="009F52B3">
              <w:rPr>
                <w:sz w:val="22"/>
                <w:szCs w:val="22"/>
              </w:rPr>
              <w:lastRenderedPageBreak/>
              <w:t>koplietošanas funkcionalitāte: Latvijas kultūras mantojuma integrētā platforma, Latvijas kultūras mantojuma digitālā bibliotēka, Kultūras pieminekļu informācijas pārvaldība, Autortiesību pārvaldība un licencēšana.”</w:t>
            </w:r>
          </w:p>
        </w:tc>
      </w:tr>
      <w:tr w:rsidR="009F52B3" w:rsidRPr="009F52B3" w:rsidTr="009F52B3">
        <w:tc>
          <w:tcPr>
            <w:tcW w:w="237" w:type="pct"/>
            <w:tcBorders>
              <w:top w:val="single" w:sz="4" w:space="0" w:color="auto"/>
              <w:left w:val="single" w:sz="6" w:space="0" w:color="000000"/>
              <w:bottom w:val="single" w:sz="4" w:space="0" w:color="auto"/>
              <w:right w:val="single" w:sz="6" w:space="0" w:color="000000"/>
            </w:tcBorders>
          </w:tcPr>
          <w:p w:rsidR="002D6A77" w:rsidRPr="009F52B3" w:rsidRDefault="009F52B3" w:rsidP="009F52B3">
            <w:pPr>
              <w:pStyle w:val="naisc"/>
              <w:spacing w:before="0" w:after="0"/>
            </w:pPr>
            <w:r>
              <w:rPr>
                <w:sz w:val="22"/>
                <w:szCs w:val="22"/>
              </w:rPr>
              <w:lastRenderedPageBreak/>
              <w:t>2.</w:t>
            </w:r>
          </w:p>
        </w:tc>
        <w:tc>
          <w:tcPr>
            <w:tcW w:w="1338" w:type="pct"/>
            <w:tcBorders>
              <w:top w:val="single" w:sz="4" w:space="0" w:color="auto"/>
              <w:left w:val="single" w:sz="6" w:space="0" w:color="000000"/>
              <w:bottom w:val="single" w:sz="4" w:space="0" w:color="auto"/>
              <w:right w:val="single" w:sz="6" w:space="0" w:color="000000"/>
            </w:tcBorders>
            <w:hideMark/>
          </w:tcPr>
          <w:p w:rsidR="002D6A77" w:rsidRPr="009F52B3" w:rsidRDefault="006330B1" w:rsidP="00D82961">
            <w:pPr>
              <w:pStyle w:val="naisc"/>
              <w:spacing w:before="0" w:after="0"/>
              <w:jc w:val="both"/>
              <w:rPr>
                <w:color w:val="000000"/>
              </w:rPr>
            </w:pPr>
            <w:r w:rsidRPr="009F52B3">
              <w:rPr>
                <w:sz w:val="22"/>
                <w:szCs w:val="22"/>
              </w:rPr>
              <w:t>MK rīkojuma projekta pielikums</w:t>
            </w:r>
            <w:r w:rsidR="00B37686" w:rsidRPr="009F52B3">
              <w:rPr>
                <w:sz w:val="22"/>
                <w:szCs w:val="22"/>
              </w:rPr>
              <w:t>.</w:t>
            </w:r>
          </w:p>
        </w:tc>
        <w:tc>
          <w:tcPr>
            <w:tcW w:w="1184" w:type="pct"/>
            <w:tcBorders>
              <w:top w:val="single" w:sz="4" w:space="0" w:color="auto"/>
              <w:left w:val="single" w:sz="6" w:space="0" w:color="000000"/>
              <w:bottom w:val="single" w:sz="4" w:space="0" w:color="auto"/>
              <w:right w:val="single" w:sz="6" w:space="0" w:color="000000"/>
            </w:tcBorders>
            <w:hideMark/>
          </w:tcPr>
          <w:p w:rsidR="002D6A77" w:rsidRPr="009F52B3" w:rsidRDefault="00221927" w:rsidP="00D82961">
            <w:pPr>
              <w:tabs>
                <w:tab w:val="left" w:pos="0"/>
                <w:tab w:val="left" w:pos="993"/>
              </w:tabs>
              <w:suppressAutoHyphens/>
              <w:jc w:val="both"/>
              <w:rPr>
                <w:rFonts w:eastAsiaTheme="minorEastAsia"/>
                <w:color w:val="000000" w:themeColor="text1"/>
                <w:kern w:val="24"/>
              </w:rPr>
            </w:pPr>
            <w:r w:rsidRPr="009F52B3">
              <w:rPr>
                <w:b/>
                <w:sz w:val="22"/>
                <w:szCs w:val="22"/>
              </w:rPr>
              <w:t>Finanšu</w:t>
            </w:r>
            <w:r w:rsidR="007923EB" w:rsidRPr="009F52B3">
              <w:rPr>
                <w:b/>
                <w:sz w:val="22"/>
                <w:szCs w:val="22"/>
              </w:rPr>
              <w:t xml:space="preserve"> ministrija:</w:t>
            </w:r>
            <w:r w:rsidRPr="009F52B3">
              <w:rPr>
                <w:rFonts w:eastAsiaTheme="minorEastAsia"/>
                <w:color w:val="000000" w:themeColor="text1"/>
                <w:kern w:val="24"/>
                <w:sz w:val="22"/>
                <w:szCs w:val="22"/>
              </w:rPr>
              <w:t xml:space="preserve"> </w:t>
            </w:r>
          </w:p>
          <w:p w:rsidR="0075391B" w:rsidRPr="009F52B3" w:rsidRDefault="0075391B" w:rsidP="00D82961">
            <w:pPr>
              <w:jc w:val="both"/>
            </w:pPr>
            <w:r w:rsidRPr="009F52B3">
              <w:rPr>
                <w:sz w:val="22"/>
                <w:szCs w:val="22"/>
              </w:rPr>
              <w:t xml:space="preserve">Lūdzam precizēt pielikumā ietverto informāciju, skaidrojot, vai minēto sociālekonomisko ieguvumu 32,28 miljoni euro veido tikai 2.kārtas projekts, vai norādītais ir ieguvums kopā ar 1.kārtas projektu. </w:t>
            </w:r>
          </w:p>
        </w:tc>
        <w:tc>
          <w:tcPr>
            <w:tcW w:w="1167" w:type="pct"/>
            <w:tcBorders>
              <w:top w:val="single" w:sz="4" w:space="0" w:color="auto"/>
              <w:left w:val="single" w:sz="6" w:space="0" w:color="000000"/>
              <w:bottom w:val="single" w:sz="4" w:space="0" w:color="auto"/>
              <w:right w:val="single" w:sz="6" w:space="0" w:color="000000"/>
            </w:tcBorders>
            <w:hideMark/>
          </w:tcPr>
          <w:p w:rsidR="002D6A77" w:rsidRPr="00E42C6A" w:rsidRDefault="002D6A77" w:rsidP="00D82961">
            <w:pPr>
              <w:pStyle w:val="naisc"/>
              <w:spacing w:before="0" w:after="0"/>
              <w:rPr>
                <w:b/>
              </w:rPr>
            </w:pPr>
            <w:r w:rsidRPr="00E42C6A">
              <w:rPr>
                <w:b/>
                <w:sz w:val="22"/>
                <w:szCs w:val="22"/>
              </w:rPr>
              <w:t>Ņemts vērā</w:t>
            </w:r>
          </w:p>
          <w:p w:rsidR="004B639B" w:rsidRPr="00E42C6A" w:rsidRDefault="004B639B" w:rsidP="00B021C7">
            <w:pPr>
              <w:pStyle w:val="naisc"/>
              <w:spacing w:before="0" w:after="0"/>
              <w:jc w:val="both"/>
            </w:pPr>
            <w:r w:rsidRPr="00E42C6A">
              <w:rPr>
                <w:sz w:val="22"/>
                <w:szCs w:val="22"/>
              </w:rPr>
              <w:t>Skaidrojam, ka</w:t>
            </w:r>
            <w:r w:rsidR="00B0131F" w:rsidRPr="00E42C6A">
              <w:rPr>
                <w:sz w:val="22"/>
                <w:szCs w:val="22"/>
              </w:rPr>
              <w:t xml:space="preserve"> </w:t>
            </w:r>
            <w:r w:rsidR="00B021C7" w:rsidRPr="00E42C6A">
              <w:rPr>
                <w:sz w:val="22"/>
                <w:szCs w:val="22"/>
              </w:rPr>
              <w:t xml:space="preserve">MK rīkojuma projekta </w:t>
            </w:r>
            <w:r w:rsidR="00B0131F" w:rsidRPr="00E42C6A">
              <w:rPr>
                <w:sz w:val="22"/>
                <w:szCs w:val="22"/>
              </w:rPr>
              <w:t>pielikumā ietvert</w:t>
            </w:r>
            <w:r w:rsidR="00B021C7" w:rsidRPr="00E42C6A">
              <w:rPr>
                <w:sz w:val="22"/>
                <w:szCs w:val="22"/>
              </w:rPr>
              <w:t>ā</w:t>
            </w:r>
            <w:r w:rsidR="00B0131F" w:rsidRPr="00E42C6A">
              <w:rPr>
                <w:sz w:val="22"/>
                <w:szCs w:val="22"/>
              </w:rPr>
              <w:t xml:space="preserve"> informācija par sociālekonomisko iegumu norādīta kā ieguvums par 1.kārtas un 2.kārtas projektiem kopā. MK rīkojuma projekta pielikum</w:t>
            </w:r>
            <w:r w:rsidR="00B021C7" w:rsidRPr="00E42C6A">
              <w:rPr>
                <w:sz w:val="22"/>
                <w:szCs w:val="22"/>
              </w:rPr>
              <w:t>s precizēts</w:t>
            </w:r>
            <w:r w:rsidR="00B0131F" w:rsidRPr="00E42C6A">
              <w:rPr>
                <w:sz w:val="22"/>
                <w:szCs w:val="22"/>
              </w:rPr>
              <w:t>, attiecīgi iekļaujot informāciju tikai par 2.kārtas projekta ieguvumiem.</w:t>
            </w:r>
            <w:r w:rsidR="00B021C7" w:rsidRPr="00E42C6A">
              <w:rPr>
                <w:sz w:val="22"/>
                <w:szCs w:val="22"/>
              </w:rPr>
              <w:t xml:space="preserve"> </w:t>
            </w:r>
          </w:p>
        </w:tc>
        <w:tc>
          <w:tcPr>
            <w:tcW w:w="1074" w:type="pct"/>
            <w:tcBorders>
              <w:top w:val="single" w:sz="4" w:space="0" w:color="auto"/>
              <w:left w:val="single" w:sz="4" w:space="0" w:color="auto"/>
              <w:bottom w:val="single" w:sz="4" w:space="0" w:color="auto"/>
              <w:right w:val="single" w:sz="4" w:space="0" w:color="auto"/>
            </w:tcBorders>
          </w:tcPr>
          <w:p w:rsidR="00B021C7" w:rsidRDefault="00B0131F" w:rsidP="009F793C">
            <w:pPr>
              <w:tabs>
                <w:tab w:val="left" w:pos="0"/>
                <w:tab w:val="left" w:pos="993"/>
              </w:tabs>
              <w:suppressAutoHyphens/>
              <w:jc w:val="both"/>
            </w:pPr>
            <w:r w:rsidRPr="009F52B3">
              <w:rPr>
                <w:sz w:val="22"/>
                <w:szCs w:val="22"/>
              </w:rPr>
              <w:t>Precizēts MK rīkojuma projekta pielikums</w:t>
            </w:r>
            <w:r w:rsidR="004B5E1D" w:rsidRPr="009F52B3">
              <w:rPr>
                <w:sz w:val="22"/>
                <w:szCs w:val="22"/>
              </w:rPr>
              <w:t xml:space="preserve"> ar teikumu</w:t>
            </w:r>
            <w:r w:rsidRPr="009F52B3">
              <w:rPr>
                <w:sz w:val="22"/>
                <w:szCs w:val="22"/>
              </w:rPr>
              <w:t xml:space="preserve"> šādā redakcijā: </w:t>
            </w:r>
          </w:p>
          <w:p w:rsidR="00B021C7" w:rsidRDefault="00B021C7" w:rsidP="009F793C">
            <w:pPr>
              <w:tabs>
                <w:tab w:val="left" w:pos="0"/>
                <w:tab w:val="left" w:pos="993"/>
              </w:tabs>
              <w:suppressAutoHyphens/>
              <w:jc w:val="both"/>
            </w:pPr>
          </w:p>
          <w:p w:rsidR="00303B8A" w:rsidRPr="009F52B3" w:rsidRDefault="00D82961" w:rsidP="009F793C">
            <w:pPr>
              <w:tabs>
                <w:tab w:val="left" w:pos="0"/>
                <w:tab w:val="left" w:pos="993"/>
              </w:tabs>
              <w:suppressAutoHyphens/>
              <w:jc w:val="both"/>
            </w:pPr>
            <w:r w:rsidRPr="009F52B3">
              <w:rPr>
                <w:sz w:val="22"/>
                <w:szCs w:val="22"/>
              </w:rPr>
              <w:t>„</w:t>
            </w:r>
            <w:r w:rsidR="00B0131F" w:rsidRPr="009F52B3">
              <w:rPr>
                <w:sz w:val="22"/>
                <w:szCs w:val="22"/>
              </w:rPr>
              <w:t>Paredzams, ka kopējais efekts pārskata periodā, tai skaitā 10 gadus pēc projekta beigām, veidos vismaz 9,1</w:t>
            </w:r>
            <w:r w:rsidR="009F793C" w:rsidRPr="009F52B3">
              <w:rPr>
                <w:sz w:val="22"/>
                <w:szCs w:val="22"/>
              </w:rPr>
              <w:t> </w:t>
            </w:r>
            <w:r w:rsidR="00B0131F" w:rsidRPr="009F52B3">
              <w:rPr>
                <w:sz w:val="22"/>
                <w:szCs w:val="22"/>
              </w:rPr>
              <w:t>milj</w:t>
            </w:r>
            <w:r w:rsidR="009F793C" w:rsidRPr="009F52B3">
              <w:rPr>
                <w:sz w:val="22"/>
                <w:szCs w:val="22"/>
              </w:rPr>
              <w:t>. </w:t>
            </w:r>
            <w:r w:rsidR="00B0131F" w:rsidRPr="009F52B3">
              <w:rPr>
                <w:i/>
                <w:sz w:val="22"/>
                <w:szCs w:val="22"/>
              </w:rPr>
              <w:t>euro</w:t>
            </w:r>
            <w:r w:rsidR="00B0131F" w:rsidRPr="009F52B3">
              <w:rPr>
                <w:sz w:val="22"/>
                <w:szCs w:val="22"/>
              </w:rPr>
              <w:t xml:space="preserve"> ieguvumu, kas 1,65 reizes pārsniedz projekta investīcijas un darbības (uzturēšanas) izmaksas.” </w:t>
            </w:r>
          </w:p>
        </w:tc>
      </w:tr>
      <w:tr w:rsidR="009F52B3" w:rsidRPr="009F52B3" w:rsidTr="009F52B3">
        <w:tc>
          <w:tcPr>
            <w:tcW w:w="237" w:type="pct"/>
            <w:tcBorders>
              <w:top w:val="single" w:sz="4" w:space="0" w:color="auto"/>
              <w:left w:val="single" w:sz="6" w:space="0" w:color="000000"/>
              <w:bottom w:val="single" w:sz="4" w:space="0" w:color="auto"/>
              <w:right w:val="single" w:sz="6" w:space="0" w:color="000000"/>
            </w:tcBorders>
          </w:tcPr>
          <w:p w:rsidR="001B73C0" w:rsidRPr="009F52B3" w:rsidRDefault="009F52B3" w:rsidP="009F52B3">
            <w:pPr>
              <w:pStyle w:val="naisc"/>
              <w:spacing w:before="0" w:after="0"/>
            </w:pPr>
            <w:r>
              <w:rPr>
                <w:sz w:val="22"/>
                <w:szCs w:val="22"/>
              </w:rPr>
              <w:t>3.</w:t>
            </w:r>
          </w:p>
        </w:tc>
        <w:tc>
          <w:tcPr>
            <w:tcW w:w="1338" w:type="pct"/>
            <w:tcBorders>
              <w:top w:val="single" w:sz="4" w:space="0" w:color="auto"/>
              <w:left w:val="single" w:sz="6" w:space="0" w:color="000000"/>
              <w:bottom w:val="single" w:sz="4" w:space="0" w:color="auto"/>
              <w:right w:val="single" w:sz="6" w:space="0" w:color="000000"/>
            </w:tcBorders>
            <w:hideMark/>
          </w:tcPr>
          <w:p w:rsidR="001B73C0" w:rsidRPr="009F52B3" w:rsidRDefault="0075391B" w:rsidP="00D82961">
            <w:pPr>
              <w:jc w:val="both"/>
            </w:pPr>
            <w:r w:rsidRPr="009F52B3">
              <w:rPr>
                <w:sz w:val="22"/>
                <w:szCs w:val="22"/>
              </w:rPr>
              <w:t>MK rīkojuma projekta pielikums.</w:t>
            </w:r>
          </w:p>
        </w:tc>
        <w:tc>
          <w:tcPr>
            <w:tcW w:w="1184" w:type="pct"/>
            <w:tcBorders>
              <w:top w:val="single" w:sz="4" w:space="0" w:color="auto"/>
              <w:left w:val="single" w:sz="6" w:space="0" w:color="000000"/>
              <w:bottom w:val="single" w:sz="4" w:space="0" w:color="auto"/>
              <w:right w:val="single" w:sz="6" w:space="0" w:color="000000"/>
            </w:tcBorders>
            <w:hideMark/>
          </w:tcPr>
          <w:p w:rsidR="001B73C0" w:rsidRPr="009F52B3" w:rsidRDefault="001B73C0" w:rsidP="00D82961">
            <w:pPr>
              <w:pStyle w:val="Default"/>
              <w:jc w:val="both"/>
              <w:rPr>
                <w:bCs/>
                <w:iCs/>
                <w:sz w:val="22"/>
                <w:szCs w:val="22"/>
                <w:lang w:eastAsia="zh-CN"/>
              </w:rPr>
            </w:pPr>
            <w:r w:rsidRPr="009F52B3">
              <w:rPr>
                <w:b/>
                <w:sz w:val="22"/>
                <w:szCs w:val="22"/>
              </w:rPr>
              <w:t>Finanšu ministrija:</w:t>
            </w:r>
            <w:r w:rsidRPr="009F52B3">
              <w:rPr>
                <w:bCs/>
                <w:iCs/>
                <w:sz w:val="22"/>
                <w:szCs w:val="22"/>
                <w:lang w:eastAsia="zh-CN"/>
              </w:rPr>
              <w:t xml:space="preserve"> </w:t>
            </w:r>
          </w:p>
          <w:p w:rsidR="0075391B" w:rsidRPr="009F52B3" w:rsidRDefault="0075391B" w:rsidP="00D82961">
            <w:pPr>
              <w:jc w:val="both"/>
            </w:pPr>
            <w:r w:rsidRPr="009F52B3">
              <w:rPr>
                <w:sz w:val="22"/>
                <w:szCs w:val="22"/>
              </w:rPr>
              <w:t xml:space="preserve">Lūdzam precizēt pielikumā norādītos 2.kārtas projekta </w:t>
            </w:r>
            <w:r w:rsidRPr="009F52B3">
              <w:rPr>
                <w:sz w:val="22"/>
                <w:szCs w:val="22"/>
              </w:rPr>
              <w:lastRenderedPageBreak/>
              <w:t>iznākuma un rezultāta rādītājus atbilstoši MK noteikumu Nr.151</w:t>
            </w:r>
            <w:r w:rsidRPr="009F52B3">
              <w:rPr>
                <w:sz w:val="22"/>
                <w:szCs w:val="22"/>
                <w:vertAlign w:val="superscript"/>
              </w:rPr>
              <w:footnoteReference w:id="1"/>
            </w:r>
            <w:r w:rsidRPr="009F52B3">
              <w:rPr>
                <w:sz w:val="22"/>
                <w:szCs w:val="22"/>
              </w:rPr>
              <w:t xml:space="preserve"> 7.punktam, pārējos norādot kā papildu sasniedzamos rādītājus, ņemot vērā, ka rezultāta rādītāji nav definēti atbilstoši MK noteikumu Nr.151 7.2.apakšpunktam un projekta iznākuma rādītāji nav definēti atbilstoši MK noteikumu Nr.151 7.1.apakšpunktam.</w:t>
            </w:r>
          </w:p>
        </w:tc>
        <w:tc>
          <w:tcPr>
            <w:tcW w:w="1167" w:type="pct"/>
            <w:tcBorders>
              <w:top w:val="single" w:sz="4" w:space="0" w:color="auto"/>
              <w:left w:val="single" w:sz="6" w:space="0" w:color="000000"/>
              <w:bottom w:val="single" w:sz="4" w:space="0" w:color="auto"/>
              <w:right w:val="single" w:sz="6" w:space="0" w:color="000000"/>
            </w:tcBorders>
            <w:hideMark/>
          </w:tcPr>
          <w:p w:rsidR="00B0131F" w:rsidRPr="00E42C6A" w:rsidRDefault="00B0131F" w:rsidP="00D82961">
            <w:pPr>
              <w:pStyle w:val="naisc"/>
              <w:spacing w:before="0" w:after="0"/>
              <w:rPr>
                <w:b/>
              </w:rPr>
            </w:pPr>
            <w:r w:rsidRPr="00E42C6A">
              <w:rPr>
                <w:b/>
                <w:sz w:val="22"/>
                <w:szCs w:val="22"/>
              </w:rPr>
              <w:lastRenderedPageBreak/>
              <w:t>Ņemts vērā</w:t>
            </w:r>
          </w:p>
          <w:p w:rsidR="00595564" w:rsidRPr="00E42C6A" w:rsidRDefault="00595564" w:rsidP="00E42C6A">
            <w:pPr>
              <w:pStyle w:val="naisc"/>
              <w:keepNext/>
              <w:keepLines/>
              <w:spacing w:before="0" w:after="0"/>
              <w:jc w:val="both"/>
              <w:outlineLvl w:val="0"/>
            </w:pPr>
            <w:r w:rsidRPr="00E42C6A">
              <w:rPr>
                <w:sz w:val="22"/>
                <w:szCs w:val="22"/>
                <w:lang w:eastAsia="en-US"/>
              </w:rPr>
              <w:t xml:space="preserve">Iznākuma rādītāju uzskaitījums precizēts un norādīts atbilstoši </w:t>
            </w:r>
            <w:r w:rsidRPr="00E42C6A">
              <w:rPr>
                <w:sz w:val="22"/>
                <w:szCs w:val="22"/>
              </w:rPr>
              <w:t xml:space="preserve">MK </w:t>
            </w:r>
            <w:r w:rsidRPr="00E42C6A">
              <w:rPr>
                <w:sz w:val="22"/>
                <w:szCs w:val="22"/>
              </w:rPr>
              <w:lastRenderedPageBreak/>
              <w:t>noteikumiem Nr.151</w:t>
            </w:r>
            <w:r w:rsidRPr="00E42C6A">
              <w:rPr>
                <w:sz w:val="22"/>
                <w:szCs w:val="22"/>
                <w:vertAlign w:val="superscript"/>
              </w:rPr>
              <w:t>1</w:t>
            </w:r>
            <w:r w:rsidRPr="00E42C6A">
              <w:rPr>
                <w:sz w:val="22"/>
                <w:szCs w:val="22"/>
              </w:rPr>
              <w:t>. Ņemot vērā to, ka centralizētās atvērtās informācijas sistēmu platformas izveide notiek 1.kārtas</w:t>
            </w:r>
            <w:r w:rsidR="00D82961" w:rsidRPr="00E42C6A">
              <w:rPr>
                <w:sz w:val="22"/>
                <w:szCs w:val="22"/>
              </w:rPr>
              <w:t xml:space="preserve"> projekta</w:t>
            </w:r>
            <w:r w:rsidRPr="00E42C6A">
              <w:rPr>
                <w:sz w:val="22"/>
                <w:szCs w:val="22"/>
              </w:rPr>
              <w:t xml:space="preserve"> un 2.kārta</w:t>
            </w:r>
            <w:r w:rsidR="00E42C6A" w:rsidRPr="00E42C6A">
              <w:rPr>
                <w:sz w:val="22"/>
                <w:szCs w:val="22"/>
              </w:rPr>
              <w:t>s</w:t>
            </w:r>
            <w:r w:rsidRPr="00E42C6A">
              <w:rPr>
                <w:sz w:val="22"/>
                <w:szCs w:val="22"/>
              </w:rPr>
              <w:t xml:space="preserve"> projekta darbību ietvaros, tad pie iznākuma rādītājiem norādām uz rezultāta 2.kārtu.</w:t>
            </w:r>
            <w:r w:rsidR="00E42C6A" w:rsidRPr="00E42C6A">
              <w:rPr>
                <w:sz w:val="22"/>
                <w:szCs w:val="22"/>
              </w:rPr>
              <w:t xml:space="preserve"> </w:t>
            </w:r>
            <w:r w:rsidRPr="00E42C6A">
              <w:rPr>
                <w:sz w:val="22"/>
                <w:szCs w:val="22"/>
              </w:rPr>
              <w:t>Skaidrojam, ka MK noteikumu Nr.151</w:t>
            </w:r>
            <w:r w:rsidRPr="00E42C6A">
              <w:rPr>
                <w:sz w:val="22"/>
                <w:szCs w:val="22"/>
                <w:vertAlign w:val="superscript"/>
              </w:rPr>
              <w:t>1</w:t>
            </w:r>
            <w:r w:rsidRPr="00E42C6A">
              <w:rPr>
                <w:sz w:val="22"/>
                <w:szCs w:val="22"/>
              </w:rPr>
              <w:t xml:space="preserve"> 7.2.punktā noteiktā rezultāta rādītāja </w:t>
            </w:r>
            <w:r w:rsidR="00D82961" w:rsidRPr="00E42C6A">
              <w:rPr>
                <w:sz w:val="22"/>
                <w:szCs w:val="22"/>
              </w:rPr>
              <w:t>„</w:t>
            </w:r>
            <w:r w:rsidRPr="00E42C6A">
              <w:rPr>
                <w:sz w:val="22"/>
                <w:szCs w:val="22"/>
              </w:rPr>
              <w:t>Vidējais publiskā sektora informācijas atkalizmantošanas indekss” vērtība ir norādīta valstī kopā sasniedzamā vērtība</w:t>
            </w:r>
            <w:r w:rsidR="000D2681" w:rsidRPr="00E42C6A">
              <w:rPr>
                <w:sz w:val="22"/>
                <w:szCs w:val="22"/>
              </w:rPr>
              <w:t>, kā arī indeksa aprēķina metodika paredz to aprēķināt vienīgi kā valsts kopējo vērtību</w:t>
            </w:r>
            <w:r w:rsidRPr="00E42C6A">
              <w:rPr>
                <w:sz w:val="22"/>
                <w:szCs w:val="22"/>
              </w:rPr>
              <w:t xml:space="preserve">. 2.kārtas projekta ieguldījums </w:t>
            </w:r>
            <w:r w:rsidR="000D2681" w:rsidRPr="00E42C6A">
              <w:rPr>
                <w:sz w:val="22"/>
                <w:szCs w:val="22"/>
              </w:rPr>
              <w:t>minētā rezultāta rādītāja sasniegšanā</w:t>
            </w:r>
            <w:r w:rsidR="00E42C6A" w:rsidRPr="00E42C6A">
              <w:rPr>
                <w:sz w:val="22"/>
                <w:szCs w:val="22"/>
              </w:rPr>
              <w:t xml:space="preserve"> </w:t>
            </w:r>
            <w:r w:rsidRPr="00E42C6A">
              <w:rPr>
                <w:sz w:val="22"/>
                <w:szCs w:val="22"/>
              </w:rPr>
              <w:t xml:space="preserve">ir 10 </w:t>
            </w:r>
            <w:r w:rsidR="000D2681" w:rsidRPr="00E42C6A">
              <w:rPr>
                <w:sz w:val="22"/>
                <w:szCs w:val="22"/>
              </w:rPr>
              <w:t>atvērto datu kopu izveide.</w:t>
            </w:r>
            <w:r w:rsidR="00E42C6A" w:rsidRPr="00E42C6A">
              <w:rPr>
                <w:sz w:val="22"/>
                <w:szCs w:val="22"/>
              </w:rPr>
              <w:t xml:space="preserve"> </w:t>
            </w:r>
            <w:r w:rsidR="000D2681" w:rsidRPr="00E42C6A">
              <w:rPr>
                <w:sz w:val="22"/>
                <w:szCs w:val="22"/>
              </w:rPr>
              <w:t>Elektroniskas viedokļu saskaņošanas rezultātā ar V</w:t>
            </w:r>
            <w:r w:rsidR="00D82961" w:rsidRPr="00E42C6A">
              <w:rPr>
                <w:sz w:val="22"/>
                <w:szCs w:val="22"/>
              </w:rPr>
              <w:t xml:space="preserve">ides </w:t>
            </w:r>
            <w:r w:rsidR="00E42C6A">
              <w:rPr>
                <w:sz w:val="22"/>
                <w:szCs w:val="22"/>
              </w:rPr>
              <w:t>a</w:t>
            </w:r>
            <w:r w:rsidR="00D82961" w:rsidRPr="00E42C6A">
              <w:rPr>
                <w:sz w:val="22"/>
                <w:szCs w:val="22"/>
              </w:rPr>
              <w:t xml:space="preserve">izsardzības un </w:t>
            </w:r>
            <w:r w:rsidR="00E42C6A">
              <w:rPr>
                <w:sz w:val="22"/>
                <w:szCs w:val="22"/>
              </w:rPr>
              <w:t>r</w:t>
            </w:r>
            <w:r w:rsidR="00D82961" w:rsidRPr="00E42C6A">
              <w:rPr>
                <w:sz w:val="22"/>
                <w:szCs w:val="22"/>
              </w:rPr>
              <w:t>eģionālās attīstības ministriju</w:t>
            </w:r>
            <w:r w:rsidR="000D2681" w:rsidRPr="00E42C6A">
              <w:rPr>
                <w:sz w:val="22"/>
                <w:szCs w:val="22"/>
              </w:rPr>
              <w:t xml:space="preserve">,  vidējo publiskā sektora informācijas atkalizmantošanas indeksu neiekļaujam 2.kārtas projekta detalizētajā aprakstā un attiecīgi arī MK rīkojuma projekta </w:t>
            </w:r>
            <w:r w:rsidR="00D82961" w:rsidRPr="00E42C6A">
              <w:rPr>
                <w:sz w:val="22"/>
                <w:szCs w:val="22"/>
              </w:rPr>
              <w:t>sākotnējās ietekmes novērtējuma ziņojumā (anotācijā)</w:t>
            </w:r>
            <w:r w:rsidR="000D2681" w:rsidRPr="00E42C6A">
              <w:rPr>
                <w:sz w:val="22"/>
                <w:szCs w:val="22"/>
              </w:rPr>
              <w:t>.</w:t>
            </w:r>
          </w:p>
        </w:tc>
        <w:tc>
          <w:tcPr>
            <w:tcW w:w="1074" w:type="pct"/>
            <w:tcBorders>
              <w:top w:val="single" w:sz="4" w:space="0" w:color="auto"/>
              <w:left w:val="single" w:sz="4" w:space="0" w:color="auto"/>
              <w:bottom w:val="single" w:sz="4" w:space="0" w:color="auto"/>
              <w:right w:val="single" w:sz="4" w:space="0" w:color="auto"/>
            </w:tcBorders>
          </w:tcPr>
          <w:p w:rsidR="001B73C0" w:rsidRPr="009F52B3" w:rsidRDefault="009B12C4" w:rsidP="00595564">
            <w:pPr>
              <w:tabs>
                <w:tab w:val="left" w:pos="0"/>
                <w:tab w:val="left" w:pos="993"/>
              </w:tabs>
              <w:suppressAutoHyphens/>
              <w:jc w:val="both"/>
            </w:pPr>
            <w:r w:rsidRPr="009F52B3">
              <w:rPr>
                <w:sz w:val="22"/>
                <w:szCs w:val="22"/>
              </w:rPr>
              <w:lastRenderedPageBreak/>
              <w:t xml:space="preserve">Precizēts MK rīkojuma projekta pielikums, norādot iznākuma rādītājus atbilstoši MK </w:t>
            </w:r>
            <w:r w:rsidRPr="009F52B3">
              <w:rPr>
                <w:sz w:val="22"/>
                <w:szCs w:val="22"/>
              </w:rPr>
              <w:lastRenderedPageBreak/>
              <w:t>noteikumu Nr.151</w:t>
            </w:r>
            <w:r w:rsidRPr="009F52B3">
              <w:rPr>
                <w:sz w:val="22"/>
                <w:szCs w:val="22"/>
                <w:vertAlign w:val="superscript"/>
              </w:rPr>
              <w:t>1</w:t>
            </w:r>
            <w:r w:rsidR="002E106F" w:rsidRPr="009F52B3">
              <w:rPr>
                <w:sz w:val="22"/>
                <w:szCs w:val="22"/>
              </w:rPr>
              <w:t xml:space="preserve"> 7.1.punktam.</w:t>
            </w:r>
          </w:p>
        </w:tc>
      </w:tr>
      <w:tr w:rsidR="009F52B3" w:rsidRPr="009F52B3" w:rsidTr="009F52B3">
        <w:tc>
          <w:tcPr>
            <w:tcW w:w="237" w:type="pct"/>
            <w:tcBorders>
              <w:top w:val="single" w:sz="4" w:space="0" w:color="auto"/>
              <w:left w:val="single" w:sz="6" w:space="0" w:color="000000"/>
              <w:bottom w:val="single" w:sz="4" w:space="0" w:color="auto"/>
              <w:right w:val="single" w:sz="6" w:space="0" w:color="000000"/>
            </w:tcBorders>
          </w:tcPr>
          <w:p w:rsidR="007C7293" w:rsidRPr="009F52B3" w:rsidRDefault="009F52B3" w:rsidP="009F52B3">
            <w:pPr>
              <w:pStyle w:val="naisc"/>
              <w:spacing w:before="0" w:after="0"/>
            </w:pPr>
            <w:r>
              <w:rPr>
                <w:sz w:val="22"/>
                <w:szCs w:val="22"/>
              </w:rPr>
              <w:lastRenderedPageBreak/>
              <w:t>4.</w:t>
            </w:r>
          </w:p>
        </w:tc>
        <w:tc>
          <w:tcPr>
            <w:tcW w:w="1338" w:type="pct"/>
            <w:tcBorders>
              <w:top w:val="single" w:sz="4" w:space="0" w:color="auto"/>
              <w:left w:val="single" w:sz="6" w:space="0" w:color="000000"/>
              <w:bottom w:val="single" w:sz="4" w:space="0" w:color="auto"/>
              <w:right w:val="single" w:sz="6" w:space="0" w:color="000000"/>
            </w:tcBorders>
          </w:tcPr>
          <w:p w:rsidR="00460D5C" w:rsidRPr="009F52B3" w:rsidRDefault="00460D5C" w:rsidP="00D82961">
            <w:pPr>
              <w:pStyle w:val="Pamatteksts"/>
              <w:spacing w:after="0"/>
              <w:jc w:val="both"/>
            </w:pPr>
            <w:r w:rsidRPr="009F52B3">
              <w:rPr>
                <w:sz w:val="22"/>
                <w:szCs w:val="22"/>
              </w:rPr>
              <w:t xml:space="preserve">MK rīkojuma projekta sākotnējās ietekmes </w:t>
            </w:r>
            <w:r w:rsidR="00D82961" w:rsidRPr="009F52B3">
              <w:rPr>
                <w:sz w:val="22"/>
                <w:szCs w:val="22"/>
              </w:rPr>
              <w:t>novērtējuma ziņojums (anotācija</w:t>
            </w:r>
            <w:r w:rsidRPr="009F52B3">
              <w:rPr>
                <w:sz w:val="22"/>
                <w:szCs w:val="22"/>
              </w:rPr>
              <w:t>)</w:t>
            </w:r>
            <w:r w:rsidR="00051140">
              <w:rPr>
                <w:sz w:val="22"/>
                <w:szCs w:val="22"/>
              </w:rPr>
              <w:t xml:space="preserve">, </w:t>
            </w:r>
            <w:r w:rsidRPr="009F52B3">
              <w:rPr>
                <w:sz w:val="22"/>
                <w:szCs w:val="22"/>
              </w:rPr>
              <w:t xml:space="preserve">MK rīkojuma projekta </w:t>
            </w:r>
            <w:r w:rsidRPr="009F52B3">
              <w:rPr>
                <w:sz w:val="22"/>
                <w:szCs w:val="22"/>
              </w:rPr>
              <w:lastRenderedPageBreak/>
              <w:t>pielikums.</w:t>
            </w:r>
          </w:p>
          <w:p w:rsidR="007C7293" w:rsidRPr="009F52B3" w:rsidRDefault="007C7293" w:rsidP="00D82961">
            <w:pPr>
              <w:pStyle w:val="naisc"/>
              <w:spacing w:before="0" w:after="0"/>
              <w:ind w:hanging="11"/>
              <w:jc w:val="both"/>
            </w:pPr>
          </w:p>
        </w:tc>
        <w:tc>
          <w:tcPr>
            <w:tcW w:w="1184" w:type="pct"/>
            <w:tcBorders>
              <w:top w:val="single" w:sz="4" w:space="0" w:color="auto"/>
              <w:left w:val="single" w:sz="6" w:space="0" w:color="000000"/>
              <w:bottom w:val="single" w:sz="4" w:space="0" w:color="auto"/>
              <w:right w:val="single" w:sz="6" w:space="0" w:color="000000"/>
            </w:tcBorders>
          </w:tcPr>
          <w:p w:rsidR="007C7293" w:rsidRPr="009F52B3" w:rsidRDefault="007C7293" w:rsidP="00D82961">
            <w:pPr>
              <w:tabs>
                <w:tab w:val="left" w:pos="0"/>
                <w:tab w:val="left" w:pos="993"/>
              </w:tabs>
              <w:suppressAutoHyphens/>
              <w:jc w:val="both"/>
              <w:rPr>
                <w:b/>
              </w:rPr>
            </w:pPr>
            <w:r w:rsidRPr="009F52B3">
              <w:rPr>
                <w:b/>
                <w:sz w:val="22"/>
                <w:szCs w:val="22"/>
              </w:rPr>
              <w:lastRenderedPageBreak/>
              <w:t>Finanšu ministrija:</w:t>
            </w:r>
          </w:p>
          <w:p w:rsidR="007C7293" w:rsidRPr="009F52B3" w:rsidRDefault="007C7293" w:rsidP="00D82961">
            <w:pPr>
              <w:jc w:val="both"/>
            </w:pPr>
            <w:r w:rsidRPr="009F52B3">
              <w:rPr>
                <w:sz w:val="22"/>
                <w:szCs w:val="22"/>
              </w:rPr>
              <w:t xml:space="preserve">Lūdzam salāgot anotācijā un pielikumā norādīto informāciju, </w:t>
            </w:r>
            <w:r w:rsidRPr="009F52B3">
              <w:rPr>
                <w:sz w:val="22"/>
                <w:szCs w:val="22"/>
              </w:rPr>
              <w:lastRenderedPageBreak/>
              <w:t xml:space="preserve">ņemot vērā, ka anotācijas </w:t>
            </w:r>
            <w:r w:rsidRPr="009F52B3">
              <w:rPr>
                <w:sz w:val="22"/>
                <w:szCs w:val="22"/>
              </w:rPr>
              <w:br/>
              <w:t>I sadaļas “Tiesību akta projekta izstrādes nepieciešamība” 2.punktā “Pašreizējā situācija un problēmas, kuru risināšanai tiesību akta projekts izstrādāts, tiesiskā regulējuma mērķis un būtība” ietverta informācija, ka plānotā projekta “Kultūras mantojuma satura digitalizācija (2.kārta)” ietvaros tiks izstrādāta viena informācijas sistēmu (turpmāk – IS) platforma, savukārt pielikumā ietverta informācija, ka “mērķa īstenošanai plānots ieviest Centralizētas atvērtas informācijas sistēmu platformas 2.kārtu”, no kā var secināt, ka tiks pilnveidota jau esoša IS platforma.</w:t>
            </w:r>
          </w:p>
        </w:tc>
        <w:tc>
          <w:tcPr>
            <w:tcW w:w="1167" w:type="pct"/>
            <w:tcBorders>
              <w:top w:val="single" w:sz="4" w:space="0" w:color="auto"/>
              <w:left w:val="single" w:sz="6" w:space="0" w:color="000000"/>
              <w:bottom w:val="single" w:sz="4" w:space="0" w:color="auto"/>
              <w:right w:val="single" w:sz="6" w:space="0" w:color="000000"/>
            </w:tcBorders>
          </w:tcPr>
          <w:p w:rsidR="00816E71" w:rsidRPr="009F52B3" w:rsidRDefault="00B0131F" w:rsidP="00D82961">
            <w:pPr>
              <w:pStyle w:val="naisc"/>
              <w:spacing w:before="0" w:after="0"/>
              <w:rPr>
                <w:b/>
              </w:rPr>
            </w:pPr>
            <w:r w:rsidRPr="009F52B3">
              <w:rPr>
                <w:b/>
                <w:sz w:val="22"/>
                <w:szCs w:val="22"/>
              </w:rPr>
              <w:lastRenderedPageBreak/>
              <w:t>Ņemts vērā</w:t>
            </w:r>
          </w:p>
          <w:p w:rsidR="007C7293" w:rsidRPr="009F52B3" w:rsidRDefault="001D0E74" w:rsidP="00051140">
            <w:pPr>
              <w:pStyle w:val="naisc"/>
              <w:spacing w:before="0" w:after="0"/>
              <w:jc w:val="both"/>
              <w:rPr>
                <w:color w:val="000000"/>
              </w:rPr>
            </w:pPr>
            <w:r w:rsidRPr="009F52B3">
              <w:rPr>
                <w:color w:val="000000"/>
                <w:sz w:val="22"/>
                <w:szCs w:val="22"/>
              </w:rPr>
              <w:t xml:space="preserve">Skaidrojam, ka gan MK rīkojuma projekta </w:t>
            </w:r>
            <w:r w:rsidR="00581CBB" w:rsidRPr="009F52B3">
              <w:rPr>
                <w:color w:val="000000"/>
                <w:sz w:val="22"/>
                <w:szCs w:val="22"/>
              </w:rPr>
              <w:t xml:space="preserve">sākotnējās ietekmes </w:t>
            </w:r>
            <w:r w:rsidR="00581CBB" w:rsidRPr="009F52B3">
              <w:rPr>
                <w:color w:val="000000"/>
                <w:sz w:val="22"/>
                <w:szCs w:val="22"/>
              </w:rPr>
              <w:lastRenderedPageBreak/>
              <w:t>novērtējuma ziņojumā (anotācijā)</w:t>
            </w:r>
            <w:r w:rsidRPr="009F52B3">
              <w:rPr>
                <w:color w:val="000000"/>
                <w:sz w:val="22"/>
                <w:szCs w:val="22"/>
              </w:rPr>
              <w:t xml:space="preserve">, gan </w:t>
            </w:r>
            <w:r w:rsidR="00051140" w:rsidRPr="009F52B3">
              <w:rPr>
                <w:color w:val="000000"/>
                <w:sz w:val="22"/>
                <w:szCs w:val="22"/>
              </w:rPr>
              <w:t xml:space="preserve">MK rīkojuma projekta </w:t>
            </w:r>
            <w:r w:rsidRPr="009F52B3">
              <w:rPr>
                <w:color w:val="000000"/>
                <w:sz w:val="22"/>
                <w:szCs w:val="22"/>
              </w:rPr>
              <w:t>pielikumā ir ietvert</w:t>
            </w:r>
            <w:r w:rsidR="00014187" w:rsidRPr="009F52B3">
              <w:rPr>
                <w:color w:val="000000"/>
                <w:sz w:val="22"/>
                <w:szCs w:val="22"/>
              </w:rPr>
              <w:t>a</w:t>
            </w:r>
            <w:r w:rsidRPr="009F52B3">
              <w:rPr>
                <w:color w:val="000000"/>
                <w:sz w:val="22"/>
                <w:szCs w:val="22"/>
              </w:rPr>
              <w:t xml:space="preserve"> </w:t>
            </w:r>
            <w:r w:rsidR="00581CBB" w:rsidRPr="009F52B3">
              <w:rPr>
                <w:color w:val="000000"/>
                <w:sz w:val="22"/>
                <w:szCs w:val="22"/>
              </w:rPr>
              <w:t xml:space="preserve">2.kārtas </w:t>
            </w:r>
            <w:r w:rsidRPr="009F52B3">
              <w:rPr>
                <w:color w:val="000000"/>
                <w:sz w:val="22"/>
                <w:szCs w:val="22"/>
              </w:rPr>
              <w:t>projekta misija</w:t>
            </w:r>
            <w:r w:rsidR="00816E71" w:rsidRPr="009F52B3">
              <w:rPr>
                <w:color w:val="000000"/>
                <w:sz w:val="22"/>
                <w:szCs w:val="22"/>
              </w:rPr>
              <w:t>s</w:t>
            </w:r>
            <w:r w:rsidRPr="009F52B3">
              <w:rPr>
                <w:color w:val="000000"/>
                <w:sz w:val="22"/>
                <w:szCs w:val="22"/>
              </w:rPr>
              <w:t xml:space="preserve"> jeb virsuzdevum</w:t>
            </w:r>
            <w:r w:rsidR="00816E71" w:rsidRPr="009F52B3">
              <w:rPr>
                <w:color w:val="000000"/>
                <w:sz w:val="22"/>
                <w:szCs w:val="22"/>
              </w:rPr>
              <w:t>a definīcija</w:t>
            </w:r>
            <w:r w:rsidRPr="009F52B3">
              <w:rPr>
                <w:color w:val="000000"/>
                <w:sz w:val="22"/>
                <w:szCs w:val="22"/>
              </w:rPr>
              <w:t xml:space="preserve">, kas paredz </w:t>
            </w:r>
            <w:r w:rsidR="00014187" w:rsidRPr="009F52B3">
              <w:rPr>
                <w:color w:val="000000"/>
                <w:sz w:val="22"/>
                <w:szCs w:val="22"/>
              </w:rPr>
              <w:t xml:space="preserve">nodrošināt plašāku Latvijas kultūras mantojuma pieejamību sabiedrībai digitālajā vidē un ilgtspējīgu tā saglabāšanu, īstenojot kultūras mantojuma digitalizāciju un attīstot centralizētu atvērtu informācijas sistēmu platformu, tādejādi turpinot </w:t>
            </w:r>
            <w:r w:rsidR="00581CBB" w:rsidRPr="009F52B3">
              <w:rPr>
                <w:color w:val="000000"/>
                <w:sz w:val="22"/>
                <w:szCs w:val="22"/>
              </w:rPr>
              <w:t>1.kārtas projektu</w:t>
            </w:r>
            <w:r w:rsidR="00014187" w:rsidRPr="009F52B3">
              <w:rPr>
                <w:color w:val="000000"/>
                <w:sz w:val="22"/>
                <w:szCs w:val="22"/>
              </w:rPr>
              <w:t xml:space="preserve">. Savukārt </w:t>
            </w:r>
            <w:r w:rsidR="00051140" w:rsidRPr="009F52B3">
              <w:rPr>
                <w:color w:val="000000"/>
                <w:sz w:val="22"/>
                <w:szCs w:val="22"/>
              </w:rPr>
              <w:t xml:space="preserve">MK rīkojuma projekta </w:t>
            </w:r>
            <w:r w:rsidR="00014187" w:rsidRPr="009F52B3">
              <w:rPr>
                <w:color w:val="000000"/>
                <w:sz w:val="22"/>
                <w:szCs w:val="22"/>
              </w:rPr>
              <w:t xml:space="preserve">pielikumā ir norādīts </w:t>
            </w:r>
            <w:r w:rsidR="00581CBB" w:rsidRPr="009F52B3">
              <w:rPr>
                <w:color w:val="000000"/>
                <w:sz w:val="22"/>
                <w:szCs w:val="22"/>
              </w:rPr>
              <w:t xml:space="preserve">2.kārtas </w:t>
            </w:r>
            <w:r w:rsidR="00014187" w:rsidRPr="009F52B3">
              <w:rPr>
                <w:color w:val="000000"/>
                <w:sz w:val="22"/>
                <w:szCs w:val="22"/>
              </w:rPr>
              <w:t xml:space="preserve">projekta iznākuma rādītājs </w:t>
            </w:r>
            <w:r w:rsidR="00581CBB" w:rsidRPr="009F52B3">
              <w:rPr>
                <w:color w:val="000000"/>
                <w:sz w:val="22"/>
                <w:szCs w:val="22"/>
              </w:rPr>
              <w:t xml:space="preserve">– </w:t>
            </w:r>
            <w:r w:rsidR="00014187" w:rsidRPr="009F52B3">
              <w:rPr>
                <w:color w:val="000000"/>
                <w:sz w:val="22"/>
                <w:szCs w:val="22"/>
              </w:rPr>
              <w:t>Centralizēta atvērtas informācijas sistēmu platformas 2.kārta, kas ir vairāku informācijas sistēmu kopums. 2.kārtas projekts paredz turpināt nepieciešamos informācijas sistēmu attīstīb</w:t>
            </w:r>
            <w:r w:rsidR="00816E71" w:rsidRPr="009F52B3">
              <w:rPr>
                <w:color w:val="000000"/>
                <w:sz w:val="22"/>
                <w:szCs w:val="22"/>
              </w:rPr>
              <w:t xml:space="preserve">u </w:t>
            </w:r>
            <w:r w:rsidR="00014187" w:rsidRPr="009F52B3">
              <w:rPr>
                <w:color w:val="000000"/>
                <w:sz w:val="22"/>
                <w:szCs w:val="22"/>
              </w:rPr>
              <w:t>un tādejādi turpināt centralizēt</w:t>
            </w:r>
            <w:r w:rsidR="00816E71" w:rsidRPr="009F52B3">
              <w:rPr>
                <w:color w:val="000000"/>
                <w:sz w:val="22"/>
                <w:szCs w:val="22"/>
              </w:rPr>
              <w:t>a</w:t>
            </w:r>
            <w:r w:rsidR="00014187" w:rsidRPr="009F52B3">
              <w:rPr>
                <w:color w:val="000000"/>
                <w:sz w:val="22"/>
                <w:szCs w:val="22"/>
              </w:rPr>
              <w:t xml:space="preserve"> informācijas sistēmu ietvara jeb platformas izveidi</w:t>
            </w:r>
            <w:r w:rsidR="00816E71" w:rsidRPr="009F52B3">
              <w:rPr>
                <w:color w:val="000000"/>
                <w:sz w:val="22"/>
                <w:szCs w:val="22"/>
              </w:rPr>
              <w:t xml:space="preserve">. Līdz ar to starp </w:t>
            </w:r>
            <w:r w:rsidR="00051140">
              <w:rPr>
                <w:color w:val="000000"/>
                <w:sz w:val="22"/>
                <w:szCs w:val="22"/>
              </w:rPr>
              <w:t xml:space="preserve">minētajiem </w:t>
            </w:r>
            <w:r w:rsidR="00B24A1E" w:rsidRPr="009F52B3">
              <w:rPr>
                <w:color w:val="000000"/>
                <w:sz w:val="22"/>
                <w:szCs w:val="22"/>
              </w:rPr>
              <w:t>dokumentiem</w:t>
            </w:r>
            <w:r w:rsidR="00051140">
              <w:rPr>
                <w:color w:val="000000"/>
                <w:sz w:val="22"/>
                <w:szCs w:val="22"/>
              </w:rPr>
              <w:t xml:space="preserve"> nav pretrunu</w:t>
            </w:r>
            <w:r w:rsidR="00B24A1E" w:rsidRPr="009F52B3">
              <w:rPr>
                <w:color w:val="000000"/>
                <w:sz w:val="22"/>
                <w:szCs w:val="22"/>
              </w:rPr>
              <w:t>.</w:t>
            </w:r>
          </w:p>
        </w:tc>
        <w:tc>
          <w:tcPr>
            <w:tcW w:w="1074" w:type="pct"/>
            <w:tcBorders>
              <w:top w:val="single" w:sz="4" w:space="0" w:color="auto"/>
              <w:left w:val="single" w:sz="4" w:space="0" w:color="auto"/>
              <w:bottom w:val="single" w:sz="4" w:space="0" w:color="auto"/>
              <w:right w:val="single" w:sz="4" w:space="0" w:color="auto"/>
            </w:tcBorders>
          </w:tcPr>
          <w:p w:rsidR="00581CBB" w:rsidRPr="009F52B3" w:rsidRDefault="00B24A1E" w:rsidP="00581CBB">
            <w:pPr>
              <w:suppressLineNumbers/>
              <w:jc w:val="both"/>
            </w:pPr>
            <w:r w:rsidRPr="009F52B3">
              <w:rPr>
                <w:sz w:val="22"/>
                <w:szCs w:val="22"/>
              </w:rPr>
              <w:lastRenderedPageBreak/>
              <w:t xml:space="preserve">Papildināts MK rīkojuma </w:t>
            </w:r>
            <w:r w:rsidR="00594FE8" w:rsidRPr="009F52B3">
              <w:rPr>
                <w:sz w:val="22"/>
                <w:szCs w:val="22"/>
              </w:rPr>
              <w:t xml:space="preserve">sākotnējās ietekmes novērtējuma ziņojuma </w:t>
            </w:r>
            <w:r w:rsidR="00594FE8" w:rsidRPr="009F52B3">
              <w:rPr>
                <w:sz w:val="22"/>
                <w:szCs w:val="22"/>
              </w:rPr>
              <w:lastRenderedPageBreak/>
              <w:t xml:space="preserve">(anotācijas) </w:t>
            </w:r>
            <w:r w:rsidRPr="009F52B3">
              <w:rPr>
                <w:sz w:val="22"/>
                <w:szCs w:val="22"/>
              </w:rPr>
              <w:t xml:space="preserve"> 2.punkts </w:t>
            </w:r>
            <w:r w:rsidR="00051140">
              <w:rPr>
                <w:sz w:val="22"/>
                <w:szCs w:val="22"/>
              </w:rPr>
              <w:t>ar šādu informāciju</w:t>
            </w:r>
            <w:r w:rsidRPr="009F52B3">
              <w:rPr>
                <w:sz w:val="22"/>
                <w:szCs w:val="22"/>
              </w:rPr>
              <w:t xml:space="preserve">: </w:t>
            </w:r>
          </w:p>
          <w:p w:rsidR="00051140" w:rsidRDefault="00051140" w:rsidP="00581CBB">
            <w:pPr>
              <w:suppressLineNumbers/>
              <w:jc w:val="both"/>
            </w:pPr>
          </w:p>
          <w:p w:rsidR="00B24A1E" w:rsidRPr="009F52B3" w:rsidRDefault="00581CBB" w:rsidP="00581CBB">
            <w:pPr>
              <w:suppressLineNumbers/>
              <w:jc w:val="both"/>
            </w:pPr>
            <w:r w:rsidRPr="009F52B3">
              <w:rPr>
                <w:sz w:val="22"/>
                <w:szCs w:val="22"/>
              </w:rPr>
              <w:t>„</w:t>
            </w:r>
            <w:r w:rsidR="00B24A1E" w:rsidRPr="009F52B3">
              <w:rPr>
                <w:sz w:val="22"/>
                <w:szCs w:val="22"/>
              </w:rPr>
              <w:t xml:space="preserve">Uzskaitīto pasākumu īstenošana nodrošinās centralizētas atvērtas informācijas sistēmu platformas (2.kārtas) ieviešanu.” </w:t>
            </w:r>
          </w:p>
          <w:p w:rsidR="007C7293" w:rsidRPr="009F52B3" w:rsidRDefault="007C7293" w:rsidP="0075391B">
            <w:pPr>
              <w:pStyle w:val="naisc"/>
              <w:spacing w:before="0" w:after="0"/>
              <w:ind w:hanging="11"/>
              <w:jc w:val="both"/>
            </w:pPr>
          </w:p>
        </w:tc>
      </w:tr>
      <w:tr w:rsidR="009F52B3" w:rsidRPr="009F52B3" w:rsidTr="009F52B3">
        <w:tc>
          <w:tcPr>
            <w:tcW w:w="237" w:type="pct"/>
            <w:tcBorders>
              <w:top w:val="single" w:sz="4" w:space="0" w:color="auto"/>
              <w:left w:val="single" w:sz="6" w:space="0" w:color="000000"/>
              <w:bottom w:val="single" w:sz="4" w:space="0" w:color="auto"/>
              <w:right w:val="single" w:sz="6" w:space="0" w:color="000000"/>
            </w:tcBorders>
          </w:tcPr>
          <w:p w:rsidR="007C7293" w:rsidRPr="009F52B3" w:rsidRDefault="009F52B3" w:rsidP="009F52B3">
            <w:pPr>
              <w:pStyle w:val="naisc"/>
              <w:spacing w:before="0" w:after="0"/>
            </w:pPr>
            <w:r>
              <w:rPr>
                <w:sz w:val="22"/>
                <w:szCs w:val="22"/>
              </w:rPr>
              <w:lastRenderedPageBreak/>
              <w:t>5.</w:t>
            </w:r>
          </w:p>
        </w:tc>
        <w:tc>
          <w:tcPr>
            <w:tcW w:w="1338" w:type="pct"/>
            <w:tcBorders>
              <w:top w:val="single" w:sz="4" w:space="0" w:color="auto"/>
              <w:left w:val="single" w:sz="6" w:space="0" w:color="000000"/>
              <w:bottom w:val="single" w:sz="4" w:space="0" w:color="auto"/>
              <w:right w:val="single" w:sz="6" w:space="0" w:color="000000"/>
            </w:tcBorders>
          </w:tcPr>
          <w:p w:rsidR="00460D5C" w:rsidRPr="009F52B3" w:rsidRDefault="00460D5C" w:rsidP="00D82961">
            <w:pPr>
              <w:pStyle w:val="Pamatteksts"/>
              <w:spacing w:after="0"/>
              <w:jc w:val="both"/>
            </w:pPr>
            <w:r w:rsidRPr="009F52B3">
              <w:rPr>
                <w:sz w:val="22"/>
                <w:szCs w:val="22"/>
              </w:rPr>
              <w:t>MK rīkojuma projekta sākotnējās ietekmes novērtējuma ziņojums (anotācijas)</w:t>
            </w:r>
            <w:r w:rsidR="00507639">
              <w:rPr>
                <w:sz w:val="22"/>
                <w:szCs w:val="22"/>
              </w:rPr>
              <w:t xml:space="preserve">, </w:t>
            </w:r>
            <w:r w:rsidRPr="009F52B3">
              <w:rPr>
                <w:sz w:val="22"/>
                <w:szCs w:val="22"/>
              </w:rPr>
              <w:t>MK rīkojuma projekta pielikums.</w:t>
            </w:r>
          </w:p>
          <w:p w:rsidR="007C7293" w:rsidRPr="009F52B3" w:rsidRDefault="007C7293" w:rsidP="00D82961">
            <w:pPr>
              <w:pStyle w:val="naisc"/>
              <w:spacing w:before="0" w:after="0"/>
              <w:ind w:hanging="11"/>
              <w:jc w:val="both"/>
            </w:pPr>
          </w:p>
        </w:tc>
        <w:tc>
          <w:tcPr>
            <w:tcW w:w="1184" w:type="pct"/>
            <w:tcBorders>
              <w:top w:val="single" w:sz="4" w:space="0" w:color="auto"/>
              <w:left w:val="single" w:sz="6" w:space="0" w:color="000000"/>
              <w:bottom w:val="single" w:sz="4" w:space="0" w:color="auto"/>
              <w:right w:val="single" w:sz="6" w:space="0" w:color="000000"/>
            </w:tcBorders>
          </w:tcPr>
          <w:p w:rsidR="007C7293" w:rsidRPr="009F52B3" w:rsidRDefault="007C7293" w:rsidP="00D82961">
            <w:pPr>
              <w:tabs>
                <w:tab w:val="left" w:pos="0"/>
                <w:tab w:val="left" w:pos="993"/>
              </w:tabs>
              <w:suppressAutoHyphens/>
              <w:jc w:val="both"/>
              <w:rPr>
                <w:b/>
              </w:rPr>
            </w:pPr>
            <w:r w:rsidRPr="009F52B3">
              <w:rPr>
                <w:b/>
                <w:sz w:val="22"/>
                <w:szCs w:val="22"/>
              </w:rPr>
              <w:t>Finanšu ministrija:</w:t>
            </w:r>
          </w:p>
          <w:p w:rsidR="007C7293" w:rsidRPr="009F52B3" w:rsidRDefault="007C7293" w:rsidP="00D82961">
            <w:pPr>
              <w:jc w:val="both"/>
              <w:rPr>
                <w:b/>
              </w:rPr>
            </w:pPr>
            <w:r w:rsidRPr="009F52B3">
              <w:rPr>
                <w:sz w:val="22"/>
                <w:szCs w:val="22"/>
              </w:rPr>
              <w:t xml:space="preserve">Lūdzam salāgot anotācijā un pielikumā sniegto informāciju, ņemot vērā, ka anotācijas </w:t>
            </w:r>
            <w:r w:rsidRPr="009F52B3">
              <w:rPr>
                <w:sz w:val="22"/>
                <w:szCs w:val="22"/>
              </w:rPr>
              <w:br/>
              <w:t xml:space="preserve">II sadaļas “Tiesību akta projekta ietekme uz sabiedrību, tautsaimniecības attīstību un administratīvo slogu” 3.punkta “Administratīvo izmaksu monetārs </w:t>
            </w:r>
            <w:r w:rsidRPr="009F52B3">
              <w:rPr>
                <w:sz w:val="22"/>
                <w:szCs w:val="22"/>
              </w:rPr>
              <w:lastRenderedPageBreak/>
              <w:t xml:space="preserve">novērtējums” 3.apakšpunktā norādītais kopējais efekts pārskata periodā nesakrīt ar pielikumā (5.lpp.) norādīto informāciju. </w:t>
            </w:r>
          </w:p>
        </w:tc>
        <w:tc>
          <w:tcPr>
            <w:tcW w:w="1167" w:type="pct"/>
            <w:tcBorders>
              <w:top w:val="single" w:sz="4" w:space="0" w:color="auto"/>
              <w:left w:val="single" w:sz="6" w:space="0" w:color="000000"/>
              <w:bottom w:val="single" w:sz="4" w:space="0" w:color="auto"/>
              <w:right w:val="single" w:sz="6" w:space="0" w:color="000000"/>
            </w:tcBorders>
          </w:tcPr>
          <w:p w:rsidR="00FB570F" w:rsidRPr="009F52B3" w:rsidRDefault="00FB570F" w:rsidP="00D82961">
            <w:pPr>
              <w:pStyle w:val="naisc"/>
              <w:spacing w:before="0" w:after="0"/>
              <w:rPr>
                <w:b/>
              </w:rPr>
            </w:pPr>
            <w:r w:rsidRPr="009F52B3">
              <w:rPr>
                <w:b/>
                <w:sz w:val="22"/>
                <w:szCs w:val="22"/>
              </w:rPr>
              <w:lastRenderedPageBreak/>
              <w:t>Ņemts vērā</w:t>
            </w:r>
          </w:p>
          <w:p w:rsidR="007C7293" w:rsidRPr="009F52B3" w:rsidRDefault="007C7293" w:rsidP="00D82961">
            <w:pPr>
              <w:pStyle w:val="naisc"/>
              <w:spacing w:before="0" w:after="0"/>
              <w:jc w:val="both"/>
              <w:rPr>
                <w:lang w:eastAsia="en-US"/>
              </w:rPr>
            </w:pPr>
          </w:p>
        </w:tc>
        <w:tc>
          <w:tcPr>
            <w:tcW w:w="1074" w:type="pct"/>
            <w:tcBorders>
              <w:top w:val="single" w:sz="4" w:space="0" w:color="auto"/>
              <w:left w:val="single" w:sz="4" w:space="0" w:color="auto"/>
              <w:bottom w:val="single" w:sz="4" w:space="0" w:color="auto"/>
              <w:right w:val="single" w:sz="4" w:space="0" w:color="auto"/>
            </w:tcBorders>
          </w:tcPr>
          <w:p w:rsidR="00594FE8" w:rsidRDefault="00FB570F" w:rsidP="00D82961">
            <w:pPr>
              <w:pStyle w:val="naisc"/>
              <w:spacing w:before="0" w:after="0"/>
              <w:ind w:hanging="11"/>
              <w:jc w:val="both"/>
            </w:pPr>
            <w:r w:rsidRPr="009F52B3">
              <w:rPr>
                <w:sz w:val="22"/>
                <w:szCs w:val="22"/>
              </w:rPr>
              <w:t xml:space="preserve">Precizēts MK rīkojuma projekta pielikums ar </w:t>
            </w:r>
            <w:r w:rsidR="00D82961" w:rsidRPr="009F52B3">
              <w:rPr>
                <w:sz w:val="22"/>
                <w:szCs w:val="22"/>
              </w:rPr>
              <w:t xml:space="preserve">tekstu </w:t>
            </w:r>
            <w:r w:rsidRPr="009F52B3">
              <w:rPr>
                <w:sz w:val="22"/>
                <w:szCs w:val="22"/>
              </w:rPr>
              <w:t>šādā redakcijā:</w:t>
            </w:r>
            <w:r w:rsidR="00D82961" w:rsidRPr="009F52B3">
              <w:rPr>
                <w:sz w:val="22"/>
                <w:szCs w:val="22"/>
              </w:rPr>
              <w:t xml:space="preserve"> </w:t>
            </w:r>
          </w:p>
          <w:p w:rsidR="00507639" w:rsidRPr="009F52B3" w:rsidRDefault="00507639" w:rsidP="00D82961">
            <w:pPr>
              <w:pStyle w:val="naisc"/>
              <w:spacing w:before="0" w:after="0"/>
              <w:ind w:hanging="11"/>
              <w:jc w:val="both"/>
            </w:pPr>
          </w:p>
          <w:p w:rsidR="007C7293" w:rsidRPr="009F52B3" w:rsidRDefault="00D82961" w:rsidP="00D82961">
            <w:pPr>
              <w:pStyle w:val="naisc"/>
              <w:spacing w:before="0" w:after="0"/>
              <w:ind w:hanging="11"/>
              <w:jc w:val="both"/>
            </w:pPr>
            <w:r w:rsidRPr="009F52B3">
              <w:rPr>
                <w:sz w:val="22"/>
                <w:szCs w:val="22"/>
              </w:rPr>
              <w:t>„</w:t>
            </w:r>
            <w:r w:rsidR="00FB570F" w:rsidRPr="009F52B3">
              <w:rPr>
                <w:sz w:val="22"/>
                <w:szCs w:val="22"/>
              </w:rPr>
              <w:t>Paredzams, ka kopējais efekts pārskata periodā, tai skaitā 10 gadus pēc projekta beigām, veidos vismaz 9,1</w:t>
            </w:r>
            <w:r w:rsidRPr="009F52B3">
              <w:rPr>
                <w:sz w:val="22"/>
                <w:szCs w:val="22"/>
              </w:rPr>
              <w:t> </w:t>
            </w:r>
            <w:r w:rsidR="00FB570F" w:rsidRPr="009F52B3">
              <w:rPr>
                <w:sz w:val="22"/>
                <w:szCs w:val="22"/>
              </w:rPr>
              <w:t xml:space="preserve">miljonu </w:t>
            </w:r>
            <w:r w:rsidR="00FB570F" w:rsidRPr="009F52B3">
              <w:rPr>
                <w:i/>
                <w:sz w:val="22"/>
                <w:szCs w:val="22"/>
              </w:rPr>
              <w:t>euro</w:t>
            </w:r>
            <w:r w:rsidR="00FB570F" w:rsidRPr="009F52B3">
              <w:rPr>
                <w:sz w:val="22"/>
                <w:szCs w:val="22"/>
              </w:rPr>
              <w:t xml:space="preserve"> ieguvumu, kas 1,65 reizes </w:t>
            </w:r>
            <w:r w:rsidR="00FB570F" w:rsidRPr="009F52B3">
              <w:rPr>
                <w:sz w:val="22"/>
                <w:szCs w:val="22"/>
              </w:rPr>
              <w:lastRenderedPageBreak/>
              <w:t>pārsniedz projekta investīcijas un darbības (uzturēšanas) izmaksas.”</w:t>
            </w:r>
          </w:p>
        </w:tc>
      </w:tr>
      <w:tr w:rsidR="009F52B3" w:rsidRPr="009F52B3" w:rsidTr="009F52B3">
        <w:tc>
          <w:tcPr>
            <w:tcW w:w="237" w:type="pct"/>
            <w:tcBorders>
              <w:top w:val="single" w:sz="4" w:space="0" w:color="auto"/>
              <w:left w:val="single" w:sz="6" w:space="0" w:color="000000"/>
              <w:bottom w:val="single" w:sz="4" w:space="0" w:color="auto"/>
              <w:right w:val="single" w:sz="6" w:space="0" w:color="000000"/>
            </w:tcBorders>
          </w:tcPr>
          <w:p w:rsidR="007C7293" w:rsidRPr="009F52B3" w:rsidRDefault="009F52B3" w:rsidP="009F52B3">
            <w:pPr>
              <w:pStyle w:val="naisc"/>
              <w:spacing w:before="0" w:after="0"/>
            </w:pPr>
            <w:r>
              <w:rPr>
                <w:sz w:val="22"/>
                <w:szCs w:val="22"/>
              </w:rPr>
              <w:lastRenderedPageBreak/>
              <w:t>6.</w:t>
            </w:r>
          </w:p>
        </w:tc>
        <w:tc>
          <w:tcPr>
            <w:tcW w:w="1338" w:type="pct"/>
            <w:tcBorders>
              <w:top w:val="single" w:sz="4" w:space="0" w:color="auto"/>
              <w:left w:val="single" w:sz="6" w:space="0" w:color="000000"/>
              <w:bottom w:val="single" w:sz="4" w:space="0" w:color="auto"/>
              <w:right w:val="single" w:sz="6" w:space="0" w:color="000000"/>
            </w:tcBorders>
          </w:tcPr>
          <w:p w:rsidR="007C7293" w:rsidRPr="009F52B3" w:rsidRDefault="007C7293" w:rsidP="00507639">
            <w:pPr>
              <w:pStyle w:val="naisc"/>
              <w:spacing w:before="0" w:after="0"/>
              <w:ind w:hanging="11"/>
              <w:jc w:val="both"/>
            </w:pPr>
            <w:r w:rsidRPr="009F52B3">
              <w:rPr>
                <w:sz w:val="22"/>
                <w:szCs w:val="22"/>
              </w:rPr>
              <w:t xml:space="preserve">MK rīkojuma projekta </w:t>
            </w:r>
            <w:r w:rsidR="00460D5C" w:rsidRPr="009F52B3">
              <w:rPr>
                <w:sz w:val="22"/>
                <w:szCs w:val="22"/>
              </w:rPr>
              <w:t>sākotnējās ietekmes novērtējuma ziņojum</w:t>
            </w:r>
            <w:r w:rsidR="00507639">
              <w:rPr>
                <w:sz w:val="22"/>
                <w:szCs w:val="22"/>
              </w:rPr>
              <w:t>a</w:t>
            </w:r>
            <w:r w:rsidR="00460D5C" w:rsidRPr="009F52B3">
              <w:rPr>
                <w:sz w:val="22"/>
                <w:szCs w:val="22"/>
              </w:rPr>
              <w:t xml:space="preserve"> (anotācijas) </w:t>
            </w:r>
            <w:r w:rsidRPr="009F52B3">
              <w:rPr>
                <w:sz w:val="22"/>
                <w:szCs w:val="22"/>
                <w:lang w:eastAsia="en-US"/>
              </w:rPr>
              <w:t>III.sadaļa</w:t>
            </w:r>
            <w:r w:rsidR="00507639">
              <w:rPr>
                <w:sz w:val="22"/>
                <w:szCs w:val="22"/>
                <w:lang w:eastAsia="en-US"/>
              </w:rPr>
              <w:t xml:space="preserve">s </w:t>
            </w:r>
            <w:r w:rsidRPr="009F52B3">
              <w:rPr>
                <w:sz w:val="22"/>
                <w:szCs w:val="22"/>
              </w:rPr>
              <w:t xml:space="preserve">6.punkts </w:t>
            </w:r>
            <w:r w:rsidR="00507639">
              <w:rPr>
                <w:sz w:val="22"/>
                <w:szCs w:val="22"/>
              </w:rPr>
              <w:t>„</w:t>
            </w:r>
            <w:r w:rsidRPr="009F52B3">
              <w:rPr>
                <w:sz w:val="22"/>
                <w:szCs w:val="22"/>
              </w:rPr>
              <w:t>Detalizēts ieņēmumu un izdevumu aprēķins (ja nepieciešams, detalizētu ieņēmumu un izdevumu aprēķinu var pievienot anotācijas pielikumā)”</w:t>
            </w:r>
            <w:r w:rsidR="00507639">
              <w:rPr>
                <w:sz w:val="22"/>
                <w:szCs w:val="22"/>
              </w:rPr>
              <w:t>.</w:t>
            </w:r>
          </w:p>
        </w:tc>
        <w:tc>
          <w:tcPr>
            <w:tcW w:w="1184" w:type="pct"/>
            <w:tcBorders>
              <w:top w:val="single" w:sz="4" w:space="0" w:color="auto"/>
              <w:left w:val="single" w:sz="6" w:space="0" w:color="000000"/>
              <w:bottom w:val="single" w:sz="4" w:space="0" w:color="auto"/>
              <w:right w:val="single" w:sz="6" w:space="0" w:color="000000"/>
            </w:tcBorders>
          </w:tcPr>
          <w:p w:rsidR="007C7293" w:rsidRPr="009F52B3" w:rsidRDefault="007C7293" w:rsidP="00D82961">
            <w:pPr>
              <w:tabs>
                <w:tab w:val="left" w:pos="0"/>
                <w:tab w:val="left" w:pos="993"/>
              </w:tabs>
              <w:suppressAutoHyphens/>
              <w:jc w:val="both"/>
              <w:rPr>
                <w:b/>
              </w:rPr>
            </w:pPr>
            <w:r w:rsidRPr="009F52B3">
              <w:rPr>
                <w:b/>
                <w:sz w:val="22"/>
                <w:szCs w:val="22"/>
              </w:rPr>
              <w:t>Finanšu ministrija:</w:t>
            </w:r>
          </w:p>
          <w:p w:rsidR="007C7293" w:rsidRPr="009F52B3" w:rsidRDefault="007C7293" w:rsidP="00D82961">
            <w:pPr>
              <w:jc w:val="both"/>
            </w:pPr>
            <w:r w:rsidRPr="009F52B3">
              <w:rPr>
                <w:sz w:val="22"/>
                <w:szCs w:val="22"/>
              </w:rPr>
              <w:t xml:space="preserve">Lūdzam precizēt anotācijas III sadaļas “Tiesību akta projekta ietekme uz valsts budžetu un pašvaldību budžetiem” (turpmāk – III sadaļa) 6.punktā “Detalizēts ieņēmumu un izdevumu aprēķins (ja nepieciešams, detalizētu ieņēmumu un izdevumu aprēķinu var pievienot anotācijas pielikumā)” ietverto informāciju, norādot detalizētus aprēķinus 2.kārtas projekta rezultātā izstrādāto informācijas un komunikācijas tehnoloģiju risinājumu uzturēšanas izmaksām 163 700 </w:t>
            </w:r>
            <w:r w:rsidRPr="00507639">
              <w:rPr>
                <w:i/>
                <w:sz w:val="22"/>
                <w:szCs w:val="22"/>
              </w:rPr>
              <w:t>euro</w:t>
            </w:r>
            <w:r w:rsidRPr="009F52B3">
              <w:rPr>
                <w:sz w:val="22"/>
                <w:szCs w:val="22"/>
              </w:rPr>
              <w:t xml:space="preserve"> gadā. </w:t>
            </w:r>
          </w:p>
          <w:p w:rsidR="007C7293" w:rsidRPr="009F52B3" w:rsidRDefault="007C7293" w:rsidP="00D82961">
            <w:pPr>
              <w:tabs>
                <w:tab w:val="left" w:pos="0"/>
                <w:tab w:val="left" w:pos="993"/>
              </w:tabs>
              <w:suppressAutoHyphens/>
              <w:jc w:val="both"/>
            </w:pPr>
          </w:p>
        </w:tc>
        <w:tc>
          <w:tcPr>
            <w:tcW w:w="1167" w:type="pct"/>
            <w:tcBorders>
              <w:top w:val="single" w:sz="4" w:space="0" w:color="auto"/>
              <w:left w:val="single" w:sz="6" w:space="0" w:color="000000"/>
              <w:bottom w:val="single" w:sz="4" w:space="0" w:color="auto"/>
              <w:right w:val="single" w:sz="6" w:space="0" w:color="000000"/>
            </w:tcBorders>
          </w:tcPr>
          <w:p w:rsidR="00DC4F88" w:rsidRPr="009F52B3" w:rsidRDefault="00DC4F88" w:rsidP="00D82961">
            <w:pPr>
              <w:pStyle w:val="naisc"/>
              <w:spacing w:before="0" w:after="0"/>
              <w:rPr>
                <w:b/>
              </w:rPr>
            </w:pPr>
            <w:r w:rsidRPr="009F52B3">
              <w:rPr>
                <w:b/>
                <w:sz w:val="22"/>
                <w:szCs w:val="22"/>
              </w:rPr>
              <w:t>Ņemts vērā</w:t>
            </w:r>
          </w:p>
          <w:p w:rsidR="007C7293" w:rsidRPr="009F52B3" w:rsidRDefault="007C7293" w:rsidP="00D82961">
            <w:pPr>
              <w:pStyle w:val="Sarakstarindkopa"/>
              <w:ind w:left="0"/>
              <w:jc w:val="both"/>
              <w:rPr>
                <w:rFonts w:ascii="Times New Roman" w:hAnsi="Times New Roman"/>
              </w:rPr>
            </w:pPr>
          </w:p>
        </w:tc>
        <w:tc>
          <w:tcPr>
            <w:tcW w:w="1074" w:type="pct"/>
            <w:tcBorders>
              <w:top w:val="single" w:sz="4" w:space="0" w:color="auto"/>
              <w:left w:val="single" w:sz="4" w:space="0" w:color="auto"/>
              <w:bottom w:val="single" w:sz="4" w:space="0" w:color="auto"/>
              <w:right w:val="single" w:sz="4" w:space="0" w:color="auto"/>
            </w:tcBorders>
          </w:tcPr>
          <w:p w:rsidR="00134957" w:rsidRDefault="00D82961" w:rsidP="00134957">
            <w:pPr>
              <w:pStyle w:val="naisc"/>
              <w:spacing w:before="0" w:after="0"/>
              <w:ind w:hanging="11"/>
              <w:jc w:val="both"/>
            </w:pPr>
            <w:r w:rsidRPr="009F52B3">
              <w:rPr>
                <w:sz w:val="22"/>
                <w:szCs w:val="22"/>
              </w:rPr>
              <w:t xml:space="preserve">Precizēts </w:t>
            </w:r>
            <w:r w:rsidR="00134957" w:rsidRPr="009F52B3">
              <w:rPr>
                <w:sz w:val="22"/>
                <w:szCs w:val="22"/>
              </w:rPr>
              <w:t xml:space="preserve">un </w:t>
            </w:r>
            <w:r w:rsidRPr="009F52B3">
              <w:rPr>
                <w:sz w:val="22"/>
                <w:szCs w:val="22"/>
              </w:rPr>
              <w:t xml:space="preserve">papildināts </w:t>
            </w:r>
            <w:r w:rsidR="00134957" w:rsidRPr="009F52B3">
              <w:rPr>
                <w:sz w:val="22"/>
                <w:szCs w:val="22"/>
              </w:rPr>
              <w:t xml:space="preserve">MK rīkojuma projekta </w:t>
            </w:r>
            <w:r w:rsidRPr="009F52B3">
              <w:rPr>
                <w:sz w:val="22"/>
                <w:szCs w:val="22"/>
              </w:rPr>
              <w:t>sākotnējās ietekmes novērtējuma ziņojuma (anotācijas)</w:t>
            </w:r>
            <w:r w:rsidR="00134957" w:rsidRPr="009F52B3">
              <w:rPr>
                <w:sz w:val="22"/>
                <w:szCs w:val="22"/>
                <w:lang w:eastAsia="en-US"/>
              </w:rPr>
              <w:t xml:space="preserve"> III.sadaļas </w:t>
            </w:r>
            <w:r w:rsidR="00134957" w:rsidRPr="009F52B3">
              <w:rPr>
                <w:sz w:val="22"/>
                <w:szCs w:val="22"/>
              </w:rPr>
              <w:t xml:space="preserve">6.punkts </w:t>
            </w:r>
            <w:r w:rsidR="00F33FA1">
              <w:rPr>
                <w:sz w:val="22"/>
                <w:szCs w:val="22"/>
              </w:rPr>
              <w:t>ar šādu informāciju</w:t>
            </w:r>
            <w:r w:rsidR="00134957" w:rsidRPr="009F52B3">
              <w:rPr>
                <w:sz w:val="22"/>
                <w:szCs w:val="22"/>
              </w:rPr>
              <w:t>:</w:t>
            </w:r>
          </w:p>
          <w:p w:rsidR="00507639" w:rsidRPr="009F52B3" w:rsidRDefault="00507639" w:rsidP="00134957">
            <w:pPr>
              <w:pStyle w:val="naisc"/>
              <w:spacing w:before="0" w:after="0"/>
              <w:ind w:hanging="11"/>
              <w:jc w:val="both"/>
            </w:pPr>
          </w:p>
          <w:p w:rsidR="00134957" w:rsidRPr="009F52B3" w:rsidRDefault="00D82961" w:rsidP="00507639">
            <w:pPr>
              <w:ind w:left="34"/>
              <w:contextualSpacing/>
              <w:jc w:val="both"/>
            </w:pPr>
            <w:r w:rsidRPr="009F52B3">
              <w:rPr>
                <w:bCs/>
                <w:color w:val="000000"/>
                <w:sz w:val="22"/>
                <w:szCs w:val="22"/>
              </w:rPr>
              <w:t>„</w:t>
            </w:r>
            <w:r w:rsidR="00134957" w:rsidRPr="009F52B3">
              <w:rPr>
                <w:bCs/>
                <w:color w:val="000000"/>
                <w:sz w:val="22"/>
                <w:szCs w:val="22"/>
              </w:rPr>
              <w:t>Lai nodrošinātu ilgtspējīgu digitalizācijas projekta rezultātā izstrādāto IKT risinājumu darbību, pēc digitalizācijas projekta termiņa beigām ir plānojamas IKT risinājumu uzturēšanas izmaksas. Izmaksas uzturēšanai ir 163</w:t>
            </w:r>
            <w:r w:rsidR="00581CBB" w:rsidRPr="009F52B3">
              <w:rPr>
                <w:bCs/>
                <w:color w:val="000000"/>
                <w:sz w:val="22"/>
                <w:szCs w:val="22"/>
              </w:rPr>
              <w:t> </w:t>
            </w:r>
            <w:r w:rsidR="00134957" w:rsidRPr="009F52B3">
              <w:rPr>
                <w:bCs/>
                <w:color w:val="000000"/>
                <w:sz w:val="22"/>
                <w:szCs w:val="22"/>
              </w:rPr>
              <w:t>700</w:t>
            </w:r>
            <w:r w:rsidR="00581CBB" w:rsidRPr="009F52B3">
              <w:rPr>
                <w:bCs/>
                <w:color w:val="000000"/>
                <w:sz w:val="22"/>
                <w:szCs w:val="22"/>
              </w:rPr>
              <w:t> </w:t>
            </w:r>
            <w:r w:rsidR="00134957" w:rsidRPr="009F52B3">
              <w:rPr>
                <w:bCs/>
                <w:i/>
                <w:sz w:val="22"/>
                <w:szCs w:val="22"/>
              </w:rPr>
              <w:t>euro</w:t>
            </w:r>
            <w:r w:rsidR="00134957" w:rsidRPr="009F52B3">
              <w:rPr>
                <w:bCs/>
                <w:color w:val="000000"/>
                <w:sz w:val="22"/>
                <w:szCs w:val="22"/>
              </w:rPr>
              <w:t xml:space="preserve"> </w:t>
            </w:r>
            <w:r w:rsidR="00134957" w:rsidRPr="009F52B3">
              <w:rPr>
                <w:bCs/>
                <w:sz w:val="22"/>
                <w:szCs w:val="22"/>
              </w:rPr>
              <w:t xml:space="preserve">gadā, sākot ar 2023.gadu. </w:t>
            </w:r>
            <w:r w:rsidR="00134957" w:rsidRPr="009F52B3">
              <w:rPr>
                <w:sz w:val="22"/>
                <w:szCs w:val="22"/>
              </w:rPr>
              <w:t>Izmaksu sadalījums:</w:t>
            </w:r>
          </w:p>
          <w:p w:rsidR="00134957" w:rsidRPr="009F52B3" w:rsidRDefault="00594FE8" w:rsidP="00594FE8">
            <w:pPr>
              <w:pStyle w:val="VPBullet1"/>
              <w:numPr>
                <w:ilvl w:val="0"/>
                <w:numId w:val="25"/>
              </w:numPr>
              <w:tabs>
                <w:tab w:val="clear" w:pos="0"/>
                <w:tab w:val="left" w:pos="296"/>
              </w:tabs>
              <w:spacing w:before="0" w:after="0"/>
              <w:ind w:left="296" w:hanging="276"/>
            </w:pPr>
            <w:r w:rsidRPr="009F52B3">
              <w:rPr>
                <w:sz w:val="22"/>
              </w:rPr>
              <w:t xml:space="preserve">licences </w:t>
            </w:r>
            <w:r w:rsidR="00134957" w:rsidRPr="009F52B3">
              <w:rPr>
                <w:sz w:val="22"/>
              </w:rPr>
              <w:t xml:space="preserve">datu glabāšanas risinājumu un centralizētās atvērtās informācijas sistēmu platformas programmatūras uzturēšanai 10 000 </w:t>
            </w:r>
            <w:r w:rsidR="00134957" w:rsidRPr="009F52B3">
              <w:rPr>
                <w:i/>
                <w:sz w:val="22"/>
              </w:rPr>
              <w:t>euro</w:t>
            </w:r>
            <w:r w:rsidR="00134957" w:rsidRPr="009F52B3">
              <w:rPr>
                <w:sz w:val="22"/>
              </w:rPr>
              <w:t xml:space="preserve"> apmērā. Centralizētās atvērtās  informācijas sistēmu platformas arhitektūra uz projekta detalizētā apraksta iesniegšanas brīdi vēl nav izstrādāta, līdz ar to izmaksu aprēķins balstīts uz esošajiem datiem;</w:t>
            </w:r>
          </w:p>
          <w:p w:rsidR="00134957" w:rsidRPr="009F52B3" w:rsidRDefault="00594FE8" w:rsidP="00594FE8">
            <w:pPr>
              <w:pStyle w:val="VPBullet1"/>
              <w:tabs>
                <w:tab w:val="clear" w:pos="0"/>
                <w:tab w:val="left" w:pos="296"/>
              </w:tabs>
              <w:spacing w:before="0" w:after="0"/>
              <w:ind w:left="296" w:hanging="276"/>
            </w:pPr>
            <w:r w:rsidRPr="009F52B3">
              <w:rPr>
                <w:sz w:val="22"/>
              </w:rPr>
              <w:t>i</w:t>
            </w:r>
            <w:r w:rsidR="00134957" w:rsidRPr="009F52B3">
              <w:rPr>
                <w:sz w:val="22"/>
              </w:rPr>
              <w:t xml:space="preserve">nfrastruktūras uzturēšanai </w:t>
            </w:r>
            <w:r w:rsidR="00134957" w:rsidRPr="009F52B3">
              <w:rPr>
                <w:sz w:val="22"/>
              </w:rPr>
              <w:lastRenderedPageBreak/>
              <w:t xml:space="preserve">nepieciešami 50 500 </w:t>
            </w:r>
            <w:r w:rsidR="00134957" w:rsidRPr="009F52B3">
              <w:rPr>
                <w:i/>
                <w:sz w:val="22"/>
              </w:rPr>
              <w:t>euro</w:t>
            </w:r>
            <w:r w:rsidR="00134957" w:rsidRPr="009F52B3">
              <w:rPr>
                <w:sz w:val="22"/>
              </w:rPr>
              <w:t xml:space="preserve">, no kuriem 40 500 </w:t>
            </w:r>
            <w:r w:rsidR="00134957" w:rsidRPr="009F52B3">
              <w:rPr>
                <w:i/>
                <w:sz w:val="22"/>
              </w:rPr>
              <w:t>euro</w:t>
            </w:r>
            <w:r w:rsidR="00134957" w:rsidRPr="009F52B3">
              <w:rPr>
                <w:sz w:val="22"/>
              </w:rPr>
              <w:t xml:space="preserve"> nepieciešami datu centru infrastruktūras uzturēšanai</w:t>
            </w:r>
            <w:r w:rsidR="00F33FA1">
              <w:rPr>
                <w:sz w:val="22"/>
              </w:rPr>
              <w:t xml:space="preserve"> –</w:t>
            </w:r>
            <w:r w:rsidR="00134957" w:rsidRPr="009F52B3">
              <w:rPr>
                <w:sz w:val="22"/>
              </w:rPr>
              <w:t xml:space="preserve"> rezerves daļu iegādei un darbības nodrošināšanai (bojāto disku, lenšu, barošanas bloku un citu serveru komponenšu maiņai) un 10 000 </w:t>
            </w:r>
            <w:proofErr w:type="spellStart"/>
            <w:r w:rsidR="00134957" w:rsidRPr="009F52B3">
              <w:rPr>
                <w:i/>
                <w:sz w:val="22"/>
              </w:rPr>
              <w:t>euro</w:t>
            </w:r>
            <w:proofErr w:type="spellEnd"/>
            <w:r w:rsidR="00134957" w:rsidRPr="009F52B3">
              <w:rPr>
                <w:sz w:val="22"/>
              </w:rPr>
              <w:t xml:space="preserve"> kinodokumentu </w:t>
            </w:r>
            <w:proofErr w:type="spellStart"/>
            <w:r w:rsidR="00134957" w:rsidRPr="009F52B3">
              <w:rPr>
                <w:sz w:val="22"/>
              </w:rPr>
              <w:t>digitalizācijas</w:t>
            </w:r>
            <w:proofErr w:type="spellEnd"/>
            <w:r w:rsidR="00134957" w:rsidRPr="009F52B3">
              <w:rPr>
                <w:sz w:val="22"/>
              </w:rPr>
              <w:t xml:space="preserve"> iekārtu uzturēšanai; </w:t>
            </w:r>
          </w:p>
          <w:p w:rsidR="00134957" w:rsidRPr="009F52B3" w:rsidRDefault="00134957" w:rsidP="00594FE8">
            <w:pPr>
              <w:pStyle w:val="VPBullet1"/>
              <w:tabs>
                <w:tab w:val="clear" w:pos="0"/>
                <w:tab w:val="left" w:pos="296"/>
              </w:tabs>
              <w:spacing w:before="0" w:after="0"/>
              <w:ind w:left="296" w:hanging="276"/>
            </w:pPr>
            <w:r w:rsidRPr="009F52B3">
              <w:rPr>
                <w:sz w:val="22"/>
              </w:rPr>
              <w:t xml:space="preserve">78 200 </w:t>
            </w:r>
            <w:r w:rsidRPr="009F52B3">
              <w:rPr>
                <w:i/>
                <w:sz w:val="22"/>
              </w:rPr>
              <w:t>euro</w:t>
            </w:r>
            <w:r w:rsidRPr="009F52B3">
              <w:rPr>
                <w:sz w:val="22"/>
              </w:rPr>
              <w:t xml:space="preserve"> plānoti platformā ietilpstošo sistēmu problēmu, kļūdu novēršanas un profilaktiskās uzturēšanai un sistēmu pielāgošanas ārpakalpojumiem, platformas dalībnieku institūciju pamatsistēmu integrācijas uzturēšanai, atbalsta sistēmu kolekciju uzturēšanai un pielāgošanai izmaiņām. Platformā ietilpstošās sistēmas: </w:t>
            </w:r>
            <w:r w:rsidR="00581CBB" w:rsidRPr="009F52B3">
              <w:rPr>
                <w:sz w:val="22"/>
              </w:rPr>
              <w:t xml:space="preserve">Latvijas Nacionālās bibliotēkas </w:t>
            </w:r>
            <w:r w:rsidRPr="009F52B3">
              <w:rPr>
                <w:sz w:val="22"/>
              </w:rPr>
              <w:t xml:space="preserve">digitālo objektu pārvaldības sistēma, autortiesību pārvaldības un licencēšanas sistēma, kultūras pieminekļu informācijas pārvaldības sistēma </w:t>
            </w:r>
            <w:r w:rsidR="00581CBB" w:rsidRPr="009F52B3">
              <w:rPr>
                <w:sz w:val="22"/>
              </w:rPr>
              <w:t>„</w:t>
            </w:r>
            <w:r w:rsidRPr="009F52B3">
              <w:rPr>
                <w:sz w:val="22"/>
              </w:rPr>
              <w:t xml:space="preserve">Mantojums”, izplatīšanas sistēma, industriālā mantojuma </w:t>
            </w:r>
            <w:r w:rsidRPr="009F52B3">
              <w:rPr>
                <w:sz w:val="22"/>
              </w:rPr>
              <w:lastRenderedPageBreak/>
              <w:t>kolekcija, digitālā mantojuma sistēmas, un citas sistēmas, kas nodrošinās platformas funkcijas. Izmaksas ir aprēķinātas par 1</w:t>
            </w:r>
            <w:r w:rsidR="00581CBB" w:rsidRPr="009F52B3">
              <w:rPr>
                <w:sz w:val="22"/>
              </w:rPr>
              <w:t> </w:t>
            </w:r>
            <w:r w:rsidRPr="009F52B3">
              <w:rPr>
                <w:sz w:val="22"/>
              </w:rPr>
              <w:t>955 cilvēkstundām, par pamatu pieņemot Elektroniskajā iepirkumu sistēmā pieejamo plašāko cenas kategoriju 40</w:t>
            </w:r>
            <w:r w:rsidR="00581CBB" w:rsidRPr="009F52B3">
              <w:rPr>
                <w:sz w:val="22"/>
              </w:rPr>
              <w:t> </w:t>
            </w:r>
            <w:r w:rsidRPr="009F52B3">
              <w:rPr>
                <w:i/>
                <w:sz w:val="22"/>
              </w:rPr>
              <w:t>euro</w:t>
            </w:r>
            <w:r w:rsidRPr="009F52B3">
              <w:rPr>
                <w:sz w:val="22"/>
              </w:rPr>
              <w:t>/stundā;</w:t>
            </w:r>
          </w:p>
          <w:p w:rsidR="00134957" w:rsidRPr="009F52B3" w:rsidRDefault="00134957" w:rsidP="00594FE8">
            <w:pPr>
              <w:pStyle w:val="VPBullet1"/>
              <w:tabs>
                <w:tab w:val="clear" w:pos="0"/>
                <w:tab w:val="left" w:pos="296"/>
              </w:tabs>
              <w:spacing w:before="0" w:after="0"/>
              <w:ind w:left="296" w:hanging="276"/>
            </w:pPr>
            <w:r w:rsidRPr="009F52B3">
              <w:rPr>
                <w:sz w:val="22"/>
              </w:rPr>
              <w:t>5</w:t>
            </w:r>
            <w:r w:rsidR="00581CBB" w:rsidRPr="009F52B3">
              <w:rPr>
                <w:sz w:val="22"/>
              </w:rPr>
              <w:t> </w:t>
            </w:r>
            <w:r w:rsidRPr="009F52B3">
              <w:rPr>
                <w:sz w:val="22"/>
              </w:rPr>
              <w:t xml:space="preserve">000 </w:t>
            </w:r>
            <w:r w:rsidRPr="009F52B3">
              <w:rPr>
                <w:i/>
                <w:sz w:val="22"/>
              </w:rPr>
              <w:t>euro</w:t>
            </w:r>
            <w:r w:rsidRPr="009F52B3">
              <w:rPr>
                <w:sz w:val="22"/>
              </w:rPr>
              <w:t xml:space="preserve"> platformā iekļauto sistēmu drošības testu veikšanai </w:t>
            </w:r>
            <w:r w:rsidR="00581CBB" w:rsidRPr="009F52B3">
              <w:rPr>
                <w:sz w:val="22"/>
              </w:rPr>
              <w:t xml:space="preserve">– </w:t>
            </w:r>
            <w:r w:rsidRPr="009F52B3">
              <w:rPr>
                <w:sz w:val="22"/>
              </w:rPr>
              <w:t>atbilstība likuma prasībām, personu datu apstrāde, ievainojamību pārbaude, slodzes testi, nepārtrauktības pārbaudes, datu integritātes pārbaudes. Konkrēto auditu cenas atkarīgas no sistēmu sarežģītības un pārbaudes apjoma. Drošības testi tiks veikti atbilstoši prioritātēm un izmaiņām, kas veiktas platformā, plānveidīgi un secīgi, katrā no gadiem plānojot daļu no nepieciešamajām pārbaudēm, tādejādi vienmērīgi pārdalot izmaksas pa gadiem, vienlaikus ievērojot noteiktu drošības testu veikšanas regularitāti;</w:t>
            </w:r>
          </w:p>
          <w:p w:rsidR="007C7293" w:rsidRPr="009F52B3" w:rsidRDefault="00594FE8" w:rsidP="00594FE8">
            <w:pPr>
              <w:pStyle w:val="VPBullet1"/>
              <w:tabs>
                <w:tab w:val="clear" w:pos="0"/>
                <w:tab w:val="left" w:pos="296"/>
              </w:tabs>
              <w:spacing w:before="0" w:after="0"/>
              <w:ind w:left="296" w:hanging="276"/>
              <w:rPr>
                <w:color w:val="FF0000"/>
              </w:rPr>
            </w:pPr>
            <w:r w:rsidRPr="009F52B3">
              <w:rPr>
                <w:sz w:val="22"/>
              </w:rPr>
              <w:t xml:space="preserve">lai </w:t>
            </w:r>
            <w:r w:rsidR="00134957" w:rsidRPr="009F52B3">
              <w:rPr>
                <w:sz w:val="22"/>
              </w:rPr>
              <w:t xml:space="preserve">nodrošinātu izstrādāto </w:t>
            </w:r>
            <w:r w:rsidR="00134957" w:rsidRPr="009F52B3">
              <w:rPr>
                <w:sz w:val="22"/>
              </w:rPr>
              <w:lastRenderedPageBreak/>
              <w:t xml:space="preserve">sistēmu darbību, uzraudzību, kļūdu analīzi, testēšanu, kā arī veiktu lietotāju apmācību, konsultēšanu un citus lietotāju atbalsta pasākumus, nepieciešama </w:t>
            </w:r>
            <w:r w:rsidR="00581CBB" w:rsidRPr="009F52B3">
              <w:rPr>
                <w:sz w:val="22"/>
              </w:rPr>
              <w:t xml:space="preserve">viena </w:t>
            </w:r>
            <w:r w:rsidR="00134957" w:rsidRPr="009F52B3">
              <w:rPr>
                <w:sz w:val="22"/>
              </w:rPr>
              <w:t>pilna laika lietojumu administratora (19,5</w:t>
            </w:r>
            <w:r w:rsidR="00581CBB" w:rsidRPr="009F52B3">
              <w:rPr>
                <w:sz w:val="22"/>
              </w:rPr>
              <w:t> </w:t>
            </w:r>
            <w:r w:rsidR="00134957" w:rsidRPr="009F52B3">
              <w:rPr>
                <w:sz w:val="22"/>
              </w:rPr>
              <w:t>amatu saime) slodze gadā, kas sastāda 20</w:t>
            </w:r>
            <w:r w:rsidR="009F793C" w:rsidRPr="009F52B3">
              <w:rPr>
                <w:sz w:val="22"/>
              </w:rPr>
              <w:t> </w:t>
            </w:r>
            <w:r w:rsidR="00134957" w:rsidRPr="009F52B3">
              <w:rPr>
                <w:sz w:val="22"/>
              </w:rPr>
              <w:t xml:space="preserve">000 </w:t>
            </w:r>
            <w:r w:rsidR="00134957" w:rsidRPr="009F52B3">
              <w:rPr>
                <w:i/>
                <w:sz w:val="22"/>
              </w:rPr>
              <w:t>euro</w:t>
            </w:r>
            <w:r w:rsidR="00134957" w:rsidRPr="009F52B3">
              <w:rPr>
                <w:sz w:val="22"/>
              </w:rPr>
              <w:t xml:space="preserve"> pie amatalgas 1</w:t>
            </w:r>
            <w:r w:rsidR="009F793C" w:rsidRPr="009F52B3">
              <w:rPr>
                <w:sz w:val="22"/>
              </w:rPr>
              <w:t> </w:t>
            </w:r>
            <w:r w:rsidR="00134957" w:rsidRPr="009F52B3">
              <w:rPr>
                <w:sz w:val="22"/>
              </w:rPr>
              <w:t xml:space="preserve">350 </w:t>
            </w:r>
            <w:r w:rsidR="00134957" w:rsidRPr="009F52B3">
              <w:rPr>
                <w:i/>
                <w:sz w:val="22"/>
              </w:rPr>
              <w:t>euro</w:t>
            </w:r>
            <w:r w:rsidR="00134957" w:rsidRPr="009F52B3">
              <w:rPr>
                <w:sz w:val="22"/>
              </w:rPr>
              <w:t xml:space="preserve"> mēnesī. Personāls tiks nodrošināts esošo štata vietu ietvaros.</w:t>
            </w:r>
          </w:p>
        </w:tc>
      </w:tr>
      <w:tr w:rsidR="009F52B3" w:rsidRPr="009F52B3" w:rsidTr="009F52B3">
        <w:tc>
          <w:tcPr>
            <w:tcW w:w="237" w:type="pct"/>
            <w:tcBorders>
              <w:top w:val="single" w:sz="4" w:space="0" w:color="auto"/>
              <w:left w:val="single" w:sz="6" w:space="0" w:color="000000"/>
              <w:bottom w:val="single" w:sz="4" w:space="0" w:color="auto"/>
              <w:right w:val="single" w:sz="6" w:space="0" w:color="000000"/>
            </w:tcBorders>
          </w:tcPr>
          <w:p w:rsidR="00592F81" w:rsidRPr="009F52B3" w:rsidRDefault="009F52B3" w:rsidP="009F52B3">
            <w:pPr>
              <w:pStyle w:val="naisc"/>
              <w:spacing w:before="0" w:after="0"/>
            </w:pPr>
            <w:r>
              <w:rPr>
                <w:sz w:val="22"/>
                <w:szCs w:val="22"/>
              </w:rPr>
              <w:lastRenderedPageBreak/>
              <w:t>7.</w:t>
            </w:r>
          </w:p>
        </w:tc>
        <w:tc>
          <w:tcPr>
            <w:tcW w:w="1338" w:type="pct"/>
            <w:tcBorders>
              <w:top w:val="single" w:sz="4" w:space="0" w:color="auto"/>
              <w:left w:val="single" w:sz="6" w:space="0" w:color="000000"/>
              <w:bottom w:val="single" w:sz="4" w:space="0" w:color="auto"/>
              <w:right w:val="single" w:sz="6" w:space="0" w:color="000000"/>
            </w:tcBorders>
            <w:hideMark/>
          </w:tcPr>
          <w:p w:rsidR="007C7293" w:rsidRPr="009F52B3" w:rsidRDefault="007C7293" w:rsidP="00581CBB">
            <w:pPr>
              <w:pStyle w:val="naisc"/>
              <w:spacing w:before="0" w:after="0"/>
              <w:ind w:hanging="11"/>
              <w:jc w:val="both"/>
              <w:rPr>
                <w:lang w:eastAsia="en-US"/>
              </w:rPr>
            </w:pPr>
            <w:r w:rsidRPr="009F52B3">
              <w:rPr>
                <w:sz w:val="22"/>
                <w:szCs w:val="22"/>
              </w:rPr>
              <w:t xml:space="preserve">MK rīkojuma projekta </w:t>
            </w:r>
            <w:r w:rsidR="00581CBB" w:rsidRPr="009F52B3">
              <w:rPr>
                <w:sz w:val="22"/>
                <w:szCs w:val="22"/>
              </w:rPr>
              <w:t>sākotnējās ietekmes novērtējuma ziņojum</w:t>
            </w:r>
            <w:r w:rsidR="00507639">
              <w:rPr>
                <w:sz w:val="22"/>
                <w:szCs w:val="22"/>
              </w:rPr>
              <w:t>a</w:t>
            </w:r>
            <w:r w:rsidR="00581CBB" w:rsidRPr="009F52B3">
              <w:rPr>
                <w:sz w:val="22"/>
                <w:szCs w:val="22"/>
              </w:rPr>
              <w:t xml:space="preserve"> (anotācijas)</w:t>
            </w:r>
            <w:r w:rsidRPr="009F52B3">
              <w:rPr>
                <w:sz w:val="22"/>
                <w:szCs w:val="22"/>
                <w:lang w:eastAsia="en-US"/>
              </w:rPr>
              <w:t xml:space="preserve"> III.sadaļa</w:t>
            </w:r>
            <w:r w:rsidR="00581CBB" w:rsidRPr="009F52B3">
              <w:rPr>
                <w:sz w:val="22"/>
                <w:szCs w:val="22"/>
              </w:rPr>
              <w:t xml:space="preserve">s </w:t>
            </w:r>
            <w:r w:rsidRPr="009F52B3">
              <w:rPr>
                <w:sz w:val="22"/>
                <w:szCs w:val="22"/>
              </w:rPr>
              <w:t>5.punkts</w:t>
            </w:r>
            <w:r w:rsidR="00581CBB" w:rsidRPr="009F52B3">
              <w:rPr>
                <w:sz w:val="22"/>
                <w:szCs w:val="22"/>
              </w:rPr>
              <w:t>.</w:t>
            </w:r>
          </w:p>
        </w:tc>
        <w:tc>
          <w:tcPr>
            <w:tcW w:w="1184" w:type="pct"/>
            <w:tcBorders>
              <w:top w:val="single" w:sz="4" w:space="0" w:color="auto"/>
              <w:left w:val="single" w:sz="6" w:space="0" w:color="000000"/>
              <w:bottom w:val="single" w:sz="4" w:space="0" w:color="auto"/>
              <w:right w:val="single" w:sz="6" w:space="0" w:color="000000"/>
            </w:tcBorders>
            <w:hideMark/>
          </w:tcPr>
          <w:p w:rsidR="007C7293" w:rsidRPr="009F52B3" w:rsidRDefault="007C7293" w:rsidP="00D82961">
            <w:pPr>
              <w:tabs>
                <w:tab w:val="left" w:pos="0"/>
                <w:tab w:val="left" w:pos="993"/>
              </w:tabs>
              <w:suppressAutoHyphens/>
              <w:jc w:val="both"/>
              <w:rPr>
                <w:b/>
              </w:rPr>
            </w:pPr>
            <w:r w:rsidRPr="009F52B3">
              <w:rPr>
                <w:b/>
                <w:sz w:val="22"/>
                <w:szCs w:val="22"/>
              </w:rPr>
              <w:t>Finanšu ministrija:</w:t>
            </w:r>
          </w:p>
          <w:p w:rsidR="007C7293" w:rsidRPr="009F52B3" w:rsidRDefault="007C7293" w:rsidP="00D82961">
            <w:pPr>
              <w:jc w:val="both"/>
            </w:pPr>
            <w:r w:rsidRPr="009F52B3">
              <w:rPr>
                <w:sz w:val="22"/>
                <w:szCs w:val="22"/>
              </w:rPr>
              <w:t xml:space="preserve">Lūdzam precizēt anotācijas III sadaļu, 5.punktā “Precizētā finansiālā ietekme” un 5.1.apakšpunktā “Valsts pamatbudžets” norādīto finansējumu pārceļot uz 4.punktu “Finanšu līdzekļi papildu izdevumu finansēšanai (kompensējošu izdevumu samazinājumu norāda ar "+" zīmi)”. </w:t>
            </w:r>
          </w:p>
          <w:p w:rsidR="007C7293" w:rsidRPr="009F52B3" w:rsidRDefault="007C7293" w:rsidP="00D82961">
            <w:pPr>
              <w:tabs>
                <w:tab w:val="left" w:pos="0"/>
                <w:tab w:val="left" w:pos="1134"/>
              </w:tabs>
              <w:suppressAutoHyphens/>
              <w:contextualSpacing/>
              <w:jc w:val="both"/>
              <w:outlineLvl w:val="3"/>
            </w:pPr>
          </w:p>
        </w:tc>
        <w:tc>
          <w:tcPr>
            <w:tcW w:w="1167" w:type="pct"/>
            <w:tcBorders>
              <w:top w:val="single" w:sz="4" w:space="0" w:color="auto"/>
              <w:left w:val="single" w:sz="6" w:space="0" w:color="000000"/>
              <w:bottom w:val="single" w:sz="4" w:space="0" w:color="auto"/>
              <w:right w:val="single" w:sz="6" w:space="0" w:color="000000"/>
            </w:tcBorders>
            <w:hideMark/>
          </w:tcPr>
          <w:p w:rsidR="00845597" w:rsidRPr="009F52B3" w:rsidRDefault="00845597" w:rsidP="00D82961">
            <w:pPr>
              <w:pStyle w:val="naisc"/>
              <w:keepNext/>
              <w:keepLines/>
              <w:spacing w:before="0" w:after="0"/>
              <w:outlineLvl w:val="0"/>
              <w:rPr>
                <w:b/>
                <w:color w:val="000000"/>
              </w:rPr>
            </w:pPr>
            <w:r w:rsidRPr="009F52B3">
              <w:rPr>
                <w:b/>
                <w:color w:val="000000"/>
                <w:sz w:val="22"/>
                <w:szCs w:val="22"/>
              </w:rPr>
              <w:t>Panākta vienošanās saskaņošanas laikā</w:t>
            </w:r>
          </w:p>
          <w:p w:rsidR="00342823" w:rsidRPr="009F52B3" w:rsidRDefault="00342823" w:rsidP="00D82961">
            <w:pPr>
              <w:jc w:val="both"/>
              <w:rPr>
                <w:lang w:eastAsia="en-US"/>
              </w:rPr>
            </w:pPr>
            <w:r w:rsidRPr="009F52B3">
              <w:rPr>
                <w:sz w:val="22"/>
                <w:szCs w:val="22"/>
              </w:rPr>
              <w:t xml:space="preserve">Valsts budžeta līdzfinansējumu projekta īstenošanai plānots nodrošināt tikai no 80.00.00 programmas, neveicot pārdales ministrijas budžeta ietvaros starp programmām/apakšprogrammām vai projektiem, līdz ar to MK rīkojuma projekta </w:t>
            </w:r>
            <w:r w:rsidR="00507639" w:rsidRPr="009F52B3">
              <w:rPr>
                <w:sz w:val="22"/>
                <w:szCs w:val="22"/>
              </w:rPr>
              <w:t>sākotnējās ietekmes novērtējuma ziņojum</w:t>
            </w:r>
            <w:r w:rsidR="00507639">
              <w:rPr>
                <w:sz w:val="22"/>
                <w:szCs w:val="22"/>
              </w:rPr>
              <w:t>a</w:t>
            </w:r>
            <w:r w:rsidR="00507639" w:rsidRPr="009F52B3">
              <w:rPr>
                <w:sz w:val="22"/>
                <w:szCs w:val="22"/>
              </w:rPr>
              <w:t xml:space="preserve"> (anotācijas)</w:t>
            </w:r>
            <w:r w:rsidR="00507639" w:rsidRPr="009F52B3">
              <w:rPr>
                <w:sz w:val="22"/>
                <w:szCs w:val="22"/>
                <w:lang w:eastAsia="en-US"/>
              </w:rPr>
              <w:t xml:space="preserve"> </w:t>
            </w:r>
            <w:r w:rsidRPr="009F52B3">
              <w:rPr>
                <w:sz w:val="22"/>
                <w:szCs w:val="22"/>
              </w:rPr>
              <w:t>III</w:t>
            </w:r>
            <w:r w:rsidR="007B3954" w:rsidRPr="009F52B3">
              <w:rPr>
                <w:sz w:val="22"/>
                <w:szCs w:val="22"/>
              </w:rPr>
              <w:t> </w:t>
            </w:r>
            <w:r w:rsidRPr="009F52B3">
              <w:rPr>
                <w:sz w:val="22"/>
                <w:szCs w:val="22"/>
              </w:rPr>
              <w:t>sadaļas 4. un 5.punkts aizpildīts pareizi.</w:t>
            </w:r>
          </w:p>
        </w:tc>
        <w:tc>
          <w:tcPr>
            <w:tcW w:w="1074" w:type="pct"/>
            <w:tcBorders>
              <w:top w:val="single" w:sz="4" w:space="0" w:color="auto"/>
              <w:left w:val="single" w:sz="4" w:space="0" w:color="auto"/>
              <w:bottom w:val="single" w:sz="4" w:space="0" w:color="auto"/>
              <w:right w:val="single" w:sz="4" w:space="0" w:color="auto"/>
            </w:tcBorders>
          </w:tcPr>
          <w:p w:rsidR="007C7293" w:rsidRPr="009F52B3" w:rsidRDefault="00507639" w:rsidP="00845597">
            <w:pPr>
              <w:pStyle w:val="naisc"/>
              <w:spacing w:before="0" w:after="0"/>
              <w:ind w:hanging="11"/>
              <w:jc w:val="both"/>
            </w:pPr>
            <w:r w:rsidRPr="009F52B3">
              <w:rPr>
                <w:sz w:val="22"/>
                <w:szCs w:val="22"/>
              </w:rPr>
              <w:t>MK rīkojuma projekta sākotnējās ietekmes novērtējuma ziņojum</w:t>
            </w:r>
            <w:r>
              <w:rPr>
                <w:sz w:val="22"/>
                <w:szCs w:val="22"/>
              </w:rPr>
              <w:t>a</w:t>
            </w:r>
            <w:r w:rsidRPr="009F52B3">
              <w:rPr>
                <w:sz w:val="22"/>
                <w:szCs w:val="22"/>
              </w:rPr>
              <w:t xml:space="preserve"> (anotācijas)</w:t>
            </w:r>
            <w:r w:rsidRPr="009F52B3">
              <w:rPr>
                <w:sz w:val="22"/>
                <w:szCs w:val="22"/>
                <w:lang w:eastAsia="en-US"/>
              </w:rPr>
              <w:t xml:space="preserve"> III.sadaļa</w:t>
            </w:r>
            <w:r w:rsidRPr="009F52B3">
              <w:rPr>
                <w:sz w:val="22"/>
                <w:szCs w:val="22"/>
              </w:rPr>
              <w:t>s 5.punkts.</w:t>
            </w:r>
          </w:p>
        </w:tc>
      </w:tr>
      <w:tr w:rsidR="009F52B3" w:rsidRPr="009F52B3" w:rsidTr="009F52B3">
        <w:tc>
          <w:tcPr>
            <w:tcW w:w="237" w:type="pct"/>
            <w:tcBorders>
              <w:top w:val="single" w:sz="4" w:space="0" w:color="auto"/>
              <w:left w:val="single" w:sz="6" w:space="0" w:color="000000"/>
              <w:bottom w:val="single" w:sz="4" w:space="0" w:color="auto"/>
              <w:right w:val="single" w:sz="6" w:space="0" w:color="000000"/>
            </w:tcBorders>
          </w:tcPr>
          <w:p w:rsidR="00786DFC" w:rsidRPr="009F52B3" w:rsidRDefault="009F52B3" w:rsidP="009F52B3">
            <w:pPr>
              <w:pStyle w:val="naisc"/>
              <w:spacing w:before="0" w:after="0"/>
            </w:pPr>
            <w:r>
              <w:rPr>
                <w:sz w:val="22"/>
                <w:szCs w:val="22"/>
              </w:rPr>
              <w:t>8.</w:t>
            </w:r>
          </w:p>
        </w:tc>
        <w:tc>
          <w:tcPr>
            <w:tcW w:w="1338" w:type="pct"/>
            <w:tcBorders>
              <w:top w:val="single" w:sz="4" w:space="0" w:color="auto"/>
              <w:left w:val="single" w:sz="6" w:space="0" w:color="000000"/>
              <w:bottom w:val="single" w:sz="4" w:space="0" w:color="auto"/>
              <w:right w:val="single" w:sz="6" w:space="0" w:color="000000"/>
            </w:tcBorders>
          </w:tcPr>
          <w:p w:rsidR="00786DFC" w:rsidRPr="009F52B3" w:rsidRDefault="00CD4991" w:rsidP="00581CBB">
            <w:pPr>
              <w:pStyle w:val="naisc"/>
              <w:spacing w:before="0" w:after="0"/>
              <w:ind w:hanging="11"/>
              <w:jc w:val="both"/>
            </w:pPr>
            <w:r w:rsidRPr="009F52B3">
              <w:rPr>
                <w:sz w:val="22"/>
                <w:szCs w:val="22"/>
              </w:rPr>
              <w:t xml:space="preserve">MK rīkojuma projekts, tā pielikums un </w:t>
            </w:r>
            <w:r w:rsidR="00581CBB" w:rsidRPr="009F52B3">
              <w:rPr>
                <w:sz w:val="22"/>
                <w:szCs w:val="22"/>
              </w:rPr>
              <w:t>MK rīkojuma projekta sākotnējās ietekmes novērtējuma ziņojums (anotācija)</w:t>
            </w:r>
            <w:r w:rsidR="009F52B3">
              <w:rPr>
                <w:sz w:val="22"/>
                <w:szCs w:val="22"/>
              </w:rPr>
              <w:t>.</w:t>
            </w:r>
          </w:p>
        </w:tc>
        <w:tc>
          <w:tcPr>
            <w:tcW w:w="1184" w:type="pct"/>
            <w:tcBorders>
              <w:top w:val="single" w:sz="4" w:space="0" w:color="auto"/>
              <w:left w:val="single" w:sz="6" w:space="0" w:color="000000"/>
              <w:bottom w:val="single" w:sz="4" w:space="0" w:color="auto"/>
              <w:right w:val="single" w:sz="6" w:space="0" w:color="000000"/>
            </w:tcBorders>
          </w:tcPr>
          <w:p w:rsidR="00786DFC" w:rsidRPr="009F52B3" w:rsidRDefault="00786DFC" w:rsidP="00D82961">
            <w:pPr>
              <w:autoSpaceDE w:val="0"/>
              <w:autoSpaceDN w:val="0"/>
              <w:adjustRightInd w:val="0"/>
              <w:jc w:val="both"/>
              <w:rPr>
                <w:rFonts w:eastAsia="Calibri"/>
                <w:b/>
              </w:rPr>
            </w:pPr>
            <w:r w:rsidRPr="009F52B3">
              <w:rPr>
                <w:rFonts w:eastAsia="Calibri"/>
                <w:b/>
                <w:sz w:val="22"/>
                <w:szCs w:val="22"/>
              </w:rPr>
              <w:t>Latvijas Pašvaldību savienība:</w:t>
            </w:r>
          </w:p>
          <w:p w:rsidR="00DC37FB" w:rsidRPr="009F52B3" w:rsidRDefault="000F56BE" w:rsidP="00D82961">
            <w:pPr>
              <w:autoSpaceDE w:val="0"/>
              <w:autoSpaceDN w:val="0"/>
              <w:adjustRightInd w:val="0"/>
              <w:jc w:val="both"/>
              <w:rPr>
                <w:rFonts w:eastAsia="Calibri"/>
                <w:b/>
              </w:rPr>
            </w:pPr>
            <w:r w:rsidRPr="009F52B3">
              <w:rPr>
                <w:sz w:val="22"/>
                <w:szCs w:val="22"/>
              </w:rPr>
              <w:t>N</w:t>
            </w:r>
            <w:r w:rsidR="00DC37FB" w:rsidRPr="009F52B3">
              <w:rPr>
                <w:sz w:val="22"/>
                <w:szCs w:val="22"/>
              </w:rPr>
              <w:t xml:space="preserve">av izpildītas prasības, kas noteiktas  2015. gada 17. novembra Ministru kabineta noteikumu Nr. 653 </w:t>
            </w:r>
            <w:hyperlink r:id="rId8" w:tgtFrame="_self" w:history="1">
              <w:r w:rsidR="00DC37FB" w:rsidRPr="009F52B3">
                <w:rPr>
                  <w:sz w:val="22"/>
                  <w:szCs w:val="22"/>
                </w:rPr>
                <w:t xml:space="preserve">“Darbības programmas „Izaugsme un nodarbinātība” 2.2.1.specifiskā atbalsta mērķa „Nodrošināt publisko datu atkalizmantošanas pieaugumu un </w:t>
              </w:r>
              <w:r w:rsidR="00DC37FB" w:rsidRPr="009F52B3">
                <w:rPr>
                  <w:sz w:val="22"/>
                  <w:szCs w:val="22"/>
                </w:rPr>
                <w:lastRenderedPageBreak/>
                <w:t>efektīvu publiskās pārvaldes un privātā sektora mijiedarbību” 2.2.1.1.pasākuma „Centralizētu publiskās pārvaldes IKT platformu izveide, publiskās pārvaldes procesu optimizēšana un attīstība” īstenošanas noteikumi” </w:t>
              </w:r>
            </w:hyperlink>
            <w:r w:rsidR="00DC37FB" w:rsidRPr="009F52B3">
              <w:rPr>
                <w:sz w:val="22"/>
                <w:szCs w:val="22"/>
              </w:rPr>
              <w:t> projektu iesniegumu vērtēšanas 3.6 un 3.7 punktu kritērijos. LPS nevar sniegt novērtējumu, ja nav saņemts detalizēts projekta apraksts ar skaidrojumiem par projekta ietekmi uz (ar) pašvaldībām un (vai) to informācijas sistēmām.</w:t>
            </w:r>
          </w:p>
          <w:p w:rsidR="00786DFC" w:rsidRPr="009F52B3" w:rsidRDefault="00786DFC" w:rsidP="00D82961">
            <w:pPr>
              <w:autoSpaceDE w:val="0"/>
              <w:autoSpaceDN w:val="0"/>
              <w:adjustRightInd w:val="0"/>
              <w:jc w:val="both"/>
              <w:rPr>
                <w:rFonts w:eastAsia="Calibri"/>
              </w:rPr>
            </w:pPr>
          </w:p>
        </w:tc>
        <w:tc>
          <w:tcPr>
            <w:tcW w:w="1167" w:type="pct"/>
            <w:tcBorders>
              <w:top w:val="single" w:sz="4" w:space="0" w:color="auto"/>
              <w:left w:val="single" w:sz="6" w:space="0" w:color="000000"/>
              <w:bottom w:val="single" w:sz="4" w:space="0" w:color="auto"/>
              <w:right w:val="single" w:sz="6" w:space="0" w:color="000000"/>
            </w:tcBorders>
          </w:tcPr>
          <w:p w:rsidR="00DC4F88" w:rsidRPr="009F52B3" w:rsidRDefault="00DC4F88" w:rsidP="00D82961">
            <w:pPr>
              <w:pStyle w:val="naisc"/>
              <w:keepNext/>
              <w:keepLines/>
              <w:spacing w:before="0" w:after="0"/>
              <w:outlineLvl w:val="0"/>
              <w:rPr>
                <w:b/>
                <w:color w:val="000000"/>
              </w:rPr>
            </w:pPr>
            <w:r w:rsidRPr="009F52B3">
              <w:rPr>
                <w:b/>
                <w:color w:val="000000"/>
                <w:sz w:val="22"/>
                <w:szCs w:val="22"/>
              </w:rPr>
              <w:lastRenderedPageBreak/>
              <w:t>Panākta vienošanās saskaņošanas laikā</w:t>
            </w:r>
          </w:p>
          <w:p w:rsidR="008C6A02" w:rsidRPr="009F52B3" w:rsidRDefault="008C6A02" w:rsidP="001D7255">
            <w:pPr>
              <w:pStyle w:val="naisc"/>
              <w:keepNext/>
              <w:keepLines/>
              <w:spacing w:before="0" w:after="0"/>
              <w:jc w:val="both"/>
              <w:outlineLvl w:val="0"/>
            </w:pPr>
            <w:r w:rsidRPr="009F52B3">
              <w:rPr>
                <w:sz w:val="22"/>
                <w:szCs w:val="22"/>
              </w:rPr>
              <w:t xml:space="preserve">Norādītais </w:t>
            </w:r>
            <w:r w:rsidR="000F56BE" w:rsidRPr="009F52B3">
              <w:rPr>
                <w:sz w:val="22"/>
                <w:szCs w:val="22"/>
              </w:rPr>
              <w:t>iebildums ir pamatots ar MK noteikumiem Nr. 653 un 2.2.1.1.</w:t>
            </w:r>
            <w:r w:rsidR="007036E1" w:rsidRPr="009F52B3">
              <w:rPr>
                <w:sz w:val="22"/>
                <w:szCs w:val="22"/>
              </w:rPr>
              <w:t xml:space="preserve">pasākuma </w:t>
            </w:r>
            <w:r w:rsidR="000F56BE" w:rsidRPr="009F52B3">
              <w:rPr>
                <w:sz w:val="22"/>
                <w:szCs w:val="22"/>
              </w:rPr>
              <w:t xml:space="preserve">kritēriju punktiem, taču </w:t>
            </w:r>
            <w:r w:rsidRPr="009F52B3">
              <w:rPr>
                <w:sz w:val="22"/>
                <w:szCs w:val="22"/>
              </w:rPr>
              <w:t>2.kārta</w:t>
            </w:r>
            <w:r w:rsidR="007036E1" w:rsidRPr="009F52B3">
              <w:rPr>
                <w:sz w:val="22"/>
                <w:szCs w:val="22"/>
              </w:rPr>
              <w:t>s projekts</w:t>
            </w:r>
            <w:r w:rsidRPr="009F52B3">
              <w:rPr>
                <w:sz w:val="22"/>
                <w:szCs w:val="22"/>
              </w:rPr>
              <w:t xml:space="preserve"> </w:t>
            </w:r>
            <w:r w:rsidR="000F56BE" w:rsidRPr="009F52B3">
              <w:rPr>
                <w:sz w:val="22"/>
                <w:szCs w:val="22"/>
              </w:rPr>
              <w:t>tiks īstenots 2.2.1.2.</w:t>
            </w:r>
            <w:r w:rsidR="008A0C69" w:rsidRPr="009F52B3">
              <w:rPr>
                <w:sz w:val="22"/>
                <w:szCs w:val="22"/>
              </w:rPr>
              <w:t xml:space="preserve">pasākuma </w:t>
            </w:r>
            <w:r w:rsidR="000F56BE" w:rsidRPr="009F52B3">
              <w:rPr>
                <w:sz w:val="22"/>
                <w:szCs w:val="22"/>
              </w:rPr>
              <w:t xml:space="preserve">ietvaros </w:t>
            </w:r>
            <w:r w:rsidRPr="009F52B3">
              <w:rPr>
                <w:sz w:val="22"/>
                <w:szCs w:val="22"/>
              </w:rPr>
              <w:t xml:space="preserve">saskaņā </w:t>
            </w:r>
            <w:r w:rsidR="000F56BE" w:rsidRPr="009F52B3">
              <w:rPr>
                <w:sz w:val="22"/>
                <w:szCs w:val="22"/>
              </w:rPr>
              <w:t xml:space="preserve">ar </w:t>
            </w:r>
            <w:r w:rsidR="008A0C69" w:rsidRPr="009F52B3">
              <w:rPr>
                <w:sz w:val="22"/>
                <w:szCs w:val="22"/>
              </w:rPr>
              <w:t xml:space="preserve">Ministru kabineta </w:t>
            </w:r>
            <w:hyperlink r:id="rId9" w:history="1">
              <w:r w:rsidR="000F56BE" w:rsidRPr="009F52B3">
                <w:rPr>
                  <w:sz w:val="22"/>
                  <w:szCs w:val="22"/>
                </w:rPr>
                <w:t xml:space="preserve">2016.gada 8.marta </w:t>
              </w:r>
              <w:r w:rsidR="000F56BE" w:rsidRPr="009F52B3">
                <w:rPr>
                  <w:sz w:val="22"/>
                  <w:szCs w:val="22"/>
                </w:rPr>
                <w:lastRenderedPageBreak/>
                <w:t>noteikumi</w:t>
              </w:r>
              <w:r w:rsidR="008A0C69" w:rsidRPr="009F52B3">
                <w:rPr>
                  <w:sz w:val="22"/>
                  <w:szCs w:val="22"/>
                </w:rPr>
                <w:t>em</w:t>
              </w:r>
              <w:r w:rsidR="000F56BE" w:rsidRPr="009F52B3">
                <w:rPr>
                  <w:sz w:val="22"/>
                  <w:szCs w:val="22"/>
                </w:rPr>
                <w:t xml:space="preserve"> Nr.151</w:t>
              </w:r>
              <w:r w:rsidR="008A0C69" w:rsidRPr="009F52B3">
                <w:rPr>
                  <w:sz w:val="22"/>
                  <w:szCs w:val="22"/>
                </w:rPr>
                <w:t xml:space="preserve"> „</w:t>
              </w:r>
              <w:r w:rsidR="000F56BE" w:rsidRPr="009F52B3">
                <w:rPr>
                  <w:sz w:val="22"/>
                  <w:szCs w:val="22"/>
                </w:rPr>
                <w:t>Darbības programmas „Izaugsme un nodarbinātība” 2.2.1.specifiskā atbalsta mērķa „Nodrošināt publisko datu atkalizmantošanas pieaugumu un efektīvu publiskās pārvaldes un privātā sektora mijiedarbību” 2.2.1.2.pasākuma „Kultūras mantojuma digitalizācija” īstenošanas noteikumi</w:t>
              </w:r>
            </w:hyperlink>
            <w:r w:rsidR="000F56BE" w:rsidRPr="009F52B3">
              <w:rPr>
                <w:sz w:val="22"/>
                <w:szCs w:val="22"/>
              </w:rPr>
              <w:t>”,   un šī pasākuma</w:t>
            </w:r>
            <w:r w:rsidR="00D15384" w:rsidRPr="009F52B3">
              <w:rPr>
                <w:sz w:val="22"/>
                <w:szCs w:val="22"/>
              </w:rPr>
              <w:t xml:space="preserve"> projektu vērtēšanas</w:t>
            </w:r>
            <w:r w:rsidR="000F56BE" w:rsidRPr="009F52B3">
              <w:rPr>
                <w:sz w:val="22"/>
                <w:szCs w:val="22"/>
              </w:rPr>
              <w:t xml:space="preserve"> kritērijos nav arī iebildumā minēto punktu</w:t>
            </w:r>
            <w:r w:rsidRPr="009F52B3">
              <w:rPr>
                <w:sz w:val="22"/>
                <w:szCs w:val="22"/>
              </w:rPr>
              <w:t>. Papildus tam skaidrojam, ka</w:t>
            </w:r>
            <w:r w:rsidR="001D7255">
              <w:rPr>
                <w:sz w:val="22"/>
                <w:szCs w:val="22"/>
              </w:rPr>
              <w:t xml:space="preserve"> </w:t>
            </w:r>
            <w:r w:rsidRPr="009F52B3">
              <w:rPr>
                <w:sz w:val="22"/>
                <w:szCs w:val="22"/>
              </w:rPr>
              <w:t>projekta tvērumā ir pārstāvēta dažādu kultūras mantojuma vērtību di</w:t>
            </w:r>
            <w:r w:rsidR="00264E28">
              <w:rPr>
                <w:sz w:val="22"/>
                <w:szCs w:val="22"/>
              </w:rPr>
              <w:t>gitalizācija, t.sk.</w:t>
            </w:r>
            <w:r w:rsidRPr="009F52B3">
              <w:rPr>
                <w:sz w:val="22"/>
                <w:szCs w:val="22"/>
              </w:rPr>
              <w:t xml:space="preserve"> muzeju priekšmetu </w:t>
            </w:r>
            <w:r w:rsidR="001D7255" w:rsidRPr="009F52B3">
              <w:rPr>
                <w:sz w:val="22"/>
                <w:szCs w:val="22"/>
              </w:rPr>
              <w:t>digitalizācija</w:t>
            </w:r>
            <w:r w:rsidR="00D15384" w:rsidRPr="009F52B3">
              <w:rPr>
                <w:sz w:val="22"/>
                <w:szCs w:val="22"/>
              </w:rPr>
              <w:t xml:space="preserve"> 50 000 vienību apjomā</w:t>
            </w:r>
            <w:r w:rsidRPr="009F52B3">
              <w:rPr>
                <w:sz w:val="22"/>
                <w:szCs w:val="22"/>
              </w:rPr>
              <w:t>.</w:t>
            </w:r>
            <w:r w:rsidR="00D15384" w:rsidRPr="009F52B3">
              <w:rPr>
                <w:sz w:val="22"/>
                <w:szCs w:val="22"/>
              </w:rPr>
              <w:t xml:space="preserve"> Digitalizācijas materiālu saraksti tiks gatavoti projekta īstenošanas laikā pirms attiecīgo darbību uzsākšanas. </w:t>
            </w:r>
          </w:p>
        </w:tc>
        <w:tc>
          <w:tcPr>
            <w:tcW w:w="1074" w:type="pct"/>
            <w:tcBorders>
              <w:top w:val="single" w:sz="4" w:space="0" w:color="auto"/>
              <w:left w:val="single" w:sz="4" w:space="0" w:color="auto"/>
              <w:bottom w:val="single" w:sz="4" w:space="0" w:color="auto"/>
              <w:right w:val="single" w:sz="4" w:space="0" w:color="auto"/>
            </w:tcBorders>
          </w:tcPr>
          <w:p w:rsidR="00786DFC" w:rsidRPr="009F52B3" w:rsidRDefault="008E5641" w:rsidP="009712EA">
            <w:pPr>
              <w:pStyle w:val="naisc"/>
              <w:spacing w:before="0" w:after="0"/>
              <w:ind w:hanging="11"/>
              <w:jc w:val="both"/>
              <w:rPr>
                <w:rFonts w:eastAsia="Calibri"/>
              </w:rPr>
            </w:pPr>
            <w:r w:rsidRPr="009F52B3">
              <w:rPr>
                <w:sz w:val="22"/>
                <w:szCs w:val="22"/>
              </w:rPr>
              <w:lastRenderedPageBreak/>
              <w:t>MK rīkojuma projekts, tā pielikums un MK rīkojuma projekta sākotnējās ietekmes novērtējuma ziņojums (anotācija)</w:t>
            </w:r>
            <w:r>
              <w:rPr>
                <w:sz w:val="22"/>
                <w:szCs w:val="22"/>
              </w:rPr>
              <w:t>.</w:t>
            </w:r>
          </w:p>
        </w:tc>
      </w:tr>
    </w:tbl>
    <w:p w:rsidR="001F5D33" w:rsidRDefault="001F5D33" w:rsidP="001F5D33">
      <w:pPr>
        <w:outlineLvl w:val="0"/>
        <w:rPr>
          <w:sz w:val="22"/>
          <w:szCs w:val="22"/>
        </w:rPr>
      </w:pPr>
    </w:p>
    <w:p w:rsidR="008E5641" w:rsidRDefault="008E5641" w:rsidP="001F5D33">
      <w:pPr>
        <w:outlineLvl w:val="0"/>
        <w:rPr>
          <w:sz w:val="22"/>
          <w:szCs w:val="22"/>
        </w:rPr>
      </w:pPr>
    </w:p>
    <w:p w:rsidR="008E5641" w:rsidRDefault="008E5641" w:rsidP="001F5D33">
      <w:pPr>
        <w:outlineLvl w:val="0"/>
        <w:rPr>
          <w:sz w:val="22"/>
          <w:szCs w:val="22"/>
        </w:rPr>
      </w:pPr>
    </w:p>
    <w:p w:rsidR="000F2859" w:rsidRPr="008A0C69" w:rsidRDefault="000F2859" w:rsidP="000F2859">
      <w:pPr>
        <w:rPr>
          <w:sz w:val="20"/>
          <w:szCs w:val="20"/>
        </w:rPr>
      </w:pPr>
      <w:r w:rsidRPr="008A0C69">
        <w:rPr>
          <w:sz w:val="20"/>
          <w:szCs w:val="20"/>
        </w:rPr>
        <w:t>K.Bandere</w:t>
      </w:r>
    </w:p>
    <w:p w:rsidR="009F52B3" w:rsidRDefault="000F2859" w:rsidP="000F2859">
      <w:pPr>
        <w:rPr>
          <w:sz w:val="20"/>
          <w:szCs w:val="20"/>
        </w:rPr>
      </w:pPr>
      <w:r w:rsidRPr="008A0C69">
        <w:rPr>
          <w:sz w:val="20"/>
          <w:szCs w:val="20"/>
        </w:rPr>
        <w:t xml:space="preserve">Latvijas Nacionālā bibliotēkas </w:t>
      </w:r>
    </w:p>
    <w:p w:rsidR="000F2859" w:rsidRPr="008A0C69" w:rsidRDefault="000F2859" w:rsidP="000F2859">
      <w:pPr>
        <w:rPr>
          <w:sz w:val="20"/>
          <w:szCs w:val="20"/>
        </w:rPr>
      </w:pPr>
      <w:r w:rsidRPr="008A0C69">
        <w:rPr>
          <w:sz w:val="20"/>
          <w:szCs w:val="20"/>
        </w:rPr>
        <w:t>projektu attīstības vadītāja</w:t>
      </w:r>
    </w:p>
    <w:p w:rsidR="000F2859" w:rsidRPr="008A0C69" w:rsidRDefault="000F2859" w:rsidP="000F2859">
      <w:pPr>
        <w:rPr>
          <w:sz w:val="20"/>
          <w:szCs w:val="20"/>
        </w:rPr>
      </w:pPr>
      <w:r w:rsidRPr="008A0C69">
        <w:rPr>
          <w:sz w:val="20"/>
          <w:szCs w:val="20"/>
        </w:rPr>
        <w:t>Tālr</w:t>
      </w:r>
      <w:r w:rsidR="008E5641">
        <w:rPr>
          <w:sz w:val="20"/>
          <w:szCs w:val="20"/>
        </w:rPr>
        <w:t>.</w:t>
      </w:r>
      <w:r w:rsidRPr="008A0C69">
        <w:rPr>
          <w:sz w:val="20"/>
          <w:szCs w:val="20"/>
        </w:rPr>
        <w:t xml:space="preserve"> </w:t>
      </w:r>
      <w:bookmarkStart w:id="3" w:name="OLE_LINK7"/>
      <w:bookmarkStart w:id="4" w:name="OLE_LINK8"/>
      <w:r w:rsidRPr="008A0C69">
        <w:rPr>
          <w:sz w:val="20"/>
          <w:szCs w:val="20"/>
        </w:rPr>
        <w:t xml:space="preserve">67716006 </w:t>
      </w:r>
    </w:p>
    <w:p w:rsidR="00592F81" w:rsidRDefault="00272CC6" w:rsidP="00592F81">
      <w:pPr>
        <w:rPr>
          <w:sz w:val="22"/>
          <w:szCs w:val="22"/>
        </w:rPr>
      </w:pPr>
      <w:hyperlink r:id="rId10" w:history="1">
        <w:r w:rsidR="00EA68ED" w:rsidRPr="003D561D">
          <w:rPr>
            <w:rStyle w:val="Hipersaite"/>
            <w:sz w:val="20"/>
            <w:szCs w:val="20"/>
            <w:lang w:val="en-US"/>
          </w:rPr>
          <w:t>karina.bandere@lnb.lv</w:t>
        </w:r>
      </w:hyperlink>
      <w:bookmarkEnd w:id="3"/>
      <w:bookmarkEnd w:id="4"/>
    </w:p>
    <w:sectPr w:rsidR="00592F81" w:rsidSect="00D259D7">
      <w:headerReference w:type="default" r:id="rId11"/>
      <w:footerReference w:type="default" r:id="rId12"/>
      <w:footerReference w:type="first" r:id="rId13"/>
      <w:pgSz w:w="16838" w:h="11906" w:orient="landscape"/>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FA1" w:rsidRDefault="00F33FA1" w:rsidP="00F64DE4">
      <w:r>
        <w:separator/>
      </w:r>
    </w:p>
  </w:endnote>
  <w:endnote w:type="continuationSeparator" w:id="0">
    <w:p w:rsidR="00F33FA1" w:rsidRDefault="00F33FA1" w:rsidP="00F64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A1" w:rsidRPr="00C866FD" w:rsidRDefault="00264D05" w:rsidP="00C866FD">
    <w:pPr>
      <w:pStyle w:val="Kjene"/>
    </w:pPr>
    <w:r>
      <w:rPr>
        <w:sz w:val="20"/>
        <w:szCs w:val="20"/>
      </w:rPr>
      <w:t>KMIzz_0805</w:t>
    </w:r>
    <w:r w:rsidR="00F33FA1">
      <w:rPr>
        <w:sz w:val="20"/>
        <w:szCs w:val="20"/>
      </w:rPr>
      <w:t>19_LNB_digit</w:t>
    </w:r>
    <w:r w:rsidR="00F33FA1" w:rsidRPr="00EF1471">
      <w:rPr>
        <w:sz w:val="20"/>
        <w:szCs w:val="20"/>
      </w:rPr>
      <w:t>_ieklausana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A1" w:rsidRPr="001115C3" w:rsidRDefault="00264D05" w:rsidP="001115C3">
    <w:pPr>
      <w:pStyle w:val="Kjene"/>
      <w:rPr>
        <w:sz w:val="20"/>
        <w:szCs w:val="20"/>
      </w:rPr>
    </w:pPr>
    <w:r>
      <w:rPr>
        <w:sz w:val="20"/>
        <w:szCs w:val="20"/>
      </w:rPr>
      <w:t>KMIzz_0805</w:t>
    </w:r>
    <w:r w:rsidR="00F33FA1">
      <w:rPr>
        <w:sz w:val="20"/>
        <w:szCs w:val="20"/>
      </w:rPr>
      <w:t>19_LNB_digit</w:t>
    </w:r>
    <w:r w:rsidR="00F33FA1" w:rsidRPr="00EF1471">
      <w:rPr>
        <w:sz w:val="20"/>
        <w:szCs w:val="20"/>
      </w:rPr>
      <w:t>_ieklausana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FA1" w:rsidRDefault="00F33FA1" w:rsidP="00F64DE4">
      <w:r>
        <w:separator/>
      </w:r>
    </w:p>
  </w:footnote>
  <w:footnote w:type="continuationSeparator" w:id="0">
    <w:p w:rsidR="00F33FA1" w:rsidRDefault="00F33FA1" w:rsidP="00F64DE4">
      <w:r>
        <w:continuationSeparator/>
      </w:r>
    </w:p>
  </w:footnote>
  <w:footnote w:id="1">
    <w:p w:rsidR="00F33FA1" w:rsidRPr="00D82961" w:rsidRDefault="00F33FA1" w:rsidP="00D82961">
      <w:pPr>
        <w:pStyle w:val="Vresteksts"/>
        <w:jc w:val="both"/>
        <w:rPr>
          <w:lang w:val="lv-LV"/>
        </w:rPr>
      </w:pPr>
      <w:r w:rsidRPr="00D82961">
        <w:rPr>
          <w:rStyle w:val="Vresatsauce"/>
          <w:lang w:val="lv-LV"/>
        </w:rPr>
        <w:footnoteRef/>
      </w:r>
      <w:r w:rsidRPr="00D82961">
        <w:rPr>
          <w:lang w:val="lv-LV"/>
        </w:rPr>
        <w:t xml:space="preserve"> Ministru kabineta 2016.gada 8.marta noteikumi Nr. 151 „Darbības programmas „Izaugsme un nodarbinātība” 2.2.1. specifiskā atbalsta mērķa „Nodrošināt publisko datu atkalizmantošanas pieaugumu un efektīvu publiskās pārvaldes un privātā sektora mijiedarbību” 2.2.1.2. pasākuma „Kultūras mantojuma digitalizācija” īstenošanas noteikumi”</w:t>
      </w:r>
      <w:r>
        <w:rPr>
          <w:lang w:val="lv-LV"/>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1310"/>
      <w:docPartObj>
        <w:docPartGallery w:val="Page Numbers (Top of Page)"/>
        <w:docPartUnique/>
      </w:docPartObj>
    </w:sdtPr>
    <w:sdtContent>
      <w:p w:rsidR="00F33FA1" w:rsidRDefault="00272CC6">
        <w:pPr>
          <w:pStyle w:val="Galvene"/>
          <w:jc w:val="center"/>
        </w:pPr>
        <w:r w:rsidRPr="00196278">
          <w:rPr>
            <w:sz w:val="22"/>
            <w:szCs w:val="22"/>
          </w:rPr>
          <w:fldChar w:fldCharType="begin"/>
        </w:r>
        <w:r w:rsidR="00F33FA1" w:rsidRPr="00196278">
          <w:rPr>
            <w:sz w:val="22"/>
            <w:szCs w:val="22"/>
          </w:rPr>
          <w:instrText xml:space="preserve"> PAGE   \* MERGEFORMAT </w:instrText>
        </w:r>
        <w:r w:rsidRPr="00196278">
          <w:rPr>
            <w:sz w:val="22"/>
            <w:szCs w:val="22"/>
          </w:rPr>
          <w:fldChar w:fldCharType="separate"/>
        </w:r>
        <w:r w:rsidR="00830D2C">
          <w:rPr>
            <w:noProof/>
            <w:sz w:val="22"/>
            <w:szCs w:val="22"/>
          </w:rPr>
          <w:t>2</w:t>
        </w:r>
        <w:r w:rsidRPr="00196278">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16F2"/>
    <w:multiLevelType w:val="hybridMultilevel"/>
    <w:tmpl w:val="8A5A2212"/>
    <w:lvl w:ilvl="0" w:tplc="7F4294DE">
      <w:start w:val="1"/>
      <w:numFmt w:val="decimal"/>
      <w:pStyle w:val="VPBullet1"/>
      <w:lvlText w:val="%1."/>
      <w:lvlJc w:val="left"/>
      <w:pPr>
        <w:ind w:left="720" w:hanging="360"/>
      </w:pPr>
      <w:rPr>
        <w:rFonts w:ascii="Times New Roman" w:eastAsiaTheme="minorHAnsi" w:hAnsi="Times New Roman" w:cs="Times New Roman"/>
        <w:color w:val="auto"/>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CFE1B5C"/>
    <w:multiLevelType w:val="hybridMultilevel"/>
    <w:tmpl w:val="98DE03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3">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5D12E06"/>
    <w:multiLevelType w:val="hybridMultilevel"/>
    <w:tmpl w:val="A6348242"/>
    <w:lvl w:ilvl="0" w:tplc="0426000F">
      <w:start w:val="1"/>
      <w:numFmt w:val="decimal"/>
      <w:lvlText w:val="%1."/>
      <w:lvlJc w:val="left"/>
      <w:pPr>
        <w:ind w:left="928"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5">
    <w:nsid w:val="1F384D9E"/>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F8447E3"/>
    <w:multiLevelType w:val="hybridMultilevel"/>
    <w:tmpl w:val="51B2A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2611116"/>
    <w:multiLevelType w:val="hybridMultilevel"/>
    <w:tmpl w:val="CAF6F4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29A66E3F"/>
    <w:multiLevelType w:val="hybridMultilevel"/>
    <w:tmpl w:val="C686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1416BF"/>
    <w:multiLevelType w:val="hybridMultilevel"/>
    <w:tmpl w:val="56625AA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36D71650"/>
    <w:multiLevelType w:val="hybridMultilevel"/>
    <w:tmpl w:val="3D901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nsid w:val="43DB6A66"/>
    <w:multiLevelType w:val="hybridMultilevel"/>
    <w:tmpl w:val="2C225FA4"/>
    <w:lvl w:ilvl="0" w:tplc="FAECD4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497C62D5"/>
    <w:multiLevelType w:val="hybridMultilevel"/>
    <w:tmpl w:val="E3DAD8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EF7DAF"/>
    <w:multiLevelType w:val="hybridMultilevel"/>
    <w:tmpl w:val="35E4B6A6"/>
    <w:lvl w:ilvl="0" w:tplc="7D7C83C8">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nsid w:val="5B9A642E"/>
    <w:multiLevelType w:val="hybridMultilevel"/>
    <w:tmpl w:val="FD66EE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0138CF"/>
    <w:multiLevelType w:val="hybridMultilevel"/>
    <w:tmpl w:val="F1E80DA4"/>
    <w:lvl w:ilvl="0" w:tplc="7A4E9DDC">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nsid w:val="668B4181"/>
    <w:multiLevelType w:val="hybridMultilevel"/>
    <w:tmpl w:val="DE2E1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B8B718D"/>
    <w:multiLevelType w:val="hybridMultilevel"/>
    <w:tmpl w:val="7AFC8F58"/>
    <w:lvl w:ilvl="0" w:tplc="6C4C3996">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34E42BE"/>
    <w:multiLevelType w:val="hybridMultilevel"/>
    <w:tmpl w:val="69AA0694"/>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576744F"/>
    <w:multiLevelType w:val="hybridMultilevel"/>
    <w:tmpl w:val="ACC8EEBE"/>
    <w:lvl w:ilvl="0" w:tplc="3B24428E">
      <w:start w:val="1"/>
      <w:numFmt w:val="decimal"/>
      <w:lvlText w:val="%1."/>
      <w:lvlJc w:val="left"/>
      <w:pPr>
        <w:ind w:left="488" w:hanging="360"/>
      </w:pPr>
      <w:rPr>
        <w:rFonts w:hint="default"/>
      </w:rPr>
    </w:lvl>
    <w:lvl w:ilvl="1" w:tplc="04150019" w:tentative="1">
      <w:start w:val="1"/>
      <w:numFmt w:val="lowerLetter"/>
      <w:lvlText w:val="%2."/>
      <w:lvlJc w:val="left"/>
      <w:pPr>
        <w:ind w:left="1208" w:hanging="360"/>
      </w:pPr>
    </w:lvl>
    <w:lvl w:ilvl="2" w:tplc="0415001B" w:tentative="1">
      <w:start w:val="1"/>
      <w:numFmt w:val="lowerRoman"/>
      <w:lvlText w:val="%3."/>
      <w:lvlJc w:val="right"/>
      <w:pPr>
        <w:ind w:left="1928" w:hanging="180"/>
      </w:pPr>
    </w:lvl>
    <w:lvl w:ilvl="3" w:tplc="0415000F" w:tentative="1">
      <w:start w:val="1"/>
      <w:numFmt w:val="decimal"/>
      <w:lvlText w:val="%4."/>
      <w:lvlJc w:val="left"/>
      <w:pPr>
        <w:ind w:left="2648" w:hanging="360"/>
      </w:pPr>
    </w:lvl>
    <w:lvl w:ilvl="4" w:tplc="04150019" w:tentative="1">
      <w:start w:val="1"/>
      <w:numFmt w:val="lowerLetter"/>
      <w:lvlText w:val="%5."/>
      <w:lvlJc w:val="left"/>
      <w:pPr>
        <w:ind w:left="3368" w:hanging="360"/>
      </w:pPr>
    </w:lvl>
    <w:lvl w:ilvl="5" w:tplc="0415001B" w:tentative="1">
      <w:start w:val="1"/>
      <w:numFmt w:val="lowerRoman"/>
      <w:lvlText w:val="%6."/>
      <w:lvlJc w:val="right"/>
      <w:pPr>
        <w:ind w:left="4088" w:hanging="180"/>
      </w:pPr>
    </w:lvl>
    <w:lvl w:ilvl="6" w:tplc="0415000F" w:tentative="1">
      <w:start w:val="1"/>
      <w:numFmt w:val="decimal"/>
      <w:lvlText w:val="%7."/>
      <w:lvlJc w:val="left"/>
      <w:pPr>
        <w:ind w:left="4808" w:hanging="360"/>
      </w:pPr>
    </w:lvl>
    <w:lvl w:ilvl="7" w:tplc="04150019" w:tentative="1">
      <w:start w:val="1"/>
      <w:numFmt w:val="lowerLetter"/>
      <w:lvlText w:val="%8."/>
      <w:lvlJc w:val="left"/>
      <w:pPr>
        <w:ind w:left="5528" w:hanging="360"/>
      </w:pPr>
    </w:lvl>
    <w:lvl w:ilvl="8" w:tplc="0415001B" w:tentative="1">
      <w:start w:val="1"/>
      <w:numFmt w:val="lowerRoman"/>
      <w:lvlText w:val="%9."/>
      <w:lvlJc w:val="right"/>
      <w:pPr>
        <w:ind w:left="6248" w:hanging="180"/>
      </w:pPr>
    </w:lvl>
  </w:abstractNum>
  <w:abstractNum w:abstractNumId="22">
    <w:nsid w:val="788977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8B336D3"/>
    <w:multiLevelType w:val="hybridMultilevel"/>
    <w:tmpl w:val="7C404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8D7226F"/>
    <w:multiLevelType w:val="hybridMultilevel"/>
    <w:tmpl w:val="F5B0E884"/>
    <w:lvl w:ilvl="0" w:tplc="D10C4268">
      <w:start w:val="1"/>
      <w:numFmt w:val="decimal"/>
      <w:lvlText w:val="%1."/>
      <w:lvlJc w:val="left"/>
      <w:pPr>
        <w:ind w:left="720" w:hanging="360"/>
      </w:pPr>
      <w:rPr>
        <w:rFonts w:eastAsia="Calibri"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10"/>
  </w:num>
  <w:num w:numId="7">
    <w:abstractNumId w:val="2"/>
  </w:num>
  <w:num w:numId="8">
    <w:abstractNumId w:val="3"/>
  </w:num>
  <w:num w:numId="9">
    <w:abstractNumId w:val="18"/>
  </w:num>
  <w:num w:numId="10">
    <w:abstractNumId w:val="1"/>
  </w:num>
  <w:num w:numId="11">
    <w:abstractNumId w:val="23"/>
  </w:num>
  <w:num w:numId="12">
    <w:abstractNumId w:val="5"/>
  </w:num>
  <w:num w:numId="13">
    <w:abstractNumId w:val="24"/>
  </w:num>
  <w:num w:numId="14">
    <w:abstractNumId w:val="12"/>
  </w:num>
  <w:num w:numId="15">
    <w:abstractNumId w:val="21"/>
  </w:num>
  <w:num w:numId="16">
    <w:abstractNumId w:val="22"/>
  </w:num>
  <w:num w:numId="17">
    <w:abstractNumId w:val="13"/>
  </w:num>
  <w:num w:numId="18">
    <w:abstractNumId w:val="15"/>
  </w:num>
  <w:num w:numId="19">
    <w:abstractNumId w:val="2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9"/>
  </w:num>
  <w:num w:numId="24">
    <w:abstractNumId w:val="0"/>
  </w:num>
  <w:num w:numId="25">
    <w:abstractNumId w:val="0"/>
    <w:lvlOverride w:ilvl="0">
      <w:startOverride w:val="1"/>
    </w:lvlOverride>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rsids>
    <w:rsidRoot w:val="00F64DE4"/>
    <w:rsid w:val="0000478A"/>
    <w:rsid w:val="00005E79"/>
    <w:rsid w:val="00014187"/>
    <w:rsid w:val="0001528C"/>
    <w:rsid w:val="00020187"/>
    <w:rsid w:val="00024C1D"/>
    <w:rsid w:val="00025346"/>
    <w:rsid w:val="00027058"/>
    <w:rsid w:val="00030646"/>
    <w:rsid w:val="00032061"/>
    <w:rsid w:val="00034775"/>
    <w:rsid w:val="0005107F"/>
    <w:rsid w:val="00051140"/>
    <w:rsid w:val="00053EB0"/>
    <w:rsid w:val="00055EA4"/>
    <w:rsid w:val="00060EC5"/>
    <w:rsid w:val="000630D0"/>
    <w:rsid w:val="0007173E"/>
    <w:rsid w:val="00077CF7"/>
    <w:rsid w:val="00087937"/>
    <w:rsid w:val="00090D9A"/>
    <w:rsid w:val="00092DDE"/>
    <w:rsid w:val="00095CB8"/>
    <w:rsid w:val="00097009"/>
    <w:rsid w:val="00097A72"/>
    <w:rsid w:val="000A1393"/>
    <w:rsid w:val="000A1B66"/>
    <w:rsid w:val="000A4D2F"/>
    <w:rsid w:val="000B483A"/>
    <w:rsid w:val="000C0A94"/>
    <w:rsid w:val="000C1E0E"/>
    <w:rsid w:val="000C29F2"/>
    <w:rsid w:val="000C41C8"/>
    <w:rsid w:val="000C76D1"/>
    <w:rsid w:val="000C7D3F"/>
    <w:rsid w:val="000D049A"/>
    <w:rsid w:val="000D0BDC"/>
    <w:rsid w:val="000D2036"/>
    <w:rsid w:val="000D2681"/>
    <w:rsid w:val="000E36DA"/>
    <w:rsid w:val="000E3BA9"/>
    <w:rsid w:val="000F2859"/>
    <w:rsid w:val="000F56BE"/>
    <w:rsid w:val="00102004"/>
    <w:rsid w:val="001047CE"/>
    <w:rsid w:val="001115C3"/>
    <w:rsid w:val="001229CC"/>
    <w:rsid w:val="0012645F"/>
    <w:rsid w:val="001264B1"/>
    <w:rsid w:val="001319C3"/>
    <w:rsid w:val="00132ECD"/>
    <w:rsid w:val="0013421B"/>
    <w:rsid w:val="00134957"/>
    <w:rsid w:val="00134AA7"/>
    <w:rsid w:val="00152474"/>
    <w:rsid w:val="00153256"/>
    <w:rsid w:val="00166C41"/>
    <w:rsid w:val="00174AE2"/>
    <w:rsid w:val="00175E86"/>
    <w:rsid w:val="001828A0"/>
    <w:rsid w:val="001865E1"/>
    <w:rsid w:val="00191B29"/>
    <w:rsid w:val="00196278"/>
    <w:rsid w:val="00196F55"/>
    <w:rsid w:val="001A1819"/>
    <w:rsid w:val="001A4FBD"/>
    <w:rsid w:val="001A657A"/>
    <w:rsid w:val="001B1F54"/>
    <w:rsid w:val="001B2EB7"/>
    <w:rsid w:val="001B73C0"/>
    <w:rsid w:val="001C36D1"/>
    <w:rsid w:val="001C38BA"/>
    <w:rsid w:val="001C7492"/>
    <w:rsid w:val="001D0E74"/>
    <w:rsid w:val="001D7255"/>
    <w:rsid w:val="001E1123"/>
    <w:rsid w:val="001F5D33"/>
    <w:rsid w:val="001F7F8E"/>
    <w:rsid w:val="002061EB"/>
    <w:rsid w:val="002064FE"/>
    <w:rsid w:val="00212F96"/>
    <w:rsid w:val="00215057"/>
    <w:rsid w:val="00221927"/>
    <w:rsid w:val="00222E72"/>
    <w:rsid w:val="00230670"/>
    <w:rsid w:val="00235EE6"/>
    <w:rsid w:val="00240C1C"/>
    <w:rsid w:val="00241733"/>
    <w:rsid w:val="0024507F"/>
    <w:rsid w:val="00245DED"/>
    <w:rsid w:val="002559F7"/>
    <w:rsid w:val="00264D05"/>
    <w:rsid w:val="00264E28"/>
    <w:rsid w:val="00270A2C"/>
    <w:rsid w:val="00270C57"/>
    <w:rsid w:val="00272CC6"/>
    <w:rsid w:val="002768BD"/>
    <w:rsid w:val="00280DCC"/>
    <w:rsid w:val="0028497B"/>
    <w:rsid w:val="002901E4"/>
    <w:rsid w:val="002A1965"/>
    <w:rsid w:val="002A1E32"/>
    <w:rsid w:val="002A287C"/>
    <w:rsid w:val="002C02F3"/>
    <w:rsid w:val="002C6678"/>
    <w:rsid w:val="002D690C"/>
    <w:rsid w:val="002D6A77"/>
    <w:rsid w:val="002E106F"/>
    <w:rsid w:val="002E176D"/>
    <w:rsid w:val="002E5922"/>
    <w:rsid w:val="002E718B"/>
    <w:rsid w:val="002F0D59"/>
    <w:rsid w:val="002F1E09"/>
    <w:rsid w:val="0030186E"/>
    <w:rsid w:val="00303B8A"/>
    <w:rsid w:val="00305685"/>
    <w:rsid w:val="0030686D"/>
    <w:rsid w:val="003171B8"/>
    <w:rsid w:val="0032099C"/>
    <w:rsid w:val="00323B0F"/>
    <w:rsid w:val="00337A8E"/>
    <w:rsid w:val="00342823"/>
    <w:rsid w:val="00353E95"/>
    <w:rsid w:val="00357779"/>
    <w:rsid w:val="003623E5"/>
    <w:rsid w:val="00366E2F"/>
    <w:rsid w:val="00370C12"/>
    <w:rsid w:val="00370D54"/>
    <w:rsid w:val="00371DF2"/>
    <w:rsid w:val="00372C8B"/>
    <w:rsid w:val="00373BD1"/>
    <w:rsid w:val="00382D4F"/>
    <w:rsid w:val="0039514C"/>
    <w:rsid w:val="003A0B53"/>
    <w:rsid w:val="003A6AD4"/>
    <w:rsid w:val="003B293D"/>
    <w:rsid w:val="003C1B4D"/>
    <w:rsid w:val="003C46B9"/>
    <w:rsid w:val="003D1BEA"/>
    <w:rsid w:val="003D649A"/>
    <w:rsid w:val="003D78CD"/>
    <w:rsid w:val="003D7B3A"/>
    <w:rsid w:val="003F5387"/>
    <w:rsid w:val="003F58DA"/>
    <w:rsid w:val="003F6E30"/>
    <w:rsid w:val="003F6EF8"/>
    <w:rsid w:val="00422228"/>
    <w:rsid w:val="00424EE1"/>
    <w:rsid w:val="004405A0"/>
    <w:rsid w:val="00443649"/>
    <w:rsid w:val="00444997"/>
    <w:rsid w:val="00446920"/>
    <w:rsid w:val="004520D3"/>
    <w:rsid w:val="00453676"/>
    <w:rsid w:val="00460D5C"/>
    <w:rsid w:val="0046293B"/>
    <w:rsid w:val="00465448"/>
    <w:rsid w:val="0046692F"/>
    <w:rsid w:val="00474A56"/>
    <w:rsid w:val="0049114F"/>
    <w:rsid w:val="00497B7D"/>
    <w:rsid w:val="004A058F"/>
    <w:rsid w:val="004A357D"/>
    <w:rsid w:val="004B5E1D"/>
    <w:rsid w:val="004B639B"/>
    <w:rsid w:val="004C4E81"/>
    <w:rsid w:val="004C7A6E"/>
    <w:rsid w:val="004D2EB1"/>
    <w:rsid w:val="004D5FE3"/>
    <w:rsid w:val="004D779D"/>
    <w:rsid w:val="004D7F46"/>
    <w:rsid w:val="004E7AF6"/>
    <w:rsid w:val="004E7EA8"/>
    <w:rsid w:val="00506C49"/>
    <w:rsid w:val="00507639"/>
    <w:rsid w:val="005134D4"/>
    <w:rsid w:val="00514089"/>
    <w:rsid w:val="00520FA9"/>
    <w:rsid w:val="00521BA5"/>
    <w:rsid w:val="00527709"/>
    <w:rsid w:val="005338D6"/>
    <w:rsid w:val="00533C68"/>
    <w:rsid w:val="00542CEE"/>
    <w:rsid w:val="00550273"/>
    <w:rsid w:val="00550844"/>
    <w:rsid w:val="00553F03"/>
    <w:rsid w:val="00562E1F"/>
    <w:rsid w:val="00563B6F"/>
    <w:rsid w:val="00566D88"/>
    <w:rsid w:val="00575829"/>
    <w:rsid w:val="00576E37"/>
    <w:rsid w:val="00580C6B"/>
    <w:rsid w:val="00581BF8"/>
    <w:rsid w:val="00581CBB"/>
    <w:rsid w:val="00592F81"/>
    <w:rsid w:val="0059347E"/>
    <w:rsid w:val="00594FE8"/>
    <w:rsid w:val="00595564"/>
    <w:rsid w:val="005A05EF"/>
    <w:rsid w:val="005B29EE"/>
    <w:rsid w:val="005B32B2"/>
    <w:rsid w:val="005C3D87"/>
    <w:rsid w:val="005C5B44"/>
    <w:rsid w:val="005D306B"/>
    <w:rsid w:val="005D4CC9"/>
    <w:rsid w:val="005D7B08"/>
    <w:rsid w:val="005D7BD9"/>
    <w:rsid w:val="005D7D48"/>
    <w:rsid w:val="005E0039"/>
    <w:rsid w:val="005E44DF"/>
    <w:rsid w:val="005E4CE5"/>
    <w:rsid w:val="0060274A"/>
    <w:rsid w:val="0061147F"/>
    <w:rsid w:val="0062324C"/>
    <w:rsid w:val="006274A5"/>
    <w:rsid w:val="00630EE8"/>
    <w:rsid w:val="006330B1"/>
    <w:rsid w:val="00636CB6"/>
    <w:rsid w:val="00643BB3"/>
    <w:rsid w:val="00645C4C"/>
    <w:rsid w:val="006507FB"/>
    <w:rsid w:val="00653821"/>
    <w:rsid w:val="00656D72"/>
    <w:rsid w:val="006666B8"/>
    <w:rsid w:val="006711D1"/>
    <w:rsid w:val="00672235"/>
    <w:rsid w:val="00691A48"/>
    <w:rsid w:val="00694F9D"/>
    <w:rsid w:val="00695531"/>
    <w:rsid w:val="006A0739"/>
    <w:rsid w:val="006A0D55"/>
    <w:rsid w:val="006A0E49"/>
    <w:rsid w:val="006A2194"/>
    <w:rsid w:val="006A28BC"/>
    <w:rsid w:val="006B231C"/>
    <w:rsid w:val="006C638B"/>
    <w:rsid w:val="006C7BD1"/>
    <w:rsid w:val="006D3B1D"/>
    <w:rsid w:val="006E535D"/>
    <w:rsid w:val="006E6AFD"/>
    <w:rsid w:val="006F39B6"/>
    <w:rsid w:val="007036E1"/>
    <w:rsid w:val="00704E63"/>
    <w:rsid w:val="00711BEA"/>
    <w:rsid w:val="00714551"/>
    <w:rsid w:val="00720BC3"/>
    <w:rsid w:val="00730AFF"/>
    <w:rsid w:val="007330DA"/>
    <w:rsid w:val="00734AC4"/>
    <w:rsid w:val="00743B9E"/>
    <w:rsid w:val="00744402"/>
    <w:rsid w:val="00744BDA"/>
    <w:rsid w:val="007471ED"/>
    <w:rsid w:val="007503AD"/>
    <w:rsid w:val="0075391B"/>
    <w:rsid w:val="00754103"/>
    <w:rsid w:val="00765939"/>
    <w:rsid w:val="00771A85"/>
    <w:rsid w:val="007731FC"/>
    <w:rsid w:val="00774F79"/>
    <w:rsid w:val="00777AC9"/>
    <w:rsid w:val="00786DFC"/>
    <w:rsid w:val="00787777"/>
    <w:rsid w:val="007923EB"/>
    <w:rsid w:val="007B2B89"/>
    <w:rsid w:val="007B3954"/>
    <w:rsid w:val="007B5C57"/>
    <w:rsid w:val="007C7293"/>
    <w:rsid w:val="007D33CD"/>
    <w:rsid w:val="007E4CFF"/>
    <w:rsid w:val="008040F7"/>
    <w:rsid w:val="00805435"/>
    <w:rsid w:val="008062AB"/>
    <w:rsid w:val="00812AD1"/>
    <w:rsid w:val="0081557B"/>
    <w:rsid w:val="00816E71"/>
    <w:rsid w:val="00821905"/>
    <w:rsid w:val="00824A6F"/>
    <w:rsid w:val="00830D2C"/>
    <w:rsid w:val="008320CF"/>
    <w:rsid w:val="00832EF7"/>
    <w:rsid w:val="00845597"/>
    <w:rsid w:val="00854E1E"/>
    <w:rsid w:val="008623F0"/>
    <w:rsid w:val="00870549"/>
    <w:rsid w:val="008719CE"/>
    <w:rsid w:val="00876FDB"/>
    <w:rsid w:val="00890B1A"/>
    <w:rsid w:val="008A0C69"/>
    <w:rsid w:val="008A5A8E"/>
    <w:rsid w:val="008A60D7"/>
    <w:rsid w:val="008A67E7"/>
    <w:rsid w:val="008A7CCC"/>
    <w:rsid w:val="008A7ECA"/>
    <w:rsid w:val="008B1DE6"/>
    <w:rsid w:val="008C25A2"/>
    <w:rsid w:val="008C2D41"/>
    <w:rsid w:val="008C36CA"/>
    <w:rsid w:val="008C673C"/>
    <w:rsid w:val="008C6A02"/>
    <w:rsid w:val="008D08C2"/>
    <w:rsid w:val="008D563A"/>
    <w:rsid w:val="008D5DDA"/>
    <w:rsid w:val="008D6FEA"/>
    <w:rsid w:val="008E5641"/>
    <w:rsid w:val="008E794C"/>
    <w:rsid w:val="0090071B"/>
    <w:rsid w:val="00901536"/>
    <w:rsid w:val="00904C23"/>
    <w:rsid w:val="009335F4"/>
    <w:rsid w:val="00940DEB"/>
    <w:rsid w:val="009453B4"/>
    <w:rsid w:val="00946C6E"/>
    <w:rsid w:val="0095096E"/>
    <w:rsid w:val="00952F7D"/>
    <w:rsid w:val="00966016"/>
    <w:rsid w:val="00970EB2"/>
    <w:rsid w:val="009712EA"/>
    <w:rsid w:val="009731BD"/>
    <w:rsid w:val="00973F8A"/>
    <w:rsid w:val="00990DBB"/>
    <w:rsid w:val="00991C1B"/>
    <w:rsid w:val="00994A52"/>
    <w:rsid w:val="009A0302"/>
    <w:rsid w:val="009A7AEA"/>
    <w:rsid w:val="009B12C4"/>
    <w:rsid w:val="009B3F09"/>
    <w:rsid w:val="009C05CF"/>
    <w:rsid w:val="009C51EE"/>
    <w:rsid w:val="009C7835"/>
    <w:rsid w:val="009D07BD"/>
    <w:rsid w:val="009E1C50"/>
    <w:rsid w:val="009E2DE3"/>
    <w:rsid w:val="009E6611"/>
    <w:rsid w:val="009F0AFA"/>
    <w:rsid w:val="009F52B3"/>
    <w:rsid w:val="009F7548"/>
    <w:rsid w:val="009F793C"/>
    <w:rsid w:val="00A006FA"/>
    <w:rsid w:val="00A01B2D"/>
    <w:rsid w:val="00A01FA3"/>
    <w:rsid w:val="00A03239"/>
    <w:rsid w:val="00A03D9D"/>
    <w:rsid w:val="00A1216A"/>
    <w:rsid w:val="00A12A80"/>
    <w:rsid w:val="00A14BD3"/>
    <w:rsid w:val="00A15EA3"/>
    <w:rsid w:val="00A258F4"/>
    <w:rsid w:val="00A33C72"/>
    <w:rsid w:val="00A418DA"/>
    <w:rsid w:val="00A44206"/>
    <w:rsid w:val="00A47B3E"/>
    <w:rsid w:val="00A52B54"/>
    <w:rsid w:val="00A60C84"/>
    <w:rsid w:val="00A616F9"/>
    <w:rsid w:val="00A64F39"/>
    <w:rsid w:val="00A82FCB"/>
    <w:rsid w:val="00A87EFA"/>
    <w:rsid w:val="00A91017"/>
    <w:rsid w:val="00A95627"/>
    <w:rsid w:val="00A97805"/>
    <w:rsid w:val="00AB0473"/>
    <w:rsid w:val="00AB0573"/>
    <w:rsid w:val="00AC0EE3"/>
    <w:rsid w:val="00AD41A6"/>
    <w:rsid w:val="00AE0DF8"/>
    <w:rsid w:val="00AE45BB"/>
    <w:rsid w:val="00AF05E5"/>
    <w:rsid w:val="00B0131F"/>
    <w:rsid w:val="00B021C7"/>
    <w:rsid w:val="00B05D89"/>
    <w:rsid w:val="00B1626E"/>
    <w:rsid w:val="00B24A1E"/>
    <w:rsid w:val="00B336D9"/>
    <w:rsid w:val="00B34C2C"/>
    <w:rsid w:val="00B3601D"/>
    <w:rsid w:val="00B37686"/>
    <w:rsid w:val="00B40726"/>
    <w:rsid w:val="00B4556E"/>
    <w:rsid w:val="00B507CB"/>
    <w:rsid w:val="00B53181"/>
    <w:rsid w:val="00B56D48"/>
    <w:rsid w:val="00B668FA"/>
    <w:rsid w:val="00B6784A"/>
    <w:rsid w:val="00B805B2"/>
    <w:rsid w:val="00B844E2"/>
    <w:rsid w:val="00B9545D"/>
    <w:rsid w:val="00B95744"/>
    <w:rsid w:val="00BA4B01"/>
    <w:rsid w:val="00BA5EC3"/>
    <w:rsid w:val="00BA7FFE"/>
    <w:rsid w:val="00BB7BBA"/>
    <w:rsid w:val="00BC290B"/>
    <w:rsid w:val="00BC3144"/>
    <w:rsid w:val="00BC6547"/>
    <w:rsid w:val="00BC7E1A"/>
    <w:rsid w:val="00BD03DC"/>
    <w:rsid w:val="00BD2285"/>
    <w:rsid w:val="00BD251A"/>
    <w:rsid w:val="00BD2A4B"/>
    <w:rsid w:val="00BD6EDB"/>
    <w:rsid w:val="00BE2E9B"/>
    <w:rsid w:val="00BF021B"/>
    <w:rsid w:val="00C01E51"/>
    <w:rsid w:val="00C064CA"/>
    <w:rsid w:val="00C07BDA"/>
    <w:rsid w:val="00C16913"/>
    <w:rsid w:val="00C2505C"/>
    <w:rsid w:val="00C34D0A"/>
    <w:rsid w:val="00C426BD"/>
    <w:rsid w:val="00C428C8"/>
    <w:rsid w:val="00C46689"/>
    <w:rsid w:val="00C61BAA"/>
    <w:rsid w:val="00C83B07"/>
    <w:rsid w:val="00C866FD"/>
    <w:rsid w:val="00C878B1"/>
    <w:rsid w:val="00C91086"/>
    <w:rsid w:val="00C968EA"/>
    <w:rsid w:val="00C97142"/>
    <w:rsid w:val="00CA7663"/>
    <w:rsid w:val="00CB5925"/>
    <w:rsid w:val="00CC2990"/>
    <w:rsid w:val="00CC779F"/>
    <w:rsid w:val="00CD4991"/>
    <w:rsid w:val="00CE1281"/>
    <w:rsid w:val="00CE2A0C"/>
    <w:rsid w:val="00CE3499"/>
    <w:rsid w:val="00CE745B"/>
    <w:rsid w:val="00CF09B4"/>
    <w:rsid w:val="00D02A09"/>
    <w:rsid w:val="00D02AD3"/>
    <w:rsid w:val="00D02BC5"/>
    <w:rsid w:val="00D129E7"/>
    <w:rsid w:val="00D15384"/>
    <w:rsid w:val="00D16F15"/>
    <w:rsid w:val="00D2025E"/>
    <w:rsid w:val="00D259D7"/>
    <w:rsid w:val="00D25C7E"/>
    <w:rsid w:val="00D27DEC"/>
    <w:rsid w:val="00D337A2"/>
    <w:rsid w:val="00D351E9"/>
    <w:rsid w:val="00D35ACB"/>
    <w:rsid w:val="00D36753"/>
    <w:rsid w:val="00D379B5"/>
    <w:rsid w:val="00D4780E"/>
    <w:rsid w:val="00D526EA"/>
    <w:rsid w:val="00D63477"/>
    <w:rsid w:val="00D641E0"/>
    <w:rsid w:val="00D71C04"/>
    <w:rsid w:val="00D724E9"/>
    <w:rsid w:val="00D725FE"/>
    <w:rsid w:val="00D74EA9"/>
    <w:rsid w:val="00D82961"/>
    <w:rsid w:val="00D84710"/>
    <w:rsid w:val="00D8743F"/>
    <w:rsid w:val="00DA49A2"/>
    <w:rsid w:val="00DB46A1"/>
    <w:rsid w:val="00DC37FB"/>
    <w:rsid w:val="00DC4F88"/>
    <w:rsid w:val="00DC56BA"/>
    <w:rsid w:val="00DD1E9F"/>
    <w:rsid w:val="00DE2822"/>
    <w:rsid w:val="00DE3D01"/>
    <w:rsid w:val="00DE7D8E"/>
    <w:rsid w:val="00DE7DCC"/>
    <w:rsid w:val="00DF169A"/>
    <w:rsid w:val="00E00830"/>
    <w:rsid w:val="00E0339E"/>
    <w:rsid w:val="00E041E7"/>
    <w:rsid w:val="00E12BFD"/>
    <w:rsid w:val="00E14938"/>
    <w:rsid w:val="00E25193"/>
    <w:rsid w:val="00E3227E"/>
    <w:rsid w:val="00E41AC9"/>
    <w:rsid w:val="00E42C6A"/>
    <w:rsid w:val="00E43AAA"/>
    <w:rsid w:val="00E57239"/>
    <w:rsid w:val="00E714E6"/>
    <w:rsid w:val="00E716CB"/>
    <w:rsid w:val="00E83B48"/>
    <w:rsid w:val="00E90D74"/>
    <w:rsid w:val="00E931F2"/>
    <w:rsid w:val="00E9321A"/>
    <w:rsid w:val="00E96298"/>
    <w:rsid w:val="00EA68ED"/>
    <w:rsid w:val="00EB2C62"/>
    <w:rsid w:val="00EB6BFB"/>
    <w:rsid w:val="00ED57D6"/>
    <w:rsid w:val="00EE5022"/>
    <w:rsid w:val="00EE5F83"/>
    <w:rsid w:val="00EF1471"/>
    <w:rsid w:val="00EF4B17"/>
    <w:rsid w:val="00EF6829"/>
    <w:rsid w:val="00EF6961"/>
    <w:rsid w:val="00F02ADE"/>
    <w:rsid w:val="00F066CB"/>
    <w:rsid w:val="00F07336"/>
    <w:rsid w:val="00F075C0"/>
    <w:rsid w:val="00F10AFD"/>
    <w:rsid w:val="00F26C63"/>
    <w:rsid w:val="00F26F4A"/>
    <w:rsid w:val="00F30B6A"/>
    <w:rsid w:val="00F332EC"/>
    <w:rsid w:val="00F33FA1"/>
    <w:rsid w:val="00F344E1"/>
    <w:rsid w:val="00F34DFD"/>
    <w:rsid w:val="00F4453B"/>
    <w:rsid w:val="00F5343E"/>
    <w:rsid w:val="00F54F88"/>
    <w:rsid w:val="00F64DE4"/>
    <w:rsid w:val="00F67D33"/>
    <w:rsid w:val="00F719CD"/>
    <w:rsid w:val="00F75368"/>
    <w:rsid w:val="00F929D9"/>
    <w:rsid w:val="00FA44B6"/>
    <w:rsid w:val="00FB0374"/>
    <w:rsid w:val="00FB2C3F"/>
    <w:rsid w:val="00FB570F"/>
    <w:rsid w:val="00FC0B12"/>
    <w:rsid w:val="00FD1E14"/>
    <w:rsid w:val="00FD3561"/>
    <w:rsid w:val="00FD5E42"/>
    <w:rsid w:val="00FD7434"/>
    <w:rsid w:val="00FE3B53"/>
    <w:rsid w:val="00FE5367"/>
    <w:rsid w:val="00FE58F3"/>
    <w:rsid w:val="00FE641F"/>
    <w:rsid w:val="00FE714D"/>
    <w:rsid w:val="00FF492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64DE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F64DE4"/>
    <w:rPr>
      <w:color w:val="0000FF"/>
      <w:u w:val="single"/>
    </w:rPr>
  </w:style>
  <w:style w:type="paragraph" w:styleId="ParastaisWeb">
    <w:name w:val="Normal (Web)"/>
    <w:basedOn w:val="Parastais"/>
    <w:uiPriority w:val="99"/>
    <w:unhideWhenUsed/>
    <w:rsid w:val="00F64DE4"/>
    <w:pPr>
      <w:spacing w:before="100" w:beforeAutospacing="1" w:after="100" w:afterAutospacing="1"/>
    </w:pPr>
  </w:style>
  <w:style w:type="paragraph" w:styleId="Komentrateksts">
    <w:name w:val="annotation text"/>
    <w:basedOn w:val="Parastais"/>
    <w:link w:val="KomentratekstsRakstz"/>
    <w:unhideWhenUsed/>
    <w:rsid w:val="00F64DE4"/>
    <w:rPr>
      <w:sz w:val="20"/>
      <w:szCs w:val="20"/>
    </w:rPr>
  </w:style>
  <w:style w:type="character" w:customStyle="1" w:styleId="KomentratekstsRakstz">
    <w:name w:val="Komentāra teksts Rakstz."/>
    <w:basedOn w:val="Noklusjumarindkopasfonts"/>
    <w:link w:val="Komentrateksts"/>
    <w:rsid w:val="00F64DE4"/>
    <w:rPr>
      <w:rFonts w:ascii="Times New Roman" w:eastAsia="Times New Roman" w:hAnsi="Times New Roman" w:cs="Times New Roman"/>
      <w:sz w:val="20"/>
      <w:szCs w:val="20"/>
      <w:lang w:eastAsia="lv-LV"/>
    </w:rPr>
  </w:style>
  <w:style w:type="paragraph" w:styleId="Galvene">
    <w:name w:val="header"/>
    <w:basedOn w:val="Parastais"/>
    <w:link w:val="GalveneRakstz"/>
    <w:uiPriority w:val="99"/>
    <w:unhideWhenUsed/>
    <w:rsid w:val="00F64DE4"/>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F64DE4"/>
    <w:rPr>
      <w:rFonts w:ascii="Times New Roman" w:eastAsia="Times New Roman" w:hAnsi="Times New Roman" w:cs="Times New Roman"/>
      <w:sz w:val="28"/>
      <w:szCs w:val="20"/>
    </w:rPr>
  </w:style>
  <w:style w:type="paragraph" w:styleId="Kjene">
    <w:name w:val="footer"/>
    <w:basedOn w:val="Parastais"/>
    <w:link w:val="KjeneRakstz"/>
    <w:uiPriority w:val="99"/>
    <w:unhideWhenUsed/>
    <w:rsid w:val="00F64DE4"/>
    <w:pPr>
      <w:tabs>
        <w:tab w:val="center" w:pos="4153"/>
        <w:tab w:val="right" w:pos="8306"/>
      </w:tabs>
    </w:pPr>
  </w:style>
  <w:style w:type="character" w:customStyle="1" w:styleId="KjeneRakstz">
    <w:name w:val="Kājene Rakstz."/>
    <w:basedOn w:val="Noklusjumarindkopasfonts"/>
    <w:link w:val="Kjene"/>
    <w:uiPriority w:val="99"/>
    <w:rsid w:val="00F64DE4"/>
    <w:rPr>
      <w:rFonts w:ascii="Times New Roman" w:eastAsia="Times New Roman" w:hAnsi="Times New Roman" w:cs="Times New Roman"/>
      <w:sz w:val="24"/>
      <w:szCs w:val="24"/>
      <w:lang w:eastAsia="lv-LV"/>
    </w:rPr>
  </w:style>
  <w:style w:type="paragraph" w:styleId="Bezatstarpm">
    <w:name w:val="No Spacing"/>
    <w:uiPriority w:val="1"/>
    <w:qFormat/>
    <w:rsid w:val="00F64DE4"/>
    <w:pPr>
      <w:spacing w:after="0" w:line="240" w:lineRule="auto"/>
    </w:pPr>
    <w:rPr>
      <w:rFonts w:ascii="Calibri" w:eastAsia="Calibri" w:hAnsi="Calibri" w:cs="Times New Roman"/>
    </w:rPr>
  </w:style>
  <w:style w:type="paragraph" w:styleId="Sarakstarindkopa">
    <w:name w:val="List Paragraph"/>
    <w:aliases w:val="Colorful List - Accent 12,Akapit z listą BS"/>
    <w:basedOn w:val="Parastais"/>
    <w:link w:val="SarakstarindkopaRakstz"/>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Parastais"/>
    <w:uiPriority w:val="99"/>
    <w:rsid w:val="00F64DE4"/>
    <w:pPr>
      <w:spacing w:before="75" w:after="75"/>
      <w:ind w:firstLine="375"/>
      <w:jc w:val="both"/>
    </w:pPr>
  </w:style>
  <w:style w:type="paragraph" w:customStyle="1" w:styleId="naisnod">
    <w:name w:val="naisnod"/>
    <w:basedOn w:val="Parastais"/>
    <w:uiPriority w:val="99"/>
    <w:rsid w:val="00F64DE4"/>
    <w:pPr>
      <w:spacing w:before="150" w:after="150"/>
      <w:jc w:val="center"/>
    </w:pPr>
    <w:rPr>
      <w:b/>
      <w:bCs/>
    </w:rPr>
  </w:style>
  <w:style w:type="paragraph" w:customStyle="1" w:styleId="naiskr">
    <w:name w:val="naiskr"/>
    <w:basedOn w:val="Parastais"/>
    <w:uiPriority w:val="99"/>
    <w:rsid w:val="00F64DE4"/>
    <w:pPr>
      <w:spacing w:before="75" w:after="75"/>
    </w:pPr>
  </w:style>
  <w:style w:type="paragraph" w:customStyle="1" w:styleId="naisc">
    <w:name w:val="naisc"/>
    <w:basedOn w:val="Parastais"/>
    <w:rsid w:val="00F64DE4"/>
    <w:pPr>
      <w:spacing w:before="75" w:after="75"/>
      <w:jc w:val="center"/>
    </w:pPr>
  </w:style>
  <w:style w:type="paragraph" w:styleId="Balonteksts">
    <w:name w:val="Balloon Text"/>
    <w:basedOn w:val="Parastais"/>
    <w:link w:val="BalontekstsRakstz"/>
    <w:uiPriority w:val="99"/>
    <w:semiHidden/>
    <w:unhideWhenUsed/>
    <w:rsid w:val="00F64DE4"/>
    <w:pPr>
      <w:widowControl w:val="0"/>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F64DE4"/>
    <w:rPr>
      <w:rFonts w:ascii="Tahoma" w:eastAsia="Calibri" w:hAnsi="Tahoma" w:cs="Tahoma"/>
      <w:sz w:val="16"/>
      <w:szCs w:val="16"/>
      <w:lang w:val="en-US"/>
    </w:rPr>
  </w:style>
  <w:style w:type="paragraph" w:customStyle="1" w:styleId="Paraststmeklis">
    <w:name w:val="Parasts (tīmeklis)"/>
    <w:basedOn w:val="Parastais"/>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qFormat/>
    <w:rsid w:val="00025346"/>
    <w:rPr>
      <w:vertAlign w:val="superscript"/>
    </w:rPr>
  </w:style>
  <w:style w:type="paragraph" w:customStyle="1" w:styleId="CharCharCharChar">
    <w:name w:val="Char Char Char Char"/>
    <w:aliases w:val="Char2"/>
    <w:basedOn w:val="Parastais"/>
    <w:next w:val="Parastais"/>
    <w:link w:val="Vresatsauce"/>
    <w:uiPriority w:val="99"/>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rsid w:val="00025346"/>
    <w:rPr>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025346"/>
    <w:rPr>
      <w:rFonts w:ascii="Times New Roman" w:eastAsia="Times New Roman" w:hAnsi="Times New Roman" w:cs="Times New Roman"/>
      <w:sz w:val="20"/>
      <w:szCs w:val="20"/>
      <w:lang w:val="en-AU" w:eastAsia="lv-LV"/>
    </w:rPr>
  </w:style>
  <w:style w:type="paragraph" w:customStyle="1" w:styleId="tv2132">
    <w:name w:val="tv2132"/>
    <w:basedOn w:val="Parastais"/>
    <w:rsid w:val="00720BC3"/>
    <w:pPr>
      <w:spacing w:line="360" w:lineRule="auto"/>
      <w:ind w:firstLine="272"/>
    </w:pPr>
    <w:rPr>
      <w:color w:val="414142"/>
      <w:sz w:val="18"/>
      <w:szCs w:val="18"/>
    </w:rPr>
  </w:style>
  <w:style w:type="paragraph" w:customStyle="1" w:styleId="thr">
    <w:name w:val="thr"/>
    <w:basedOn w:val="Parastais"/>
    <w:uiPriority w:val="99"/>
    <w:rsid w:val="00720BC3"/>
    <w:pPr>
      <w:spacing w:before="100" w:beforeAutospacing="1" w:after="100" w:afterAutospacing="1"/>
      <w:jc w:val="right"/>
    </w:pPr>
  </w:style>
  <w:style w:type="character" w:styleId="Komentraatsauce">
    <w:name w:val="annotation reference"/>
    <w:basedOn w:val="Noklusjumarindkopasfonts"/>
    <w:uiPriority w:val="99"/>
    <w:semiHidden/>
    <w:unhideWhenUsed/>
    <w:rsid w:val="00371DF2"/>
    <w:rPr>
      <w:sz w:val="16"/>
      <w:szCs w:val="16"/>
    </w:rPr>
  </w:style>
  <w:style w:type="paragraph" w:styleId="Komentratma">
    <w:name w:val="annotation subject"/>
    <w:basedOn w:val="Komentrateksts"/>
    <w:next w:val="Komentrateksts"/>
    <w:link w:val="KomentratmaRakstz"/>
    <w:uiPriority w:val="99"/>
    <w:semiHidden/>
    <w:unhideWhenUsed/>
    <w:rsid w:val="00371DF2"/>
    <w:rPr>
      <w:b/>
      <w:bCs/>
    </w:rPr>
  </w:style>
  <w:style w:type="character" w:customStyle="1" w:styleId="KomentratmaRakstz">
    <w:name w:val="Komentāra tēma Rakstz."/>
    <w:basedOn w:val="KomentratekstsRakstz"/>
    <w:link w:val="Komentratma"/>
    <w:uiPriority w:val="99"/>
    <w:semiHidden/>
    <w:rsid w:val="00371DF2"/>
    <w:rPr>
      <w:rFonts w:ascii="Times New Roman" w:eastAsia="Times New Roman" w:hAnsi="Times New Roman" w:cs="Times New Roman"/>
      <w:b/>
      <w:bCs/>
      <w:sz w:val="20"/>
      <w:szCs w:val="20"/>
      <w:lang w:eastAsia="lv-LV"/>
    </w:rPr>
  </w:style>
  <w:style w:type="paragraph" w:styleId="Prskatjums">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ais"/>
    <w:link w:val="PamattekstsRakstz"/>
    <w:uiPriority w:val="99"/>
    <w:unhideWhenUsed/>
    <w:rsid w:val="00D379B5"/>
    <w:pPr>
      <w:spacing w:after="120"/>
    </w:pPr>
  </w:style>
  <w:style w:type="character" w:customStyle="1" w:styleId="PamattekstsRakstz">
    <w:name w:val="Pamatteksts Rakstz."/>
    <w:basedOn w:val="Noklusjumarindkopasfonts"/>
    <w:link w:val="Pamatteksts"/>
    <w:uiPriority w:val="99"/>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Noklusjumarindkopasfonts"/>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Parastais"/>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SarakstarindkopaRakstz">
    <w:name w:val="Saraksta rindkopa Rakstz."/>
    <w:aliases w:val="Colorful List - Accent 12 Rakstz.,Akapit z listą BS Rakstz."/>
    <w:link w:val="Sarakstarindkopa"/>
    <w:uiPriority w:val="34"/>
    <w:rsid w:val="000D049A"/>
    <w:rPr>
      <w:rFonts w:ascii="Calibri" w:eastAsia="Calibri" w:hAnsi="Calibri" w:cs="Times New Roman"/>
    </w:rPr>
  </w:style>
  <w:style w:type="paragraph" w:customStyle="1" w:styleId="VPBody">
    <w:name w:val="VP Body"/>
    <w:basedOn w:val="Parastais"/>
    <w:qFormat/>
    <w:rsid w:val="00102004"/>
    <w:pPr>
      <w:tabs>
        <w:tab w:val="left" w:pos="0"/>
      </w:tabs>
      <w:spacing w:before="80" w:after="80"/>
      <w:jc w:val="both"/>
    </w:pPr>
    <w:rPr>
      <w:rFonts w:eastAsiaTheme="minorHAnsi"/>
      <w:bCs/>
      <w:szCs w:val="22"/>
      <w:lang w:eastAsia="en-US"/>
    </w:rPr>
  </w:style>
  <w:style w:type="paragraph" w:customStyle="1" w:styleId="VPBullet1">
    <w:name w:val="VP Bullet 1"/>
    <w:basedOn w:val="VPBody"/>
    <w:qFormat/>
    <w:rsid w:val="00134957"/>
    <w:pPr>
      <w:numPr>
        <w:numId w:val="24"/>
      </w:numPr>
      <w:spacing w:before="120"/>
    </w:pPr>
  </w:style>
</w:styles>
</file>

<file path=word/webSettings.xml><?xml version="1.0" encoding="utf-8"?>
<w:webSettings xmlns:r="http://schemas.openxmlformats.org/officeDocument/2006/relationships" xmlns:w="http://schemas.openxmlformats.org/wordprocessingml/2006/main">
  <w:divs>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833641093">
      <w:bodyDiv w:val="1"/>
      <w:marLeft w:val="0"/>
      <w:marRight w:val="0"/>
      <w:marTop w:val="0"/>
      <w:marBottom w:val="0"/>
      <w:divBdr>
        <w:top w:val="none" w:sz="0" w:space="0" w:color="auto"/>
        <w:left w:val="none" w:sz="0" w:space="0" w:color="auto"/>
        <w:bottom w:val="none" w:sz="0" w:space="0" w:color="auto"/>
        <w:right w:val="none" w:sz="0" w:space="0" w:color="auto"/>
      </w:divBdr>
    </w:div>
    <w:div w:id="910043561">
      <w:bodyDiv w:val="1"/>
      <w:marLeft w:val="0"/>
      <w:marRight w:val="0"/>
      <w:marTop w:val="0"/>
      <w:marBottom w:val="0"/>
      <w:divBdr>
        <w:top w:val="none" w:sz="0" w:space="0" w:color="auto"/>
        <w:left w:val="none" w:sz="0" w:space="0" w:color="auto"/>
        <w:bottom w:val="none" w:sz="0" w:space="0" w:color="auto"/>
        <w:right w:val="none" w:sz="0" w:space="0" w:color="auto"/>
      </w:divBdr>
      <w:divsChild>
        <w:div w:id="1134717564">
          <w:marLeft w:val="0"/>
          <w:marRight w:val="0"/>
          <w:marTop w:val="0"/>
          <w:marBottom w:val="0"/>
          <w:divBdr>
            <w:top w:val="none" w:sz="0" w:space="0" w:color="auto"/>
            <w:left w:val="none" w:sz="0" w:space="0" w:color="auto"/>
            <w:bottom w:val="none" w:sz="0" w:space="0" w:color="auto"/>
            <w:right w:val="none" w:sz="0" w:space="0" w:color="auto"/>
          </w:divBdr>
          <w:divsChild>
            <w:div w:id="354035977">
              <w:marLeft w:val="0"/>
              <w:marRight w:val="0"/>
              <w:marTop w:val="0"/>
              <w:marBottom w:val="0"/>
              <w:divBdr>
                <w:top w:val="none" w:sz="0" w:space="0" w:color="auto"/>
                <w:left w:val="none" w:sz="0" w:space="0" w:color="auto"/>
                <w:bottom w:val="none" w:sz="0" w:space="0" w:color="auto"/>
                <w:right w:val="none" w:sz="0" w:space="0" w:color="auto"/>
              </w:divBdr>
              <w:divsChild>
                <w:div w:id="578709255">
                  <w:marLeft w:val="0"/>
                  <w:marRight w:val="0"/>
                  <w:marTop w:val="0"/>
                  <w:marBottom w:val="0"/>
                  <w:divBdr>
                    <w:top w:val="none" w:sz="0" w:space="0" w:color="auto"/>
                    <w:left w:val="none" w:sz="0" w:space="0" w:color="auto"/>
                    <w:bottom w:val="none" w:sz="0" w:space="0" w:color="auto"/>
                    <w:right w:val="none" w:sz="0" w:space="0" w:color="auto"/>
                  </w:divBdr>
                  <w:divsChild>
                    <w:div w:id="608243040">
                      <w:marLeft w:val="0"/>
                      <w:marRight w:val="0"/>
                      <w:marTop w:val="0"/>
                      <w:marBottom w:val="0"/>
                      <w:divBdr>
                        <w:top w:val="none" w:sz="0" w:space="0" w:color="auto"/>
                        <w:left w:val="none" w:sz="0" w:space="0" w:color="auto"/>
                        <w:bottom w:val="none" w:sz="0" w:space="0" w:color="auto"/>
                        <w:right w:val="none" w:sz="0" w:space="0" w:color="auto"/>
                      </w:divBdr>
                      <w:divsChild>
                        <w:div w:id="1547837700">
                          <w:marLeft w:val="0"/>
                          <w:marRight w:val="0"/>
                          <w:marTop w:val="0"/>
                          <w:marBottom w:val="0"/>
                          <w:divBdr>
                            <w:top w:val="none" w:sz="0" w:space="0" w:color="auto"/>
                            <w:left w:val="none" w:sz="0" w:space="0" w:color="auto"/>
                            <w:bottom w:val="none" w:sz="0" w:space="0" w:color="auto"/>
                            <w:right w:val="none" w:sz="0" w:space="0" w:color="auto"/>
                          </w:divBdr>
                          <w:divsChild>
                            <w:div w:id="18497072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556080">
      <w:bodyDiv w:val="1"/>
      <w:marLeft w:val="0"/>
      <w:marRight w:val="0"/>
      <w:marTop w:val="0"/>
      <w:marBottom w:val="0"/>
      <w:divBdr>
        <w:top w:val="none" w:sz="0" w:space="0" w:color="auto"/>
        <w:left w:val="none" w:sz="0" w:space="0" w:color="auto"/>
        <w:bottom w:val="none" w:sz="0" w:space="0" w:color="auto"/>
        <w:right w:val="none" w:sz="0" w:space="0" w:color="auto"/>
      </w:divBdr>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502964920">
      <w:bodyDiv w:val="1"/>
      <w:marLeft w:val="0"/>
      <w:marRight w:val="0"/>
      <w:marTop w:val="0"/>
      <w:marBottom w:val="0"/>
      <w:divBdr>
        <w:top w:val="none" w:sz="0" w:space="0" w:color="auto"/>
        <w:left w:val="none" w:sz="0" w:space="0" w:color="auto"/>
        <w:bottom w:val="none" w:sz="0" w:space="0" w:color="auto"/>
        <w:right w:val="none" w:sz="0" w:space="0" w:color="auto"/>
      </w:divBdr>
      <w:divsChild>
        <w:div w:id="1478306591">
          <w:marLeft w:val="0"/>
          <w:marRight w:val="0"/>
          <w:marTop w:val="0"/>
          <w:marBottom w:val="0"/>
          <w:divBdr>
            <w:top w:val="none" w:sz="0" w:space="0" w:color="auto"/>
            <w:left w:val="none" w:sz="0" w:space="0" w:color="auto"/>
            <w:bottom w:val="none" w:sz="0" w:space="0" w:color="auto"/>
            <w:right w:val="none" w:sz="0" w:space="0" w:color="auto"/>
          </w:divBdr>
          <w:divsChild>
            <w:div w:id="1616868155">
              <w:marLeft w:val="0"/>
              <w:marRight w:val="0"/>
              <w:marTop w:val="0"/>
              <w:marBottom w:val="0"/>
              <w:divBdr>
                <w:top w:val="none" w:sz="0" w:space="0" w:color="auto"/>
                <w:left w:val="none" w:sz="0" w:space="0" w:color="auto"/>
                <w:bottom w:val="none" w:sz="0" w:space="0" w:color="auto"/>
                <w:right w:val="none" w:sz="0" w:space="0" w:color="auto"/>
              </w:divBdr>
              <w:divsChild>
                <w:div w:id="63377471">
                  <w:marLeft w:val="0"/>
                  <w:marRight w:val="0"/>
                  <w:marTop w:val="0"/>
                  <w:marBottom w:val="0"/>
                  <w:divBdr>
                    <w:top w:val="none" w:sz="0" w:space="0" w:color="auto"/>
                    <w:left w:val="none" w:sz="0" w:space="0" w:color="auto"/>
                    <w:bottom w:val="none" w:sz="0" w:space="0" w:color="auto"/>
                    <w:right w:val="none" w:sz="0" w:space="0" w:color="auto"/>
                  </w:divBdr>
                  <w:divsChild>
                    <w:div w:id="1743137044">
                      <w:marLeft w:val="0"/>
                      <w:marRight w:val="0"/>
                      <w:marTop w:val="0"/>
                      <w:marBottom w:val="0"/>
                      <w:divBdr>
                        <w:top w:val="none" w:sz="0" w:space="0" w:color="auto"/>
                        <w:left w:val="none" w:sz="0" w:space="0" w:color="auto"/>
                        <w:bottom w:val="none" w:sz="0" w:space="0" w:color="auto"/>
                        <w:right w:val="none" w:sz="0" w:space="0" w:color="auto"/>
                      </w:divBdr>
                      <w:divsChild>
                        <w:div w:id="1708748764">
                          <w:marLeft w:val="0"/>
                          <w:marRight w:val="0"/>
                          <w:marTop w:val="0"/>
                          <w:marBottom w:val="0"/>
                          <w:divBdr>
                            <w:top w:val="none" w:sz="0" w:space="0" w:color="auto"/>
                            <w:left w:val="none" w:sz="0" w:space="0" w:color="auto"/>
                            <w:bottom w:val="none" w:sz="0" w:space="0" w:color="auto"/>
                            <w:right w:val="none" w:sz="0" w:space="0" w:color="auto"/>
                          </w:divBdr>
                          <w:divsChild>
                            <w:div w:id="1613630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976259">
      <w:bodyDiv w:val="1"/>
      <w:marLeft w:val="0"/>
      <w:marRight w:val="0"/>
      <w:marTop w:val="0"/>
      <w:marBottom w:val="0"/>
      <w:divBdr>
        <w:top w:val="none" w:sz="0" w:space="0" w:color="auto"/>
        <w:left w:val="none" w:sz="0" w:space="0" w:color="auto"/>
        <w:bottom w:val="none" w:sz="0" w:space="0" w:color="auto"/>
        <w:right w:val="none" w:sz="0" w:space="0" w:color="auto"/>
      </w:divBdr>
    </w:div>
    <w:div w:id="1906185886">
      <w:bodyDiv w:val="1"/>
      <w:marLeft w:val="0"/>
      <w:marRight w:val="0"/>
      <w:marTop w:val="0"/>
      <w:marBottom w:val="0"/>
      <w:divBdr>
        <w:top w:val="none" w:sz="0" w:space="0" w:color="auto"/>
        <w:left w:val="none" w:sz="0" w:space="0" w:color="auto"/>
        <w:bottom w:val="none" w:sz="0" w:space="0" w:color="auto"/>
        <w:right w:val="none" w:sz="0" w:space="0" w:color="auto"/>
      </w:divBdr>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 w:id="197810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7825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ina.bandere@lnb.lv" TargetMode="External"/><Relationship Id="rId4" Type="http://schemas.openxmlformats.org/officeDocument/2006/relationships/settings" Target="settings.xml"/><Relationship Id="rId9" Type="http://schemas.openxmlformats.org/officeDocument/2006/relationships/hyperlink" Target="https://likumi.lv/ta/id/281110-darbibas-programmas-izaugsme-un-nodarbinatiba-2-2-1-specifiska-atbalsta-merka-nodrosinat-publisko-datu-atkalizmantosanas"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2A9FD-D36F-463C-A90E-F9A44326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11</Pages>
  <Words>11507</Words>
  <Characters>6559</Characters>
  <Application>Microsoft Office Word</Application>
  <DocSecurity>0</DocSecurity>
  <Lines>54</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„Par informācijas sabiedrības attīstības pamatnostādņu ieviešanu publiskās pārvaldes informācijas sistēmu jomā (mērķarhitektūras 53.0.versija, Kultūras mantojuma satura digitalizācija (2.kārta))</dc:title>
  <dc:subject>Izziņa</dc:subject>
  <dc:creator>Karīna Bandere</dc:creator>
  <cp:keywords>KMIzz_080519_LNB_digit_ieklausana</cp:keywords>
  <dc:description>Bandere 67716006 
karina.bandere@lnb.lv</dc:description>
  <cp:lastModifiedBy>Dzintra Rozīte</cp:lastModifiedBy>
  <cp:revision>46</cp:revision>
  <cp:lastPrinted>2018-03-05T07:30:00Z</cp:lastPrinted>
  <dcterms:created xsi:type="dcterms:W3CDTF">2019-04-18T05:20:00Z</dcterms:created>
  <dcterms:modified xsi:type="dcterms:W3CDTF">2019-05-09T06:06:00Z</dcterms:modified>
</cp:coreProperties>
</file>