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BC81E" w14:textId="77777777" w:rsidR="00477A5B" w:rsidRDefault="00477A5B" w:rsidP="00C91CA9">
      <w:pPr>
        <w:tabs>
          <w:tab w:val="left" w:pos="6663"/>
        </w:tabs>
        <w:rPr>
          <w:sz w:val="28"/>
          <w:szCs w:val="28"/>
        </w:rPr>
      </w:pPr>
    </w:p>
    <w:p w14:paraId="5C8B3E62" w14:textId="77777777" w:rsidR="00477A5B" w:rsidRDefault="00477A5B" w:rsidP="00C91CA9">
      <w:pPr>
        <w:tabs>
          <w:tab w:val="left" w:pos="6663"/>
        </w:tabs>
        <w:rPr>
          <w:sz w:val="28"/>
          <w:szCs w:val="28"/>
        </w:rPr>
      </w:pPr>
    </w:p>
    <w:p w14:paraId="45EF6CCC" w14:textId="77777777" w:rsidR="00477A5B" w:rsidRDefault="00477A5B" w:rsidP="00C91CA9">
      <w:pPr>
        <w:tabs>
          <w:tab w:val="left" w:pos="6663"/>
        </w:tabs>
        <w:rPr>
          <w:sz w:val="28"/>
          <w:szCs w:val="28"/>
        </w:rPr>
      </w:pPr>
    </w:p>
    <w:p w14:paraId="7E8F8F09" w14:textId="26DA2BE1" w:rsidR="00477A5B" w:rsidRPr="007779EA" w:rsidRDefault="00477A5B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7779EA">
        <w:rPr>
          <w:sz w:val="28"/>
          <w:szCs w:val="28"/>
        </w:rPr>
        <w:t xml:space="preserve">. gada </w:t>
      </w:r>
      <w:r w:rsidR="005D3927">
        <w:rPr>
          <w:sz w:val="28"/>
          <w:szCs w:val="28"/>
        </w:rPr>
        <w:t>14. maijā</w:t>
      </w:r>
      <w:r w:rsidRPr="007779EA">
        <w:rPr>
          <w:sz w:val="28"/>
          <w:szCs w:val="28"/>
        </w:rPr>
        <w:tab/>
        <w:t>Noteikumi Nr.</w:t>
      </w:r>
      <w:r w:rsidR="005D3927">
        <w:rPr>
          <w:sz w:val="28"/>
          <w:szCs w:val="28"/>
        </w:rPr>
        <w:t> 196</w:t>
      </w:r>
    </w:p>
    <w:p w14:paraId="646F44AD" w14:textId="3BE77D16" w:rsidR="00477A5B" w:rsidRPr="007779EA" w:rsidRDefault="00477A5B" w:rsidP="00C91CA9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5D3927">
        <w:rPr>
          <w:sz w:val="28"/>
          <w:szCs w:val="28"/>
        </w:rPr>
        <w:t> 24 7</w:t>
      </w:r>
      <w:bookmarkStart w:id="0" w:name="_GoBack"/>
      <w:bookmarkEnd w:id="0"/>
      <w:r w:rsidRPr="007779EA">
        <w:rPr>
          <w:sz w:val="28"/>
          <w:szCs w:val="28"/>
        </w:rPr>
        <w:t>. §)</w:t>
      </w:r>
    </w:p>
    <w:p w14:paraId="72825C80" w14:textId="77777777" w:rsidR="00C90ED1" w:rsidRDefault="00C90ED1" w:rsidP="006214DC">
      <w:pPr>
        <w:jc w:val="center"/>
        <w:rPr>
          <w:b/>
          <w:bCs/>
          <w:color w:val="000000"/>
          <w:sz w:val="28"/>
          <w:szCs w:val="28"/>
        </w:rPr>
      </w:pPr>
      <w:bookmarkStart w:id="1" w:name="_Hlk490556050"/>
    </w:p>
    <w:p w14:paraId="0E23965C" w14:textId="730C6D91" w:rsidR="006214DC" w:rsidRPr="00300BD3" w:rsidRDefault="006214DC" w:rsidP="006214D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Grozījum</w:t>
      </w:r>
      <w:r w:rsidR="002D4B3C">
        <w:rPr>
          <w:b/>
          <w:bCs/>
          <w:color w:val="000000"/>
          <w:sz w:val="28"/>
          <w:szCs w:val="28"/>
        </w:rPr>
        <w:t>i</w:t>
      </w:r>
      <w:r w:rsidRPr="00300BD3">
        <w:rPr>
          <w:b/>
          <w:bCs/>
          <w:color w:val="000000"/>
          <w:sz w:val="28"/>
          <w:szCs w:val="28"/>
        </w:rPr>
        <w:t xml:space="preserve"> </w:t>
      </w:r>
      <w:r w:rsidR="00230F94" w:rsidRPr="00230F94">
        <w:rPr>
          <w:b/>
          <w:bCs/>
          <w:color w:val="000000"/>
          <w:sz w:val="28"/>
          <w:szCs w:val="28"/>
        </w:rPr>
        <w:t xml:space="preserve">Ministru kabineta </w:t>
      </w:r>
      <w:bookmarkStart w:id="2" w:name="_Hlk531685489"/>
      <w:r w:rsidR="00230F94" w:rsidRPr="00230F94">
        <w:rPr>
          <w:b/>
          <w:bCs/>
          <w:color w:val="000000"/>
          <w:sz w:val="28"/>
          <w:szCs w:val="28"/>
        </w:rPr>
        <w:t>2017.</w:t>
      </w:r>
      <w:r w:rsidR="00C91D6E">
        <w:rPr>
          <w:b/>
          <w:bCs/>
          <w:color w:val="000000"/>
          <w:sz w:val="28"/>
          <w:szCs w:val="28"/>
        </w:rPr>
        <w:t> </w:t>
      </w:r>
      <w:r w:rsidR="00230F94" w:rsidRPr="00230F94">
        <w:rPr>
          <w:b/>
          <w:bCs/>
          <w:color w:val="000000"/>
          <w:sz w:val="28"/>
          <w:szCs w:val="28"/>
        </w:rPr>
        <w:t>gada 19.</w:t>
      </w:r>
      <w:r w:rsidR="00C91D6E">
        <w:rPr>
          <w:b/>
          <w:bCs/>
          <w:color w:val="000000"/>
          <w:sz w:val="28"/>
          <w:szCs w:val="28"/>
        </w:rPr>
        <w:t> </w:t>
      </w:r>
      <w:r w:rsidR="00230F94" w:rsidRPr="00230F94">
        <w:rPr>
          <w:b/>
          <w:bCs/>
          <w:color w:val="000000"/>
          <w:sz w:val="28"/>
          <w:szCs w:val="28"/>
        </w:rPr>
        <w:t>decembra noteikumos Nr.</w:t>
      </w:r>
      <w:r w:rsidR="00C91D6E">
        <w:rPr>
          <w:b/>
          <w:bCs/>
          <w:color w:val="000000"/>
          <w:sz w:val="28"/>
          <w:szCs w:val="28"/>
        </w:rPr>
        <w:t> </w:t>
      </w:r>
      <w:r w:rsidR="00230F94" w:rsidRPr="00230F94">
        <w:rPr>
          <w:b/>
          <w:bCs/>
          <w:color w:val="000000"/>
          <w:sz w:val="28"/>
          <w:szCs w:val="28"/>
        </w:rPr>
        <w:t xml:space="preserve">769 "Tieslietu ministrijas </w:t>
      </w:r>
      <w:r w:rsidR="00C91D6E">
        <w:rPr>
          <w:b/>
          <w:bCs/>
          <w:color w:val="000000"/>
          <w:sz w:val="28"/>
          <w:szCs w:val="28"/>
        </w:rPr>
        <w:t>pamat</w:t>
      </w:r>
      <w:r w:rsidR="00230F94" w:rsidRPr="00230F94">
        <w:rPr>
          <w:b/>
          <w:bCs/>
          <w:color w:val="000000"/>
          <w:sz w:val="28"/>
          <w:szCs w:val="28"/>
        </w:rPr>
        <w:t>budžeta programmas "Noziedzīgi iegūtu līdzekļu konfiskācijas fonds" finanšu līdzekļu izmantošanas kārtība"</w:t>
      </w:r>
    </w:p>
    <w:p w14:paraId="064C04A4" w14:textId="77777777" w:rsidR="006214DC" w:rsidRPr="00F67942" w:rsidRDefault="006214DC" w:rsidP="00230F94">
      <w:pPr>
        <w:rPr>
          <w:bCs/>
          <w:color w:val="000000"/>
          <w:sz w:val="28"/>
          <w:szCs w:val="28"/>
        </w:rPr>
      </w:pPr>
    </w:p>
    <w:bookmarkEnd w:id="2"/>
    <w:p w14:paraId="2D5ACA6A" w14:textId="77777777" w:rsidR="00B069CF" w:rsidRDefault="00D17814" w:rsidP="00230F94">
      <w:pPr>
        <w:pStyle w:val="tv90087921"/>
        <w:spacing w:after="0" w:line="240" w:lineRule="auto"/>
        <w:ind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Izdoti saskaņā </w:t>
      </w:r>
      <w:r w:rsidR="00B069CF" w:rsidRPr="00B069CF">
        <w:rPr>
          <w:rFonts w:ascii="Times New Roman" w:hAnsi="Times New Roman"/>
          <w:i w:val="0"/>
          <w:sz w:val="28"/>
          <w:szCs w:val="28"/>
        </w:rPr>
        <w:t>ar</w:t>
      </w:r>
    </w:p>
    <w:p w14:paraId="0F141F40" w14:textId="77777777" w:rsidR="00230F94" w:rsidRDefault="00230F94" w:rsidP="00230F94">
      <w:pPr>
        <w:pStyle w:val="tv90087921"/>
        <w:spacing w:after="0" w:line="240" w:lineRule="auto"/>
        <w:ind w:firstLine="301"/>
        <w:rPr>
          <w:rFonts w:ascii="Times New Roman" w:hAnsi="Times New Roman"/>
          <w:i w:val="0"/>
          <w:sz w:val="28"/>
          <w:szCs w:val="28"/>
        </w:rPr>
      </w:pPr>
      <w:r w:rsidRPr="00230F94">
        <w:rPr>
          <w:rFonts w:ascii="Times New Roman" w:hAnsi="Times New Roman"/>
          <w:i w:val="0"/>
          <w:sz w:val="28"/>
          <w:szCs w:val="28"/>
        </w:rPr>
        <w:t>Noziedzīgi iegūtas mantas</w:t>
      </w:r>
    </w:p>
    <w:p w14:paraId="11FF8C75" w14:textId="3ED439CE" w:rsidR="00BE1E39" w:rsidRDefault="00230F94" w:rsidP="00230F94">
      <w:pPr>
        <w:pStyle w:val="tv90087921"/>
        <w:spacing w:after="0" w:line="240" w:lineRule="auto"/>
        <w:ind w:firstLine="301"/>
        <w:rPr>
          <w:rFonts w:ascii="Times New Roman" w:hAnsi="Times New Roman"/>
          <w:i w:val="0"/>
          <w:sz w:val="28"/>
          <w:szCs w:val="28"/>
        </w:rPr>
      </w:pPr>
      <w:r w:rsidRPr="00230F94">
        <w:rPr>
          <w:rFonts w:ascii="Times New Roman" w:hAnsi="Times New Roman"/>
          <w:i w:val="0"/>
          <w:sz w:val="28"/>
          <w:szCs w:val="28"/>
        </w:rPr>
        <w:t>konfiskācijas izpildes likuma 45.</w:t>
      </w:r>
      <w:r w:rsidR="00C91D6E">
        <w:rPr>
          <w:rFonts w:ascii="Times New Roman" w:hAnsi="Times New Roman"/>
          <w:i w:val="0"/>
          <w:sz w:val="28"/>
          <w:szCs w:val="28"/>
        </w:rPr>
        <w:t> </w:t>
      </w:r>
      <w:r w:rsidRPr="00230F94">
        <w:rPr>
          <w:rFonts w:ascii="Times New Roman" w:hAnsi="Times New Roman"/>
          <w:i w:val="0"/>
          <w:sz w:val="28"/>
          <w:szCs w:val="28"/>
        </w:rPr>
        <w:t>pantu</w:t>
      </w:r>
    </w:p>
    <w:p w14:paraId="13BC0C72" w14:textId="77777777" w:rsidR="00D17814" w:rsidRPr="00F67942" w:rsidRDefault="00D17814" w:rsidP="006214DC">
      <w:pPr>
        <w:jc w:val="both"/>
        <w:rPr>
          <w:bCs/>
          <w:sz w:val="28"/>
          <w:szCs w:val="28"/>
        </w:rPr>
      </w:pPr>
    </w:p>
    <w:p w14:paraId="30361DC6" w14:textId="12D70A7A" w:rsidR="006214DC" w:rsidRPr="00230F94" w:rsidRDefault="00D17814" w:rsidP="001C71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Izdarīt Ministru kabineta </w:t>
      </w:r>
      <w:r w:rsidR="00230F94" w:rsidRPr="00230F94">
        <w:rPr>
          <w:sz w:val="28"/>
          <w:szCs w:val="28"/>
        </w:rPr>
        <w:t>2017.</w:t>
      </w:r>
      <w:r w:rsidR="00C91D6E">
        <w:rPr>
          <w:sz w:val="28"/>
          <w:szCs w:val="28"/>
        </w:rPr>
        <w:t> </w:t>
      </w:r>
      <w:r w:rsidR="00230F94" w:rsidRPr="00230F94">
        <w:rPr>
          <w:sz w:val="28"/>
          <w:szCs w:val="28"/>
        </w:rPr>
        <w:t>gada 19.</w:t>
      </w:r>
      <w:r w:rsidR="00C91D6E">
        <w:rPr>
          <w:sz w:val="28"/>
          <w:szCs w:val="28"/>
        </w:rPr>
        <w:t> </w:t>
      </w:r>
      <w:r w:rsidR="00230F94" w:rsidRPr="00230F94">
        <w:rPr>
          <w:sz w:val="28"/>
          <w:szCs w:val="28"/>
        </w:rPr>
        <w:t>decembra noteikumos Nr.</w:t>
      </w:r>
      <w:r w:rsidR="00C91D6E">
        <w:rPr>
          <w:sz w:val="28"/>
          <w:szCs w:val="28"/>
        </w:rPr>
        <w:t> </w:t>
      </w:r>
      <w:r w:rsidR="00230F94" w:rsidRPr="00230F94">
        <w:rPr>
          <w:sz w:val="28"/>
          <w:szCs w:val="28"/>
        </w:rPr>
        <w:t xml:space="preserve">769 </w:t>
      </w:r>
      <w:r w:rsidR="00230F94" w:rsidRPr="00A77E80">
        <w:rPr>
          <w:sz w:val="28"/>
          <w:szCs w:val="28"/>
        </w:rPr>
        <w:t xml:space="preserve">"Tieslietu ministrijas </w:t>
      </w:r>
      <w:r w:rsidR="00C91D6E">
        <w:rPr>
          <w:sz w:val="28"/>
          <w:szCs w:val="28"/>
        </w:rPr>
        <w:t>pamat</w:t>
      </w:r>
      <w:r w:rsidR="00230F94" w:rsidRPr="00A77E80">
        <w:rPr>
          <w:sz w:val="28"/>
          <w:szCs w:val="28"/>
        </w:rPr>
        <w:t>budžeta programmas "Noziedzīgi iegūtu līdzekļu konfiskācijas fonds" finanšu līdzekļu izmantošanas kārtība"</w:t>
      </w:r>
      <w:r w:rsidRPr="00A77E80">
        <w:rPr>
          <w:sz w:val="28"/>
          <w:szCs w:val="28"/>
        </w:rPr>
        <w:t xml:space="preserve"> (Latvijas Vēstnesis, </w:t>
      </w:r>
      <w:r w:rsidR="00826F3C" w:rsidRPr="00A77E80">
        <w:rPr>
          <w:sz w:val="28"/>
          <w:szCs w:val="28"/>
        </w:rPr>
        <w:t>20</w:t>
      </w:r>
      <w:r w:rsidR="00C90ED1" w:rsidRPr="00A77E80">
        <w:rPr>
          <w:sz w:val="28"/>
          <w:szCs w:val="28"/>
        </w:rPr>
        <w:t>17</w:t>
      </w:r>
      <w:r w:rsidRPr="00A77E80">
        <w:rPr>
          <w:sz w:val="28"/>
          <w:szCs w:val="28"/>
        </w:rPr>
        <w:t xml:space="preserve">, </w:t>
      </w:r>
      <w:r w:rsidR="00C90ED1" w:rsidRPr="00A77E80">
        <w:rPr>
          <w:sz w:val="28"/>
          <w:szCs w:val="28"/>
        </w:rPr>
        <w:t>254</w:t>
      </w:r>
      <w:r w:rsidRPr="00A77E80">
        <w:rPr>
          <w:sz w:val="28"/>
          <w:szCs w:val="28"/>
        </w:rPr>
        <w:t>. nr.</w:t>
      </w:r>
      <w:r w:rsidR="00C90ED1" w:rsidRPr="00A77E80">
        <w:rPr>
          <w:sz w:val="28"/>
          <w:szCs w:val="28"/>
        </w:rPr>
        <w:t>)</w:t>
      </w:r>
      <w:r w:rsidR="00BE7FF9" w:rsidRPr="00A77E80">
        <w:rPr>
          <w:sz w:val="28"/>
          <w:szCs w:val="28"/>
        </w:rPr>
        <w:t xml:space="preserve"> šādu</w:t>
      </w:r>
      <w:r w:rsidR="00AA2795" w:rsidRPr="00A77E80">
        <w:rPr>
          <w:sz w:val="28"/>
          <w:szCs w:val="28"/>
        </w:rPr>
        <w:t>s</w:t>
      </w:r>
      <w:r w:rsidR="00BE7FF9" w:rsidRPr="00A77E80">
        <w:rPr>
          <w:sz w:val="28"/>
          <w:szCs w:val="28"/>
        </w:rPr>
        <w:t xml:space="preserve"> </w:t>
      </w:r>
      <w:r w:rsidR="006214DC" w:rsidRPr="00A77E80">
        <w:rPr>
          <w:sz w:val="28"/>
          <w:szCs w:val="28"/>
        </w:rPr>
        <w:t>grozījumu</w:t>
      </w:r>
      <w:r w:rsidR="00B559F3" w:rsidRPr="00A77E80">
        <w:rPr>
          <w:sz w:val="28"/>
          <w:szCs w:val="28"/>
        </w:rPr>
        <w:t>s</w:t>
      </w:r>
      <w:r w:rsidR="006214DC" w:rsidRPr="00A77E80">
        <w:rPr>
          <w:sz w:val="28"/>
          <w:szCs w:val="28"/>
        </w:rPr>
        <w:t>:</w:t>
      </w:r>
    </w:p>
    <w:p w14:paraId="2720FCCA" w14:textId="77777777" w:rsidR="00C90ED1" w:rsidRDefault="00C90ED1" w:rsidP="00230F94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378E8C47" w14:textId="11A26FE3" w:rsidR="00B559F3" w:rsidRDefault="00CB4F64" w:rsidP="00230F9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91D6E">
        <w:rPr>
          <w:sz w:val="28"/>
          <w:szCs w:val="28"/>
        </w:rPr>
        <w:t> </w:t>
      </w:r>
      <w:r w:rsidR="0033370B">
        <w:rPr>
          <w:sz w:val="28"/>
          <w:szCs w:val="28"/>
        </w:rPr>
        <w:t>P</w:t>
      </w:r>
      <w:r w:rsidR="00A10666">
        <w:rPr>
          <w:sz w:val="28"/>
          <w:szCs w:val="28"/>
        </w:rPr>
        <w:t xml:space="preserve">apildināt </w:t>
      </w:r>
      <w:r w:rsidR="00BB60E4">
        <w:rPr>
          <w:sz w:val="28"/>
          <w:szCs w:val="28"/>
        </w:rPr>
        <w:t xml:space="preserve">noteikumus </w:t>
      </w:r>
      <w:r w:rsidR="001D701E">
        <w:rPr>
          <w:sz w:val="28"/>
          <w:szCs w:val="28"/>
        </w:rPr>
        <w:t xml:space="preserve">ar </w:t>
      </w:r>
      <w:r w:rsidR="009C23B0">
        <w:rPr>
          <w:sz w:val="28"/>
          <w:szCs w:val="28"/>
        </w:rPr>
        <w:t>4</w:t>
      </w:r>
      <w:r w:rsidR="00230F94">
        <w:rPr>
          <w:sz w:val="28"/>
          <w:szCs w:val="28"/>
        </w:rPr>
        <w:t>.</w:t>
      </w:r>
      <w:r w:rsidR="00230F94" w:rsidRPr="00230F94">
        <w:rPr>
          <w:sz w:val="28"/>
          <w:szCs w:val="28"/>
          <w:vertAlign w:val="superscript"/>
        </w:rPr>
        <w:t>1</w:t>
      </w:r>
      <w:r w:rsidR="00C91D6E">
        <w:rPr>
          <w:sz w:val="28"/>
          <w:szCs w:val="28"/>
        </w:rPr>
        <w:t> </w:t>
      </w:r>
      <w:r w:rsidR="001D701E">
        <w:rPr>
          <w:sz w:val="28"/>
          <w:szCs w:val="28"/>
        </w:rPr>
        <w:t>punktu šādā redakcijā:</w:t>
      </w:r>
    </w:p>
    <w:p w14:paraId="72A850CA" w14:textId="77777777" w:rsidR="00563DDB" w:rsidRDefault="00563DDB" w:rsidP="00FD1FA6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3E303CC9" w14:textId="4935F82B" w:rsidR="009C23B0" w:rsidRDefault="009C23B0" w:rsidP="00FD1FA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C91D6E">
        <w:rPr>
          <w:sz w:val="28"/>
          <w:szCs w:val="28"/>
        </w:rPr>
        <w:t>4.</w:t>
      </w:r>
      <w:r w:rsidR="00C91D6E" w:rsidRPr="006978F5">
        <w:rPr>
          <w:sz w:val="28"/>
          <w:szCs w:val="28"/>
          <w:vertAlign w:val="superscript"/>
        </w:rPr>
        <w:t>1</w:t>
      </w:r>
      <w:r w:rsidR="00C91D6E" w:rsidRPr="00A25F7E">
        <w:rPr>
          <w:sz w:val="28"/>
          <w:szCs w:val="28"/>
        </w:rPr>
        <w:t> </w:t>
      </w:r>
      <w:r w:rsidRPr="009C23B0">
        <w:rPr>
          <w:sz w:val="28"/>
          <w:szCs w:val="28"/>
        </w:rPr>
        <w:t>Līdzekļ</w:t>
      </w:r>
      <w:r w:rsidR="006B5843">
        <w:rPr>
          <w:sz w:val="28"/>
          <w:szCs w:val="28"/>
        </w:rPr>
        <w:t>us</w:t>
      </w:r>
      <w:r w:rsidRPr="009C23B0">
        <w:rPr>
          <w:sz w:val="28"/>
          <w:szCs w:val="28"/>
        </w:rPr>
        <w:t xml:space="preserve"> nepiešķir ilgtermiņa ieguldījumu uzturēšanas izdevumiem, izņemot gadījumus, kad tie nav atdalāmi no iegādes izmaksām.</w:t>
      </w:r>
      <w:r>
        <w:rPr>
          <w:sz w:val="28"/>
          <w:szCs w:val="28"/>
        </w:rPr>
        <w:t>"</w:t>
      </w:r>
    </w:p>
    <w:p w14:paraId="5B98B7F8" w14:textId="77777777" w:rsidR="009C23B0" w:rsidRDefault="009C23B0" w:rsidP="00FD1FA6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0CD693D7" w14:textId="03112BB9" w:rsidR="009C23B0" w:rsidRDefault="009C23B0" w:rsidP="00FD1FA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91D6E">
        <w:rPr>
          <w:sz w:val="28"/>
          <w:szCs w:val="28"/>
        </w:rPr>
        <w:t> </w:t>
      </w:r>
      <w:r w:rsidRPr="009C23B0">
        <w:rPr>
          <w:sz w:val="28"/>
          <w:szCs w:val="28"/>
        </w:rPr>
        <w:t xml:space="preserve">Papildināt noteikumus ar </w:t>
      </w:r>
      <w:r>
        <w:rPr>
          <w:sz w:val="28"/>
          <w:szCs w:val="28"/>
        </w:rPr>
        <w:t>9</w:t>
      </w:r>
      <w:r w:rsidRPr="009C23B0">
        <w:rPr>
          <w:sz w:val="28"/>
          <w:szCs w:val="28"/>
        </w:rPr>
        <w:t>.</w:t>
      </w:r>
      <w:r w:rsidRPr="009C23B0">
        <w:rPr>
          <w:sz w:val="28"/>
          <w:szCs w:val="28"/>
          <w:vertAlign w:val="superscript"/>
        </w:rPr>
        <w:t>1</w:t>
      </w:r>
      <w:r w:rsidR="00C91D6E">
        <w:rPr>
          <w:sz w:val="28"/>
          <w:szCs w:val="28"/>
        </w:rPr>
        <w:t> </w:t>
      </w:r>
      <w:r w:rsidRPr="009C23B0">
        <w:rPr>
          <w:sz w:val="28"/>
          <w:szCs w:val="28"/>
        </w:rPr>
        <w:t>punktu šādā redakcijā</w:t>
      </w:r>
      <w:r>
        <w:rPr>
          <w:sz w:val="28"/>
          <w:szCs w:val="28"/>
        </w:rPr>
        <w:t>:</w:t>
      </w:r>
    </w:p>
    <w:p w14:paraId="1EF2646B" w14:textId="77777777" w:rsidR="009C23B0" w:rsidRDefault="009C23B0" w:rsidP="00FD1FA6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54031105" w14:textId="0FEEA0B8" w:rsidR="001D701E" w:rsidRDefault="00563DDB" w:rsidP="00FD1FA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C91D6E">
        <w:rPr>
          <w:sz w:val="28"/>
          <w:szCs w:val="28"/>
        </w:rPr>
        <w:t>9</w:t>
      </w:r>
      <w:r w:rsidR="00C91D6E" w:rsidRPr="009C23B0">
        <w:rPr>
          <w:sz w:val="28"/>
          <w:szCs w:val="28"/>
        </w:rPr>
        <w:t>.</w:t>
      </w:r>
      <w:r w:rsidR="00C91D6E" w:rsidRPr="009C23B0">
        <w:rPr>
          <w:sz w:val="28"/>
          <w:szCs w:val="28"/>
          <w:vertAlign w:val="superscript"/>
        </w:rPr>
        <w:t>1</w:t>
      </w:r>
      <w:proofErr w:type="gramStart"/>
      <w:r w:rsidR="00C91D6E">
        <w:rPr>
          <w:sz w:val="28"/>
          <w:szCs w:val="28"/>
        </w:rPr>
        <w:t> </w:t>
      </w:r>
      <w:r w:rsidR="00CB1E9E" w:rsidRPr="00CB1E9E">
        <w:rPr>
          <w:sz w:val="28"/>
          <w:szCs w:val="28"/>
        </w:rPr>
        <w:t xml:space="preserve">Ja līdzekļu pieprasītāju </w:t>
      </w:r>
      <w:r w:rsidR="009403B3">
        <w:rPr>
          <w:sz w:val="28"/>
          <w:szCs w:val="28"/>
        </w:rPr>
        <w:t xml:space="preserve">iesniegtie </w:t>
      </w:r>
      <w:r w:rsidR="00CB1E9E" w:rsidRPr="00CB1E9E">
        <w:rPr>
          <w:sz w:val="28"/>
          <w:szCs w:val="28"/>
        </w:rPr>
        <w:t>pieteikumi</w:t>
      </w:r>
      <w:r w:rsidR="00353ACD">
        <w:rPr>
          <w:sz w:val="28"/>
          <w:szCs w:val="28"/>
        </w:rPr>
        <w:t xml:space="preserve"> daļēji</w:t>
      </w:r>
      <w:proofErr w:type="gramEnd"/>
      <w:r w:rsidR="00353ACD">
        <w:rPr>
          <w:sz w:val="28"/>
          <w:szCs w:val="28"/>
        </w:rPr>
        <w:t xml:space="preserve"> atbilst </w:t>
      </w:r>
      <w:r w:rsidR="002C43C7">
        <w:rPr>
          <w:sz w:val="28"/>
          <w:szCs w:val="28"/>
        </w:rPr>
        <w:t>f</w:t>
      </w:r>
      <w:r w:rsidR="00CB1E9E" w:rsidRPr="00CB1E9E">
        <w:rPr>
          <w:sz w:val="28"/>
          <w:szCs w:val="28"/>
        </w:rPr>
        <w:t xml:space="preserve">onda programmas mērķim vai to kopējā summa pārsniedz </w:t>
      </w:r>
      <w:r w:rsidR="002C43C7">
        <w:rPr>
          <w:sz w:val="28"/>
          <w:szCs w:val="28"/>
        </w:rPr>
        <w:t>f</w:t>
      </w:r>
      <w:r w:rsidR="00CB1E9E" w:rsidRPr="00CB1E9E">
        <w:rPr>
          <w:sz w:val="28"/>
          <w:szCs w:val="28"/>
        </w:rPr>
        <w:t xml:space="preserve">onda programmas kontā pieejamos līdzekļus, Tieslietu ministrija </w:t>
      </w:r>
      <w:r w:rsidR="001C7169">
        <w:rPr>
          <w:sz w:val="28"/>
          <w:szCs w:val="28"/>
        </w:rPr>
        <w:t xml:space="preserve">vienojas </w:t>
      </w:r>
      <w:r w:rsidR="00CB1E9E" w:rsidRPr="00CB1E9E">
        <w:rPr>
          <w:sz w:val="28"/>
          <w:szCs w:val="28"/>
        </w:rPr>
        <w:t xml:space="preserve">ar līdzekļu pieprasītājiem par </w:t>
      </w:r>
      <w:r w:rsidR="002F2BCA">
        <w:rPr>
          <w:sz w:val="28"/>
          <w:szCs w:val="28"/>
        </w:rPr>
        <w:t>atbalstāmajiem</w:t>
      </w:r>
      <w:r w:rsidR="005E4238">
        <w:rPr>
          <w:sz w:val="28"/>
          <w:szCs w:val="28"/>
        </w:rPr>
        <w:t xml:space="preserve"> </w:t>
      </w:r>
      <w:r w:rsidR="0033548D">
        <w:rPr>
          <w:sz w:val="28"/>
          <w:szCs w:val="28"/>
        </w:rPr>
        <w:t xml:space="preserve">un </w:t>
      </w:r>
      <w:r w:rsidR="00E32705" w:rsidRPr="00CB1E9E">
        <w:rPr>
          <w:sz w:val="28"/>
          <w:szCs w:val="28"/>
        </w:rPr>
        <w:t>Noziedzības novēršanas padom</w:t>
      </w:r>
      <w:r w:rsidR="00E32705">
        <w:rPr>
          <w:sz w:val="28"/>
          <w:szCs w:val="28"/>
        </w:rPr>
        <w:t>e</w:t>
      </w:r>
      <w:r w:rsidR="00E32705" w:rsidRPr="00CB1E9E">
        <w:rPr>
          <w:sz w:val="28"/>
          <w:szCs w:val="28"/>
        </w:rPr>
        <w:t>i</w:t>
      </w:r>
      <w:r w:rsidR="00E32705">
        <w:rPr>
          <w:sz w:val="28"/>
          <w:szCs w:val="28"/>
        </w:rPr>
        <w:t xml:space="preserve"> </w:t>
      </w:r>
      <w:r w:rsidR="00867476">
        <w:rPr>
          <w:sz w:val="28"/>
          <w:szCs w:val="28"/>
        </w:rPr>
        <w:t xml:space="preserve">izskatīšanai </w:t>
      </w:r>
      <w:r w:rsidR="00B42A48">
        <w:rPr>
          <w:sz w:val="28"/>
          <w:szCs w:val="28"/>
        </w:rPr>
        <w:t>iesniedzamajiem pasākumiem</w:t>
      </w:r>
      <w:r w:rsidR="00230F94">
        <w:rPr>
          <w:sz w:val="28"/>
          <w:szCs w:val="28"/>
        </w:rPr>
        <w:t>.</w:t>
      </w:r>
      <w:r>
        <w:rPr>
          <w:sz w:val="28"/>
          <w:szCs w:val="28"/>
        </w:rPr>
        <w:t>"</w:t>
      </w:r>
    </w:p>
    <w:bookmarkEnd w:id="1"/>
    <w:p w14:paraId="5F2ED0C4" w14:textId="77777777" w:rsidR="00F67942" w:rsidRDefault="00F67942" w:rsidP="00EC0E7F">
      <w:pPr>
        <w:contextualSpacing/>
        <w:jc w:val="both"/>
        <w:rPr>
          <w:sz w:val="28"/>
          <w:szCs w:val="28"/>
        </w:rPr>
      </w:pPr>
    </w:p>
    <w:p w14:paraId="220BE72A" w14:textId="743123C9" w:rsidR="00230F94" w:rsidRDefault="00230F94" w:rsidP="00EC0E7F">
      <w:pPr>
        <w:contextualSpacing/>
        <w:jc w:val="both"/>
        <w:rPr>
          <w:sz w:val="28"/>
          <w:szCs w:val="28"/>
        </w:rPr>
      </w:pPr>
    </w:p>
    <w:p w14:paraId="1C36BC39" w14:textId="77777777" w:rsidR="00477A5B" w:rsidRPr="00F67942" w:rsidRDefault="00477A5B" w:rsidP="00EC0E7F">
      <w:pPr>
        <w:contextualSpacing/>
        <w:jc w:val="both"/>
        <w:rPr>
          <w:sz w:val="28"/>
          <w:szCs w:val="28"/>
        </w:rPr>
      </w:pPr>
    </w:p>
    <w:p w14:paraId="6BD848C5" w14:textId="77777777" w:rsidR="00477A5B" w:rsidRPr="00DE283C" w:rsidRDefault="00477A5B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636CA287" w14:textId="77777777" w:rsidR="00477A5B" w:rsidRDefault="00477A5B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9A403B6" w14:textId="77777777" w:rsidR="00477A5B" w:rsidRDefault="00477A5B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42F41D3" w14:textId="77777777" w:rsidR="00477A5B" w:rsidRDefault="00477A5B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3FCF3ED" w14:textId="77777777" w:rsidR="00477A5B" w:rsidRDefault="00477A5B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3A268E62" w14:textId="77777777" w:rsidR="00477A5B" w:rsidRPr="00DE283C" w:rsidRDefault="00477A5B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tieslietu ministrs 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Bordāns</w:t>
      </w:r>
    </w:p>
    <w:sectPr w:rsidR="00477A5B" w:rsidRPr="00DE283C" w:rsidSect="006214D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FCF74" w14:textId="77777777" w:rsidR="00A74060" w:rsidRDefault="00A74060">
      <w:r>
        <w:separator/>
      </w:r>
    </w:p>
  </w:endnote>
  <w:endnote w:type="continuationSeparator" w:id="0">
    <w:p w14:paraId="764B2BC8" w14:textId="77777777" w:rsidR="00A74060" w:rsidRDefault="00A74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0E044" w14:textId="77777777" w:rsidR="00F67942" w:rsidRPr="00563DDB" w:rsidRDefault="00F67942" w:rsidP="00F67942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N2836_7</w:t>
    </w:r>
  </w:p>
  <w:p w14:paraId="69186B24" w14:textId="77777777" w:rsidR="00B4658A" w:rsidRPr="00F67942" w:rsidRDefault="00B4658A" w:rsidP="00F679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33B78" w14:textId="14404079" w:rsidR="00477A5B" w:rsidRPr="00477A5B" w:rsidRDefault="00477A5B">
    <w:pPr>
      <w:pStyle w:val="Footer"/>
      <w:rPr>
        <w:sz w:val="16"/>
        <w:szCs w:val="16"/>
      </w:rPr>
    </w:pPr>
    <w:r w:rsidRPr="00477A5B">
      <w:rPr>
        <w:sz w:val="16"/>
        <w:szCs w:val="16"/>
      </w:rPr>
      <w:t>N0717_9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7EA52" w14:textId="77777777" w:rsidR="00A74060" w:rsidRDefault="00A74060">
      <w:r>
        <w:separator/>
      </w:r>
    </w:p>
  </w:footnote>
  <w:footnote w:type="continuationSeparator" w:id="0">
    <w:p w14:paraId="00A4AEDC" w14:textId="77777777" w:rsidR="00A74060" w:rsidRDefault="00A74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2610598"/>
      <w:docPartObj>
        <w:docPartGallery w:val="Page Numbers (Top of Page)"/>
        <w:docPartUnique/>
      </w:docPartObj>
    </w:sdtPr>
    <w:sdtEndPr/>
    <w:sdtContent>
      <w:p w14:paraId="4B783178" w14:textId="77777777" w:rsidR="00B4658A" w:rsidRDefault="00B4658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F12">
          <w:rPr>
            <w:noProof/>
          </w:rPr>
          <w:t>2</w:t>
        </w:r>
        <w:r>
          <w:fldChar w:fldCharType="end"/>
        </w:r>
      </w:p>
    </w:sdtContent>
  </w:sdt>
  <w:p w14:paraId="5D0EAC8C" w14:textId="77777777" w:rsidR="00B4658A" w:rsidRDefault="00B465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09AA9" w14:textId="77777777" w:rsidR="00477A5B" w:rsidRPr="003629D6" w:rsidRDefault="00477A5B">
    <w:pPr>
      <w:pStyle w:val="Header"/>
    </w:pPr>
  </w:p>
  <w:p w14:paraId="65D769EF" w14:textId="064E9F7B" w:rsidR="00563DDB" w:rsidRPr="00A142D0" w:rsidRDefault="00477A5B" w:rsidP="00477A5B">
    <w:pPr>
      <w:pStyle w:val="Header"/>
    </w:pPr>
    <w:r>
      <w:rPr>
        <w:noProof/>
      </w:rPr>
      <w:drawing>
        <wp:inline distT="0" distB="0" distL="0" distR="0" wp14:anchorId="5D8A4D8E" wp14:editId="1DCE16D5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4DC"/>
    <w:rsid w:val="000343BD"/>
    <w:rsid w:val="0006007D"/>
    <w:rsid w:val="00067DF2"/>
    <w:rsid w:val="00076482"/>
    <w:rsid w:val="00077142"/>
    <w:rsid w:val="000B1968"/>
    <w:rsid w:val="000B4226"/>
    <w:rsid w:val="000C1922"/>
    <w:rsid w:val="000F1163"/>
    <w:rsid w:val="00106878"/>
    <w:rsid w:val="001336F6"/>
    <w:rsid w:val="001510BA"/>
    <w:rsid w:val="00153656"/>
    <w:rsid w:val="001620C9"/>
    <w:rsid w:val="00171295"/>
    <w:rsid w:val="00172C83"/>
    <w:rsid w:val="00176099"/>
    <w:rsid w:val="00192818"/>
    <w:rsid w:val="001A4E60"/>
    <w:rsid w:val="001C102F"/>
    <w:rsid w:val="001C7169"/>
    <w:rsid w:val="001D701E"/>
    <w:rsid w:val="001F23E3"/>
    <w:rsid w:val="0022225E"/>
    <w:rsid w:val="00230F94"/>
    <w:rsid w:val="002509BD"/>
    <w:rsid w:val="002573A2"/>
    <w:rsid w:val="00291016"/>
    <w:rsid w:val="00293372"/>
    <w:rsid w:val="002A23B9"/>
    <w:rsid w:val="002C43C7"/>
    <w:rsid w:val="002D4B3C"/>
    <w:rsid w:val="002D763F"/>
    <w:rsid w:val="002E3AAA"/>
    <w:rsid w:val="002F2BCA"/>
    <w:rsid w:val="003051F7"/>
    <w:rsid w:val="00324AF8"/>
    <w:rsid w:val="0033370B"/>
    <w:rsid w:val="0033548D"/>
    <w:rsid w:val="00340D90"/>
    <w:rsid w:val="00353ACD"/>
    <w:rsid w:val="00353F67"/>
    <w:rsid w:val="00362C9D"/>
    <w:rsid w:val="00370575"/>
    <w:rsid w:val="00374ADA"/>
    <w:rsid w:val="00380A78"/>
    <w:rsid w:val="00382F64"/>
    <w:rsid w:val="00386486"/>
    <w:rsid w:val="0039362E"/>
    <w:rsid w:val="003C7FAC"/>
    <w:rsid w:val="003D5B4B"/>
    <w:rsid w:val="004055C9"/>
    <w:rsid w:val="00425CB4"/>
    <w:rsid w:val="00437E5F"/>
    <w:rsid w:val="00447BD8"/>
    <w:rsid w:val="0047558D"/>
    <w:rsid w:val="00477A5B"/>
    <w:rsid w:val="00490E0B"/>
    <w:rsid w:val="004A6824"/>
    <w:rsid w:val="004C2B4B"/>
    <w:rsid w:val="004D0F98"/>
    <w:rsid w:val="004D3E77"/>
    <w:rsid w:val="00506B55"/>
    <w:rsid w:val="00507A2D"/>
    <w:rsid w:val="0051437F"/>
    <w:rsid w:val="00520319"/>
    <w:rsid w:val="005428F3"/>
    <w:rsid w:val="00546CC3"/>
    <w:rsid w:val="00562A10"/>
    <w:rsid w:val="00563DDB"/>
    <w:rsid w:val="00580F1D"/>
    <w:rsid w:val="00584690"/>
    <w:rsid w:val="005A2849"/>
    <w:rsid w:val="005D2181"/>
    <w:rsid w:val="005D3927"/>
    <w:rsid w:val="005E4238"/>
    <w:rsid w:val="005F0102"/>
    <w:rsid w:val="00620E3E"/>
    <w:rsid w:val="006214DC"/>
    <w:rsid w:val="00654907"/>
    <w:rsid w:val="006613A3"/>
    <w:rsid w:val="006978F5"/>
    <w:rsid w:val="006A1412"/>
    <w:rsid w:val="006B5843"/>
    <w:rsid w:val="006F4D09"/>
    <w:rsid w:val="007015B5"/>
    <w:rsid w:val="007023C8"/>
    <w:rsid w:val="00717ADA"/>
    <w:rsid w:val="00727DC9"/>
    <w:rsid w:val="00742B06"/>
    <w:rsid w:val="00746912"/>
    <w:rsid w:val="00747B35"/>
    <w:rsid w:val="007661C8"/>
    <w:rsid w:val="00770B17"/>
    <w:rsid w:val="00796AD4"/>
    <w:rsid w:val="007B6E58"/>
    <w:rsid w:val="007C4F7D"/>
    <w:rsid w:val="007D51F5"/>
    <w:rsid w:val="007E149C"/>
    <w:rsid w:val="00803AB9"/>
    <w:rsid w:val="00805C44"/>
    <w:rsid w:val="00806B71"/>
    <w:rsid w:val="00826F3C"/>
    <w:rsid w:val="00833606"/>
    <w:rsid w:val="00861F8B"/>
    <w:rsid w:val="00867476"/>
    <w:rsid w:val="008824F2"/>
    <w:rsid w:val="008B7C15"/>
    <w:rsid w:val="008D03B4"/>
    <w:rsid w:val="00914CDB"/>
    <w:rsid w:val="009403B3"/>
    <w:rsid w:val="00954576"/>
    <w:rsid w:val="009707F5"/>
    <w:rsid w:val="009918F9"/>
    <w:rsid w:val="009A0DF7"/>
    <w:rsid w:val="009C23B0"/>
    <w:rsid w:val="009F6E6B"/>
    <w:rsid w:val="00A10666"/>
    <w:rsid w:val="00A25F7E"/>
    <w:rsid w:val="00A70C27"/>
    <w:rsid w:val="00A74060"/>
    <w:rsid w:val="00A77E80"/>
    <w:rsid w:val="00A93D83"/>
    <w:rsid w:val="00A95DE8"/>
    <w:rsid w:val="00AA2795"/>
    <w:rsid w:val="00AB0F54"/>
    <w:rsid w:val="00AB49A8"/>
    <w:rsid w:val="00AC5171"/>
    <w:rsid w:val="00AF0503"/>
    <w:rsid w:val="00AF6AA0"/>
    <w:rsid w:val="00B069CF"/>
    <w:rsid w:val="00B06BA9"/>
    <w:rsid w:val="00B272BB"/>
    <w:rsid w:val="00B42A48"/>
    <w:rsid w:val="00B4658A"/>
    <w:rsid w:val="00B47894"/>
    <w:rsid w:val="00B559F3"/>
    <w:rsid w:val="00B71162"/>
    <w:rsid w:val="00B93263"/>
    <w:rsid w:val="00BA2051"/>
    <w:rsid w:val="00BB60E4"/>
    <w:rsid w:val="00BD0756"/>
    <w:rsid w:val="00BD51AC"/>
    <w:rsid w:val="00BD68D2"/>
    <w:rsid w:val="00BE1E39"/>
    <w:rsid w:val="00BE7FF9"/>
    <w:rsid w:val="00C2289D"/>
    <w:rsid w:val="00C24528"/>
    <w:rsid w:val="00C319C5"/>
    <w:rsid w:val="00C51EB3"/>
    <w:rsid w:val="00C64210"/>
    <w:rsid w:val="00C90ED1"/>
    <w:rsid w:val="00C91D6E"/>
    <w:rsid w:val="00CA6173"/>
    <w:rsid w:val="00CB0F76"/>
    <w:rsid w:val="00CB1E9E"/>
    <w:rsid w:val="00CB4F64"/>
    <w:rsid w:val="00CD4799"/>
    <w:rsid w:val="00CF0D7C"/>
    <w:rsid w:val="00D17814"/>
    <w:rsid w:val="00D31FF7"/>
    <w:rsid w:val="00D4295D"/>
    <w:rsid w:val="00D601F3"/>
    <w:rsid w:val="00D749FB"/>
    <w:rsid w:val="00D7528F"/>
    <w:rsid w:val="00D77C53"/>
    <w:rsid w:val="00DC413C"/>
    <w:rsid w:val="00DC61F5"/>
    <w:rsid w:val="00DD2F12"/>
    <w:rsid w:val="00DE009B"/>
    <w:rsid w:val="00DE5433"/>
    <w:rsid w:val="00E22201"/>
    <w:rsid w:val="00E24736"/>
    <w:rsid w:val="00E26C8B"/>
    <w:rsid w:val="00E3035A"/>
    <w:rsid w:val="00E32705"/>
    <w:rsid w:val="00E76B91"/>
    <w:rsid w:val="00EC5301"/>
    <w:rsid w:val="00EF4391"/>
    <w:rsid w:val="00EF55FD"/>
    <w:rsid w:val="00F45E18"/>
    <w:rsid w:val="00F46241"/>
    <w:rsid w:val="00F46A93"/>
    <w:rsid w:val="00F56434"/>
    <w:rsid w:val="00F67942"/>
    <w:rsid w:val="00F937A8"/>
    <w:rsid w:val="00FD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DEBB6E5"/>
  <w15:docId w15:val="{0359C3D3-5B7F-4B89-8156-7FDBFCA5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214D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214D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6214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4D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Right">
    <w:name w:val="Style Right"/>
    <w:basedOn w:val="Normal"/>
    <w:rsid w:val="006214DC"/>
    <w:pPr>
      <w:spacing w:after="120"/>
      <w:ind w:firstLine="720"/>
      <w:jc w:val="right"/>
    </w:pPr>
    <w:rPr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6214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14DC"/>
    <w:pPr>
      <w:ind w:left="720"/>
    </w:pPr>
  </w:style>
  <w:style w:type="paragraph" w:customStyle="1" w:styleId="tv90087921">
    <w:name w:val="tv900_87_921"/>
    <w:basedOn w:val="Normal"/>
    <w:rsid w:val="006214DC"/>
    <w:pPr>
      <w:spacing w:after="567" w:line="360" w:lineRule="auto"/>
      <w:ind w:firstLine="300"/>
      <w:jc w:val="right"/>
    </w:pPr>
    <w:rPr>
      <w:rFonts w:ascii="Verdana" w:hAnsi="Verdana"/>
      <w:i/>
      <w:i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4DC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536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36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3656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6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656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v2132">
    <w:name w:val="tv2132"/>
    <w:basedOn w:val="Normal"/>
    <w:rsid w:val="005F0102"/>
    <w:pPr>
      <w:spacing w:line="360" w:lineRule="auto"/>
      <w:ind w:firstLine="300"/>
    </w:pPr>
    <w:rPr>
      <w:color w:val="414142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19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1922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0C1922"/>
    <w:rPr>
      <w:vertAlign w:val="superscript"/>
    </w:rPr>
  </w:style>
  <w:style w:type="paragraph" w:customStyle="1" w:styleId="naisf">
    <w:name w:val="naisf"/>
    <w:basedOn w:val="Normal"/>
    <w:rsid w:val="00563DDB"/>
    <w:pPr>
      <w:spacing w:before="75" w:after="75"/>
      <w:ind w:firstLine="375"/>
      <w:jc w:val="both"/>
    </w:pPr>
  </w:style>
  <w:style w:type="character" w:styleId="UnresolvedMention">
    <w:name w:val="Unresolved Mention"/>
    <w:basedOn w:val="DefaultParagraphFont"/>
    <w:uiPriority w:val="99"/>
    <w:semiHidden/>
    <w:unhideWhenUsed/>
    <w:rsid w:val="002C43C7"/>
    <w:rPr>
      <w:color w:val="605E5C"/>
      <w:shd w:val="clear" w:color="auto" w:fill="E1DFDD"/>
    </w:rPr>
  </w:style>
  <w:style w:type="paragraph" w:customStyle="1" w:styleId="Body">
    <w:name w:val="Body"/>
    <w:rsid w:val="00477A5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6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31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04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5AFF8-6BD7-4FB3-9D4D-DD1EBEFE7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817</Words>
  <Characters>466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2017. gada 19.  decembra noteikumos Nr. 769 "Tieslietu ministrijas pamatbudžeta programmas "Noziedzīgi iegūtu līdzekļu konfiskācijas fonds" finanšu līdzekļu izmantošanas kārtība"</vt:lpstr>
      <vt:lpstr>Grozījumi Ministru kabineta 2017. gada 19.  decembra noteikumos Nr. 769 "Tieslietu ministrijas pamatbudžeta programmas "Noziedzīgi iegūtu līdzekļu konfiskācijas fonds" finanšu līdzekļu izmantošanas kārtība"</vt:lpstr>
    </vt:vector>
  </TitlesOfParts>
  <Company>Tieslietu ministrija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2017. gada 19.  decembra noteikumos Nr. 769 "Tieslietu ministrijas pamatbudžeta programmas "Noziedzīgi iegūtu līdzekļu konfiskācijas fonds" finanšu līdzekļu izmantošanas kārtība"</dc:title>
  <dc:subject>Ministru kabineta noteikumu projekts</dc:subject>
  <dc:creator>Kristiāna Kalniņa</dc:creator>
  <dc:description>67036938, Kristiana.Kalniņa@tm.gov.lv</dc:description>
  <cp:lastModifiedBy>Leontine Babkina</cp:lastModifiedBy>
  <cp:revision>14</cp:revision>
  <cp:lastPrinted>2019-05-10T12:10:00Z</cp:lastPrinted>
  <dcterms:created xsi:type="dcterms:W3CDTF">2019-03-28T07:35:00Z</dcterms:created>
  <dcterms:modified xsi:type="dcterms:W3CDTF">2019-05-15T08:24:00Z</dcterms:modified>
</cp:coreProperties>
</file>