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F2AF0" w14:textId="77777777" w:rsidR="0063029B" w:rsidRDefault="0063029B" w:rsidP="005413F1">
      <w:pPr>
        <w:spacing w:before="120"/>
        <w:jc w:val="center"/>
        <w:outlineLvl w:val="0"/>
        <w:rPr>
          <w:b/>
          <w:sz w:val="32"/>
          <w:szCs w:val="32"/>
        </w:rPr>
      </w:pPr>
    </w:p>
    <w:p w14:paraId="190BE762" w14:textId="2951E977" w:rsidR="007C62AC" w:rsidRPr="00C63DC6" w:rsidRDefault="00816424" w:rsidP="005413F1">
      <w:pPr>
        <w:spacing w:before="120"/>
        <w:jc w:val="center"/>
        <w:outlineLvl w:val="0"/>
        <w:rPr>
          <w:b/>
          <w:sz w:val="32"/>
          <w:szCs w:val="32"/>
        </w:rPr>
      </w:pPr>
      <w:r>
        <w:rPr>
          <w:b/>
          <w:sz w:val="32"/>
          <w:szCs w:val="32"/>
        </w:rPr>
        <w:t>Informatīvais ziņojums “</w:t>
      </w:r>
      <w:r w:rsidR="009E6CB9" w:rsidRPr="00C63DC6">
        <w:rPr>
          <w:b/>
          <w:sz w:val="32"/>
          <w:szCs w:val="32"/>
        </w:rPr>
        <w:t>Par zaļā iepirkuma īsteno</w:t>
      </w:r>
      <w:r w:rsidR="009D34FD" w:rsidRPr="00C63DC6">
        <w:rPr>
          <w:b/>
          <w:sz w:val="32"/>
          <w:szCs w:val="32"/>
        </w:rPr>
        <w:t>šanas valsts pārvaldē gaitu 2018</w:t>
      </w:r>
      <w:r w:rsidR="009E6CB9" w:rsidRPr="00C63DC6">
        <w:rPr>
          <w:b/>
          <w:sz w:val="32"/>
          <w:szCs w:val="32"/>
        </w:rPr>
        <w:t>. gadā</w:t>
      </w:r>
      <w:r>
        <w:rPr>
          <w:b/>
          <w:sz w:val="32"/>
          <w:szCs w:val="32"/>
        </w:rPr>
        <w:t>”</w:t>
      </w:r>
      <w:r w:rsidR="008B2B9B" w:rsidRPr="00C63DC6">
        <w:rPr>
          <w:b/>
          <w:sz w:val="32"/>
          <w:szCs w:val="32"/>
        </w:rPr>
        <w:t>.</w:t>
      </w:r>
    </w:p>
    <w:p w14:paraId="352F162D" w14:textId="77777777" w:rsidR="0063029B" w:rsidRDefault="0063029B" w:rsidP="00AB5C3A">
      <w:pPr>
        <w:spacing w:before="240"/>
        <w:outlineLvl w:val="0"/>
        <w:rPr>
          <w:b/>
          <w:sz w:val="28"/>
          <w:szCs w:val="28"/>
        </w:rPr>
      </w:pPr>
    </w:p>
    <w:p w14:paraId="456709CA" w14:textId="13CFB9B8" w:rsidR="006C4037" w:rsidRDefault="006C4037" w:rsidP="00AB5C3A">
      <w:pPr>
        <w:spacing w:before="240"/>
        <w:outlineLvl w:val="0"/>
        <w:rPr>
          <w:b/>
          <w:sz w:val="28"/>
          <w:szCs w:val="28"/>
        </w:rPr>
      </w:pPr>
      <w:r w:rsidRPr="00C63DC6">
        <w:rPr>
          <w:b/>
          <w:sz w:val="28"/>
          <w:szCs w:val="28"/>
        </w:rPr>
        <w:t>Satura rādītājs</w:t>
      </w:r>
    </w:p>
    <w:p w14:paraId="1CEF5C0F" w14:textId="231481D7" w:rsidR="006C4037" w:rsidRPr="00C63DC6" w:rsidRDefault="006C4037" w:rsidP="0063029B">
      <w:pPr>
        <w:pStyle w:val="ListParagraph"/>
        <w:numPr>
          <w:ilvl w:val="0"/>
          <w:numId w:val="5"/>
        </w:numPr>
        <w:spacing w:before="240" w:after="240"/>
        <w:ind w:left="714" w:hanging="357"/>
        <w:jc w:val="both"/>
        <w:rPr>
          <w:b/>
          <w:sz w:val="28"/>
          <w:szCs w:val="28"/>
        </w:rPr>
      </w:pPr>
      <w:r w:rsidRPr="00C63DC6">
        <w:rPr>
          <w:b/>
          <w:sz w:val="28"/>
          <w:szCs w:val="28"/>
        </w:rPr>
        <w:t>Ievads</w:t>
      </w:r>
    </w:p>
    <w:p w14:paraId="25AB5E7A" w14:textId="2170F5D8" w:rsidR="006C4037" w:rsidRPr="00C63DC6" w:rsidRDefault="006C4037" w:rsidP="0063029B">
      <w:pPr>
        <w:pStyle w:val="ListParagraph"/>
        <w:numPr>
          <w:ilvl w:val="0"/>
          <w:numId w:val="5"/>
        </w:numPr>
        <w:spacing w:before="240" w:after="240"/>
        <w:ind w:left="714" w:hanging="357"/>
        <w:jc w:val="both"/>
        <w:rPr>
          <w:b/>
          <w:sz w:val="28"/>
          <w:szCs w:val="28"/>
        </w:rPr>
      </w:pPr>
      <w:r w:rsidRPr="00C63DC6">
        <w:rPr>
          <w:b/>
          <w:sz w:val="28"/>
          <w:szCs w:val="28"/>
        </w:rPr>
        <w:t>Tiesiskais regulējums</w:t>
      </w:r>
    </w:p>
    <w:p w14:paraId="4CA3929D" w14:textId="77777777" w:rsidR="00CF3F58" w:rsidRDefault="00E35F38" w:rsidP="0063029B">
      <w:pPr>
        <w:pStyle w:val="ListParagraph"/>
        <w:numPr>
          <w:ilvl w:val="0"/>
          <w:numId w:val="5"/>
        </w:numPr>
        <w:spacing w:before="240" w:after="240"/>
        <w:jc w:val="both"/>
        <w:rPr>
          <w:b/>
          <w:sz w:val="28"/>
          <w:szCs w:val="28"/>
        </w:rPr>
      </w:pPr>
      <w:r w:rsidRPr="00C63DC6">
        <w:rPr>
          <w:b/>
          <w:sz w:val="28"/>
          <w:szCs w:val="28"/>
        </w:rPr>
        <w:t>Pārskats par zaļā publiskā iepirkuma izmantošanu Latvijā</w:t>
      </w:r>
      <w:r w:rsidR="00E5609C" w:rsidRPr="00C63DC6">
        <w:rPr>
          <w:b/>
          <w:sz w:val="28"/>
          <w:szCs w:val="28"/>
        </w:rPr>
        <w:t>:</w:t>
      </w:r>
    </w:p>
    <w:p w14:paraId="54B9DEDE" w14:textId="77777777" w:rsidR="0063029B" w:rsidRPr="00C63DC6" w:rsidRDefault="0063029B" w:rsidP="0063029B">
      <w:pPr>
        <w:pStyle w:val="ListParagraph"/>
        <w:spacing w:before="240" w:after="240"/>
        <w:jc w:val="both"/>
        <w:rPr>
          <w:b/>
          <w:sz w:val="28"/>
          <w:szCs w:val="28"/>
        </w:rPr>
      </w:pPr>
    </w:p>
    <w:p w14:paraId="3A3C5D03" w14:textId="0599C2AE" w:rsidR="006C4037" w:rsidRPr="00C63DC6" w:rsidRDefault="00E35F38" w:rsidP="0063029B">
      <w:pPr>
        <w:pStyle w:val="ListParagraph"/>
        <w:numPr>
          <w:ilvl w:val="1"/>
          <w:numId w:val="22"/>
        </w:numPr>
        <w:spacing w:before="240" w:after="240"/>
        <w:jc w:val="both"/>
        <w:rPr>
          <w:b/>
          <w:sz w:val="28"/>
          <w:szCs w:val="28"/>
        </w:rPr>
      </w:pPr>
      <w:r w:rsidRPr="00C63DC6">
        <w:rPr>
          <w:b/>
          <w:sz w:val="28"/>
          <w:szCs w:val="28"/>
        </w:rPr>
        <w:t>Pārskats par P</w:t>
      </w:r>
      <w:r w:rsidR="00C557B4" w:rsidRPr="00C63DC6">
        <w:rPr>
          <w:b/>
          <w:sz w:val="28"/>
          <w:szCs w:val="28"/>
        </w:rPr>
        <w:t>ublisk</w:t>
      </w:r>
      <w:r w:rsidR="007C62AC" w:rsidRPr="00C63DC6">
        <w:rPr>
          <w:b/>
          <w:sz w:val="28"/>
          <w:szCs w:val="28"/>
        </w:rPr>
        <w:t>o</w:t>
      </w:r>
      <w:r w:rsidR="00C557B4" w:rsidRPr="00C63DC6">
        <w:rPr>
          <w:b/>
          <w:sz w:val="28"/>
          <w:szCs w:val="28"/>
        </w:rPr>
        <w:t xml:space="preserve"> iepirkum</w:t>
      </w:r>
      <w:r w:rsidR="007C62AC" w:rsidRPr="00C63DC6">
        <w:rPr>
          <w:b/>
          <w:sz w:val="28"/>
          <w:szCs w:val="28"/>
        </w:rPr>
        <w:t>u</w:t>
      </w:r>
      <w:r w:rsidR="00C557B4" w:rsidRPr="00C63DC6">
        <w:rPr>
          <w:b/>
          <w:sz w:val="28"/>
          <w:szCs w:val="28"/>
        </w:rPr>
        <w:t xml:space="preserve"> likuma</w:t>
      </w:r>
      <w:r w:rsidRPr="00C63DC6">
        <w:rPr>
          <w:b/>
          <w:sz w:val="28"/>
          <w:szCs w:val="28"/>
        </w:rPr>
        <w:t xml:space="preserve"> ietvaros veiktajiem </w:t>
      </w:r>
      <w:r w:rsidR="00C557B4" w:rsidRPr="00C63DC6">
        <w:rPr>
          <w:b/>
          <w:sz w:val="28"/>
          <w:szCs w:val="28"/>
        </w:rPr>
        <w:t>zaļ</w:t>
      </w:r>
      <w:r w:rsidR="00C52572" w:rsidRPr="00C63DC6">
        <w:rPr>
          <w:b/>
          <w:sz w:val="28"/>
          <w:szCs w:val="28"/>
        </w:rPr>
        <w:t>aj</w:t>
      </w:r>
      <w:r w:rsidR="00C557B4" w:rsidRPr="00C63DC6">
        <w:rPr>
          <w:b/>
          <w:sz w:val="28"/>
          <w:szCs w:val="28"/>
        </w:rPr>
        <w:t>iem publiskiem iepirkumiem</w:t>
      </w:r>
      <w:r w:rsidR="006C4037" w:rsidRPr="00C63DC6">
        <w:rPr>
          <w:b/>
          <w:sz w:val="28"/>
          <w:szCs w:val="28"/>
        </w:rPr>
        <w:t>;</w:t>
      </w:r>
    </w:p>
    <w:p w14:paraId="38C91CF9" w14:textId="350CD6DE" w:rsidR="00E5609C" w:rsidRDefault="00E74AA0" w:rsidP="0063029B">
      <w:pPr>
        <w:pStyle w:val="ListParagraph"/>
        <w:numPr>
          <w:ilvl w:val="1"/>
          <w:numId w:val="22"/>
        </w:numPr>
        <w:spacing w:before="240" w:after="240"/>
        <w:jc w:val="both"/>
        <w:rPr>
          <w:b/>
          <w:sz w:val="28"/>
          <w:szCs w:val="28"/>
        </w:rPr>
      </w:pPr>
      <w:r w:rsidRPr="00C63DC6">
        <w:rPr>
          <w:b/>
          <w:sz w:val="28"/>
          <w:szCs w:val="28"/>
        </w:rPr>
        <w:t>Pārskats par</w:t>
      </w:r>
      <w:r w:rsidR="00E35F38" w:rsidRPr="00C63DC6">
        <w:rPr>
          <w:b/>
          <w:sz w:val="28"/>
          <w:szCs w:val="28"/>
        </w:rPr>
        <w:t xml:space="preserve"> </w:t>
      </w:r>
      <w:r w:rsidR="00C557B4" w:rsidRPr="00C63DC6">
        <w:rPr>
          <w:b/>
          <w:sz w:val="28"/>
          <w:szCs w:val="28"/>
        </w:rPr>
        <w:t>Elektronisko iepirkumu sistēmā veiktajiem zaļ</w:t>
      </w:r>
      <w:r w:rsidR="00C52572" w:rsidRPr="00C63DC6">
        <w:rPr>
          <w:b/>
          <w:sz w:val="28"/>
          <w:szCs w:val="28"/>
        </w:rPr>
        <w:t>aj</w:t>
      </w:r>
      <w:r w:rsidR="00C557B4" w:rsidRPr="00C63DC6">
        <w:rPr>
          <w:b/>
          <w:sz w:val="28"/>
          <w:szCs w:val="28"/>
        </w:rPr>
        <w:t>iem publiskiem iepirkumiem</w:t>
      </w:r>
      <w:r w:rsidR="0063029B">
        <w:rPr>
          <w:b/>
          <w:sz w:val="28"/>
          <w:szCs w:val="28"/>
        </w:rPr>
        <w:t>.</w:t>
      </w:r>
    </w:p>
    <w:p w14:paraId="79A7CA67" w14:textId="77777777" w:rsidR="0063029B" w:rsidRPr="00C63DC6" w:rsidRDefault="0063029B" w:rsidP="0063029B">
      <w:pPr>
        <w:pStyle w:val="ListParagraph"/>
        <w:spacing w:before="240" w:after="240"/>
        <w:ind w:left="1854"/>
        <w:jc w:val="both"/>
        <w:rPr>
          <w:b/>
          <w:sz w:val="28"/>
          <w:szCs w:val="28"/>
        </w:rPr>
      </w:pPr>
    </w:p>
    <w:p w14:paraId="166950FB" w14:textId="48825EE5" w:rsidR="006C4037" w:rsidRDefault="006C4037" w:rsidP="0063029B">
      <w:pPr>
        <w:pStyle w:val="ListParagraph"/>
        <w:numPr>
          <w:ilvl w:val="0"/>
          <w:numId w:val="5"/>
        </w:numPr>
        <w:spacing w:before="240" w:after="240"/>
        <w:ind w:left="714" w:hanging="357"/>
        <w:jc w:val="both"/>
        <w:rPr>
          <w:b/>
          <w:sz w:val="28"/>
          <w:szCs w:val="28"/>
        </w:rPr>
      </w:pPr>
      <w:r w:rsidRPr="00C63DC6">
        <w:rPr>
          <w:b/>
          <w:sz w:val="28"/>
          <w:szCs w:val="28"/>
        </w:rPr>
        <w:t>Secinājumi un priekšlikumi turpmākai rīcībai</w:t>
      </w:r>
    </w:p>
    <w:p w14:paraId="6A727FC8" w14:textId="77777777" w:rsidR="0063029B" w:rsidRPr="00C63DC6" w:rsidRDefault="0063029B" w:rsidP="0063029B">
      <w:pPr>
        <w:pStyle w:val="ListParagraph"/>
        <w:spacing w:before="240" w:after="240"/>
        <w:ind w:left="714"/>
        <w:jc w:val="both"/>
        <w:rPr>
          <w:b/>
          <w:sz w:val="28"/>
          <w:szCs w:val="28"/>
        </w:rPr>
      </w:pPr>
    </w:p>
    <w:p w14:paraId="61545C76" w14:textId="038FB689" w:rsidR="00914A12" w:rsidRPr="00C63DC6" w:rsidRDefault="00914A12" w:rsidP="00AB5C3A">
      <w:pPr>
        <w:pStyle w:val="NoSpacing1"/>
        <w:numPr>
          <w:ilvl w:val="0"/>
          <w:numId w:val="23"/>
        </w:numPr>
        <w:jc w:val="both"/>
        <w:rPr>
          <w:b/>
          <w:sz w:val="28"/>
          <w:szCs w:val="28"/>
        </w:rPr>
      </w:pPr>
      <w:r w:rsidRPr="00C63DC6">
        <w:rPr>
          <w:b/>
          <w:sz w:val="28"/>
          <w:szCs w:val="28"/>
        </w:rPr>
        <w:t>Ievads</w:t>
      </w:r>
    </w:p>
    <w:p w14:paraId="6A3A4065" w14:textId="360445C6" w:rsidR="00BD2DFF" w:rsidRPr="00C63DC6" w:rsidRDefault="00716C7F" w:rsidP="00BD2DFF">
      <w:pPr>
        <w:pStyle w:val="NoSpacing1"/>
        <w:ind w:firstLine="720"/>
        <w:rPr>
          <w:sz w:val="28"/>
          <w:szCs w:val="28"/>
        </w:rPr>
      </w:pPr>
      <w:r w:rsidRPr="00C63DC6">
        <w:rPr>
          <w:sz w:val="28"/>
          <w:szCs w:val="28"/>
        </w:rPr>
        <w:t xml:space="preserve">Vides aizsardzības un reģionālās attīstības ministrija (turpmāk-VARAM) ir sagatavojusi informatīvo ziņojumu </w:t>
      </w:r>
      <w:r w:rsidR="00D93C71" w:rsidRPr="00C63DC6">
        <w:rPr>
          <w:sz w:val="28"/>
          <w:szCs w:val="28"/>
        </w:rPr>
        <w:t>“Par zaļā iepirkuma īstenošanas valsts pārvaldē gaitu 201</w:t>
      </w:r>
      <w:r w:rsidR="00A02B4C" w:rsidRPr="00C63DC6">
        <w:rPr>
          <w:sz w:val="28"/>
          <w:szCs w:val="28"/>
        </w:rPr>
        <w:t>8</w:t>
      </w:r>
      <w:r w:rsidR="00D93C71" w:rsidRPr="00C63DC6">
        <w:rPr>
          <w:sz w:val="28"/>
          <w:szCs w:val="28"/>
        </w:rPr>
        <w:t xml:space="preserve">. gadā” </w:t>
      </w:r>
      <w:r w:rsidRPr="00C63DC6">
        <w:rPr>
          <w:sz w:val="28"/>
          <w:szCs w:val="28"/>
        </w:rPr>
        <w:t xml:space="preserve">(turpmāk </w:t>
      </w:r>
      <w:r w:rsidR="00560F78" w:rsidRPr="00C63DC6">
        <w:rPr>
          <w:sz w:val="28"/>
          <w:szCs w:val="28"/>
        </w:rPr>
        <w:t>–</w:t>
      </w:r>
      <w:r w:rsidRPr="00C63DC6">
        <w:rPr>
          <w:sz w:val="28"/>
          <w:szCs w:val="28"/>
        </w:rPr>
        <w:t xml:space="preserve"> </w:t>
      </w:r>
      <w:r w:rsidR="00560F78" w:rsidRPr="00C63DC6">
        <w:rPr>
          <w:sz w:val="28"/>
          <w:szCs w:val="28"/>
        </w:rPr>
        <w:t>informatīvais ziņojums</w:t>
      </w:r>
      <w:r w:rsidRPr="00C63DC6">
        <w:rPr>
          <w:sz w:val="28"/>
          <w:szCs w:val="28"/>
        </w:rPr>
        <w:t xml:space="preserve">). </w:t>
      </w:r>
      <w:r w:rsidR="00560F78" w:rsidRPr="00C63DC6">
        <w:rPr>
          <w:sz w:val="28"/>
          <w:szCs w:val="28"/>
        </w:rPr>
        <w:t>Informatīvais ziņojums</w:t>
      </w:r>
      <w:r w:rsidRPr="00C63DC6">
        <w:rPr>
          <w:sz w:val="28"/>
          <w:szCs w:val="28"/>
        </w:rPr>
        <w:t xml:space="preserve"> sagatavots, pamatojoties uz 2017. gada 20. jūnija Ministru </w:t>
      </w:r>
      <w:r w:rsidR="00560F78" w:rsidRPr="00C63DC6">
        <w:rPr>
          <w:sz w:val="28"/>
          <w:szCs w:val="28"/>
        </w:rPr>
        <w:t>k</w:t>
      </w:r>
      <w:r w:rsidRPr="00C63DC6">
        <w:rPr>
          <w:sz w:val="28"/>
          <w:szCs w:val="28"/>
        </w:rPr>
        <w:t xml:space="preserve">abineta </w:t>
      </w:r>
      <w:r w:rsidR="00560F78" w:rsidRPr="00C63DC6">
        <w:rPr>
          <w:sz w:val="28"/>
          <w:szCs w:val="28"/>
        </w:rPr>
        <w:t>n</w:t>
      </w:r>
      <w:r w:rsidRPr="00C63DC6">
        <w:rPr>
          <w:sz w:val="28"/>
          <w:szCs w:val="28"/>
        </w:rPr>
        <w:t xml:space="preserve">oteikumu Nr. 353 “Prasības zaļajam publiskajam iepirkumam un to piemērošanas kārtība” </w:t>
      </w:r>
      <w:r w:rsidR="00345189" w:rsidRPr="00C63DC6">
        <w:rPr>
          <w:sz w:val="28"/>
          <w:szCs w:val="28"/>
        </w:rPr>
        <w:t xml:space="preserve"> (turpmāk-MK noteikumi) </w:t>
      </w:r>
      <w:r w:rsidRPr="00C63DC6">
        <w:rPr>
          <w:sz w:val="28"/>
          <w:szCs w:val="28"/>
        </w:rPr>
        <w:t>14.</w:t>
      </w:r>
      <w:r w:rsidR="00560F78" w:rsidRPr="00C63DC6">
        <w:rPr>
          <w:sz w:val="28"/>
          <w:szCs w:val="28"/>
        </w:rPr>
        <w:t>5.punktu</w:t>
      </w:r>
      <w:r w:rsidRPr="00C63DC6">
        <w:rPr>
          <w:sz w:val="28"/>
          <w:szCs w:val="28"/>
        </w:rPr>
        <w:t xml:space="preserve"> </w:t>
      </w:r>
      <w:r w:rsidR="00BD2DFF" w:rsidRPr="00C63DC6">
        <w:rPr>
          <w:sz w:val="28"/>
          <w:szCs w:val="28"/>
        </w:rPr>
        <w:t>VARAM nodrošināt zaļā iepirkuma īstenošanas gadskārtēju novērtējumu:</w:t>
      </w:r>
    </w:p>
    <w:p w14:paraId="57C5400D" w14:textId="346FC2E5" w:rsidR="00BD2DFF" w:rsidRPr="00C63DC6" w:rsidRDefault="00BD2DFF" w:rsidP="00BD2DFF">
      <w:pPr>
        <w:pStyle w:val="NoSpacing1"/>
        <w:numPr>
          <w:ilvl w:val="0"/>
          <w:numId w:val="20"/>
        </w:numPr>
        <w:rPr>
          <w:sz w:val="28"/>
          <w:szCs w:val="28"/>
        </w:rPr>
      </w:pPr>
      <w:r w:rsidRPr="00C63DC6">
        <w:rPr>
          <w:sz w:val="28"/>
          <w:szCs w:val="28"/>
        </w:rPr>
        <w:t>nosakot zaļā iepirkuma īpatsvaru finansiālā izteiksmē kopējā publisko iepirkumu apjomā;</w:t>
      </w:r>
    </w:p>
    <w:p w14:paraId="45371900" w14:textId="5C95CF5A" w:rsidR="00BD2DFF" w:rsidRPr="00C63DC6" w:rsidRDefault="00BD2DFF" w:rsidP="00BD2DFF">
      <w:pPr>
        <w:pStyle w:val="NoSpacing1"/>
        <w:numPr>
          <w:ilvl w:val="0"/>
          <w:numId w:val="20"/>
        </w:numPr>
        <w:rPr>
          <w:sz w:val="28"/>
          <w:szCs w:val="28"/>
        </w:rPr>
      </w:pPr>
      <w:r w:rsidRPr="00C63DC6">
        <w:rPr>
          <w:sz w:val="28"/>
          <w:szCs w:val="28"/>
        </w:rPr>
        <w:t>apkopojot datus par zaļajā iepirkumā iegādātajām preču un pakalpojumu grupām atsevišķi valsts tiešās pārvaldes iestādēm un pašvaldībām;</w:t>
      </w:r>
    </w:p>
    <w:p w14:paraId="6DC6EC84" w14:textId="4260CB9F" w:rsidR="00BD2DFF" w:rsidRPr="00C63DC6" w:rsidRDefault="00BD2DFF" w:rsidP="00BD2DFF">
      <w:pPr>
        <w:pStyle w:val="NoSpacing1"/>
        <w:numPr>
          <w:ilvl w:val="0"/>
          <w:numId w:val="20"/>
        </w:numPr>
        <w:rPr>
          <w:sz w:val="28"/>
          <w:szCs w:val="28"/>
        </w:rPr>
      </w:pPr>
      <w:r w:rsidRPr="00C63DC6">
        <w:rPr>
          <w:sz w:val="28"/>
          <w:szCs w:val="28"/>
        </w:rPr>
        <w:t>reizi gadā līdz 1. maijam sagatavojot un iesniedzot Ministru kabinetā informatīvo ziņojumu par zaļā iepirkuma īstenošanu valsts pārvaldē.</w:t>
      </w:r>
    </w:p>
    <w:p w14:paraId="58210CB0" w14:textId="52586A4E" w:rsidR="00716C7F" w:rsidRPr="00C63DC6" w:rsidRDefault="00716C7F" w:rsidP="005413F1">
      <w:pPr>
        <w:pStyle w:val="NoSpacing1"/>
        <w:ind w:firstLine="720"/>
        <w:jc w:val="both"/>
        <w:rPr>
          <w:sz w:val="28"/>
          <w:szCs w:val="28"/>
        </w:rPr>
      </w:pPr>
      <w:r w:rsidRPr="00C63DC6">
        <w:rPr>
          <w:sz w:val="28"/>
          <w:szCs w:val="28"/>
        </w:rPr>
        <w:t xml:space="preserve">Informatīvajā ziņojumā sniegta informācija, </w:t>
      </w:r>
      <w:r w:rsidRPr="00C63DC6">
        <w:rPr>
          <w:sz w:val="28"/>
          <w:szCs w:val="28"/>
          <w:shd w:val="clear" w:color="auto" w:fill="FFFFFF" w:themeFill="background1"/>
        </w:rPr>
        <w:t xml:space="preserve">apkopojot Valsts reģionālās attīstības aģentūras (turpmāk - VRAA), kas pārvalda elektronisko iepirkumu sistēmu (turpmāk - EIS), un Iepirkumu uzraudzības biroja (turpmāk – IUB) sniegtos datus </w:t>
      </w:r>
      <w:r w:rsidRPr="00C63DC6">
        <w:rPr>
          <w:sz w:val="28"/>
          <w:szCs w:val="28"/>
        </w:rPr>
        <w:t>pa</w:t>
      </w:r>
      <w:r w:rsidR="00BD2DFF" w:rsidRPr="00C63DC6">
        <w:rPr>
          <w:sz w:val="28"/>
          <w:szCs w:val="28"/>
        </w:rPr>
        <w:t>r 2010. - 2018</w:t>
      </w:r>
      <w:r w:rsidRPr="00C63DC6">
        <w:rPr>
          <w:sz w:val="28"/>
          <w:szCs w:val="28"/>
        </w:rPr>
        <w:t>.</w:t>
      </w:r>
      <w:r w:rsidR="00DA26A9">
        <w:rPr>
          <w:sz w:val="28"/>
          <w:szCs w:val="28"/>
        </w:rPr>
        <w:t xml:space="preserve"> </w:t>
      </w:r>
      <w:r w:rsidRPr="00C63DC6">
        <w:rPr>
          <w:sz w:val="28"/>
          <w:szCs w:val="28"/>
        </w:rPr>
        <w:t>gadā veiktajiem publiskajiem iepirkumiem, kuros izmanto vides kritērijus – zaļais publiskais iepirkums (turpmāk - ZPI). Informatīv</w:t>
      </w:r>
      <w:r w:rsidR="00560F78" w:rsidRPr="00C63DC6">
        <w:rPr>
          <w:sz w:val="28"/>
          <w:szCs w:val="28"/>
        </w:rPr>
        <w:t>ajā</w:t>
      </w:r>
      <w:r w:rsidRPr="00C63DC6">
        <w:rPr>
          <w:sz w:val="28"/>
          <w:szCs w:val="28"/>
        </w:rPr>
        <w:t xml:space="preserve"> ziņojumā sniegto informāciju ilustrē </w:t>
      </w:r>
      <w:r w:rsidR="000520D7">
        <w:rPr>
          <w:sz w:val="28"/>
          <w:szCs w:val="28"/>
        </w:rPr>
        <w:t>10</w:t>
      </w:r>
      <w:r w:rsidR="003E562F" w:rsidRPr="00C63DC6">
        <w:rPr>
          <w:sz w:val="28"/>
          <w:szCs w:val="28"/>
        </w:rPr>
        <w:t xml:space="preserve"> </w:t>
      </w:r>
      <w:r w:rsidRPr="00C63DC6">
        <w:rPr>
          <w:sz w:val="28"/>
          <w:szCs w:val="28"/>
        </w:rPr>
        <w:t xml:space="preserve">attēli un </w:t>
      </w:r>
      <w:r w:rsidR="00A90C19">
        <w:rPr>
          <w:sz w:val="28"/>
          <w:szCs w:val="28"/>
        </w:rPr>
        <w:t>10</w:t>
      </w:r>
      <w:r w:rsidR="00363F6B" w:rsidRPr="00C63DC6">
        <w:rPr>
          <w:sz w:val="28"/>
          <w:szCs w:val="28"/>
        </w:rPr>
        <w:t xml:space="preserve"> </w:t>
      </w:r>
      <w:r w:rsidRPr="00C63DC6">
        <w:rPr>
          <w:sz w:val="28"/>
          <w:szCs w:val="28"/>
        </w:rPr>
        <w:t>tabulas.</w:t>
      </w:r>
    </w:p>
    <w:p w14:paraId="21B5F12F" w14:textId="623CB8A4" w:rsidR="0034589C" w:rsidRDefault="00A02B4C" w:rsidP="0034589C">
      <w:pPr>
        <w:pStyle w:val="NoSpacing1"/>
        <w:ind w:firstLine="720"/>
        <w:jc w:val="both"/>
        <w:rPr>
          <w:sz w:val="28"/>
          <w:szCs w:val="28"/>
        </w:rPr>
      </w:pPr>
      <w:r w:rsidRPr="00C63DC6">
        <w:rPr>
          <w:sz w:val="28"/>
          <w:szCs w:val="28"/>
        </w:rPr>
        <w:lastRenderedPageBreak/>
        <w:t>Ņemot vērā, ka “</w:t>
      </w:r>
      <w:r w:rsidR="00716C7F" w:rsidRPr="00C63DC6">
        <w:rPr>
          <w:sz w:val="28"/>
          <w:szCs w:val="28"/>
        </w:rPr>
        <w:t>Zaļā iepirkuma veicināšanas plān</w:t>
      </w:r>
      <w:r w:rsidR="0066468C" w:rsidRPr="00C63DC6">
        <w:rPr>
          <w:sz w:val="28"/>
          <w:szCs w:val="28"/>
        </w:rPr>
        <w:t>ā</w:t>
      </w:r>
      <w:r w:rsidR="00716C7F" w:rsidRPr="00C63DC6">
        <w:rPr>
          <w:sz w:val="28"/>
          <w:szCs w:val="28"/>
        </w:rPr>
        <w:t xml:space="preserve"> 2015.-2017.gadam</w:t>
      </w:r>
      <w:r w:rsidRPr="00C63DC6">
        <w:rPr>
          <w:sz w:val="28"/>
          <w:szCs w:val="28"/>
        </w:rPr>
        <w:t xml:space="preserve">” </w:t>
      </w:r>
      <w:r w:rsidR="0066468C" w:rsidRPr="00C63DC6">
        <w:rPr>
          <w:sz w:val="28"/>
          <w:szCs w:val="28"/>
        </w:rPr>
        <w:t>izvirzītie</w:t>
      </w:r>
      <w:r w:rsidR="0034589C" w:rsidRPr="00C63DC6">
        <w:rPr>
          <w:sz w:val="28"/>
          <w:szCs w:val="28"/>
        </w:rPr>
        <w:t xml:space="preserve"> rīcības virzieni:</w:t>
      </w:r>
    </w:p>
    <w:p w14:paraId="459D07C7" w14:textId="77777777" w:rsidR="0063029B" w:rsidRPr="00C63DC6" w:rsidRDefault="0063029B" w:rsidP="0034589C">
      <w:pPr>
        <w:pStyle w:val="NoSpacing1"/>
        <w:ind w:firstLine="720"/>
        <w:jc w:val="both"/>
        <w:rPr>
          <w:sz w:val="28"/>
          <w:szCs w:val="28"/>
        </w:rPr>
      </w:pPr>
    </w:p>
    <w:p w14:paraId="599EE5CE" w14:textId="7EDE09B0" w:rsidR="0034589C" w:rsidRPr="00C63DC6" w:rsidRDefault="0034589C" w:rsidP="0066468C">
      <w:pPr>
        <w:pStyle w:val="NoSpacing1"/>
        <w:numPr>
          <w:ilvl w:val="0"/>
          <w:numId w:val="26"/>
        </w:numPr>
        <w:jc w:val="both"/>
        <w:rPr>
          <w:sz w:val="28"/>
          <w:szCs w:val="28"/>
        </w:rPr>
      </w:pPr>
      <w:r w:rsidRPr="00C63DC6">
        <w:rPr>
          <w:sz w:val="28"/>
          <w:szCs w:val="28"/>
        </w:rPr>
        <w:t>Institucionālās sistēmas un normatīvās bāzes pilnveidošana</w:t>
      </w:r>
      <w:r w:rsidR="0066468C" w:rsidRPr="00C63DC6">
        <w:rPr>
          <w:sz w:val="28"/>
          <w:szCs w:val="28"/>
        </w:rPr>
        <w:t>,</w:t>
      </w:r>
    </w:p>
    <w:p w14:paraId="3FE3045A" w14:textId="300DE7ED" w:rsidR="0034589C" w:rsidRPr="00C63DC6" w:rsidRDefault="0034589C" w:rsidP="0066468C">
      <w:pPr>
        <w:pStyle w:val="NoSpacing1"/>
        <w:numPr>
          <w:ilvl w:val="0"/>
          <w:numId w:val="26"/>
        </w:numPr>
        <w:jc w:val="both"/>
        <w:rPr>
          <w:sz w:val="28"/>
          <w:szCs w:val="28"/>
        </w:rPr>
      </w:pPr>
      <w:r w:rsidRPr="00C63DC6">
        <w:rPr>
          <w:sz w:val="28"/>
          <w:szCs w:val="28"/>
        </w:rPr>
        <w:t>Metodiskā vadība un uzraudzība</w:t>
      </w:r>
      <w:r w:rsidR="0066468C" w:rsidRPr="00C63DC6">
        <w:rPr>
          <w:sz w:val="28"/>
          <w:szCs w:val="28"/>
        </w:rPr>
        <w:t>,</w:t>
      </w:r>
    </w:p>
    <w:p w14:paraId="1065464E" w14:textId="40970598" w:rsidR="0034589C" w:rsidRPr="00C63DC6" w:rsidRDefault="0034589C" w:rsidP="0066468C">
      <w:pPr>
        <w:pStyle w:val="NoSpacing1"/>
        <w:numPr>
          <w:ilvl w:val="0"/>
          <w:numId w:val="26"/>
        </w:numPr>
        <w:jc w:val="both"/>
        <w:rPr>
          <w:sz w:val="28"/>
          <w:szCs w:val="28"/>
        </w:rPr>
      </w:pPr>
      <w:r w:rsidRPr="00C63DC6">
        <w:rPr>
          <w:sz w:val="28"/>
          <w:szCs w:val="28"/>
        </w:rPr>
        <w:t>ZI un ZPI popularizēšana</w:t>
      </w:r>
      <w:r w:rsidR="0066468C" w:rsidRPr="00C63DC6">
        <w:rPr>
          <w:sz w:val="28"/>
          <w:szCs w:val="28"/>
        </w:rPr>
        <w:t>,</w:t>
      </w:r>
    </w:p>
    <w:p w14:paraId="143DF8D1" w14:textId="510917BD" w:rsidR="00EC3CBA" w:rsidRPr="0097332A" w:rsidRDefault="00A02B4C" w:rsidP="0034589C">
      <w:pPr>
        <w:pStyle w:val="NoSpacing1"/>
        <w:jc w:val="both"/>
        <w:rPr>
          <w:sz w:val="28"/>
          <w:szCs w:val="28"/>
        </w:rPr>
      </w:pPr>
      <w:r w:rsidRPr="00C63DC6">
        <w:rPr>
          <w:sz w:val="28"/>
          <w:szCs w:val="28"/>
        </w:rPr>
        <w:t>tika izpildīt</w:t>
      </w:r>
      <w:r w:rsidR="0034589C" w:rsidRPr="00C63DC6">
        <w:rPr>
          <w:sz w:val="28"/>
          <w:szCs w:val="28"/>
        </w:rPr>
        <w:t>i</w:t>
      </w:r>
      <w:r w:rsidR="001435ED" w:rsidRPr="00C63DC6">
        <w:rPr>
          <w:sz w:val="28"/>
          <w:szCs w:val="28"/>
        </w:rPr>
        <w:t>, bet i</w:t>
      </w:r>
      <w:r w:rsidR="00716C7F" w:rsidRPr="00C63DC6">
        <w:rPr>
          <w:sz w:val="28"/>
          <w:szCs w:val="28"/>
        </w:rPr>
        <w:t>zvirzīt</w:t>
      </w:r>
      <w:r w:rsidR="001435ED" w:rsidRPr="00C63DC6">
        <w:rPr>
          <w:sz w:val="28"/>
          <w:szCs w:val="28"/>
        </w:rPr>
        <w:t>ai</w:t>
      </w:r>
      <w:r w:rsidR="00716C7F" w:rsidRPr="00C63DC6">
        <w:rPr>
          <w:sz w:val="28"/>
          <w:szCs w:val="28"/>
        </w:rPr>
        <w:t>s mērķis - nodrošināt ZPI finansiālā īpatsvara palielināšanu valsts</w:t>
      </w:r>
      <w:r w:rsidR="001435ED" w:rsidRPr="00C63DC6">
        <w:rPr>
          <w:sz w:val="28"/>
          <w:szCs w:val="28"/>
        </w:rPr>
        <w:t xml:space="preserve"> un pašvaldību iepirkumos tika sasniegts daļēji, VARAM turpina īstenot aktivitātes, lai </w:t>
      </w:r>
      <w:r w:rsidR="00DB5F5F">
        <w:rPr>
          <w:sz w:val="28"/>
          <w:szCs w:val="28"/>
        </w:rPr>
        <w:t>nodrošinātu īpatsvara pieaugumu</w:t>
      </w:r>
      <w:r w:rsidR="00526E65">
        <w:rPr>
          <w:sz w:val="28"/>
          <w:szCs w:val="28"/>
        </w:rPr>
        <w:t>. Tiek identificētas tās preču, pakalpojumu un būvdarbu grupas, kas atstāj visbūtiskāko ietekmi uz ZPI īpatsvara izmaiņām</w:t>
      </w:r>
      <w:r w:rsidR="00526E65" w:rsidRPr="0097332A">
        <w:rPr>
          <w:sz w:val="28"/>
          <w:szCs w:val="28"/>
        </w:rPr>
        <w:t xml:space="preserve">. Vienlaicīgi </w:t>
      </w:r>
      <w:r w:rsidR="00EC3CBA" w:rsidRPr="0097332A">
        <w:rPr>
          <w:sz w:val="28"/>
          <w:szCs w:val="28"/>
        </w:rPr>
        <w:t>tiek apsvērts pārskatīt ZPI īpatsvara noteikšanas pieeju</w:t>
      </w:r>
      <w:r w:rsidR="00526E65" w:rsidRPr="0097332A">
        <w:rPr>
          <w:sz w:val="28"/>
          <w:szCs w:val="28"/>
        </w:rPr>
        <w:t>, lai nodrošin</w:t>
      </w:r>
      <w:r w:rsidR="0063029B" w:rsidRPr="0097332A">
        <w:rPr>
          <w:sz w:val="28"/>
          <w:szCs w:val="28"/>
        </w:rPr>
        <w:t xml:space="preserve">ātu </w:t>
      </w:r>
      <w:r w:rsidR="003E37C9" w:rsidRPr="0097332A">
        <w:rPr>
          <w:sz w:val="28"/>
          <w:szCs w:val="28"/>
        </w:rPr>
        <w:t>atbilstošāku</w:t>
      </w:r>
      <w:r w:rsidR="0063029B" w:rsidRPr="0097332A">
        <w:rPr>
          <w:sz w:val="28"/>
          <w:szCs w:val="28"/>
        </w:rPr>
        <w:t xml:space="preserve"> </w:t>
      </w:r>
      <w:r w:rsidR="00526E65" w:rsidRPr="0097332A">
        <w:rPr>
          <w:sz w:val="28"/>
          <w:szCs w:val="28"/>
        </w:rPr>
        <w:t xml:space="preserve">īpatsvara izmaiņu </w:t>
      </w:r>
      <w:r w:rsidR="0063029B" w:rsidRPr="0097332A">
        <w:rPr>
          <w:sz w:val="28"/>
          <w:szCs w:val="28"/>
        </w:rPr>
        <w:t>raksturojumu</w:t>
      </w:r>
      <w:r w:rsidR="003E37C9" w:rsidRPr="0097332A">
        <w:rPr>
          <w:sz w:val="28"/>
          <w:szCs w:val="28"/>
        </w:rPr>
        <w:t xml:space="preserve"> un attīstības tendenču prognozējamību.</w:t>
      </w:r>
    </w:p>
    <w:p w14:paraId="578EFAE0" w14:textId="10C2D0CD" w:rsidR="00716C7F" w:rsidRPr="00C63DC6" w:rsidRDefault="00716C7F" w:rsidP="005413F1">
      <w:pPr>
        <w:pStyle w:val="NoSpacing1"/>
        <w:ind w:firstLine="720"/>
        <w:jc w:val="both"/>
        <w:rPr>
          <w:sz w:val="28"/>
          <w:szCs w:val="28"/>
        </w:rPr>
      </w:pPr>
      <w:r w:rsidRPr="0097332A">
        <w:rPr>
          <w:sz w:val="28"/>
          <w:szCs w:val="28"/>
        </w:rPr>
        <w:t>Informatīvā ziņojuma tematiskajās sadaļās</w:t>
      </w:r>
      <w:r w:rsidRPr="00C63DC6">
        <w:rPr>
          <w:sz w:val="28"/>
          <w:szCs w:val="28"/>
        </w:rPr>
        <w:t xml:space="preserve"> ir apkopota informācija un veikta datu analīze, kas detalizētāk raksturo </w:t>
      </w:r>
      <w:r w:rsidR="0066468C" w:rsidRPr="00C63DC6">
        <w:rPr>
          <w:sz w:val="28"/>
          <w:szCs w:val="28"/>
        </w:rPr>
        <w:t>ZPI īpatsvara izmaiņu tendences un noslēgumā tiek sniegti priekšlikumi turpmākajām rīcībām.</w:t>
      </w:r>
    </w:p>
    <w:p w14:paraId="233B5498" w14:textId="6A6D7B72" w:rsidR="009B508E" w:rsidRPr="00C63DC6" w:rsidRDefault="00725FFC" w:rsidP="00AB5C3A">
      <w:pPr>
        <w:pStyle w:val="NoSpacing1"/>
        <w:numPr>
          <w:ilvl w:val="0"/>
          <w:numId w:val="23"/>
        </w:numPr>
        <w:spacing w:before="240"/>
        <w:jc w:val="both"/>
        <w:rPr>
          <w:b/>
          <w:sz w:val="28"/>
          <w:szCs w:val="28"/>
        </w:rPr>
      </w:pPr>
      <w:r w:rsidRPr="00C63DC6">
        <w:rPr>
          <w:b/>
          <w:sz w:val="28"/>
          <w:szCs w:val="28"/>
        </w:rPr>
        <w:t> </w:t>
      </w:r>
      <w:r w:rsidR="000F3A0C" w:rsidRPr="00C63DC6">
        <w:rPr>
          <w:b/>
          <w:sz w:val="28"/>
          <w:szCs w:val="28"/>
        </w:rPr>
        <w:t>Tiesiskais regulējums</w:t>
      </w:r>
    </w:p>
    <w:p w14:paraId="37B8E4BA" w14:textId="5BB870DE" w:rsidR="00716C7F" w:rsidRPr="00C63DC6" w:rsidRDefault="00716C7F" w:rsidP="0066468C">
      <w:pPr>
        <w:ind w:firstLine="720"/>
        <w:jc w:val="both"/>
        <w:rPr>
          <w:rFonts w:eastAsia="Calibri"/>
          <w:color w:val="000000"/>
          <w:sz w:val="28"/>
          <w:szCs w:val="28"/>
        </w:rPr>
      </w:pPr>
      <w:r w:rsidRPr="00C63DC6">
        <w:rPr>
          <w:sz w:val="28"/>
          <w:szCs w:val="28"/>
        </w:rPr>
        <w:t>E</w:t>
      </w:r>
      <w:r w:rsidR="0066468C" w:rsidRPr="00C63DC6">
        <w:rPr>
          <w:sz w:val="28"/>
          <w:szCs w:val="28"/>
        </w:rPr>
        <w:t xml:space="preserve">iropas </w:t>
      </w:r>
      <w:r w:rsidRPr="00C63DC6">
        <w:rPr>
          <w:sz w:val="28"/>
          <w:szCs w:val="28"/>
        </w:rPr>
        <w:t>S</w:t>
      </w:r>
      <w:r w:rsidR="0066468C" w:rsidRPr="00C63DC6">
        <w:rPr>
          <w:sz w:val="28"/>
          <w:szCs w:val="28"/>
        </w:rPr>
        <w:t>avienībā</w:t>
      </w:r>
      <w:r w:rsidRPr="00C63DC6">
        <w:rPr>
          <w:sz w:val="28"/>
          <w:szCs w:val="28"/>
        </w:rPr>
        <w:t xml:space="preserve"> ir īstenojusi politiku publisko iepirkumu jomā, pastāvīgi pilnveidojot tiesisko ietvaru publisko iepirkumu jomā  un paredzot tajā vides aizsardzības un energoefektivitātes prasības. Pēdējos gados ir pieņemtas vairākas direktīvas, uz kuru pamata ir izstrādāts jauns publis</w:t>
      </w:r>
      <w:r w:rsidR="00655287" w:rsidRPr="00C63DC6">
        <w:rPr>
          <w:sz w:val="28"/>
          <w:szCs w:val="28"/>
        </w:rPr>
        <w:t xml:space="preserve">ko iepirkumu regulējums Latvijā, t.sk. </w:t>
      </w:r>
      <w:r w:rsidR="00655287" w:rsidRPr="00C63DC6">
        <w:rPr>
          <w:rFonts w:eastAsia="Calibri"/>
          <w:color w:val="000000"/>
          <w:sz w:val="28"/>
          <w:szCs w:val="28"/>
        </w:rPr>
        <w:t>Publisko iepirkumu likums</w:t>
      </w:r>
      <w:r w:rsidR="00710BEE" w:rsidRPr="00C63DC6">
        <w:rPr>
          <w:rFonts w:eastAsia="Calibri"/>
          <w:color w:val="000000"/>
          <w:sz w:val="28"/>
          <w:szCs w:val="28"/>
        </w:rPr>
        <w:t xml:space="preserve"> (turpmāk –PIL)</w:t>
      </w:r>
      <w:r w:rsidR="0066468C" w:rsidRPr="00C63DC6">
        <w:rPr>
          <w:rFonts w:eastAsia="Calibri"/>
          <w:color w:val="000000"/>
          <w:sz w:val="28"/>
          <w:szCs w:val="28"/>
        </w:rPr>
        <w:t xml:space="preserve">, kas </w:t>
      </w:r>
      <w:r w:rsidRPr="00C63DC6">
        <w:rPr>
          <w:rFonts w:eastAsia="Calibri"/>
          <w:color w:val="000000"/>
          <w:sz w:val="28"/>
          <w:szCs w:val="28"/>
        </w:rPr>
        <w:t xml:space="preserve">stājās spēkā 2017. gada 1. </w:t>
      </w:r>
      <w:r w:rsidR="0066468C" w:rsidRPr="00C63DC6">
        <w:rPr>
          <w:rFonts w:eastAsia="Calibri"/>
          <w:color w:val="000000"/>
          <w:sz w:val="28"/>
          <w:szCs w:val="28"/>
        </w:rPr>
        <w:t>martā</w:t>
      </w:r>
      <w:r w:rsidRPr="00C63DC6">
        <w:rPr>
          <w:rFonts w:eastAsia="Calibri"/>
          <w:color w:val="000000"/>
          <w:sz w:val="28"/>
          <w:szCs w:val="28"/>
        </w:rPr>
        <w:t xml:space="preserve"> u</w:t>
      </w:r>
      <w:r w:rsidR="00655287" w:rsidRPr="00C63DC6">
        <w:rPr>
          <w:rFonts w:eastAsia="Calibri"/>
          <w:color w:val="000000"/>
          <w:sz w:val="28"/>
          <w:szCs w:val="28"/>
        </w:rPr>
        <w:t xml:space="preserve">n </w:t>
      </w:r>
      <w:r w:rsidRPr="00C63DC6">
        <w:rPr>
          <w:rFonts w:eastAsia="Calibri"/>
          <w:color w:val="000000"/>
          <w:sz w:val="28"/>
          <w:szCs w:val="28"/>
        </w:rPr>
        <w:t>Sabiedrisko pakalpojumu sniedzēju iepirkumu likumu</w:t>
      </w:r>
      <w:r w:rsidR="00710BEE" w:rsidRPr="00C63DC6">
        <w:rPr>
          <w:rFonts w:eastAsia="Calibri"/>
          <w:color w:val="000000"/>
          <w:sz w:val="28"/>
          <w:szCs w:val="28"/>
        </w:rPr>
        <w:t xml:space="preserve"> (turpmāk </w:t>
      </w:r>
      <w:r w:rsidR="00CA61E0" w:rsidRPr="00C63DC6">
        <w:rPr>
          <w:rFonts w:eastAsia="Calibri"/>
          <w:color w:val="000000"/>
          <w:sz w:val="28"/>
          <w:szCs w:val="28"/>
        </w:rPr>
        <w:t xml:space="preserve">- </w:t>
      </w:r>
      <w:r w:rsidR="00710BEE" w:rsidRPr="00C63DC6">
        <w:rPr>
          <w:rFonts w:eastAsia="Calibri"/>
          <w:color w:val="000000"/>
          <w:sz w:val="28"/>
          <w:szCs w:val="28"/>
        </w:rPr>
        <w:t>SPSIL)</w:t>
      </w:r>
      <w:r w:rsidR="0052669D" w:rsidRPr="00C63DC6">
        <w:rPr>
          <w:rFonts w:eastAsia="Calibri"/>
          <w:color w:val="000000"/>
          <w:sz w:val="28"/>
          <w:szCs w:val="28"/>
        </w:rPr>
        <w:t xml:space="preserve">, kas </w:t>
      </w:r>
      <w:r w:rsidRPr="00C63DC6">
        <w:rPr>
          <w:rFonts w:eastAsia="Calibri"/>
          <w:color w:val="000000"/>
          <w:sz w:val="28"/>
          <w:szCs w:val="28"/>
        </w:rPr>
        <w:t>st</w:t>
      </w:r>
      <w:r w:rsidR="0052669D" w:rsidRPr="00C63DC6">
        <w:rPr>
          <w:rFonts w:eastAsia="Calibri"/>
          <w:color w:val="000000"/>
          <w:sz w:val="28"/>
          <w:szCs w:val="28"/>
        </w:rPr>
        <w:t>ājās spēkā 2017. gada 1. aprīlī</w:t>
      </w:r>
      <w:r w:rsidRPr="00C63DC6">
        <w:rPr>
          <w:rFonts w:eastAsia="Calibri"/>
          <w:color w:val="000000"/>
          <w:sz w:val="28"/>
          <w:szCs w:val="28"/>
        </w:rPr>
        <w:t>.</w:t>
      </w:r>
      <w:r w:rsidR="00655287" w:rsidRPr="00C63DC6">
        <w:rPr>
          <w:rFonts w:eastAsia="Calibri"/>
          <w:color w:val="000000"/>
          <w:sz w:val="28"/>
          <w:szCs w:val="28"/>
        </w:rPr>
        <w:t xml:space="preserve"> PIL un SPSIL noteiktā deleģējuma ietvaros izstrādātie </w:t>
      </w:r>
      <w:r w:rsidR="00345189" w:rsidRPr="00C63DC6">
        <w:rPr>
          <w:rFonts w:eastAsia="Calibri"/>
          <w:color w:val="000000"/>
          <w:sz w:val="28"/>
          <w:szCs w:val="28"/>
        </w:rPr>
        <w:t xml:space="preserve">MK </w:t>
      </w:r>
      <w:r w:rsidR="00655287" w:rsidRPr="00C63DC6">
        <w:rPr>
          <w:rFonts w:eastAsia="Calibri"/>
          <w:color w:val="000000"/>
          <w:sz w:val="28"/>
          <w:szCs w:val="28"/>
        </w:rPr>
        <w:t xml:space="preserve"> noteikumi </w:t>
      </w:r>
      <w:r w:rsidRPr="00C63DC6">
        <w:rPr>
          <w:rFonts w:eastAsia="Calibri"/>
          <w:color w:val="000000"/>
          <w:sz w:val="28"/>
          <w:szCs w:val="28"/>
        </w:rPr>
        <w:t xml:space="preserve">stājās spēkā 2017. gada 1. jūlijā. </w:t>
      </w:r>
    </w:p>
    <w:p w14:paraId="34705010" w14:textId="09BDEB4F" w:rsidR="009B508E" w:rsidRPr="00C63DC6" w:rsidRDefault="00E35F38" w:rsidP="00AB5C3A">
      <w:pPr>
        <w:pStyle w:val="ListParagraph"/>
        <w:numPr>
          <w:ilvl w:val="0"/>
          <w:numId w:val="23"/>
        </w:numPr>
        <w:spacing w:before="120"/>
        <w:jc w:val="both"/>
        <w:rPr>
          <w:b/>
          <w:sz w:val="28"/>
          <w:szCs w:val="28"/>
        </w:rPr>
      </w:pPr>
      <w:r w:rsidRPr="00C63DC6">
        <w:rPr>
          <w:b/>
          <w:sz w:val="28"/>
          <w:szCs w:val="28"/>
        </w:rPr>
        <w:t>Pārskats par zaļā publiskā iepirkuma izmantošanu Latvijā</w:t>
      </w:r>
    </w:p>
    <w:p w14:paraId="6AC875E6" w14:textId="77777777" w:rsidR="00AB5C3A" w:rsidRPr="00C63DC6" w:rsidRDefault="00274048" w:rsidP="00A90C19">
      <w:pPr>
        <w:pStyle w:val="NoSpacing"/>
        <w:spacing w:after="240"/>
        <w:jc w:val="both"/>
        <w:rPr>
          <w:color w:val="262626"/>
          <w:sz w:val="28"/>
          <w:szCs w:val="28"/>
        </w:rPr>
      </w:pPr>
      <w:r w:rsidRPr="00C63DC6">
        <w:rPr>
          <w:sz w:val="28"/>
          <w:szCs w:val="28"/>
        </w:rPr>
        <w:tab/>
      </w:r>
      <w:r w:rsidR="00D82255" w:rsidRPr="00C63DC6">
        <w:rPr>
          <w:sz w:val="28"/>
          <w:szCs w:val="28"/>
        </w:rPr>
        <w:t xml:space="preserve"> </w:t>
      </w:r>
      <w:r w:rsidR="00156AB5" w:rsidRPr="00C63DC6">
        <w:rPr>
          <w:sz w:val="28"/>
          <w:szCs w:val="28"/>
        </w:rPr>
        <w:t xml:space="preserve">Lai izvērtētu rezultatīvos rādītājus par Latvijā paveikto </w:t>
      </w:r>
      <w:r w:rsidR="00367414" w:rsidRPr="00C63DC6">
        <w:rPr>
          <w:sz w:val="28"/>
          <w:szCs w:val="28"/>
        </w:rPr>
        <w:t>ZPI</w:t>
      </w:r>
      <w:r w:rsidR="00156AB5" w:rsidRPr="00C63DC6">
        <w:rPr>
          <w:sz w:val="28"/>
          <w:szCs w:val="28"/>
        </w:rPr>
        <w:t xml:space="preserve"> jomā, </w:t>
      </w:r>
      <w:r w:rsidR="003650DB" w:rsidRPr="00C63DC6">
        <w:rPr>
          <w:sz w:val="28"/>
          <w:szCs w:val="28"/>
        </w:rPr>
        <w:t>VARAM</w:t>
      </w:r>
      <w:r w:rsidR="00156AB5" w:rsidRPr="00C63DC6">
        <w:rPr>
          <w:sz w:val="28"/>
          <w:szCs w:val="28"/>
        </w:rPr>
        <w:t xml:space="preserve"> ir izmantojusi IUB un VRAA sniegtos datus.</w:t>
      </w:r>
      <w:r w:rsidR="00E74AA0" w:rsidRPr="00C63DC6">
        <w:rPr>
          <w:color w:val="262626"/>
          <w:sz w:val="28"/>
          <w:szCs w:val="28"/>
        </w:rPr>
        <w:t xml:space="preserve"> </w:t>
      </w:r>
    </w:p>
    <w:p w14:paraId="7765CC93" w14:textId="7C0A8A73" w:rsidR="009B508E" w:rsidRPr="00C63DC6" w:rsidRDefault="000B58F1" w:rsidP="00AB5C3A">
      <w:pPr>
        <w:pStyle w:val="NoSpacing"/>
        <w:numPr>
          <w:ilvl w:val="1"/>
          <w:numId w:val="23"/>
        </w:numPr>
        <w:jc w:val="both"/>
        <w:rPr>
          <w:color w:val="262626"/>
          <w:sz w:val="28"/>
          <w:szCs w:val="28"/>
        </w:rPr>
      </w:pPr>
      <w:r w:rsidRPr="00C63DC6">
        <w:rPr>
          <w:b/>
          <w:sz w:val="28"/>
          <w:szCs w:val="28"/>
        </w:rPr>
        <w:t>Pārskats par Publisk</w:t>
      </w:r>
      <w:r w:rsidR="007C62AC" w:rsidRPr="00C63DC6">
        <w:rPr>
          <w:b/>
          <w:sz w:val="28"/>
          <w:szCs w:val="28"/>
        </w:rPr>
        <w:t>o</w:t>
      </w:r>
      <w:r w:rsidRPr="00C63DC6">
        <w:rPr>
          <w:b/>
          <w:sz w:val="28"/>
          <w:szCs w:val="28"/>
        </w:rPr>
        <w:t xml:space="preserve"> iepirkum</w:t>
      </w:r>
      <w:r w:rsidR="007C62AC" w:rsidRPr="00C63DC6">
        <w:rPr>
          <w:b/>
          <w:sz w:val="28"/>
          <w:szCs w:val="28"/>
        </w:rPr>
        <w:t>u</w:t>
      </w:r>
      <w:r w:rsidR="00AB5C3A" w:rsidRPr="00C63DC6">
        <w:rPr>
          <w:b/>
          <w:sz w:val="28"/>
          <w:szCs w:val="28"/>
        </w:rPr>
        <w:t xml:space="preserve"> likuma ietvaros </w:t>
      </w:r>
      <w:r w:rsidRPr="00C63DC6">
        <w:rPr>
          <w:b/>
          <w:sz w:val="28"/>
          <w:szCs w:val="28"/>
        </w:rPr>
        <w:t>veiktajiem zaļajiem publiskiem iepirkumiem</w:t>
      </w:r>
    </w:p>
    <w:p w14:paraId="17661419" w14:textId="386BCF77" w:rsidR="00B867CB" w:rsidRDefault="003705D7" w:rsidP="005413F1">
      <w:pPr>
        <w:jc w:val="both"/>
        <w:rPr>
          <w:sz w:val="28"/>
          <w:szCs w:val="28"/>
        </w:rPr>
      </w:pPr>
      <w:r w:rsidRPr="00C63DC6">
        <w:rPr>
          <w:sz w:val="28"/>
          <w:szCs w:val="28"/>
        </w:rPr>
        <w:t xml:space="preserve">           </w:t>
      </w:r>
      <w:r w:rsidR="00345189" w:rsidRPr="00C63DC6">
        <w:rPr>
          <w:sz w:val="28"/>
          <w:szCs w:val="28"/>
        </w:rPr>
        <w:t xml:space="preserve">Izvērtējot pirmo pilno </w:t>
      </w:r>
      <w:r w:rsidR="0052669D" w:rsidRPr="00C63DC6">
        <w:rPr>
          <w:sz w:val="28"/>
          <w:szCs w:val="28"/>
        </w:rPr>
        <w:t>MK noteikumu piemērošanas</w:t>
      </w:r>
      <w:r w:rsidR="00345189" w:rsidRPr="00C63DC6">
        <w:rPr>
          <w:sz w:val="28"/>
          <w:szCs w:val="28"/>
        </w:rPr>
        <w:t xml:space="preserve"> </w:t>
      </w:r>
      <w:r w:rsidR="0052669D" w:rsidRPr="00C63DC6">
        <w:rPr>
          <w:sz w:val="28"/>
          <w:szCs w:val="28"/>
        </w:rPr>
        <w:t xml:space="preserve">gadu, </w:t>
      </w:r>
      <w:r w:rsidR="00345189" w:rsidRPr="00C63DC6">
        <w:rPr>
          <w:sz w:val="28"/>
          <w:szCs w:val="28"/>
        </w:rPr>
        <w:t>var secināt, ka tas kopā ar citiem ZPI iepirkumus veicinošiem faktoriem ir veidojis vērā ņemamu ZPI īpatsvara pieaugumu</w:t>
      </w:r>
      <w:r w:rsidR="005354A9" w:rsidRPr="00C63DC6">
        <w:rPr>
          <w:sz w:val="28"/>
          <w:szCs w:val="28"/>
        </w:rPr>
        <w:t xml:space="preserve"> </w:t>
      </w:r>
      <w:r w:rsidR="0052669D" w:rsidRPr="00C63DC6">
        <w:rPr>
          <w:sz w:val="28"/>
          <w:szCs w:val="28"/>
        </w:rPr>
        <w:t xml:space="preserve">gan </w:t>
      </w:r>
      <w:r w:rsidR="005354A9" w:rsidRPr="00C63DC6">
        <w:rPr>
          <w:sz w:val="28"/>
          <w:szCs w:val="28"/>
        </w:rPr>
        <w:t>finansiālā izteiksmē</w:t>
      </w:r>
      <w:r w:rsidR="0052669D" w:rsidRPr="00C63DC6">
        <w:rPr>
          <w:sz w:val="28"/>
          <w:szCs w:val="28"/>
        </w:rPr>
        <w:t>,</w:t>
      </w:r>
      <w:r w:rsidR="00114C25" w:rsidRPr="00C63DC6">
        <w:rPr>
          <w:sz w:val="28"/>
          <w:szCs w:val="28"/>
        </w:rPr>
        <w:t xml:space="preserve"> sasniedzot </w:t>
      </w:r>
      <w:r w:rsidR="0052669D" w:rsidRPr="00C63DC6">
        <w:rPr>
          <w:sz w:val="28"/>
          <w:szCs w:val="28"/>
        </w:rPr>
        <w:t>18,3% gan arī pēc iepirkumu skaita, sasniedzot 11,4%.</w:t>
      </w:r>
      <w:r w:rsidR="00114C25" w:rsidRPr="00C63DC6">
        <w:rPr>
          <w:sz w:val="28"/>
          <w:szCs w:val="28"/>
        </w:rPr>
        <w:t xml:space="preserve">  </w:t>
      </w:r>
      <w:r w:rsidR="005354A9" w:rsidRPr="00C63DC6">
        <w:rPr>
          <w:sz w:val="28"/>
          <w:szCs w:val="28"/>
        </w:rPr>
        <w:t>Lai gan “Zaļā iepirkuma veicināšanas plāna 2015.-2017.gadam”</w:t>
      </w:r>
      <w:r w:rsidR="00114C25" w:rsidRPr="00C63DC6">
        <w:rPr>
          <w:sz w:val="28"/>
          <w:szCs w:val="28"/>
        </w:rPr>
        <w:t xml:space="preserve"> uzstādītie kvantitatīvie mērķi netika sasniegti, analizējot pieejamos datus var secināt, ka ZPI piemērošana kļūst plašāka, jo vērojams  konsekvents ZPI iepirkumu skaita pieaugums.</w:t>
      </w:r>
      <w:r w:rsidR="00DE4AB2" w:rsidRPr="00C63DC6">
        <w:rPr>
          <w:sz w:val="28"/>
          <w:szCs w:val="28"/>
        </w:rPr>
        <w:t xml:space="preserve"> </w:t>
      </w:r>
      <w:r w:rsidR="00736C48" w:rsidRPr="00C63DC6">
        <w:rPr>
          <w:sz w:val="28"/>
          <w:szCs w:val="28"/>
        </w:rPr>
        <w:t>Finansiālā īpatsvara un iepirkumu skaita a</w:t>
      </w:r>
      <w:r w:rsidR="004728BD" w:rsidRPr="00C63DC6">
        <w:rPr>
          <w:sz w:val="28"/>
          <w:szCs w:val="28"/>
        </w:rPr>
        <w:t>ttīstības dinamika parādīta</w:t>
      </w:r>
      <w:r w:rsidR="00BD1583" w:rsidRPr="00C63DC6">
        <w:rPr>
          <w:sz w:val="28"/>
          <w:szCs w:val="28"/>
        </w:rPr>
        <w:t xml:space="preserve"> informatīvā ziņojuma</w:t>
      </w:r>
      <w:r w:rsidR="005B7A42" w:rsidRPr="00C63DC6">
        <w:rPr>
          <w:sz w:val="28"/>
          <w:szCs w:val="28"/>
        </w:rPr>
        <w:t xml:space="preserve"> </w:t>
      </w:r>
      <w:r w:rsidR="008B2B9B" w:rsidRPr="00C63DC6">
        <w:rPr>
          <w:sz w:val="28"/>
          <w:szCs w:val="28"/>
        </w:rPr>
        <w:t>1</w:t>
      </w:r>
      <w:r w:rsidR="005B7A42" w:rsidRPr="00C63DC6">
        <w:rPr>
          <w:sz w:val="28"/>
          <w:szCs w:val="28"/>
        </w:rPr>
        <w:t>.</w:t>
      </w:r>
      <w:r w:rsidR="00114C25" w:rsidRPr="00C63DC6">
        <w:rPr>
          <w:sz w:val="28"/>
          <w:szCs w:val="28"/>
        </w:rPr>
        <w:t xml:space="preserve"> un 2. </w:t>
      </w:r>
      <w:r w:rsidR="005B7A42" w:rsidRPr="00C63DC6">
        <w:rPr>
          <w:sz w:val="28"/>
          <w:szCs w:val="28"/>
        </w:rPr>
        <w:t>a</w:t>
      </w:r>
      <w:r w:rsidR="004728BD" w:rsidRPr="00C63DC6">
        <w:rPr>
          <w:sz w:val="28"/>
          <w:szCs w:val="28"/>
        </w:rPr>
        <w:t>ttēlā</w:t>
      </w:r>
      <w:r w:rsidR="00156AB5" w:rsidRPr="00C63DC6">
        <w:rPr>
          <w:sz w:val="28"/>
          <w:szCs w:val="28"/>
        </w:rPr>
        <w:t>.</w:t>
      </w:r>
      <w:r w:rsidR="00040F29" w:rsidRPr="00C63DC6">
        <w:rPr>
          <w:sz w:val="28"/>
          <w:szCs w:val="28"/>
        </w:rPr>
        <w:t xml:space="preserve"> </w:t>
      </w:r>
    </w:p>
    <w:p w14:paraId="489BC975" w14:textId="77777777" w:rsidR="0063029B" w:rsidRDefault="0063029B" w:rsidP="005413F1">
      <w:pPr>
        <w:jc w:val="both"/>
        <w:rPr>
          <w:sz w:val="28"/>
          <w:szCs w:val="28"/>
        </w:rPr>
      </w:pPr>
    </w:p>
    <w:p w14:paraId="1B8C59EF" w14:textId="77777777" w:rsidR="0063029B" w:rsidRDefault="0063029B" w:rsidP="005413F1">
      <w:pPr>
        <w:jc w:val="both"/>
        <w:rPr>
          <w:sz w:val="28"/>
          <w:szCs w:val="28"/>
        </w:rPr>
      </w:pPr>
    </w:p>
    <w:p w14:paraId="7262E3CA" w14:textId="77777777" w:rsidR="0063029B" w:rsidRPr="00C63DC6" w:rsidRDefault="0063029B" w:rsidP="005413F1">
      <w:pPr>
        <w:jc w:val="both"/>
        <w:rPr>
          <w:sz w:val="28"/>
          <w:szCs w:val="28"/>
        </w:rPr>
      </w:pPr>
    </w:p>
    <w:p w14:paraId="421DBDC0" w14:textId="77777777" w:rsidR="00040F29" w:rsidRPr="00C63DC6" w:rsidRDefault="00FA00A7" w:rsidP="00353FC9">
      <w:pPr>
        <w:spacing w:before="240"/>
        <w:jc w:val="both"/>
        <w:rPr>
          <w:b/>
          <w:i/>
        </w:rPr>
      </w:pPr>
      <w:r w:rsidRPr="00C63DC6">
        <w:rPr>
          <w:b/>
          <w:i/>
        </w:rPr>
        <w:lastRenderedPageBreak/>
        <w:t>1</w:t>
      </w:r>
      <w:r w:rsidR="005413F1" w:rsidRPr="00C63DC6">
        <w:rPr>
          <w:b/>
          <w:i/>
        </w:rPr>
        <w:t>.</w:t>
      </w:r>
      <w:r w:rsidR="00C54958" w:rsidRPr="00C63DC6">
        <w:rPr>
          <w:b/>
          <w:i/>
        </w:rPr>
        <w:t>A</w:t>
      </w:r>
      <w:r w:rsidR="008314EE" w:rsidRPr="00C63DC6">
        <w:rPr>
          <w:b/>
          <w:i/>
        </w:rPr>
        <w:t>ttēls</w:t>
      </w:r>
    </w:p>
    <w:p w14:paraId="0A055136" w14:textId="42C637B7" w:rsidR="00C54958" w:rsidRPr="00C63DC6" w:rsidRDefault="00BA5B41" w:rsidP="005413F1">
      <w:pPr>
        <w:spacing w:after="240"/>
        <w:jc w:val="both"/>
        <w:rPr>
          <w:b/>
          <w:i/>
        </w:rPr>
      </w:pPr>
      <w:r w:rsidRPr="00C63DC6">
        <w:rPr>
          <w:b/>
          <w:i/>
        </w:rPr>
        <w:t>Kopējais pārskats par 2010-201</w:t>
      </w:r>
      <w:r w:rsidR="00114C25" w:rsidRPr="00C63DC6">
        <w:rPr>
          <w:b/>
          <w:i/>
        </w:rPr>
        <w:t>8</w:t>
      </w:r>
      <w:r w:rsidRPr="00C63DC6">
        <w:rPr>
          <w:b/>
          <w:i/>
        </w:rPr>
        <w:t xml:space="preserve">.g. par </w:t>
      </w:r>
      <w:r w:rsidR="005162AB" w:rsidRPr="00C63DC6">
        <w:rPr>
          <w:b/>
          <w:i/>
        </w:rPr>
        <w:t>ZPI attīstības</w:t>
      </w:r>
      <w:r w:rsidRPr="00C63DC6">
        <w:rPr>
          <w:b/>
          <w:i/>
        </w:rPr>
        <w:t xml:space="preserve"> dinamiku salīdzinājumā ar kopējo iepirkumu cenu dinamiku PIL ietvarā veiktajos iepirkumos.</w:t>
      </w:r>
    </w:p>
    <w:p w14:paraId="3A0932EE" w14:textId="2C254B30" w:rsidR="006E327F" w:rsidRPr="00C63DC6" w:rsidRDefault="006E327F" w:rsidP="005413F1">
      <w:pPr>
        <w:spacing w:after="240"/>
        <w:jc w:val="both"/>
        <w:rPr>
          <w:b/>
          <w:i/>
        </w:rPr>
      </w:pPr>
      <w:r w:rsidRPr="00C63DC6">
        <w:rPr>
          <w:noProof/>
        </w:rPr>
        <w:drawing>
          <wp:inline distT="0" distB="0" distL="0" distR="0" wp14:anchorId="2DC24209" wp14:editId="61BB66EC">
            <wp:extent cx="5943600" cy="35718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BAA5DF" w14:textId="1EC3F235" w:rsidR="00224875" w:rsidRPr="00C63DC6" w:rsidRDefault="00067534" w:rsidP="005413F1">
      <w:pPr>
        <w:spacing w:before="120"/>
        <w:jc w:val="both"/>
        <w:outlineLvl w:val="0"/>
        <w:rPr>
          <w:bCs/>
          <w:i/>
          <w:iCs/>
        </w:rPr>
      </w:pPr>
      <w:r w:rsidRPr="00C63DC6">
        <w:rPr>
          <w:bCs/>
          <w:i/>
          <w:iCs/>
        </w:rPr>
        <w:t xml:space="preserve">Avots: </w:t>
      </w:r>
      <w:r w:rsidR="00A76D42" w:rsidRPr="00C63DC6">
        <w:rPr>
          <w:bCs/>
          <w:i/>
          <w:iCs/>
        </w:rPr>
        <w:t>IUB d</w:t>
      </w:r>
      <w:r w:rsidR="00A266E2" w:rsidRPr="00C63DC6">
        <w:rPr>
          <w:bCs/>
          <w:i/>
          <w:iCs/>
        </w:rPr>
        <w:t>ati</w:t>
      </w:r>
    </w:p>
    <w:p w14:paraId="3D62CA4B" w14:textId="23CD4A80" w:rsidR="00736C48" w:rsidRPr="00C63DC6" w:rsidRDefault="00736C48" w:rsidP="00353FC9">
      <w:pPr>
        <w:spacing w:before="240"/>
        <w:jc w:val="both"/>
        <w:rPr>
          <w:b/>
          <w:i/>
        </w:rPr>
      </w:pPr>
      <w:r w:rsidRPr="00C63DC6">
        <w:rPr>
          <w:b/>
          <w:i/>
        </w:rPr>
        <w:t>2.Attēls</w:t>
      </w:r>
    </w:p>
    <w:p w14:paraId="65C6B396" w14:textId="4D926E6A" w:rsidR="00736C48" w:rsidRPr="00C63DC6" w:rsidRDefault="00736C48" w:rsidP="00736C48">
      <w:pPr>
        <w:spacing w:after="240"/>
        <w:jc w:val="both"/>
        <w:rPr>
          <w:bCs/>
          <w:i/>
          <w:iCs/>
        </w:rPr>
      </w:pPr>
      <w:r w:rsidRPr="00C63DC6">
        <w:rPr>
          <w:b/>
          <w:i/>
        </w:rPr>
        <w:t>Kopējais pārskats par 2010-2018.g. par ZPI attīstības dinamiku salīdzinājumā ar kopējo iepirkumu skaita dinamiku PIL ietvarā veiktajos iepirkumos.</w:t>
      </w:r>
    </w:p>
    <w:p w14:paraId="12E481B3" w14:textId="236BDA0E" w:rsidR="00736C48" w:rsidRPr="00C63DC6" w:rsidRDefault="00736C48" w:rsidP="005413F1">
      <w:pPr>
        <w:spacing w:before="120"/>
        <w:jc w:val="both"/>
        <w:outlineLvl w:val="0"/>
        <w:rPr>
          <w:bCs/>
          <w:i/>
          <w:iCs/>
        </w:rPr>
      </w:pPr>
      <w:r w:rsidRPr="00C63DC6">
        <w:rPr>
          <w:noProof/>
        </w:rPr>
        <w:drawing>
          <wp:inline distT="0" distB="0" distL="0" distR="0" wp14:anchorId="7B992239" wp14:editId="25C3E35C">
            <wp:extent cx="5998210" cy="3181350"/>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505B56" w14:textId="65774B95" w:rsidR="00736C48" w:rsidRPr="00C63DC6" w:rsidRDefault="00736C48" w:rsidP="005413F1">
      <w:pPr>
        <w:spacing w:before="120"/>
        <w:jc w:val="both"/>
        <w:outlineLvl w:val="0"/>
        <w:rPr>
          <w:bCs/>
          <w:i/>
          <w:iCs/>
        </w:rPr>
      </w:pPr>
      <w:r w:rsidRPr="00C63DC6">
        <w:rPr>
          <w:bCs/>
          <w:i/>
          <w:iCs/>
        </w:rPr>
        <w:t xml:space="preserve">Avots: IUB </w:t>
      </w:r>
      <w:r w:rsidR="00A76D42" w:rsidRPr="00C63DC6">
        <w:rPr>
          <w:bCs/>
          <w:i/>
          <w:iCs/>
        </w:rPr>
        <w:t>d</w:t>
      </w:r>
      <w:r w:rsidRPr="00C63DC6">
        <w:rPr>
          <w:bCs/>
          <w:i/>
          <w:iCs/>
        </w:rPr>
        <w:t>ati</w:t>
      </w:r>
    </w:p>
    <w:p w14:paraId="6F7A1268" w14:textId="244B0BA2" w:rsidR="00E8452C" w:rsidRPr="00C63DC6" w:rsidRDefault="004728BD" w:rsidP="005413F1">
      <w:pPr>
        <w:spacing w:before="120"/>
        <w:ind w:firstLine="720"/>
        <w:jc w:val="both"/>
        <w:outlineLvl w:val="0"/>
        <w:rPr>
          <w:bCs/>
          <w:iCs/>
          <w:sz w:val="28"/>
          <w:szCs w:val="28"/>
        </w:rPr>
      </w:pPr>
      <w:r w:rsidRPr="00C63DC6">
        <w:rPr>
          <w:bCs/>
          <w:iCs/>
          <w:sz w:val="28"/>
          <w:szCs w:val="28"/>
        </w:rPr>
        <w:lastRenderedPageBreak/>
        <w:t>Izvērtējot</w:t>
      </w:r>
      <w:r w:rsidR="004E5489" w:rsidRPr="00C63DC6">
        <w:rPr>
          <w:bCs/>
          <w:iCs/>
          <w:sz w:val="28"/>
          <w:szCs w:val="28"/>
        </w:rPr>
        <w:t xml:space="preserve"> ZPI</w:t>
      </w:r>
      <w:r w:rsidRPr="00C63DC6">
        <w:rPr>
          <w:bCs/>
          <w:iCs/>
          <w:sz w:val="28"/>
          <w:szCs w:val="28"/>
        </w:rPr>
        <w:t xml:space="preserve"> </w:t>
      </w:r>
      <w:r w:rsidR="007A2C66" w:rsidRPr="00C63DC6">
        <w:rPr>
          <w:bCs/>
          <w:iCs/>
          <w:sz w:val="28"/>
          <w:szCs w:val="28"/>
        </w:rPr>
        <w:t>finansiālo</w:t>
      </w:r>
      <w:r w:rsidR="00BA2365" w:rsidRPr="00C63DC6">
        <w:rPr>
          <w:bCs/>
          <w:iCs/>
          <w:sz w:val="28"/>
          <w:szCs w:val="28"/>
        </w:rPr>
        <w:t xml:space="preserve"> </w:t>
      </w:r>
      <w:r w:rsidRPr="00C63DC6">
        <w:rPr>
          <w:bCs/>
          <w:iCs/>
          <w:sz w:val="28"/>
          <w:szCs w:val="28"/>
        </w:rPr>
        <w:t>īpatsvaru pēc iepirkumu veida,</w:t>
      </w:r>
      <w:r w:rsidR="004E5489" w:rsidRPr="00C63DC6">
        <w:rPr>
          <w:bCs/>
          <w:iCs/>
          <w:sz w:val="28"/>
          <w:szCs w:val="28"/>
        </w:rPr>
        <w:t xml:space="preserve"> iepirkumos, kas veikti Publisko iepirkumu likuma ietvarā, </w:t>
      </w:r>
      <w:r w:rsidRPr="00C63DC6">
        <w:rPr>
          <w:bCs/>
          <w:iCs/>
          <w:sz w:val="28"/>
          <w:szCs w:val="28"/>
        </w:rPr>
        <w:t xml:space="preserve"> </w:t>
      </w:r>
      <w:r w:rsidR="00BD1583" w:rsidRPr="00C63DC6">
        <w:rPr>
          <w:bCs/>
          <w:iCs/>
          <w:sz w:val="28"/>
          <w:szCs w:val="28"/>
        </w:rPr>
        <w:t>konstatējam</w:t>
      </w:r>
      <w:r w:rsidRPr="00C63DC6">
        <w:rPr>
          <w:bCs/>
          <w:iCs/>
          <w:sz w:val="28"/>
          <w:szCs w:val="28"/>
        </w:rPr>
        <w:t xml:space="preserve">, ka lielāko īpatsvaru ZPI veido </w:t>
      </w:r>
      <w:r w:rsidR="00E8452C" w:rsidRPr="00C63DC6">
        <w:rPr>
          <w:bCs/>
          <w:iCs/>
          <w:sz w:val="28"/>
          <w:szCs w:val="28"/>
        </w:rPr>
        <w:t>būvdarbu iepirkumos.</w:t>
      </w:r>
      <w:r w:rsidR="00113832" w:rsidRPr="00C63DC6">
        <w:rPr>
          <w:bCs/>
          <w:iCs/>
          <w:sz w:val="28"/>
          <w:szCs w:val="28"/>
        </w:rPr>
        <w:t xml:space="preserve"> </w:t>
      </w:r>
      <w:r w:rsidR="00B505AE" w:rsidRPr="00C63DC6">
        <w:rPr>
          <w:bCs/>
          <w:iCs/>
          <w:sz w:val="28"/>
          <w:szCs w:val="28"/>
        </w:rPr>
        <w:t xml:space="preserve">Ja iepirkumu </w:t>
      </w:r>
      <w:r w:rsidR="004E5489" w:rsidRPr="00C63DC6">
        <w:rPr>
          <w:bCs/>
          <w:iCs/>
          <w:sz w:val="28"/>
          <w:szCs w:val="28"/>
        </w:rPr>
        <w:t>ar norādi par ZPI piemērošanu</w:t>
      </w:r>
      <w:r w:rsidR="00B505AE" w:rsidRPr="00C63DC6">
        <w:rPr>
          <w:bCs/>
          <w:iCs/>
          <w:sz w:val="28"/>
          <w:szCs w:val="28"/>
        </w:rPr>
        <w:t xml:space="preserve"> </w:t>
      </w:r>
      <w:r w:rsidR="004E5489" w:rsidRPr="00C63DC6">
        <w:rPr>
          <w:bCs/>
          <w:iCs/>
          <w:sz w:val="28"/>
          <w:szCs w:val="28"/>
        </w:rPr>
        <w:t>būvdarbu iepirkumu skaits ir bijis mazāks kā pieg</w:t>
      </w:r>
      <w:r w:rsidR="00113832" w:rsidRPr="00C63DC6">
        <w:rPr>
          <w:bCs/>
          <w:iCs/>
          <w:sz w:val="28"/>
          <w:szCs w:val="28"/>
        </w:rPr>
        <w:t>āž</w:t>
      </w:r>
      <w:r w:rsidR="004E5489" w:rsidRPr="00C63DC6">
        <w:rPr>
          <w:bCs/>
          <w:iCs/>
          <w:sz w:val="28"/>
          <w:szCs w:val="28"/>
        </w:rPr>
        <w:t xml:space="preserve">u un pakalpojumu sektorā, tad finansiālā izteiksmē tas veido lielāko īpatsvaru. </w:t>
      </w:r>
      <w:r w:rsidR="00CB1257" w:rsidRPr="00C63DC6">
        <w:rPr>
          <w:bCs/>
          <w:iCs/>
          <w:sz w:val="28"/>
          <w:szCs w:val="28"/>
        </w:rPr>
        <w:t>Ar šo</w:t>
      </w:r>
      <w:r w:rsidR="004E5489" w:rsidRPr="00C63DC6">
        <w:rPr>
          <w:bCs/>
          <w:iCs/>
          <w:sz w:val="28"/>
          <w:szCs w:val="28"/>
        </w:rPr>
        <w:t xml:space="preserve"> situācija atšķir</w:t>
      </w:r>
      <w:r w:rsidR="00CB1257" w:rsidRPr="00C63DC6">
        <w:rPr>
          <w:bCs/>
          <w:iCs/>
          <w:sz w:val="28"/>
          <w:szCs w:val="28"/>
        </w:rPr>
        <w:t>as</w:t>
      </w:r>
      <w:r w:rsidR="004E5489" w:rsidRPr="00C63DC6">
        <w:rPr>
          <w:bCs/>
          <w:iCs/>
          <w:sz w:val="28"/>
          <w:szCs w:val="28"/>
        </w:rPr>
        <w:t xml:space="preserve"> no iepriekšējā gada, kad lielāko īpatsvaru</w:t>
      </w:r>
      <w:r w:rsidR="00113832" w:rsidRPr="00C63DC6">
        <w:rPr>
          <w:bCs/>
          <w:iCs/>
          <w:sz w:val="28"/>
          <w:szCs w:val="28"/>
        </w:rPr>
        <w:t xml:space="preserve"> nodrošināja</w:t>
      </w:r>
      <w:r w:rsidR="004E5489" w:rsidRPr="00C63DC6">
        <w:rPr>
          <w:bCs/>
          <w:iCs/>
          <w:sz w:val="28"/>
          <w:szCs w:val="28"/>
        </w:rPr>
        <w:t xml:space="preserve"> pakalpojumu sektors.</w:t>
      </w:r>
      <w:r w:rsidR="00113832" w:rsidRPr="00C63DC6">
        <w:rPr>
          <w:bCs/>
          <w:iCs/>
          <w:sz w:val="28"/>
          <w:szCs w:val="28"/>
        </w:rPr>
        <w:t xml:space="preserve"> Tas liecina, ka </w:t>
      </w:r>
      <w:r w:rsidR="0005012C" w:rsidRPr="00C63DC6">
        <w:rPr>
          <w:bCs/>
          <w:iCs/>
          <w:sz w:val="28"/>
          <w:szCs w:val="28"/>
        </w:rPr>
        <w:t>z</w:t>
      </w:r>
      <w:r w:rsidR="00113832" w:rsidRPr="00C63DC6">
        <w:rPr>
          <w:bCs/>
          <w:iCs/>
          <w:sz w:val="28"/>
          <w:szCs w:val="28"/>
        </w:rPr>
        <w:t xml:space="preserve">aļais iepirkums tiek arvien plašāk </w:t>
      </w:r>
      <w:r w:rsidR="007A2C66" w:rsidRPr="00C63DC6">
        <w:rPr>
          <w:bCs/>
          <w:iCs/>
          <w:sz w:val="28"/>
          <w:szCs w:val="28"/>
        </w:rPr>
        <w:t>pielietots</w:t>
      </w:r>
      <w:r w:rsidR="00113832" w:rsidRPr="00C63DC6">
        <w:rPr>
          <w:bCs/>
          <w:iCs/>
          <w:sz w:val="28"/>
          <w:szCs w:val="28"/>
        </w:rPr>
        <w:t xml:space="preserve"> būvniecības sektorā.</w:t>
      </w:r>
      <w:r w:rsidR="00FA688F" w:rsidRPr="00C63DC6">
        <w:rPr>
          <w:bCs/>
          <w:iCs/>
          <w:sz w:val="28"/>
          <w:szCs w:val="28"/>
        </w:rPr>
        <w:t xml:space="preserve"> Iepirkumu, t.sk. arī ZPI salīdzinošais sadalījums pēc i</w:t>
      </w:r>
      <w:r w:rsidR="00F201CC" w:rsidRPr="00C63DC6">
        <w:rPr>
          <w:bCs/>
          <w:iCs/>
          <w:sz w:val="28"/>
          <w:szCs w:val="28"/>
        </w:rPr>
        <w:t>epirkumu veida ir apskatāms 1. t</w:t>
      </w:r>
      <w:r w:rsidR="00FA688F" w:rsidRPr="00C63DC6">
        <w:rPr>
          <w:bCs/>
          <w:iCs/>
          <w:sz w:val="28"/>
          <w:szCs w:val="28"/>
        </w:rPr>
        <w:t>abulā.</w:t>
      </w:r>
    </w:p>
    <w:p w14:paraId="03929949" w14:textId="77777777" w:rsidR="00E8452C" w:rsidRPr="00C63DC6" w:rsidRDefault="00FA688F" w:rsidP="00353FC9">
      <w:pPr>
        <w:spacing w:before="240"/>
        <w:jc w:val="both"/>
        <w:rPr>
          <w:bCs/>
          <w:iCs/>
          <w:sz w:val="28"/>
          <w:szCs w:val="28"/>
        </w:rPr>
      </w:pPr>
      <w:r w:rsidRPr="00C63DC6">
        <w:rPr>
          <w:b/>
          <w:bCs/>
          <w:i/>
          <w:iCs/>
        </w:rPr>
        <w:t>1.Tabula</w:t>
      </w:r>
    </w:p>
    <w:p w14:paraId="2A0F4737" w14:textId="743B83A9" w:rsidR="00E8452C" w:rsidRPr="00C63DC6" w:rsidRDefault="004E5489" w:rsidP="005413F1">
      <w:pPr>
        <w:jc w:val="both"/>
        <w:rPr>
          <w:b/>
          <w:bCs/>
          <w:i/>
          <w:iCs/>
        </w:rPr>
      </w:pPr>
      <w:r w:rsidRPr="00C63DC6">
        <w:rPr>
          <w:b/>
          <w:bCs/>
          <w:i/>
          <w:iCs/>
        </w:rPr>
        <w:t xml:space="preserve">Kopējais pārskats (zaļo un kopējais) par PIL rezultātu paziņojumu skaitu un līgumcenām pēc iepirkumu veida </w:t>
      </w:r>
      <w:r w:rsidR="004D6660" w:rsidRPr="00C63DC6">
        <w:rPr>
          <w:b/>
          <w:bCs/>
          <w:i/>
          <w:iCs/>
        </w:rPr>
        <w:t>2015.,</w:t>
      </w:r>
      <w:r w:rsidR="00C967BC" w:rsidRPr="00C63DC6">
        <w:rPr>
          <w:b/>
          <w:bCs/>
          <w:i/>
          <w:iCs/>
        </w:rPr>
        <w:t xml:space="preserve"> </w:t>
      </w:r>
      <w:r w:rsidRPr="00C63DC6">
        <w:rPr>
          <w:b/>
          <w:bCs/>
          <w:i/>
          <w:iCs/>
        </w:rPr>
        <w:t>2016.</w:t>
      </w:r>
      <w:r w:rsidR="00F67852" w:rsidRPr="00C63DC6">
        <w:rPr>
          <w:b/>
          <w:bCs/>
          <w:i/>
          <w:iCs/>
        </w:rPr>
        <w:t>,</w:t>
      </w:r>
      <w:r w:rsidR="004D6660" w:rsidRPr="00C63DC6">
        <w:rPr>
          <w:b/>
          <w:bCs/>
          <w:i/>
          <w:iCs/>
        </w:rPr>
        <w:t xml:space="preserve"> 2017.</w:t>
      </w:r>
      <w:r w:rsidR="00F67852" w:rsidRPr="00C63DC6">
        <w:rPr>
          <w:b/>
          <w:bCs/>
          <w:i/>
          <w:iCs/>
        </w:rPr>
        <w:t xml:space="preserve"> un 2018.</w:t>
      </w:r>
      <w:r w:rsidR="004D6660" w:rsidRPr="00C63DC6">
        <w:rPr>
          <w:b/>
          <w:bCs/>
          <w:i/>
          <w:iCs/>
        </w:rPr>
        <w:t xml:space="preserve"> </w:t>
      </w:r>
      <w:r w:rsidRPr="00C63DC6">
        <w:rPr>
          <w:b/>
          <w:bCs/>
          <w:i/>
          <w:iCs/>
        </w:rPr>
        <w:t>gadā</w:t>
      </w:r>
    </w:p>
    <w:tbl>
      <w:tblPr>
        <w:tblW w:w="5082" w:type="pct"/>
        <w:tblLayout w:type="fixed"/>
        <w:tblLook w:val="04A0" w:firstRow="1" w:lastRow="0" w:firstColumn="1" w:lastColumn="0" w:noHBand="0" w:noVBand="1"/>
      </w:tblPr>
      <w:tblGrid>
        <w:gridCol w:w="2832"/>
        <w:gridCol w:w="1562"/>
        <w:gridCol w:w="1416"/>
        <w:gridCol w:w="1560"/>
        <w:gridCol w:w="1840"/>
      </w:tblGrid>
      <w:tr w:rsidR="00AF250F" w:rsidRPr="00C63DC6" w14:paraId="6B3E8836" w14:textId="77777777" w:rsidTr="0052669D">
        <w:trPr>
          <w:trHeight w:val="315"/>
        </w:trPr>
        <w:tc>
          <w:tcPr>
            <w:tcW w:w="1537" w:type="pct"/>
            <w:tcBorders>
              <w:top w:val="single" w:sz="4" w:space="0" w:color="auto"/>
              <w:left w:val="single" w:sz="4" w:space="0" w:color="auto"/>
              <w:bottom w:val="single" w:sz="4" w:space="0" w:color="auto"/>
              <w:right w:val="nil"/>
            </w:tcBorders>
            <w:shd w:val="clear" w:color="auto" w:fill="D6E3BC" w:themeFill="accent3" w:themeFillTint="66"/>
            <w:noWrap/>
            <w:vAlign w:val="center"/>
            <w:hideMark/>
          </w:tcPr>
          <w:p w14:paraId="56CE8CDC" w14:textId="304F324F" w:rsidR="00AB5CED" w:rsidRPr="00C63DC6" w:rsidRDefault="0052669D" w:rsidP="005413F1">
            <w:pPr>
              <w:ind w:right="-143"/>
              <w:jc w:val="both"/>
              <w:rPr>
                <w:b/>
                <w:i/>
                <w:iCs/>
                <w:color w:val="000000"/>
              </w:rPr>
            </w:pPr>
            <w:r w:rsidRPr="00C63DC6">
              <w:rPr>
                <w:b/>
                <w:i/>
                <w:iCs/>
                <w:color w:val="000000"/>
              </w:rPr>
              <w:t xml:space="preserve">2015 g. </w:t>
            </w:r>
            <w:r w:rsidR="00AB5CED" w:rsidRPr="00C63DC6">
              <w:rPr>
                <w:b/>
                <w:i/>
                <w:iCs/>
                <w:color w:val="000000"/>
              </w:rPr>
              <w:t>Iepirkumu veids</w:t>
            </w:r>
          </w:p>
        </w:tc>
        <w:tc>
          <w:tcPr>
            <w:tcW w:w="848"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4CFEBB06" w14:textId="77777777" w:rsidR="00AB5CED" w:rsidRPr="00C63DC6" w:rsidRDefault="00AB5CED" w:rsidP="005413F1">
            <w:pPr>
              <w:ind w:right="-143"/>
              <w:jc w:val="both"/>
              <w:rPr>
                <w:b/>
                <w:color w:val="000000"/>
              </w:rPr>
            </w:pPr>
            <w:r w:rsidRPr="00C63DC6">
              <w:rPr>
                <w:b/>
                <w:color w:val="000000"/>
              </w:rPr>
              <w:t>Būvdarbi</w:t>
            </w:r>
          </w:p>
        </w:tc>
        <w:tc>
          <w:tcPr>
            <w:tcW w:w="769"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6359AC9F" w14:textId="77777777" w:rsidR="00AB5CED" w:rsidRPr="00C63DC6" w:rsidRDefault="00AB5CED" w:rsidP="005413F1">
            <w:pPr>
              <w:ind w:right="-143"/>
              <w:jc w:val="both"/>
              <w:rPr>
                <w:b/>
                <w:color w:val="000000"/>
              </w:rPr>
            </w:pPr>
            <w:r w:rsidRPr="00C63DC6">
              <w:rPr>
                <w:b/>
                <w:color w:val="000000"/>
              </w:rPr>
              <w:t>Piegāde</w:t>
            </w:r>
          </w:p>
        </w:tc>
        <w:tc>
          <w:tcPr>
            <w:tcW w:w="847"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024028A1" w14:textId="77777777" w:rsidR="00AB5CED" w:rsidRPr="00C63DC6" w:rsidRDefault="00AB5CED" w:rsidP="005413F1">
            <w:pPr>
              <w:ind w:right="-143"/>
              <w:jc w:val="both"/>
              <w:rPr>
                <w:b/>
                <w:color w:val="000000"/>
              </w:rPr>
            </w:pPr>
            <w:r w:rsidRPr="00C63DC6">
              <w:rPr>
                <w:b/>
                <w:color w:val="000000"/>
              </w:rPr>
              <w:t>Pakalpojumi</w:t>
            </w:r>
          </w:p>
        </w:tc>
        <w:tc>
          <w:tcPr>
            <w:tcW w:w="999"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72636C4C" w14:textId="77777777" w:rsidR="00AB5CED" w:rsidRPr="00C63DC6" w:rsidRDefault="00AB5CED" w:rsidP="005413F1">
            <w:pPr>
              <w:ind w:right="-143"/>
              <w:jc w:val="both"/>
              <w:rPr>
                <w:b/>
                <w:color w:val="000000"/>
              </w:rPr>
            </w:pPr>
            <w:r w:rsidRPr="00C63DC6">
              <w:rPr>
                <w:b/>
                <w:color w:val="000000"/>
              </w:rPr>
              <w:t>Kopā</w:t>
            </w:r>
          </w:p>
        </w:tc>
      </w:tr>
      <w:tr w:rsidR="00AF250F" w:rsidRPr="00C63DC6" w14:paraId="20BE9A9A" w14:textId="77777777" w:rsidTr="0052669D">
        <w:trPr>
          <w:trHeight w:val="300"/>
        </w:trPr>
        <w:tc>
          <w:tcPr>
            <w:tcW w:w="1537" w:type="pct"/>
            <w:tcBorders>
              <w:top w:val="nil"/>
              <w:left w:val="single" w:sz="4" w:space="0" w:color="auto"/>
              <w:bottom w:val="single" w:sz="4" w:space="0" w:color="auto"/>
              <w:right w:val="nil"/>
            </w:tcBorders>
            <w:shd w:val="clear" w:color="auto" w:fill="auto"/>
            <w:noWrap/>
            <w:vAlign w:val="bottom"/>
            <w:hideMark/>
          </w:tcPr>
          <w:p w14:paraId="58FC600C" w14:textId="77777777" w:rsidR="00AB5CED" w:rsidRPr="00C63DC6" w:rsidRDefault="006151F9" w:rsidP="005413F1">
            <w:pPr>
              <w:ind w:right="-143"/>
              <w:jc w:val="both"/>
              <w:rPr>
                <w:color w:val="000000"/>
              </w:rPr>
            </w:pPr>
            <w:r w:rsidRPr="00C63DC6">
              <w:rPr>
                <w:color w:val="000000"/>
              </w:rPr>
              <w:t xml:space="preserve">Kopējā līgumcena, milj. </w:t>
            </w:r>
            <w:r w:rsidR="00AB5CED" w:rsidRPr="00C63DC6">
              <w:rPr>
                <w:color w:val="000000"/>
              </w:rPr>
              <w:t>EUR (bez PVN)</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14:paraId="64FDA3DE" w14:textId="77777777" w:rsidR="00AB5CED" w:rsidRPr="00C63DC6" w:rsidRDefault="00AB5CED" w:rsidP="005413F1">
            <w:pPr>
              <w:ind w:right="-143"/>
              <w:jc w:val="both"/>
              <w:rPr>
                <w:color w:val="000000"/>
              </w:rPr>
            </w:pPr>
            <w:r w:rsidRPr="00C63DC6">
              <w:rPr>
                <w:color w:val="000000"/>
              </w:rPr>
              <w:t>521 544 737</w:t>
            </w:r>
          </w:p>
        </w:tc>
        <w:tc>
          <w:tcPr>
            <w:tcW w:w="769" w:type="pct"/>
            <w:tcBorders>
              <w:top w:val="nil"/>
              <w:left w:val="nil"/>
              <w:bottom w:val="single" w:sz="4" w:space="0" w:color="auto"/>
              <w:right w:val="single" w:sz="4" w:space="0" w:color="auto"/>
            </w:tcBorders>
            <w:shd w:val="clear" w:color="auto" w:fill="auto"/>
            <w:noWrap/>
            <w:vAlign w:val="bottom"/>
            <w:hideMark/>
          </w:tcPr>
          <w:p w14:paraId="718470FC" w14:textId="77777777" w:rsidR="00AB5CED" w:rsidRPr="00C63DC6" w:rsidRDefault="00AB5CED" w:rsidP="005413F1">
            <w:pPr>
              <w:ind w:right="-143"/>
              <w:jc w:val="both"/>
              <w:rPr>
                <w:color w:val="000000"/>
              </w:rPr>
            </w:pPr>
            <w:r w:rsidRPr="00C63DC6">
              <w:rPr>
                <w:color w:val="000000"/>
              </w:rPr>
              <w:t>638 113 648</w:t>
            </w:r>
          </w:p>
        </w:tc>
        <w:tc>
          <w:tcPr>
            <w:tcW w:w="847" w:type="pct"/>
            <w:tcBorders>
              <w:top w:val="nil"/>
              <w:left w:val="nil"/>
              <w:bottom w:val="single" w:sz="4" w:space="0" w:color="auto"/>
              <w:right w:val="single" w:sz="4" w:space="0" w:color="auto"/>
            </w:tcBorders>
            <w:shd w:val="clear" w:color="auto" w:fill="auto"/>
            <w:noWrap/>
            <w:vAlign w:val="bottom"/>
            <w:hideMark/>
          </w:tcPr>
          <w:p w14:paraId="00EF5EA0" w14:textId="77777777" w:rsidR="00AB5CED" w:rsidRPr="00C63DC6" w:rsidRDefault="00AB5CED" w:rsidP="005413F1">
            <w:pPr>
              <w:ind w:right="-143"/>
              <w:jc w:val="both"/>
              <w:rPr>
                <w:color w:val="000000"/>
              </w:rPr>
            </w:pPr>
            <w:r w:rsidRPr="00C63DC6">
              <w:rPr>
                <w:color w:val="000000"/>
              </w:rPr>
              <w:t>705 848 579</w:t>
            </w:r>
          </w:p>
        </w:tc>
        <w:tc>
          <w:tcPr>
            <w:tcW w:w="999" w:type="pct"/>
            <w:tcBorders>
              <w:top w:val="nil"/>
              <w:left w:val="nil"/>
              <w:bottom w:val="single" w:sz="4" w:space="0" w:color="auto"/>
              <w:right w:val="single" w:sz="4" w:space="0" w:color="auto"/>
            </w:tcBorders>
          </w:tcPr>
          <w:p w14:paraId="7A0DC2F7" w14:textId="77777777" w:rsidR="00AB5CED" w:rsidRPr="00C63DC6" w:rsidRDefault="00AB5CED" w:rsidP="005413F1">
            <w:pPr>
              <w:ind w:right="-143"/>
              <w:jc w:val="both"/>
              <w:rPr>
                <w:color w:val="000000"/>
              </w:rPr>
            </w:pPr>
          </w:p>
          <w:p w14:paraId="7CFD6953" w14:textId="77777777" w:rsidR="00AB5CED" w:rsidRPr="00C63DC6" w:rsidRDefault="00AB5CED" w:rsidP="005413F1">
            <w:pPr>
              <w:ind w:right="-143"/>
              <w:jc w:val="both"/>
              <w:rPr>
                <w:color w:val="000000"/>
              </w:rPr>
            </w:pPr>
            <w:r w:rsidRPr="00C63DC6">
              <w:rPr>
                <w:color w:val="000000"/>
              </w:rPr>
              <w:t>1</w:t>
            </w:r>
            <w:r w:rsidR="006151F9" w:rsidRPr="00C63DC6">
              <w:rPr>
                <w:color w:val="000000"/>
              </w:rPr>
              <w:t xml:space="preserve"> </w:t>
            </w:r>
            <w:r w:rsidRPr="00C63DC6">
              <w:rPr>
                <w:color w:val="000000"/>
              </w:rPr>
              <w:t>865</w:t>
            </w:r>
            <w:r w:rsidR="006151F9" w:rsidRPr="00C63DC6">
              <w:rPr>
                <w:color w:val="000000"/>
              </w:rPr>
              <w:t xml:space="preserve"> </w:t>
            </w:r>
            <w:r w:rsidRPr="00C63DC6">
              <w:rPr>
                <w:color w:val="000000"/>
              </w:rPr>
              <w:t>506</w:t>
            </w:r>
            <w:r w:rsidR="006151F9" w:rsidRPr="00C63DC6">
              <w:rPr>
                <w:color w:val="000000"/>
              </w:rPr>
              <w:t xml:space="preserve"> </w:t>
            </w:r>
            <w:r w:rsidRPr="00C63DC6">
              <w:rPr>
                <w:color w:val="000000"/>
              </w:rPr>
              <w:t>964</w:t>
            </w:r>
          </w:p>
        </w:tc>
      </w:tr>
      <w:tr w:rsidR="00AF250F" w:rsidRPr="00C63DC6" w14:paraId="1B878BA5" w14:textId="77777777" w:rsidTr="0052669D">
        <w:trPr>
          <w:trHeight w:val="600"/>
        </w:trPr>
        <w:tc>
          <w:tcPr>
            <w:tcW w:w="1537" w:type="pct"/>
            <w:tcBorders>
              <w:top w:val="nil"/>
              <w:left w:val="single" w:sz="4" w:space="0" w:color="auto"/>
              <w:bottom w:val="single" w:sz="4" w:space="0" w:color="auto"/>
              <w:right w:val="nil"/>
            </w:tcBorders>
            <w:shd w:val="clear" w:color="auto" w:fill="auto"/>
            <w:vAlign w:val="bottom"/>
            <w:hideMark/>
          </w:tcPr>
          <w:p w14:paraId="4B3DCCC1" w14:textId="77777777" w:rsidR="00AB5CED" w:rsidRPr="00C63DC6" w:rsidRDefault="006151F9" w:rsidP="005413F1">
            <w:pPr>
              <w:ind w:right="-143"/>
              <w:jc w:val="both"/>
              <w:rPr>
                <w:color w:val="000000"/>
              </w:rPr>
            </w:pPr>
            <w:r w:rsidRPr="00C63DC6">
              <w:rPr>
                <w:color w:val="000000"/>
              </w:rPr>
              <w:t xml:space="preserve">t.sk. </w:t>
            </w:r>
            <w:r w:rsidR="00AB5CED" w:rsidRPr="00C63DC6">
              <w:rPr>
                <w:color w:val="000000"/>
              </w:rPr>
              <w:t xml:space="preserve">kopējā līgumcena, </w:t>
            </w:r>
            <w:r w:rsidRPr="00C63DC6">
              <w:rPr>
                <w:color w:val="000000"/>
              </w:rPr>
              <w:t xml:space="preserve">milj. </w:t>
            </w:r>
            <w:r w:rsidR="00AB5CED" w:rsidRPr="00C63DC6">
              <w:rPr>
                <w:color w:val="000000"/>
              </w:rPr>
              <w:t>EUR (bez PVN) ar norādi par ZPI</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14:paraId="1CE4D48B" w14:textId="77777777" w:rsidR="00AB5CED" w:rsidRPr="00C63DC6" w:rsidRDefault="00AB5CED" w:rsidP="005413F1">
            <w:pPr>
              <w:ind w:right="-143"/>
              <w:jc w:val="both"/>
              <w:rPr>
                <w:color w:val="000000"/>
              </w:rPr>
            </w:pPr>
            <w:r w:rsidRPr="00C63DC6">
              <w:rPr>
                <w:color w:val="000000"/>
              </w:rPr>
              <w:t>58 582 999</w:t>
            </w:r>
          </w:p>
        </w:tc>
        <w:tc>
          <w:tcPr>
            <w:tcW w:w="769" w:type="pct"/>
            <w:tcBorders>
              <w:top w:val="nil"/>
              <w:left w:val="nil"/>
              <w:bottom w:val="single" w:sz="4" w:space="0" w:color="auto"/>
              <w:right w:val="single" w:sz="4" w:space="0" w:color="auto"/>
            </w:tcBorders>
            <w:shd w:val="clear" w:color="auto" w:fill="auto"/>
            <w:noWrap/>
            <w:vAlign w:val="bottom"/>
            <w:hideMark/>
          </w:tcPr>
          <w:p w14:paraId="11BA9677" w14:textId="77777777" w:rsidR="00AB5CED" w:rsidRPr="00C63DC6" w:rsidRDefault="00AB5CED" w:rsidP="005413F1">
            <w:pPr>
              <w:ind w:right="-143"/>
              <w:jc w:val="both"/>
              <w:rPr>
                <w:color w:val="000000"/>
              </w:rPr>
            </w:pPr>
            <w:r w:rsidRPr="00C63DC6">
              <w:rPr>
                <w:color w:val="000000"/>
              </w:rPr>
              <w:t>95 123 135</w:t>
            </w:r>
          </w:p>
        </w:tc>
        <w:tc>
          <w:tcPr>
            <w:tcW w:w="847" w:type="pct"/>
            <w:tcBorders>
              <w:top w:val="nil"/>
              <w:left w:val="nil"/>
              <w:bottom w:val="single" w:sz="4" w:space="0" w:color="auto"/>
              <w:right w:val="single" w:sz="4" w:space="0" w:color="auto"/>
            </w:tcBorders>
            <w:shd w:val="clear" w:color="auto" w:fill="auto"/>
            <w:noWrap/>
            <w:vAlign w:val="bottom"/>
            <w:hideMark/>
          </w:tcPr>
          <w:p w14:paraId="3E2B0F06" w14:textId="77777777" w:rsidR="00AB5CED" w:rsidRPr="00C63DC6" w:rsidRDefault="00AB5CED" w:rsidP="005413F1">
            <w:pPr>
              <w:ind w:right="-143"/>
              <w:jc w:val="both"/>
              <w:rPr>
                <w:color w:val="000000"/>
              </w:rPr>
            </w:pPr>
            <w:r w:rsidRPr="00C63DC6">
              <w:rPr>
                <w:color w:val="000000"/>
              </w:rPr>
              <w:t>198 374 479</w:t>
            </w:r>
          </w:p>
        </w:tc>
        <w:tc>
          <w:tcPr>
            <w:tcW w:w="999" w:type="pct"/>
            <w:tcBorders>
              <w:top w:val="nil"/>
              <w:left w:val="nil"/>
              <w:bottom w:val="single" w:sz="4" w:space="0" w:color="auto"/>
              <w:right w:val="single" w:sz="4" w:space="0" w:color="auto"/>
            </w:tcBorders>
            <w:vAlign w:val="bottom"/>
          </w:tcPr>
          <w:p w14:paraId="14EC3113" w14:textId="77777777" w:rsidR="00AB5CED" w:rsidRPr="00C63DC6" w:rsidRDefault="00AB5CED" w:rsidP="005413F1">
            <w:pPr>
              <w:ind w:right="-143"/>
              <w:jc w:val="both"/>
              <w:rPr>
                <w:color w:val="000000"/>
              </w:rPr>
            </w:pPr>
          </w:p>
          <w:p w14:paraId="44235BDA" w14:textId="77777777" w:rsidR="00AB5CED" w:rsidRPr="00C63DC6" w:rsidRDefault="006151F9" w:rsidP="005413F1">
            <w:pPr>
              <w:ind w:right="-143"/>
              <w:jc w:val="both"/>
              <w:rPr>
                <w:color w:val="000000"/>
              </w:rPr>
            </w:pPr>
            <w:r w:rsidRPr="00C63DC6">
              <w:rPr>
                <w:color w:val="000000"/>
              </w:rPr>
              <w:t>352 080 613</w:t>
            </w:r>
          </w:p>
        </w:tc>
      </w:tr>
      <w:tr w:rsidR="00AF250F" w:rsidRPr="00C63DC6" w14:paraId="116271C2" w14:textId="77777777" w:rsidTr="0052669D">
        <w:trPr>
          <w:trHeight w:val="315"/>
        </w:trPr>
        <w:tc>
          <w:tcPr>
            <w:tcW w:w="1537" w:type="pct"/>
            <w:tcBorders>
              <w:top w:val="single" w:sz="4" w:space="0" w:color="auto"/>
              <w:left w:val="single" w:sz="4" w:space="0" w:color="auto"/>
              <w:bottom w:val="single" w:sz="4" w:space="0" w:color="auto"/>
              <w:right w:val="nil"/>
            </w:tcBorders>
            <w:shd w:val="clear" w:color="auto" w:fill="D6E3BC" w:themeFill="accent3" w:themeFillTint="66"/>
            <w:noWrap/>
            <w:vAlign w:val="center"/>
            <w:hideMark/>
          </w:tcPr>
          <w:p w14:paraId="6C7B192F" w14:textId="6A0EA5DF" w:rsidR="00AB5CED" w:rsidRPr="00C63DC6" w:rsidRDefault="0052669D" w:rsidP="005413F1">
            <w:pPr>
              <w:ind w:right="-143"/>
              <w:jc w:val="both"/>
              <w:rPr>
                <w:b/>
                <w:i/>
                <w:iCs/>
                <w:color w:val="000000"/>
              </w:rPr>
            </w:pPr>
            <w:r w:rsidRPr="00C63DC6">
              <w:rPr>
                <w:b/>
                <w:i/>
                <w:iCs/>
                <w:color w:val="000000"/>
              </w:rPr>
              <w:t xml:space="preserve">2016.g., </w:t>
            </w:r>
            <w:r w:rsidR="00AB5CED" w:rsidRPr="00C63DC6">
              <w:rPr>
                <w:b/>
                <w:i/>
                <w:iCs/>
                <w:color w:val="000000"/>
              </w:rPr>
              <w:t>Iepirkumu veids</w:t>
            </w:r>
          </w:p>
        </w:tc>
        <w:tc>
          <w:tcPr>
            <w:tcW w:w="848"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49821111" w14:textId="77777777" w:rsidR="00AB5CED" w:rsidRPr="00C63DC6" w:rsidRDefault="00AB5CED" w:rsidP="005413F1">
            <w:pPr>
              <w:ind w:right="-143"/>
              <w:jc w:val="both"/>
              <w:rPr>
                <w:b/>
                <w:color w:val="000000"/>
              </w:rPr>
            </w:pPr>
            <w:r w:rsidRPr="00C63DC6">
              <w:rPr>
                <w:b/>
                <w:color w:val="000000"/>
              </w:rPr>
              <w:t>Būvdarbi</w:t>
            </w:r>
          </w:p>
        </w:tc>
        <w:tc>
          <w:tcPr>
            <w:tcW w:w="769"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1DD58FB8" w14:textId="77777777" w:rsidR="00AB5CED" w:rsidRPr="00C63DC6" w:rsidRDefault="00AB5CED" w:rsidP="005413F1">
            <w:pPr>
              <w:ind w:right="-143"/>
              <w:jc w:val="both"/>
              <w:rPr>
                <w:b/>
                <w:color w:val="000000"/>
              </w:rPr>
            </w:pPr>
            <w:r w:rsidRPr="00C63DC6">
              <w:rPr>
                <w:b/>
                <w:color w:val="000000"/>
              </w:rPr>
              <w:t>Piegāde</w:t>
            </w:r>
          </w:p>
        </w:tc>
        <w:tc>
          <w:tcPr>
            <w:tcW w:w="847"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24F757D1" w14:textId="77777777" w:rsidR="00AB5CED" w:rsidRPr="00C63DC6" w:rsidRDefault="00AB5CED" w:rsidP="005413F1">
            <w:pPr>
              <w:ind w:right="-143"/>
              <w:jc w:val="both"/>
              <w:rPr>
                <w:b/>
                <w:color w:val="000000"/>
              </w:rPr>
            </w:pPr>
            <w:r w:rsidRPr="00C63DC6">
              <w:rPr>
                <w:b/>
                <w:color w:val="000000"/>
              </w:rPr>
              <w:t>Pakalpojumi</w:t>
            </w:r>
          </w:p>
        </w:tc>
        <w:tc>
          <w:tcPr>
            <w:tcW w:w="999"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3FF0BBD3" w14:textId="77777777" w:rsidR="00AB5CED" w:rsidRPr="00C63DC6" w:rsidRDefault="00AB5CED" w:rsidP="005413F1">
            <w:pPr>
              <w:ind w:right="-143"/>
              <w:jc w:val="both"/>
              <w:rPr>
                <w:b/>
                <w:color w:val="000000"/>
              </w:rPr>
            </w:pPr>
            <w:r w:rsidRPr="00C63DC6">
              <w:rPr>
                <w:b/>
                <w:color w:val="000000"/>
              </w:rPr>
              <w:t>Kopā</w:t>
            </w:r>
          </w:p>
        </w:tc>
      </w:tr>
      <w:tr w:rsidR="00AF250F" w:rsidRPr="00C63DC6" w14:paraId="5D1658C9" w14:textId="77777777" w:rsidTr="0052669D">
        <w:trPr>
          <w:trHeight w:val="300"/>
        </w:trPr>
        <w:tc>
          <w:tcPr>
            <w:tcW w:w="1537" w:type="pct"/>
            <w:tcBorders>
              <w:top w:val="nil"/>
              <w:left w:val="single" w:sz="4" w:space="0" w:color="auto"/>
              <w:bottom w:val="single" w:sz="4" w:space="0" w:color="auto"/>
              <w:right w:val="nil"/>
            </w:tcBorders>
            <w:shd w:val="clear" w:color="auto" w:fill="auto"/>
            <w:noWrap/>
            <w:vAlign w:val="bottom"/>
            <w:hideMark/>
          </w:tcPr>
          <w:p w14:paraId="4EFA2A8D" w14:textId="77777777" w:rsidR="001730DA" w:rsidRPr="00C63DC6" w:rsidRDefault="00AB5CED" w:rsidP="005413F1">
            <w:pPr>
              <w:ind w:right="-143"/>
              <w:jc w:val="both"/>
              <w:rPr>
                <w:color w:val="000000"/>
              </w:rPr>
            </w:pPr>
            <w:r w:rsidRPr="00C63DC6">
              <w:rPr>
                <w:color w:val="000000"/>
              </w:rPr>
              <w:t xml:space="preserve">Kopējā līgumcena </w:t>
            </w:r>
          </w:p>
          <w:p w14:paraId="08B2ECBB" w14:textId="6E3F4CB8" w:rsidR="00AB5CED" w:rsidRPr="00C63DC6" w:rsidRDefault="00AB5CED" w:rsidP="005413F1">
            <w:pPr>
              <w:ind w:right="-143"/>
              <w:jc w:val="both"/>
              <w:rPr>
                <w:color w:val="000000"/>
              </w:rPr>
            </w:pPr>
            <w:r w:rsidRPr="00C63DC6">
              <w:rPr>
                <w:color w:val="000000"/>
              </w:rPr>
              <w:t>milj.EUR (bez PVN)</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14:paraId="53307FD3" w14:textId="77777777" w:rsidR="00AB5CED" w:rsidRPr="00C63DC6" w:rsidRDefault="00AB5CED" w:rsidP="005413F1">
            <w:pPr>
              <w:ind w:right="-143"/>
              <w:jc w:val="both"/>
              <w:rPr>
                <w:color w:val="000000"/>
              </w:rPr>
            </w:pPr>
            <w:r w:rsidRPr="00C63DC6">
              <w:rPr>
                <w:color w:val="000000"/>
              </w:rPr>
              <w:t>713 004 873</w:t>
            </w:r>
          </w:p>
        </w:tc>
        <w:tc>
          <w:tcPr>
            <w:tcW w:w="769" w:type="pct"/>
            <w:tcBorders>
              <w:top w:val="nil"/>
              <w:left w:val="nil"/>
              <w:bottom w:val="single" w:sz="4" w:space="0" w:color="auto"/>
              <w:right w:val="single" w:sz="4" w:space="0" w:color="auto"/>
            </w:tcBorders>
            <w:shd w:val="clear" w:color="auto" w:fill="auto"/>
            <w:noWrap/>
            <w:vAlign w:val="bottom"/>
            <w:hideMark/>
          </w:tcPr>
          <w:p w14:paraId="06A49CD8" w14:textId="77777777" w:rsidR="00AB5CED" w:rsidRPr="00C63DC6" w:rsidRDefault="00AB5CED" w:rsidP="005413F1">
            <w:pPr>
              <w:ind w:right="-143"/>
              <w:jc w:val="both"/>
              <w:rPr>
                <w:color w:val="000000"/>
              </w:rPr>
            </w:pPr>
            <w:r w:rsidRPr="00C63DC6">
              <w:rPr>
                <w:color w:val="000000"/>
              </w:rPr>
              <w:t>600 191 064</w:t>
            </w:r>
          </w:p>
        </w:tc>
        <w:tc>
          <w:tcPr>
            <w:tcW w:w="847" w:type="pct"/>
            <w:tcBorders>
              <w:top w:val="nil"/>
              <w:left w:val="nil"/>
              <w:bottom w:val="single" w:sz="4" w:space="0" w:color="auto"/>
              <w:right w:val="single" w:sz="4" w:space="0" w:color="auto"/>
            </w:tcBorders>
            <w:shd w:val="clear" w:color="auto" w:fill="auto"/>
            <w:noWrap/>
            <w:vAlign w:val="bottom"/>
            <w:hideMark/>
          </w:tcPr>
          <w:p w14:paraId="7421C01D" w14:textId="77777777" w:rsidR="00AB5CED" w:rsidRPr="00C63DC6" w:rsidRDefault="00AB5CED" w:rsidP="005413F1">
            <w:pPr>
              <w:ind w:right="-143"/>
              <w:jc w:val="both"/>
              <w:rPr>
                <w:color w:val="000000"/>
              </w:rPr>
            </w:pPr>
            <w:r w:rsidRPr="00C63DC6">
              <w:rPr>
                <w:color w:val="000000"/>
              </w:rPr>
              <w:t>563 082 261</w:t>
            </w:r>
          </w:p>
        </w:tc>
        <w:tc>
          <w:tcPr>
            <w:tcW w:w="999" w:type="pct"/>
            <w:tcBorders>
              <w:top w:val="nil"/>
              <w:left w:val="nil"/>
              <w:bottom w:val="single" w:sz="4" w:space="0" w:color="auto"/>
              <w:right w:val="single" w:sz="4" w:space="0" w:color="auto"/>
            </w:tcBorders>
            <w:vAlign w:val="bottom"/>
          </w:tcPr>
          <w:p w14:paraId="4DD41AD6" w14:textId="77777777" w:rsidR="00AB5CED" w:rsidRPr="00C63DC6" w:rsidRDefault="006151F9" w:rsidP="005413F1">
            <w:pPr>
              <w:ind w:right="-143"/>
              <w:jc w:val="both"/>
              <w:rPr>
                <w:color w:val="000000"/>
              </w:rPr>
            </w:pPr>
            <w:r w:rsidRPr="00C63DC6">
              <w:rPr>
                <w:color w:val="000000"/>
              </w:rPr>
              <w:t>1 876 278 198</w:t>
            </w:r>
          </w:p>
        </w:tc>
      </w:tr>
      <w:tr w:rsidR="00AF250F" w:rsidRPr="00C63DC6" w14:paraId="044711DC" w14:textId="77777777" w:rsidTr="0052669D">
        <w:trPr>
          <w:trHeight w:val="600"/>
        </w:trPr>
        <w:tc>
          <w:tcPr>
            <w:tcW w:w="1537" w:type="pct"/>
            <w:tcBorders>
              <w:top w:val="nil"/>
              <w:left w:val="single" w:sz="4" w:space="0" w:color="auto"/>
              <w:bottom w:val="single" w:sz="4" w:space="0" w:color="auto"/>
              <w:right w:val="nil"/>
            </w:tcBorders>
            <w:shd w:val="clear" w:color="auto" w:fill="auto"/>
            <w:vAlign w:val="bottom"/>
            <w:hideMark/>
          </w:tcPr>
          <w:p w14:paraId="0D6F2575" w14:textId="77777777" w:rsidR="001730DA" w:rsidRPr="00C63DC6" w:rsidRDefault="00AB5CED" w:rsidP="005413F1">
            <w:pPr>
              <w:ind w:right="-143"/>
              <w:jc w:val="both"/>
              <w:rPr>
                <w:color w:val="000000"/>
              </w:rPr>
            </w:pPr>
            <w:r w:rsidRPr="00C63DC6">
              <w:rPr>
                <w:color w:val="000000"/>
              </w:rPr>
              <w:t>t.sk. kopējā līgumcena</w:t>
            </w:r>
            <w:r w:rsidR="006151F9" w:rsidRPr="00C63DC6">
              <w:rPr>
                <w:color w:val="000000"/>
              </w:rPr>
              <w:t>,</w:t>
            </w:r>
            <w:r w:rsidRPr="00C63DC6">
              <w:rPr>
                <w:color w:val="000000"/>
              </w:rPr>
              <w:t xml:space="preserve"> </w:t>
            </w:r>
            <w:r w:rsidR="006151F9" w:rsidRPr="00C63DC6">
              <w:rPr>
                <w:color w:val="000000"/>
              </w:rPr>
              <w:t>m</w:t>
            </w:r>
            <w:r w:rsidRPr="00C63DC6">
              <w:rPr>
                <w:color w:val="000000"/>
              </w:rPr>
              <w:t xml:space="preserve">ilj.EUR (bez PVN) </w:t>
            </w:r>
          </w:p>
          <w:p w14:paraId="3D58F714" w14:textId="7BFCC1A8" w:rsidR="00AB5CED" w:rsidRPr="00C63DC6" w:rsidRDefault="00AB5CED" w:rsidP="005413F1">
            <w:pPr>
              <w:ind w:right="-143"/>
              <w:jc w:val="both"/>
              <w:rPr>
                <w:color w:val="000000"/>
              </w:rPr>
            </w:pPr>
            <w:r w:rsidRPr="00C63DC6">
              <w:rPr>
                <w:color w:val="000000"/>
              </w:rPr>
              <w:t>ar norādi par ZPI</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B8EDD" w14:textId="77777777" w:rsidR="00AB5CED" w:rsidRPr="00C63DC6" w:rsidRDefault="00AB5CED" w:rsidP="005413F1">
            <w:pPr>
              <w:ind w:right="-143"/>
              <w:jc w:val="both"/>
              <w:rPr>
                <w:color w:val="000000"/>
              </w:rPr>
            </w:pPr>
            <w:r w:rsidRPr="00C63DC6">
              <w:rPr>
                <w:color w:val="000000"/>
              </w:rPr>
              <w:t>89 247 194</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14:paraId="6B746A88" w14:textId="77777777" w:rsidR="00AB5CED" w:rsidRPr="00C63DC6" w:rsidRDefault="00AB5CED" w:rsidP="005413F1">
            <w:pPr>
              <w:ind w:right="-143"/>
              <w:jc w:val="both"/>
              <w:rPr>
                <w:color w:val="000000"/>
              </w:rPr>
            </w:pPr>
            <w:r w:rsidRPr="00C63DC6">
              <w:rPr>
                <w:color w:val="000000"/>
              </w:rPr>
              <w:t>63 024 593</w:t>
            </w:r>
          </w:p>
        </w:tc>
        <w:tc>
          <w:tcPr>
            <w:tcW w:w="847" w:type="pct"/>
            <w:tcBorders>
              <w:top w:val="nil"/>
              <w:left w:val="nil"/>
              <w:bottom w:val="single" w:sz="4" w:space="0" w:color="auto"/>
              <w:right w:val="single" w:sz="4" w:space="0" w:color="auto"/>
            </w:tcBorders>
            <w:shd w:val="clear" w:color="auto" w:fill="auto"/>
            <w:noWrap/>
            <w:vAlign w:val="bottom"/>
            <w:hideMark/>
          </w:tcPr>
          <w:p w14:paraId="6C27D0B9" w14:textId="77777777" w:rsidR="00AB5CED" w:rsidRPr="00C63DC6" w:rsidRDefault="00AB5CED" w:rsidP="005413F1">
            <w:pPr>
              <w:ind w:right="-143"/>
              <w:jc w:val="both"/>
              <w:rPr>
                <w:color w:val="000000"/>
              </w:rPr>
            </w:pPr>
            <w:r w:rsidRPr="00C63DC6">
              <w:rPr>
                <w:color w:val="000000"/>
              </w:rPr>
              <w:t>80 590 668</w:t>
            </w:r>
          </w:p>
        </w:tc>
        <w:tc>
          <w:tcPr>
            <w:tcW w:w="999" w:type="pct"/>
            <w:tcBorders>
              <w:top w:val="nil"/>
              <w:left w:val="nil"/>
              <w:bottom w:val="single" w:sz="4" w:space="0" w:color="auto"/>
              <w:right w:val="single" w:sz="4" w:space="0" w:color="auto"/>
            </w:tcBorders>
            <w:vAlign w:val="bottom"/>
          </w:tcPr>
          <w:p w14:paraId="4E7F4A02" w14:textId="77777777" w:rsidR="00AB5CED" w:rsidRPr="00C63DC6" w:rsidRDefault="00AF250F" w:rsidP="005413F1">
            <w:pPr>
              <w:ind w:right="-143"/>
              <w:jc w:val="both"/>
              <w:rPr>
                <w:color w:val="000000"/>
              </w:rPr>
            </w:pPr>
            <w:r w:rsidRPr="00C63DC6">
              <w:rPr>
                <w:color w:val="000000"/>
              </w:rPr>
              <w:t>232 862 455</w:t>
            </w:r>
          </w:p>
        </w:tc>
      </w:tr>
      <w:tr w:rsidR="004D6660" w:rsidRPr="00C63DC6" w14:paraId="7C8062C3" w14:textId="77777777" w:rsidTr="0052669D">
        <w:trPr>
          <w:trHeight w:val="315"/>
        </w:trPr>
        <w:tc>
          <w:tcPr>
            <w:tcW w:w="1537" w:type="pct"/>
            <w:tcBorders>
              <w:top w:val="single" w:sz="4" w:space="0" w:color="auto"/>
              <w:left w:val="single" w:sz="4" w:space="0" w:color="auto"/>
              <w:bottom w:val="single" w:sz="4" w:space="0" w:color="auto"/>
              <w:right w:val="nil"/>
            </w:tcBorders>
            <w:shd w:val="clear" w:color="auto" w:fill="D6E3BC" w:themeFill="accent3" w:themeFillTint="66"/>
            <w:noWrap/>
            <w:vAlign w:val="center"/>
            <w:hideMark/>
          </w:tcPr>
          <w:p w14:paraId="46379E2A" w14:textId="4EFE3B2C" w:rsidR="004D6660" w:rsidRPr="00C63DC6" w:rsidRDefault="0052669D" w:rsidP="005413F1">
            <w:pPr>
              <w:spacing w:before="120"/>
              <w:ind w:right="-143"/>
              <w:jc w:val="both"/>
              <w:outlineLvl w:val="0"/>
              <w:rPr>
                <w:b/>
                <w:bCs/>
                <w:i/>
                <w:iCs/>
              </w:rPr>
            </w:pPr>
            <w:r w:rsidRPr="00C63DC6">
              <w:rPr>
                <w:b/>
                <w:bCs/>
                <w:i/>
                <w:iCs/>
              </w:rPr>
              <w:t xml:space="preserve">2017.g. </w:t>
            </w:r>
            <w:r w:rsidR="004D6660" w:rsidRPr="00C63DC6">
              <w:rPr>
                <w:b/>
                <w:bCs/>
                <w:i/>
                <w:iCs/>
              </w:rPr>
              <w:t>Iepirkumu veids</w:t>
            </w:r>
          </w:p>
        </w:tc>
        <w:tc>
          <w:tcPr>
            <w:tcW w:w="848"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5EBB8793" w14:textId="77777777" w:rsidR="004D6660" w:rsidRPr="00C63DC6" w:rsidRDefault="004D6660" w:rsidP="005413F1">
            <w:pPr>
              <w:spacing w:before="120"/>
              <w:ind w:right="-143"/>
              <w:jc w:val="both"/>
              <w:outlineLvl w:val="0"/>
              <w:rPr>
                <w:b/>
                <w:bCs/>
                <w:iCs/>
              </w:rPr>
            </w:pPr>
            <w:r w:rsidRPr="00C63DC6">
              <w:rPr>
                <w:b/>
                <w:bCs/>
                <w:iCs/>
              </w:rPr>
              <w:t>Būvdarbi</w:t>
            </w:r>
          </w:p>
        </w:tc>
        <w:tc>
          <w:tcPr>
            <w:tcW w:w="769"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5B4CF5D5" w14:textId="77777777" w:rsidR="004D6660" w:rsidRPr="00C63DC6" w:rsidRDefault="004D6660" w:rsidP="005413F1">
            <w:pPr>
              <w:spacing w:before="120"/>
              <w:ind w:right="-143"/>
              <w:jc w:val="both"/>
              <w:outlineLvl w:val="0"/>
              <w:rPr>
                <w:b/>
                <w:bCs/>
                <w:iCs/>
              </w:rPr>
            </w:pPr>
            <w:r w:rsidRPr="00C63DC6">
              <w:rPr>
                <w:b/>
                <w:bCs/>
                <w:iCs/>
              </w:rPr>
              <w:t>Piegāde</w:t>
            </w:r>
          </w:p>
        </w:tc>
        <w:tc>
          <w:tcPr>
            <w:tcW w:w="847"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327FC7A5" w14:textId="77777777" w:rsidR="004D6660" w:rsidRPr="00C63DC6" w:rsidRDefault="004D6660" w:rsidP="005413F1">
            <w:pPr>
              <w:spacing w:before="120"/>
              <w:ind w:right="-143"/>
              <w:jc w:val="both"/>
              <w:outlineLvl w:val="0"/>
              <w:rPr>
                <w:b/>
                <w:bCs/>
                <w:iCs/>
              </w:rPr>
            </w:pPr>
            <w:r w:rsidRPr="00C63DC6">
              <w:rPr>
                <w:b/>
                <w:bCs/>
                <w:iCs/>
              </w:rPr>
              <w:t>Pakalpojumi</w:t>
            </w:r>
          </w:p>
        </w:tc>
        <w:tc>
          <w:tcPr>
            <w:tcW w:w="999"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6B1AC18E" w14:textId="77777777" w:rsidR="004D6660" w:rsidRPr="00C63DC6" w:rsidRDefault="004D6660" w:rsidP="005413F1">
            <w:pPr>
              <w:spacing w:before="120"/>
              <w:ind w:right="-143"/>
              <w:jc w:val="both"/>
              <w:outlineLvl w:val="0"/>
              <w:rPr>
                <w:b/>
                <w:bCs/>
                <w:iCs/>
              </w:rPr>
            </w:pPr>
            <w:r w:rsidRPr="00C63DC6">
              <w:rPr>
                <w:b/>
                <w:bCs/>
                <w:iCs/>
              </w:rPr>
              <w:t>Kopā</w:t>
            </w:r>
          </w:p>
        </w:tc>
      </w:tr>
      <w:tr w:rsidR="004D6660" w:rsidRPr="00C63DC6" w14:paraId="4C51CDF5" w14:textId="77777777" w:rsidTr="0052669D">
        <w:trPr>
          <w:trHeight w:val="300"/>
        </w:trPr>
        <w:tc>
          <w:tcPr>
            <w:tcW w:w="1537" w:type="pct"/>
            <w:tcBorders>
              <w:top w:val="nil"/>
              <w:left w:val="single" w:sz="4" w:space="0" w:color="auto"/>
              <w:bottom w:val="single" w:sz="4" w:space="0" w:color="auto"/>
              <w:right w:val="nil"/>
            </w:tcBorders>
            <w:shd w:val="clear" w:color="auto" w:fill="auto"/>
            <w:noWrap/>
            <w:vAlign w:val="bottom"/>
            <w:hideMark/>
          </w:tcPr>
          <w:p w14:paraId="6459CE8B" w14:textId="77777777" w:rsidR="004D6660" w:rsidRPr="00C63DC6" w:rsidRDefault="004D6660" w:rsidP="005413F1">
            <w:pPr>
              <w:ind w:right="-143"/>
              <w:jc w:val="both"/>
              <w:outlineLvl w:val="0"/>
              <w:rPr>
                <w:bCs/>
                <w:iCs/>
              </w:rPr>
            </w:pPr>
            <w:r w:rsidRPr="00C63DC6">
              <w:rPr>
                <w:bCs/>
                <w:iCs/>
              </w:rPr>
              <w:t>Kopējā līgumcena milj.</w:t>
            </w:r>
          </w:p>
          <w:p w14:paraId="6455A680" w14:textId="77777777" w:rsidR="004D6660" w:rsidRPr="00C63DC6" w:rsidRDefault="004D6660" w:rsidP="005413F1">
            <w:pPr>
              <w:ind w:right="-143"/>
              <w:jc w:val="both"/>
              <w:outlineLvl w:val="0"/>
              <w:rPr>
                <w:bCs/>
                <w:iCs/>
              </w:rPr>
            </w:pPr>
            <w:r w:rsidRPr="00C63DC6">
              <w:rPr>
                <w:bCs/>
                <w:iCs/>
              </w:rPr>
              <w:t>EUR (bez PVN)</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14:paraId="44E16DF1" w14:textId="77777777" w:rsidR="004D6660" w:rsidRPr="00C63DC6" w:rsidRDefault="004D6660" w:rsidP="005413F1">
            <w:pPr>
              <w:spacing w:before="120"/>
              <w:ind w:right="-143"/>
              <w:jc w:val="both"/>
              <w:outlineLvl w:val="0"/>
              <w:rPr>
                <w:bCs/>
                <w:iCs/>
              </w:rPr>
            </w:pPr>
            <w:r w:rsidRPr="00C63DC6">
              <w:rPr>
                <w:bCs/>
                <w:iCs/>
              </w:rPr>
              <w:t>796 771 273</w:t>
            </w:r>
          </w:p>
        </w:tc>
        <w:tc>
          <w:tcPr>
            <w:tcW w:w="769" w:type="pct"/>
            <w:tcBorders>
              <w:top w:val="nil"/>
              <w:left w:val="nil"/>
              <w:bottom w:val="single" w:sz="4" w:space="0" w:color="auto"/>
              <w:right w:val="single" w:sz="4" w:space="0" w:color="auto"/>
            </w:tcBorders>
            <w:shd w:val="clear" w:color="auto" w:fill="auto"/>
            <w:noWrap/>
            <w:vAlign w:val="bottom"/>
            <w:hideMark/>
          </w:tcPr>
          <w:p w14:paraId="1743908B" w14:textId="77777777" w:rsidR="004D6660" w:rsidRPr="00C63DC6" w:rsidRDefault="004D6660" w:rsidP="005413F1">
            <w:pPr>
              <w:spacing w:before="120"/>
              <w:ind w:right="-143"/>
              <w:jc w:val="both"/>
              <w:outlineLvl w:val="0"/>
              <w:rPr>
                <w:bCs/>
                <w:iCs/>
              </w:rPr>
            </w:pPr>
            <w:r w:rsidRPr="00C63DC6">
              <w:rPr>
                <w:bCs/>
                <w:iCs/>
              </w:rPr>
              <w:t>583 528 839</w:t>
            </w:r>
          </w:p>
        </w:tc>
        <w:tc>
          <w:tcPr>
            <w:tcW w:w="847" w:type="pct"/>
            <w:tcBorders>
              <w:top w:val="nil"/>
              <w:left w:val="nil"/>
              <w:bottom w:val="single" w:sz="4" w:space="0" w:color="auto"/>
              <w:right w:val="single" w:sz="4" w:space="0" w:color="auto"/>
            </w:tcBorders>
            <w:shd w:val="clear" w:color="auto" w:fill="auto"/>
            <w:noWrap/>
            <w:vAlign w:val="bottom"/>
            <w:hideMark/>
          </w:tcPr>
          <w:p w14:paraId="160CDDBF" w14:textId="77777777" w:rsidR="004D6660" w:rsidRPr="00C63DC6" w:rsidRDefault="004D6660" w:rsidP="005413F1">
            <w:pPr>
              <w:spacing w:before="120"/>
              <w:ind w:right="-143"/>
              <w:jc w:val="both"/>
              <w:outlineLvl w:val="0"/>
              <w:rPr>
                <w:bCs/>
                <w:iCs/>
              </w:rPr>
            </w:pPr>
            <w:r w:rsidRPr="00C63DC6">
              <w:rPr>
                <w:bCs/>
                <w:iCs/>
              </w:rPr>
              <w:t>917 624 450</w:t>
            </w:r>
          </w:p>
        </w:tc>
        <w:tc>
          <w:tcPr>
            <w:tcW w:w="999" w:type="pct"/>
            <w:tcBorders>
              <w:top w:val="nil"/>
              <w:left w:val="nil"/>
              <w:bottom w:val="single" w:sz="4" w:space="0" w:color="auto"/>
              <w:right w:val="single" w:sz="4" w:space="0" w:color="auto"/>
            </w:tcBorders>
            <w:vAlign w:val="bottom"/>
          </w:tcPr>
          <w:p w14:paraId="06A3932D" w14:textId="77777777" w:rsidR="004D6660" w:rsidRPr="00C63DC6" w:rsidRDefault="004D6660" w:rsidP="005413F1">
            <w:pPr>
              <w:spacing w:before="120"/>
              <w:ind w:right="-143"/>
              <w:jc w:val="both"/>
              <w:outlineLvl w:val="0"/>
              <w:rPr>
                <w:bCs/>
                <w:iCs/>
              </w:rPr>
            </w:pPr>
            <w:r w:rsidRPr="00C63DC6">
              <w:rPr>
                <w:bCs/>
                <w:iCs/>
              </w:rPr>
              <w:t>2</w:t>
            </w:r>
            <w:r w:rsidR="00576FD5" w:rsidRPr="00C63DC6">
              <w:rPr>
                <w:bCs/>
                <w:iCs/>
              </w:rPr>
              <w:t xml:space="preserve"> 297 924 562</w:t>
            </w:r>
          </w:p>
        </w:tc>
      </w:tr>
      <w:tr w:rsidR="004D6660" w:rsidRPr="00C63DC6" w14:paraId="32DAD9EB" w14:textId="77777777" w:rsidTr="0052669D">
        <w:trPr>
          <w:trHeight w:val="600"/>
        </w:trPr>
        <w:tc>
          <w:tcPr>
            <w:tcW w:w="1537" w:type="pct"/>
            <w:tcBorders>
              <w:top w:val="nil"/>
              <w:left w:val="single" w:sz="4" w:space="0" w:color="auto"/>
              <w:bottom w:val="single" w:sz="4" w:space="0" w:color="auto"/>
              <w:right w:val="nil"/>
            </w:tcBorders>
            <w:shd w:val="clear" w:color="auto" w:fill="auto"/>
            <w:vAlign w:val="bottom"/>
            <w:hideMark/>
          </w:tcPr>
          <w:p w14:paraId="2A9E472A" w14:textId="77777777" w:rsidR="001730DA" w:rsidRPr="00C63DC6" w:rsidRDefault="004D6660" w:rsidP="005413F1">
            <w:pPr>
              <w:spacing w:before="120"/>
              <w:ind w:right="-143"/>
              <w:jc w:val="both"/>
              <w:outlineLvl w:val="0"/>
              <w:rPr>
                <w:bCs/>
                <w:iCs/>
              </w:rPr>
            </w:pPr>
            <w:r w:rsidRPr="00C63DC6">
              <w:rPr>
                <w:bCs/>
                <w:iCs/>
              </w:rPr>
              <w:t xml:space="preserve">t.sk. kopējā līgumcena, milj.EUR (bez PVN) </w:t>
            </w:r>
          </w:p>
          <w:p w14:paraId="79571B13" w14:textId="151CD6ED" w:rsidR="004D6660" w:rsidRPr="00C63DC6" w:rsidRDefault="004D6660" w:rsidP="005413F1">
            <w:pPr>
              <w:spacing w:before="120"/>
              <w:ind w:right="-143"/>
              <w:jc w:val="both"/>
              <w:outlineLvl w:val="0"/>
              <w:rPr>
                <w:bCs/>
                <w:iCs/>
              </w:rPr>
            </w:pPr>
            <w:r w:rsidRPr="00C63DC6">
              <w:rPr>
                <w:bCs/>
                <w:iCs/>
              </w:rPr>
              <w:t>ar norādi par ZPI</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69766" w14:textId="77777777" w:rsidR="004D6660" w:rsidRPr="00C63DC6" w:rsidRDefault="00576FD5" w:rsidP="005413F1">
            <w:pPr>
              <w:spacing w:before="120"/>
              <w:ind w:right="-143"/>
              <w:jc w:val="both"/>
              <w:outlineLvl w:val="0"/>
              <w:rPr>
                <w:bCs/>
                <w:iCs/>
              </w:rPr>
            </w:pPr>
            <w:r w:rsidRPr="00C63DC6">
              <w:rPr>
                <w:bCs/>
                <w:iCs/>
              </w:rPr>
              <w:t>80 908 286</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14:paraId="00DAE253" w14:textId="77777777" w:rsidR="004D6660" w:rsidRPr="00C63DC6" w:rsidRDefault="00576FD5" w:rsidP="005413F1">
            <w:pPr>
              <w:spacing w:before="120"/>
              <w:ind w:right="-143"/>
              <w:jc w:val="both"/>
              <w:outlineLvl w:val="0"/>
              <w:rPr>
                <w:bCs/>
                <w:iCs/>
              </w:rPr>
            </w:pPr>
            <w:r w:rsidRPr="00C63DC6">
              <w:rPr>
                <w:bCs/>
                <w:iCs/>
              </w:rPr>
              <w:t>113 497 014</w:t>
            </w:r>
          </w:p>
        </w:tc>
        <w:tc>
          <w:tcPr>
            <w:tcW w:w="847" w:type="pct"/>
            <w:tcBorders>
              <w:top w:val="nil"/>
              <w:left w:val="nil"/>
              <w:bottom w:val="single" w:sz="4" w:space="0" w:color="auto"/>
              <w:right w:val="single" w:sz="4" w:space="0" w:color="auto"/>
            </w:tcBorders>
            <w:shd w:val="clear" w:color="auto" w:fill="auto"/>
            <w:noWrap/>
            <w:vAlign w:val="bottom"/>
            <w:hideMark/>
          </w:tcPr>
          <w:p w14:paraId="68293B74" w14:textId="77777777" w:rsidR="004D6660" w:rsidRPr="00C63DC6" w:rsidRDefault="00576FD5" w:rsidP="005413F1">
            <w:pPr>
              <w:spacing w:before="120"/>
              <w:ind w:right="-143"/>
              <w:jc w:val="both"/>
              <w:outlineLvl w:val="0"/>
              <w:rPr>
                <w:bCs/>
                <w:iCs/>
              </w:rPr>
            </w:pPr>
            <w:r w:rsidRPr="00C63DC6">
              <w:rPr>
                <w:bCs/>
                <w:iCs/>
              </w:rPr>
              <w:t>77 082 616</w:t>
            </w:r>
          </w:p>
        </w:tc>
        <w:tc>
          <w:tcPr>
            <w:tcW w:w="999" w:type="pct"/>
            <w:tcBorders>
              <w:top w:val="nil"/>
              <w:left w:val="nil"/>
              <w:bottom w:val="single" w:sz="4" w:space="0" w:color="auto"/>
              <w:right w:val="single" w:sz="4" w:space="0" w:color="auto"/>
            </w:tcBorders>
            <w:vAlign w:val="bottom"/>
          </w:tcPr>
          <w:p w14:paraId="10DABEEA" w14:textId="568E3550" w:rsidR="004D6660" w:rsidRPr="00C63DC6" w:rsidRDefault="00576FD5" w:rsidP="005413F1">
            <w:pPr>
              <w:spacing w:before="120"/>
              <w:ind w:right="-143"/>
              <w:jc w:val="both"/>
              <w:outlineLvl w:val="0"/>
              <w:rPr>
                <w:bCs/>
                <w:iCs/>
              </w:rPr>
            </w:pPr>
            <w:r w:rsidRPr="00C63DC6">
              <w:rPr>
                <w:bCs/>
                <w:iCs/>
              </w:rPr>
              <w:t>271 487 916</w:t>
            </w:r>
          </w:p>
        </w:tc>
      </w:tr>
      <w:tr w:rsidR="001730DA" w:rsidRPr="00C63DC6" w14:paraId="2534F3F0" w14:textId="77777777" w:rsidTr="00A90C19">
        <w:trPr>
          <w:trHeight w:val="315"/>
        </w:trPr>
        <w:tc>
          <w:tcPr>
            <w:tcW w:w="1537" w:type="pct"/>
            <w:tcBorders>
              <w:top w:val="single" w:sz="4" w:space="0" w:color="auto"/>
              <w:left w:val="single" w:sz="4" w:space="0" w:color="auto"/>
              <w:bottom w:val="single" w:sz="4" w:space="0" w:color="auto"/>
              <w:right w:val="nil"/>
            </w:tcBorders>
            <w:shd w:val="clear" w:color="auto" w:fill="D6E3BC" w:themeFill="accent3" w:themeFillTint="66"/>
            <w:noWrap/>
            <w:vAlign w:val="center"/>
            <w:hideMark/>
          </w:tcPr>
          <w:p w14:paraId="23D3DC17" w14:textId="36C8762F" w:rsidR="001730DA" w:rsidRPr="00C63DC6" w:rsidRDefault="0052669D" w:rsidP="001730DA">
            <w:pPr>
              <w:spacing w:before="120"/>
              <w:ind w:right="-143"/>
              <w:jc w:val="both"/>
              <w:outlineLvl w:val="0"/>
              <w:rPr>
                <w:b/>
                <w:bCs/>
                <w:i/>
                <w:iCs/>
              </w:rPr>
            </w:pPr>
            <w:r w:rsidRPr="00C63DC6">
              <w:rPr>
                <w:b/>
                <w:bCs/>
                <w:i/>
                <w:iCs/>
              </w:rPr>
              <w:t xml:space="preserve">2018.g. </w:t>
            </w:r>
            <w:r w:rsidR="001730DA" w:rsidRPr="00C63DC6">
              <w:rPr>
                <w:b/>
                <w:bCs/>
                <w:i/>
                <w:iCs/>
              </w:rPr>
              <w:t>Iepirkumu veids</w:t>
            </w:r>
          </w:p>
        </w:tc>
        <w:tc>
          <w:tcPr>
            <w:tcW w:w="848"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11AF31C1" w14:textId="77777777" w:rsidR="001730DA" w:rsidRPr="00C63DC6" w:rsidRDefault="001730DA" w:rsidP="001730DA">
            <w:pPr>
              <w:spacing w:before="120"/>
              <w:ind w:right="-143"/>
              <w:jc w:val="both"/>
              <w:outlineLvl w:val="0"/>
              <w:rPr>
                <w:b/>
                <w:bCs/>
                <w:iCs/>
              </w:rPr>
            </w:pPr>
            <w:r w:rsidRPr="00C63DC6">
              <w:rPr>
                <w:b/>
                <w:bCs/>
                <w:iCs/>
              </w:rPr>
              <w:t>Būvdarbi</w:t>
            </w:r>
          </w:p>
        </w:tc>
        <w:tc>
          <w:tcPr>
            <w:tcW w:w="769"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091472F6" w14:textId="77777777" w:rsidR="001730DA" w:rsidRPr="00C63DC6" w:rsidRDefault="001730DA" w:rsidP="001730DA">
            <w:pPr>
              <w:spacing w:before="120"/>
              <w:ind w:right="-143"/>
              <w:jc w:val="both"/>
              <w:outlineLvl w:val="0"/>
              <w:rPr>
                <w:b/>
                <w:bCs/>
                <w:iCs/>
              </w:rPr>
            </w:pPr>
            <w:r w:rsidRPr="00C63DC6">
              <w:rPr>
                <w:b/>
                <w:bCs/>
                <w:iCs/>
              </w:rPr>
              <w:t>Piegāde</w:t>
            </w:r>
          </w:p>
        </w:tc>
        <w:tc>
          <w:tcPr>
            <w:tcW w:w="847"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708B0388" w14:textId="77777777" w:rsidR="001730DA" w:rsidRPr="00C63DC6" w:rsidRDefault="001730DA" w:rsidP="001730DA">
            <w:pPr>
              <w:spacing w:before="120"/>
              <w:ind w:right="-143"/>
              <w:jc w:val="both"/>
              <w:outlineLvl w:val="0"/>
              <w:rPr>
                <w:b/>
                <w:bCs/>
                <w:iCs/>
              </w:rPr>
            </w:pPr>
            <w:r w:rsidRPr="00C63DC6">
              <w:rPr>
                <w:b/>
                <w:bCs/>
                <w:iCs/>
              </w:rPr>
              <w:t>Pakalpojumi</w:t>
            </w:r>
          </w:p>
        </w:tc>
        <w:tc>
          <w:tcPr>
            <w:tcW w:w="999"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20137324" w14:textId="77777777" w:rsidR="001730DA" w:rsidRPr="00C63DC6" w:rsidRDefault="001730DA" w:rsidP="001730DA">
            <w:pPr>
              <w:spacing w:before="120"/>
              <w:ind w:right="-143"/>
              <w:jc w:val="both"/>
              <w:outlineLvl w:val="0"/>
              <w:rPr>
                <w:b/>
                <w:bCs/>
                <w:iCs/>
              </w:rPr>
            </w:pPr>
            <w:r w:rsidRPr="00C63DC6">
              <w:rPr>
                <w:b/>
                <w:bCs/>
                <w:iCs/>
              </w:rPr>
              <w:t>Kopā</w:t>
            </w:r>
          </w:p>
        </w:tc>
      </w:tr>
      <w:tr w:rsidR="001730DA" w:rsidRPr="00C63DC6" w14:paraId="048BE8A9" w14:textId="77777777" w:rsidTr="00A90C19">
        <w:trPr>
          <w:trHeight w:val="300"/>
        </w:trPr>
        <w:tc>
          <w:tcPr>
            <w:tcW w:w="1537" w:type="pct"/>
            <w:tcBorders>
              <w:top w:val="nil"/>
              <w:left w:val="single" w:sz="4" w:space="0" w:color="auto"/>
              <w:bottom w:val="single" w:sz="4" w:space="0" w:color="auto"/>
              <w:right w:val="nil"/>
            </w:tcBorders>
            <w:shd w:val="clear" w:color="auto" w:fill="auto"/>
            <w:noWrap/>
            <w:vAlign w:val="bottom"/>
            <w:hideMark/>
          </w:tcPr>
          <w:p w14:paraId="7B7EF914" w14:textId="77777777" w:rsidR="001730DA" w:rsidRPr="00C63DC6" w:rsidRDefault="001730DA" w:rsidP="000468A0">
            <w:pPr>
              <w:ind w:right="-143"/>
              <w:jc w:val="center"/>
              <w:outlineLvl w:val="0"/>
              <w:rPr>
                <w:bCs/>
                <w:iCs/>
              </w:rPr>
            </w:pPr>
            <w:r w:rsidRPr="00C63DC6">
              <w:rPr>
                <w:bCs/>
                <w:iCs/>
              </w:rPr>
              <w:t>Kopējā līgumcena milj.</w:t>
            </w:r>
          </w:p>
          <w:p w14:paraId="51266BA0" w14:textId="77777777" w:rsidR="001730DA" w:rsidRPr="00C63DC6" w:rsidRDefault="001730DA" w:rsidP="000468A0">
            <w:pPr>
              <w:ind w:right="-143"/>
              <w:jc w:val="center"/>
              <w:outlineLvl w:val="0"/>
              <w:rPr>
                <w:bCs/>
                <w:iCs/>
              </w:rPr>
            </w:pPr>
            <w:r w:rsidRPr="00C63DC6">
              <w:rPr>
                <w:bCs/>
                <w:iCs/>
              </w:rPr>
              <w:t>EUR (bez PVN)</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14:paraId="49FBC09A" w14:textId="22AFCDFA" w:rsidR="001730DA" w:rsidRPr="00C63DC6" w:rsidRDefault="001730DA" w:rsidP="000468A0">
            <w:pPr>
              <w:spacing w:before="120"/>
              <w:ind w:right="-143"/>
              <w:jc w:val="center"/>
              <w:outlineLvl w:val="0"/>
              <w:rPr>
                <w:bCs/>
                <w:iCs/>
              </w:rPr>
            </w:pPr>
            <w:r w:rsidRPr="00C63DC6">
              <w:rPr>
                <w:bCs/>
                <w:iCs/>
              </w:rPr>
              <w:t>1</w:t>
            </w:r>
            <w:r w:rsidR="00837258" w:rsidRPr="00C63DC6">
              <w:rPr>
                <w:bCs/>
                <w:iCs/>
              </w:rPr>
              <w:t xml:space="preserve"> 1</w:t>
            </w:r>
            <w:r w:rsidRPr="00C63DC6">
              <w:rPr>
                <w:bCs/>
                <w:iCs/>
              </w:rPr>
              <w:t>06</w:t>
            </w:r>
            <w:r w:rsidR="00837258" w:rsidRPr="00C63DC6">
              <w:rPr>
                <w:bCs/>
                <w:iCs/>
              </w:rPr>
              <w:t xml:space="preserve"> </w:t>
            </w:r>
            <w:r w:rsidRPr="00C63DC6">
              <w:rPr>
                <w:bCs/>
                <w:iCs/>
              </w:rPr>
              <w:t>27</w:t>
            </w:r>
            <w:r w:rsidR="00837258" w:rsidRPr="00C63DC6">
              <w:rPr>
                <w:bCs/>
                <w:iCs/>
              </w:rPr>
              <w:t>2 688</w:t>
            </w:r>
          </w:p>
        </w:tc>
        <w:tc>
          <w:tcPr>
            <w:tcW w:w="769" w:type="pct"/>
            <w:tcBorders>
              <w:top w:val="nil"/>
              <w:left w:val="nil"/>
              <w:bottom w:val="single" w:sz="4" w:space="0" w:color="auto"/>
              <w:right w:val="single" w:sz="4" w:space="0" w:color="auto"/>
            </w:tcBorders>
            <w:shd w:val="clear" w:color="auto" w:fill="auto"/>
            <w:noWrap/>
            <w:vAlign w:val="bottom"/>
            <w:hideMark/>
          </w:tcPr>
          <w:p w14:paraId="5A18A7DD" w14:textId="05C162A6" w:rsidR="001730DA" w:rsidRPr="00C63DC6" w:rsidRDefault="00FA5992" w:rsidP="000468A0">
            <w:pPr>
              <w:spacing w:before="120"/>
              <w:ind w:right="-143"/>
              <w:jc w:val="center"/>
              <w:outlineLvl w:val="0"/>
              <w:rPr>
                <w:bCs/>
                <w:iCs/>
              </w:rPr>
            </w:pPr>
            <w:r w:rsidRPr="00C63DC6">
              <w:rPr>
                <w:bCs/>
                <w:iCs/>
              </w:rPr>
              <w:t>680 073 778</w:t>
            </w:r>
          </w:p>
        </w:tc>
        <w:tc>
          <w:tcPr>
            <w:tcW w:w="847" w:type="pct"/>
            <w:tcBorders>
              <w:top w:val="nil"/>
              <w:left w:val="nil"/>
              <w:bottom w:val="single" w:sz="4" w:space="0" w:color="auto"/>
              <w:right w:val="single" w:sz="4" w:space="0" w:color="auto"/>
            </w:tcBorders>
            <w:shd w:val="clear" w:color="auto" w:fill="auto"/>
            <w:noWrap/>
            <w:vAlign w:val="bottom"/>
            <w:hideMark/>
          </w:tcPr>
          <w:p w14:paraId="7EECB3E8" w14:textId="5A161FBD" w:rsidR="001730DA" w:rsidRPr="00C63DC6" w:rsidRDefault="00FA5992" w:rsidP="000468A0">
            <w:pPr>
              <w:spacing w:before="120"/>
              <w:ind w:right="-143"/>
              <w:jc w:val="center"/>
              <w:outlineLvl w:val="0"/>
              <w:rPr>
                <w:bCs/>
                <w:iCs/>
              </w:rPr>
            </w:pPr>
            <w:r w:rsidRPr="00C63DC6">
              <w:rPr>
                <w:bCs/>
                <w:iCs/>
              </w:rPr>
              <w:t>1 190 727 139</w:t>
            </w:r>
          </w:p>
        </w:tc>
        <w:tc>
          <w:tcPr>
            <w:tcW w:w="999" w:type="pct"/>
            <w:tcBorders>
              <w:top w:val="nil"/>
              <w:left w:val="nil"/>
              <w:bottom w:val="single" w:sz="4" w:space="0" w:color="auto"/>
              <w:right w:val="single" w:sz="4" w:space="0" w:color="auto"/>
            </w:tcBorders>
            <w:vAlign w:val="bottom"/>
          </w:tcPr>
          <w:p w14:paraId="59BEB754" w14:textId="5F0BBF40" w:rsidR="001730DA" w:rsidRPr="00C63DC6" w:rsidRDefault="00FA5992" w:rsidP="000468A0">
            <w:pPr>
              <w:spacing w:before="120"/>
              <w:ind w:right="-143"/>
              <w:jc w:val="center"/>
              <w:outlineLvl w:val="0"/>
              <w:rPr>
                <w:bCs/>
                <w:iCs/>
              </w:rPr>
            </w:pPr>
            <w:r w:rsidRPr="00C63DC6">
              <w:rPr>
                <w:bCs/>
                <w:iCs/>
              </w:rPr>
              <w:t>2 977 073 605</w:t>
            </w:r>
          </w:p>
        </w:tc>
      </w:tr>
      <w:tr w:rsidR="001730DA" w:rsidRPr="00C63DC6" w14:paraId="19573FA4" w14:textId="77777777" w:rsidTr="00A90C19">
        <w:trPr>
          <w:trHeight w:val="600"/>
        </w:trPr>
        <w:tc>
          <w:tcPr>
            <w:tcW w:w="1537" w:type="pct"/>
            <w:tcBorders>
              <w:top w:val="nil"/>
              <w:left w:val="single" w:sz="4" w:space="0" w:color="auto"/>
              <w:bottom w:val="single" w:sz="4" w:space="0" w:color="auto"/>
              <w:right w:val="nil"/>
            </w:tcBorders>
            <w:shd w:val="clear" w:color="auto" w:fill="auto"/>
            <w:vAlign w:val="bottom"/>
            <w:hideMark/>
          </w:tcPr>
          <w:p w14:paraId="06695864" w14:textId="77777777" w:rsidR="001730DA" w:rsidRPr="00C63DC6" w:rsidRDefault="001730DA" w:rsidP="001730DA">
            <w:pPr>
              <w:spacing w:before="120"/>
              <w:ind w:right="-143"/>
              <w:jc w:val="both"/>
              <w:outlineLvl w:val="0"/>
              <w:rPr>
                <w:bCs/>
                <w:iCs/>
              </w:rPr>
            </w:pPr>
            <w:r w:rsidRPr="00C63DC6">
              <w:rPr>
                <w:bCs/>
                <w:iCs/>
              </w:rPr>
              <w:t xml:space="preserve">t.sk. kopējā līgumcena, milj.EUR (bez PVN) </w:t>
            </w:r>
          </w:p>
          <w:p w14:paraId="1270A243" w14:textId="77777777" w:rsidR="001730DA" w:rsidRPr="00C63DC6" w:rsidRDefault="001730DA" w:rsidP="001730DA">
            <w:pPr>
              <w:spacing w:before="120"/>
              <w:ind w:right="-143"/>
              <w:jc w:val="both"/>
              <w:outlineLvl w:val="0"/>
              <w:rPr>
                <w:bCs/>
                <w:iCs/>
              </w:rPr>
            </w:pPr>
            <w:r w:rsidRPr="00C63DC6">
              <w:rPr>
                <w:bCs/>
                <w:iCs/>
              </w:rPr>
              <w:t>ar norādi par ZPI</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DA515" w14:textId="454D1923" w:rsidR="001730DA" w:rsidRPr="00C63DC6" w:rsidRDefault="00FF1948" w:rsidP="001730DA">
            <w:pPr>
              <w:spacing w:before="120"/>
              <w:ind w:right="-143"/>
              <w:jc w:val="both"/>
              <w:outlineLvl w:val="0"/>
              <w:rPr>
                <w:bCs/>
                <w:iCs/>
              </w:rPr>
            </w:pPr>
            <w:r w:rsidRPr="00C63DC6">
              <w:rPr>
                <w:bCs/>
                <w:iCs/>
              </w:rPr>
              <w:t>234 055 174</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14:paraId="5482C7B5" w14:textId="6C07EC84" w:rsidR="001730DA" w:rsidRPr="00C63DC6" w:rsidRDefault="00FF1948" w:rsidP="001730DA">
            <w:pPr>
              <w:spacing w:before="120"/>
              <w:ind w:right="-143"/>
              <w:jc w:val="both"/>
              <w:outlineLvl w:val="0"/>
              <w:rPr>
                <w:bCs/>
                <w:iCs/>
              </w:rPr>
            </w:pPr>
            <w:r w:rsidRPr="00C63DC6">
              <w:rPr>
                <w:bCs/>
                <w:iCs/>
              </w:rPr>
              <w:t>91 403 846</w:t>
            </w:r>
          </w:p>
        </w:tc>
        <w:tc>
          <w:tcPr>
            <w:tcW w:w="847" w:type="pct"/>
            <w:tcBorders>
              <w:top w:val="nil"/>
              <w:left w:val="nil"/>
              <w:bottom w:val="single" w:sz="4" w:space="0" w:color="auto"/>
              <w:right w:val="single" w:sz="4" w:space="0" w:color="auto"/>
            </w:tcBorders>
            <w:shd w:val="clear" w:color="auto" w:fill="auto"/>
            <w:noWrap/>
            <w:vAlign w:val="bottom"/>
            <w:hideMark/>
          </w:tcPr>
          <w:p w14:paraId="3834439F" w14:textId="186FBDFD" w:rsidR="001730DA" w:rsidRPr="00C63DC6" w:rsidRDefault="00FF1948" w:rsidP="001730DA">
            <w:pPr>
              <w:spacing w:before="120"/>
              <w:ind w:right="-143"/>
              <w:jc w:val="both"/>
              <w:outlineLvl w:val="0"/>
              <w:rPr>
                <w:bCs/>
                <w:iCs/>
              </w:rPr>
            </w:pPr>
            <w:r w:rsidRPr="00C63DC6">
              <w:rPr>
                <w:bCs/>
                <w:iCs/>
              </w:rPr>
              <w:t>218 469 355</w:t>
            </w:r>
          </w:p>
        </w:tc>
        <w:tc>
          <w:tcPr>
            <w:tcW w:w="999" w:type="pct"/>
            <w:tcBorders>
              <w:top w:val="nil"/>
              <w:left w:val="nil"/>
              <w:bottom w:val="single" w:sz="4" w:space="0" w:color="auto"/>
              <w:right w:val="single" w:sz="4" w:space="0" w:color="auto"/>
            </w:tcBorders>
            <w:vAlign w:val="bottom"/>
          </w:tcPr>
          <w:p w14:paraId="4812EE92" w14:textId="32A3C8AE" w:rsidR="001730DA" w:rsidRPr="00C63DC6" w:rsidRDefault="00FF1948" w:rsidP="001730DA">
            <w:pPr>
              <w:spacing w:before="120"/>
              <w:ind w:right="-143"/>
              <w:jc w:val="both"/>
              <w:outlineLvl w:val="0"/>
              <w:rPr>
                <w:bCs/>
                <w:iCs/>
              </w:rPr>
            </w:pPr>
            <w:r w:rsidRPr="00C63DC6">
              <w:rPr>
                <w:bCs/>
                <w:iCs/>
              </w:rPr>
              <w:t>543 928 375</w:t>
            </w:r>
          </w:p>
        </w:tc>
      </w:tr>
    </w:tbl>
    <w:p w14:paraId="4FF2A39C" w14:textId="64E372E8" w:rsidR="008B2B9B" w:rsidRDefault="00A76D42" w:rsidP="00A21D0F">
      <w:pPr>
        <w:spacing w:after="240"/>
        <w:ind w:left="708"/>
        <w:outlineLvl w:val="0"/>
        <w:rPr>
          <w:bCs/>
          <w:i/>
          <w:iCs/>
        </w:rPr>
      </w:pPr>
      <w:r w:rsidRPr="00C63DC6">
        <w:rPr>
          <w:bCs/>
          <w:i/>
          <w:iCs/>
        </w:rPr>
        <w:t>Avots: IUB d</w:t>
      </w:r>
      <w:r w:rsidR="008B2B9B" w:rsidRPr="00C63DC6">
        <w:rPr>
          <w:bCs/>
          <w:i/>
          <w:iCs/>
        </w:rPr>
        <w:t>ati</w:t>
      </w:r>
    </w:p>
    <w:p w14:paraId="09E72805" w14:textId="77777777" w:rsidR="0063029B" w:rsidRDefault="0063029B" w:rsidP="00A21D0F">
      <w:pPr>
        <w:spacing w:after="240"/>
        <w:ind w:left="708"/>
        <w:outlineLvl w:val="0"/>
        <w:rPr>
          <w:bCs/>
          <w:i/>
          <w:iCs/>
        </w:rPr>
      </w:pPr>
    </w:p>
    <w:p w14:paraId="03F70EA1" w14:textId="77777777" w:rsidR="0063029B" w:rsidRDefault="0063029B" w:rsidP="00A21D0F">
      <w:pPr>
        <w:spacing w:after="240"/>
        <w:ind w:left="708"/>
        <w:outlineLvl w:val="0"/>
        <w:rPr>
          <w:bCs/>
          <w:i/>
          <w:iCs/>
        </w:rPr>
      </w:pPr>
    </w:p>
    <w:p w14:paraId="37F8DC8D" w14:textId="77777777" w:rsidR="0063029B" w:rsidRDefault="0063029B" w:rsidP="00A21D0F">
      <w:pPr>
        <w:spacing w:after="240"/>
        <w:ind w:left="708"/>
        <w:outlineLvl w:val="0"/>
        <w:rPr>
          <w:bCs/>
          <w:i/>
          <w:iCs/>
        </w:rPr>
      </w:pPr>
    </w:p>
    <w:p w14:paraId="6131F18D" w14:textId="77777777" w:rsidR="0063029B" w:rsidRDefault="0063029B" w:rsidP="00A21D0F">
      <w:pPr>
        <w:spacing w:after="240"/>
        <w:ind w:left="708"/>
        <w:outlineLvl w:val="0"/>
        <w:rPr>
          <w:bCs/>
          <w:i/>
          <w:iCs/>
        </w:rPr>
      </w:pPr>
    </w:p>
    <w:p w14:paraId="540C9061" w14:textId="77777777" w:rsidR="0063029B" w:rsidRDefault="0063029B" w:rsidP="00A21D0F">
      <w:pPr>
        <w:spacing w:after="240"/>
        <w:ind w:left="708"/>
        <w:outlineLvl w:val="0"/>
        <w:rPr>
          <w:bCs/>
          <w:i/>
          <w:iCs/>
        </w:rPr>
      </w:pPr>
    </w:p>
    <w:p w14:paraId="010BB122" w14:textId="77777777" w:rsidR="0063029B" w:rsidRPr="00C63DC6" w:rsidRDefault="0063029B" w:rsidP="00A21D0F">
      <w:pPr>
        <w:spacing w:after="240"/>
        <w:ind w:left="708"/>
        <w:outlineLvl w:val="0"/>
        <w:rPr>
          <w:bCs/>
          <w:i/>
          <w:iCs/>
        </w:rPr>
      </w:pPr>
    </w:p>
    <w:p w14:paraId="7CEFC6CA" w14:textId="1856F4D5" w:rsidR="00A21D0F" w:rsidRPr="00C63DC6" w:rsidRDefault="00353FC9" w:rsidP="00353FC9">
      <w:pPr>
        <w:jc w:val="both"/>
        <w:outlineLvl w:val="0"/>
        <w:rPr>
          <w:b/>
          <w:bCs/>
          <w:i/>
          <w:iCs/>
        </w:rPr>
      </w:pPr>
      <w:r w:rsidRPr="00C63DC6">
        <w:rPr>
          <w:b/>
          <w:bCs/>
          <w:i/>
          <w:iCs/>
        </w:rPr>
        <w:t>3.</w:t>
      </w:r>
      <w:r w:rsidR="00A21D0F" w:rsidRPr="00C63DC6">
        <w:rPr>
          <w:b/>
          <w:bCs/>
          <w:i/>
          <w:iCs/>
        </w:rPr>
        <w:t>Attēls</w:t>
      </w:r>
    </w:p>
    <w:p w14:paraId="064849B7" w14:textId="2F10D051" w:rsidR="00D50C7A" w:rsidRPr="00C63DC6" w:rsidRDefault="00D50C7A" w:rsidP="00A21D0F">
      <w:pPr>
        <w:ind w:left="360"/>
        <w:jc w:val="both"/>
        <w:outlineLvl w:val="0"/>
        <w:rPr>
          <w:b/>
          <w:bCs/>
          <w:i/>
          <w:iCs/>
        </w:rPr>
      </w:pPr>
      <w:r w:rsidRPr="00C63DC6">
        <w:rPr>
          <w:b/>
          <w:bCs/>
          <w:i/>
          <w:iCs/>
        </w:rPr>
        <w:t>ZPI īpatsvara</w:t>
      </w:r>
      <w:r w:rsidR="002C5B20" w:rsidRPr="00C63DC6">
        <w:rPr>
          <w:b/>
          <w:bCs/>
          <w:i/>
          <w:iCs/>
        </w:rPr>
        <w:t xml:space="preserve"> attīstība</w:t>
      </w:r>
      <w:r w:rsidR="0052669D" w:rsidRPr="00C63DC6">
        <w:rPr>
          <w:b/>
          <w:bCs/>
          <w:i/>
          <w:iCs/>
        </w:rPr>
        <w:t xml:space="preserve"> pret kopējo iepirkumu apjomu </w:t>
      </w:r>
      <w:r w:rsidR="00C63DC6" w:rsidRPr="00C63DC6">
        <w:rPr>
          <w:b/>
          <w:bCs/>
          <w:i/>
          <w:iCs/>
        </w:rPr>
        <w:t>finansiālā</w:t>
      </w:r>
      <w:r w:rsidR="0052669D" w:rsidRPr="00C63DC6">
        <w:rPr>
          <w:b/>
          <w:bCs/>
          <w:i/>
          <w:iCs/>
        </w:rPr>
        <w:t xml:space="preserve"> izteiksmē </w:t>
      </w:r>
      <w:r w:rsidR="002C5B20" w:rsidRPr="00C63DC6">
        <w:rPr>
          <w:b/>
          <w:bCs/>
          <w:i/>
          <w:iCs/>
        </w:rPr>
        <w:t xml:space="preserve"> pēc iepirkuma veida </w:t>
      </w:r>
      <w:r w:rsidRPr="00C63DC6">
        <w:rPr>
          <w:b/>
          <w:bCs/>
          <w:i/>
          <w:iCs/>
        </w:rPr>
        <w:t>2015</w:t>
      </w:r>
      <w:r w:rsidR="002C5B20" w:rsidRPr="00C63DC6">
        <w:rPr>
          <w:b/>
          <w:bCs/>
          <w:i/>
          <w:iCs/>
        </w:rPr>
        <w:t>.</w:t>
      </w:r>
      <w:r w:rsidRPr="00C63DC6">
        <w:rPr>
          <w:b/>
          <w:bCs/>
          <w:i/>
          <w:iCs/>
        </w:rPr>
        <w:t>-201</w:t>
      </w:r>
      <w:r w:rsidR="002F12D4" w:rsidRPr="00C63DC6">
        <w:rPr>
          <w:b/>
          <w:bCs/>
          <w:i/>
          <w:iCs/>
        </w:rPr>
        <w:t>8</w:t>
      </w:r>
      <w:r w:rsidR="002C5B20" w:rsidRPr="00C63DC6">
        <w:rPr>
          <w:b/>
          <w:bCs/>
          <w:i/>
          <w:iCs/>
        </w:rPr>
        <w:t>. gadā</w:t>
      </w:r>
    </w:p>
    <w:p w14:paraId="2F58CFF2" w14:textId="1C1D7A73" w:rsidR="00C91294" w:rsidRPr="00C63DC6" w:rsidRDefault="00383830" w:rsidP="005413F1">
      <w:pPr>
        <w:ind w:left="-142" w:right="-143"/>
        <w:jc w:val="both"/>
        <w:outlineLvl w:val="0"/>
        <w:rPr>
          <w:b/>
          <w:bCs/>
          <w:i/>
          <w:iCs/>
        </w:rPr>
      </w:pPr>
      <w:r w:rsidRPr="00C63DC6">
        <w:rPr>
          <w:noProof/>
        </w:rPr>
        <w:drawing>
          <wp:inline distT="0" distB="0" distL="0" distR="0" wp14:anchorId="31EF3D95" wp14:editId="65F97EB7">
            <wp:extent cx="5857875" cy="34099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D42E2C" w14:textId="3EB5663C" w:rsidR="00FB0AD8" w:rsidRPr="00C63DC6" w:rsidRDefault="00A76D42" w:rsidP="00AB5C3A">
      <w:pPr>
        <w:jc w:val="both"/>
        <w:outlineLvl w:val="0"/>
        <w:rPr>
          <w:bCs/>
          <w:i/>
          <w:iCs/>
        </w:rPr>
      </w:pPr>
      <w:r w:rsidRPr="00C63DC6">
        <w:rPr>
          <w:bCs/>
          <w:i/>
          <w:iCs/>
        </w:rPr>
        <w:t>Avots: IUB d</w:t>
      </w:r>
      <w:r w:rsidR="00D50C7A" w:rsidRPr="00C63DC6">
        <w:rPr>
          <w:bCs/>
          <w:i/>
          <w:iCs/>
        </w:rPr>
        <w:t>ati</w:t>
      </w:r>
    </w:p>
    <w:p w14:paraId="085C86B6" w14:textId="7B465FEF" w:rsidR="00591798" w:rsidRPr="00C63DC6" w:rsidRDefault="00E04044" w:rsidP="00593881">
      <w:pPr>
        <w:spacing w:before="240"/>
        <w:ind w:firstLine="720"/>
        <w:jc w:val="both"/>
        <w:rPr>
          <w:bCs/>
          <w:iCs/>
          <w:sz w:val="28"/>
          <w:szCs w:val="28"/>
        </w:rPr>
      </w:pPr>
      <w:r w:rsidRPr="00C63DC6">
        <w:rPr>
          <w:bCs/>
          <w:iCs/>
          <w:sz w:val="28"/>
          <w:szCs w:val="28"/>
        </w:rPr>
        <w:t>Analizējot iepirkumu veidu dinamiku</w:t>
      </w:r>
      <w:r w:rsidR="0005012C" w:rsidRPr="00C63DC6">
        <w:rPr>
          <w:bCs/>
          <w:iCs/>
          <w:sz w:val="28"/>
          <w:szCs w:val="28"/>
        </w:rPr>
        <w:t>,</w:t>
      </w:r>
      <w:r w:rsidRPr="00C63DC6">
        <w:rPr>
          <w:bCs/>
          <w:iCs/>
          <w:sz w:val="28"/>
          <w:szCs w:val="28"/>
        </w:rPr>
        <w:t xml:space="preserve"> secinā</w:t>
      </w:r>
      <w:r w:rsidR="00CB1257" w:rsidRPr="00C63DC6">
        <w:rPr>
          <w:bCs/>
          <w:iCs/>
          <w:sz w:val="28"/>
          <w:szCs w:val="28"/>
        </w:rPr>
        <w:t>m</w:t>
      </w:r>
      <w:r w:rsidRPr="00C63DC6">
        <w:rPr>
          <w:bCs/>
          <w:iCs/>
          <w:sz w:val="28"/>
          <w:szCs w:val="28"/>
        </w:rPr>
        <w:t>,</w:t>
      </w:r>
      <w:r w:rsidR="003B319F" w:rsidRPr="00C63DC6">
        <w:rPr>
          <w:bCs/>
          <w:iCs/>
          <w:sz w:val="28"/>
          <w:szCs w:val="28"/>
        </w:rPr>
        <w:t xml:space="preserve"> ka</w:t>
      </w:r>
      <w:r w:rsidRPr="00C63DC6">
        <w:rPr>
          <w:bCs/>
          <w:iCs/>
          <w:sz w:val="28"/>
          <w:szCs w:val="28"/>
        </w:rPr>
        <w:t xml:space="preserve"> </w:t>
      </w:r>
      <w:r w:rsidR="000468A0" w:rsidRPr="00C63DC6">
        <w:rPr>
          <w:bCs/>
          <w:iCs/>
          <w:sz w:val="28"/>
          <w:szCs w:val="28"/>
        </w:rPr>
        <w:t>2018. gadā</w:t>
      </w:r>
      <w:r w:rsidR="003B319F" w:rsidRPr="00C63DC6">
        <w:rPr>
          <w:bCs/>
          <w:iCs/>
          <w:sz w:val="28"/>
          <w:szCs w:val="28"/>
        </w:rPr>
        <w:t xml:space="preserve"> uzsākoties ES struktūrfondu projektu īstenošanai</w:t>
      </w:r>
      <w:r w:rsidR="000468A0" w:rsidRPr="00C63DC6">
        <w:rPr>
          <w:bCs/>
          <w:iCs/>
          <w:sz w:val="28"/>
          <w:szCs w:val="28"/>
        </w:rPr>
        <w:t xml:space="preserve"> būtiski ir pieaudzis ZPI īpatsvars būvdarbu iepirkumos</w:t>
      </w:r>
      <w:r w:rsidR="00843618" w:rsidRPr="00C63DC6">
        <w:rPr>
          <w:bCs/>
          <w:iCs/>
          <w:sz w:val="28"/>
          <w:szCs w:val="28"/>
        </w:rPr>
        <w:t xml:space="preserve">. </w:t>
      </w:r>
      <w:r w:rsidR="003E7DF5" w:rsidRPr="00C63DC6">
        <w:rPr>
          <w:bCs/>
          <w:iCs/>
          <w:sz w:val="28"/>
          <w:szCs w:val="28"/>
        </w:rPr>
        <w:t xml:space="preserve">Līdzīgs pieaugums ir vērojams pakalpojumu iepirkumos. </w:t>
      </w:r>
      <w:r w:rsidR="00736437" w:rsidRPr="00C63DC6">
        <w:rPr>
          <w:bCs/>
          <w:iCs/>
          <w:sz w:val="28"/>
          <w:szCs w:val="28"/>
        </w:rPr>
        <w:t>I</w:t>
      </w:r>
      <w:r w:rsidR="003B319F" w:rsidRPr="00C63DC6">
        <w:rPr>
          <w:bCs/>
          <w:iCs/>
          <w:sz w:val="28"/>
          <w:szCs w:val="28"/>
        </w:rPr>
        <w:t xml:space="preserve">espējams, </w:t>
      </w:r>
      <w:r w:rsidR="003E7DF5" w:rsidRPr="00C63DC6">
        <w:rPr>
          <w:bCs/>
          <w:iCs/>
          <w:sz w:val="28"/>
          <w:szCs w:val="28"/>
        </w:rPr>
        <w:t xml:space="preserve">tas saistīts ar </w:t>
      </w:r>
      <w:r w:rsidR="003B319F" w:rsidRPr="00C63DC6">
        <w:rPr>
          <w:bCs/>
          <w:iCs/>
          <w:sz w:val="28"/>
          <w:szCs w:val="28"/>
        </w:rPr>
        <w:t>ēdināšanas pakalpojumu īpatsvara</w:t>
      </w:r>
      <w:r w:rsidR="003E7DF5" w:rsidRPr="00C63DC6">
        <w:rPr>
          <w:bCs/>
          <w:iCs/>
          <w:sz w:val="28"/>
          <w:szCs w:val="28"/>
        </w:rPr>
        <w:t xml:space="preserve"> pieaugumu  </w:t>
      </w:r>
      <w:r w:rsidR="003B319F" w:rsidRPr="00C63DC6">
        <w:rPr>
          <w:bCs/>
          <w:iCs/>
          <w:sz w:val="28"/>
          <w:szCs w:val="28"/>
        </w:rPr>
        <w:t>pār pārtikas piegāžu iepirkumiem</w:t>
      </w:r>
      <w:r w:rsidR="003E7DF5" w:rsidRPr="00C63DC6">
        <w:rPr>
          <w:bCs/>
          <w:iCs/>
          <w:sz w:val="28"/>
          <w:szCs w:val="28"/>
        </w:rPr>
        <w:t>. Vienlaikus</w:t>
      </w:r>
      <w:r w:rsidR="000010C2" w:rsidRPr="00C63DC6">
        <w:rPr>
          <w:bCs/>
          <w:iCs/>
          <w:sz w:val="28"/>
          <w:szCs w:val="28"/>
        </w:rPr>
        <w:t xml:space="preserve"> </w:t>
      </w:r>
      <w:r w:rsidR="0052669D" w:rsidRPr="00C63DC6">
        <w:rPr>
          <w:bCs/>
          <w:iCs/>
          <w:sz w:val="28"/>
          <w:szCs w:val="28"/>
        </w:rPr>
        <w:t>2018. gadā</w:t>
      </w:r>
      <w:r w:rsidR="000010C2" w:rsidRPr="00C63DC6">
        <w:rPr>
          <w:bCs/>
          <w:iCs/>
          <w:sz w:val="28"/>
          <w:szCs w:val="28"/>
        </w:rPr>
        <w:t xml:space="preserve"> nav notikuši elektronisko iepirkumu sistēmas katalogu iepirkumi, </w:t>
      </w:r>
      <w:r w:rsidR="003E7DF5" w:rsidRPr="00C63DC6">
        <w:rPr>
          <w:bCs/>
          <w:iCs/>
          <w:sz w:val="28"/>
          <w:szCs w:val="28"/>
        </w:rPr>
        <w:t xml:space="preserve">kas sastādīja būtisku ZPI īpatsvara daļu piegādēs. </w:t>
      </w:r>
      <w:r w:rsidR="009F5ACF" w:rsidRPr="00C63DC6">
        <w:rPr>
          <w:bCs/>
          <w:iCs/>
          <w:sz w:val="28"/>
          <w:szCs w:val="28"/>
        </w:rPr>
        <w:t xml:space="preserve">Izvērtējot </w:t>
      </w:r>
      <w:r w:rsidR="00384901" w:rsidRPr="00C63DC6">
        <w:rPr>
          <w:bCs/>
          <w:iCs/>
          <w:sz w:val="28"/>
          <w:szCs w:val="28"/>
        </w:rPr>
        <w:t xml:space="preserve">2. </w:t>
      </w:r>
      <w:r w:rsidR="00CB1257" w:rsidRPr="00C63DC6">
        <w:rPr>
          <w:bCs/>
          <w:iCs/>
          <w:sz w:val="28"/>
          <w:szCs w:val="28"/>
        </w:rPr>
        <w:t>t</w:t>
      </w:r>
      <w:r w:rsidR="00E9435B" w:rsidRPr="00C63DC6">
        <w:rPr>
          <w:bCs/>
          <w:iCs/>
          <w:sz w:val="28"/>
          <w:szCs w:val="28"/>
        </w:rPr>
        <w:t xml:space="preserve">abulā </w:t>
      </w:r>
      <w:r w:rsidR="00997728" w:rsidRPr="00C63DC6">
        <w:rPr>
          <w:bCs/>
          <w:iCs/>
          <w:sz w:val="28"/>
          <w:szCs w:val="28"/>
        </w:rPr>
        <w:t>sniegtos</w:t>
      </w:r>
      <w:r w:rsidR="00E9435B" w:rsidRPr="00C63DC6">
        <w:rPr>
          <w:bCs/>
          <w:iCs/>
          <w:sz w:val="28"/>
          <w:szCs w:val="28"/>
        </w:rPr>
        <w:t xml:space="preserve"> datus un </w:t>
      </w:r>
      <w:r w:rsidR="009F5ACF" w:rsidRPr="00C63DC6">
        <w:rPr>
          <w:bCs/>
          <w:iCs/>
          <w:sz w:val="28"/>
          <w:szCs w:val="28"/>
        </w:rPr>
        <w:t>preču un pakalpojumu grup</w:t>
      </w:r>
      <w:r w:rsidR="0005012C" w:rsidRPr="00C63DC6">
        <w:rPr>
          <w:bCs/>
          <w:iCs/>
          <w:sz w:val="28"/>
          <w:szCs w:val="28"/>
        </w:rPr>
        <w:t>ām</w:t>
      </w:r>
      <w:r w:rsidR="009F5ACF" w:rsidRPr="00C63DC6">
        <w:rPr>
          <w:bCs/>
          <w:iCs/>
          <w:sz w:val="28"/>
          <w:szCs w:val="28"/>
        </w:rPr>
        <w:t xml:space="preserve">, kas </w:t>
      </w:r>
      <w:r w:rsidR="00593881" w:rsidRPr="00C63DC6">
        <w:rPr>
          <w:bCs/>
          <w:iCs/>
          <w:sz w:val="28"/>
          <w:szCs w:val="28"/>
        </w:rPr>
        <w:t>2017. gadā bija piedzīvojušas būtisku kritumu</w:t>
      </w:r>
      <w:r w:rsidR="00997728" w:rsidRPr="00C63DC6">
        <w:rPr>
          <w:bCs/>
          <w:iCs/>
          <w:sz w:val="28"/>
          <w:szCs w:val="28"/>
        </w:rPr>
        <w:t xml:space="preserve">, </w:t>
      </w:r>
      <w:r w:rsidR="003E7DF5" w:rsidRPr="00C63DC6">
        <w:rPr>
          <w:bCs/>
          <w:iCs/>
          <w:sz w:val="28"/>
          <w:szCs w:val="28"/>
        </w:rPr>
        <w:t xml:space="preserve">tās </w:t>
      </w:r>
      <w:r w:rsidR="00997728" w:rsidRPr="00C63DC6">
        <w:rPr>
          <w:bCs/>
          <w:iCs/>
          <w:sz w:val="28"/>
          <w:szCs w:val="28"/>
        </w:rPr>
        <w:t xml:space="preserve">2018. gadā </w:t>
      </w:r>
      <w:r w:rsidR="00593881" w:rsidRPr="00C63DC6">
        <w:rPr>
          <w:bCs/>
          <w:iCs/>
          <w:sz w:val="28"/>
          <w:szCs w:val="28"/>
        </w:rPr>
        <w:t xml:space="preserve"> ir </w:t>
      </w:r>
      <w:r w:rsidR="00D57545" w:rsidRPr="00C63DC6">
        <w:rPr>
          <w:bCs/>
          <w:iCs/>
          <w:sz w:val="28"/>
          <w:szCs w:val="28"/>
        </w:rPr>
        <w:t>atgriezušās</w:t>
      </w:r>
      <w:r w:rsidR="00593881" w:rsidRPr="00C63DC6">
        <w:rPr>
          <w:bCs/>
          <w:iCs/>
          <w:sz w:val="28"/>
          <w:szCs w:val="28"/>
        </w:rPr>
        <w:t xml:space="preserve"> “</w:t>
      </w:r>
      <w:r w:rsidR="00D57545" w:rsidRPr="00C63DC6">
        <w:rPr>
          <w:bCs/>
          <w:iCs/>
          <w:sz w:val="28"/>
          <w:szCs w:val="28"/>
        </w:rPr>
        <w:t>līderu” pozīcijās</w:t>
      </w:r>
      <w:r w:rsidR="00997728" w:rsidRPr="00C63DC6">
        <w:rPr>
          <w:bCs/>
          <w:iCs/>
          <w:sz w:val="28"/>
          <w:szCs w:val="28"/>
        </w:rPr>
        <w:t>,</w:t>
      </w:r>
      <w:r w:rsidR="00593881" w:rsidRPr="00C63DC6">
        <w:rPr>
          <w:bCs/>
          <w:iCs/>
          <w:sz w:val="28"/>
          <w:szCs w:val="28"/>
        </w:rPr>
        <w:t xml:space="preserve"> sasniedzot 99% (ēdināšanas pakalpojumi) un 89% (pārtikas produkti) īpatsvaru</w:t>
      </w:r>
      <w:r w:rsidR="00997728" w:rsidRPr="00C63DC6">
        <w:rPr>
          <w:bCs/>
          <w:iCs/>
          <w:sz w:val="28"/>
          <w:szCs w:val="28"/>
        </w:rPr>
        <w:t xml:space="preserve">. Tas apliecina pagājušā gada informatīvajā ziņojumā izteikto </w:t>
      </w:r>
      <w:r w:rsidR="00D57545" w:rsidRPr="00C63DC6">
        <w:rPr>
          <w:bCs/>
          <w:iCs/>
          <w:sz w:val="28"/>
          <w:szCs w:val="28"/>
        </w:rPr>
        <w:t>pieņēmumu</w:t>
      </w:r>
      <w:r w:rsidR="00997728" w:rsidRPr="00C63DC6">
        <w:rPr>
          <w:bCs/>
          <w:iCs/>
          <w:sz w:val="28"/>
          <w:szCs w:val="28"/>
        </w:rPr>
        <w:t xml:space="preserve">, </w:t>
      </w:r>
      <w:r w:rsidR="00593881" w:rsidRPr="00C63DC6">
        <w:rPr>
          <w:bCs/>
          <w:iCs/>
          <w:sz w:val="28"/>
          <w:szCs w:val="28"/>
        </w:rPr>
        <w:t xml:space="preserve">ka patiesais </w:t>
      </w:r>
      <w:r w:rsidR="00997728" w:rsidRPr="00C63DC6">
        <w:rPr>
          <w:bCs/>
          <w:iCs/>
          <w:sz w:val="28"/>
          <w:szCs w:val="28"/>
        </w:rPr>
        <w:t xml:space="preserve">īpatsvara </w:t>
      </w:r>
      <w:r w:rsidR="00593881" w:rsidRPr="00C63DC6">
        <w:rPr>
          <w:bCs/>
          <w:iCs/>
          <w:sz w:val="28"/>
          <w:szCs w:val="28"/>
        </w:rPr>
        <w:t xml:space="preserve">krituma  iemesls </w:t>
      </w:r>
      <w:r w:rsidR="003E7DF5" w:rsidRPr="00C63DC6">
        <w:rPr>
          <w:bCs/>
          <w:iCs/>
          <w:sz w:val="28"/>
          <w:szCs w:val="28"/>
        </w:rPr>
        <w:t xml:space="preserve">pārtikas produktu un </w:t>
      </w:r>
      <w:r w:rsidR="00C63DC6" w:rsidRPr="00C63DC6">
        <w:rPr>
          <w:bCs/>
          <w:iCs/>
          <w:sz w:val="28"/>
          <w:szCs w:val="28"/>
        </w:rPr>
        <w:t>ēdināšanas</w:t>
      </w:r>
      <w:r w:rsidR="003E7DF5" w:rsidRPr="00C63DC6">
        <w:rPr>
          <w:bCs/>
          <w:iCs/>
          <w:sz w:val="28"/>
          <w:szCs w:val="28"/>
        </w:rPr>
        <w:t xml:space="preserve"> pakalpojumu grupā </w:t>
      </w:r>
      <w:r w:rsidR="00593881" w:rsidRPr="00C63DC6">
        <w:rPr>
          <w:bCs/>
          <w:iCs/>
          <w:sz w:val="28"/>
          <w:szCs w:val="28"/>
        </w:rPr>
        <w:t>ir bijis</w:t>
      </w:r>
      <w:r w:rsidR="003E7DF5" w:rsidRPr="00C63DC6">
        <w:rPr>
          <w:bCs/>
          <w:iCs/>
          <w:sz w:val="28"/>
          <w:szCs w:val="28"/>
        </w:rPr>
        <w:t xml:space="preserve"> ZPI normatīvā regulējuma iztrūkums pārtikas jomā 2017. gada 2. ceturksnī.</w:t>
      </w:r>
      <w:r w:rsidR="00593881" w:rsidRPr="00C63DC6">
        <w:rPr>
          <w:bCs/>
          <w:iCs/>
          <w:sz w:val="28"/>
          <w:szCs w:val="28"/>
        </w:rPr>
        <w:t xml:space="preserve"> </w:t>
      </w:r>
      <w:r w:rsidR="003E7DF5" w:rsidRPr="00C63DC6">
        <w:rPr>
          <w:bCs/>
          <w:iCs/>
          <w:sz w:val="28"/>
          <w:szCs w:val="28"/>
        </w:rPr>
        <w:t xml:space="preserve">Atbilstoši  PIL deleģējumam, jaunie </w:t>
      </w:r>
      <w:r w:rsidR="00593881" w:rsidRPr="00C63DC6">
        <w:rPr>
          <w:bCs/>
          <w:iCs/>
          <w:sz w:val="28"/>
          <w:szCs w:val="28"/>
        </w:rPr>
        <w:t>MK n</w:t>
      </w:r>
      <w:r w:rsidR="003E7DF5" w:rsidRPr="00C63DC6">
        <w:rPr>
          <w:bCs/>
          <w:iCs/>
          <w:sz w:val="28"/>
          <w:szCs w:val="28"/>
        </w:rPr>
        <w:t xml:space="preserve">oteikumi </w:t>
      </w:r>
      <w:r w:rsidR="00593881" w:rsidRPr="00C63DC6">
        <w:rPr>
          <w:bCs/>
          <w:iCs/>
          <w:sz w:val="28"/>
          <w:szCs w:val="28"/>
        </w:rPr>
        <w:t xml:space="preserve"> </w:t>
      </w:r>
      <w:r w:rsidR="003E7DF5" w:rsidRPr="00C63DC6">
        <w:rPr>
          <w:bCs/>
          <w:iCs/>
          <w:sz w:val="28"/>
          <w:szCs w:val="28"/>
        </w:rPr>
        <w:t>stājās</w:t>
      </w:r>
      <w:r w:rsidR="00593881" w:rsidRPr="00C63DC6">
        <w:rPr>
          <w:bCs/>
          <w:iCs/>
          <w:sz w:val="28"/>
          <w:szCs w:val="28"/>
        </w:rPr>
        <w:t xml:space="preserve"> spēkā 2017. gada </w:t>
      </w:r>
      <w:r w:rsidR="003E7DF5" w:rsidRPr="00C63DC6">
        <w:rPr>
          <w:bCs/>
          <w:iCs/>
          <w:sz w:val="28"/>
          <w:szCs w:val="28"/>
        </w:rPr>
        <w:t>1. jūlijā</w:t>
      </w:r>
      <w:r w:rsidR="00593881" w:rsidRPr="00C63DC6">
        <w:rPr>
          <w:bCs/>
          <w:iCs/>
          <w:sz w:val="28"/>
          <w:szCs w:val="28"/>
        </w:rPr>
        <w:t>.</w:t>
      </w:r>
    </w:p>
    <w:p w14:paraId="60A8A6EB" w14:textId="01C5056E" w:rsidR="00333DB4" w:rsidRPr="00C63DC6" w:rsidRDefault="00591798" w:rsidP="005413F1">
      <w:pPr>
        <w:ind w:firstLine="720"/>
        <w:jc w:val="both"/>
        <w:rPr>
          <w:bCs/>
          <w:iCs/>
          <w:sz w:val="28"/>
          <w:szCs w:val="28"/>
        </w:rPr>
      </w:pPr>
      <w:r w:rsidRPr="00C63DC6">
        <w:rPr>
          <w:bCs/>
          <w:iCs/>
          <w:sz w:val="28"/>
          <w:szCs w:val="28"/>
        </w:rPr>
        <w:t>A</w:t>
      </w:r>
      <w:r w:rsidR="009F5ACF" w:rsidRPr="00C63DC6">
        <w:rPr>
          <w:bCs/>
          <w:iCs/>
          <w:sz w:val="28"/>
          <w:szCs w:val="28"/>
        </w:rPr>
        <w:t>pskatot citas preču un pakalpojumu grupas</w:t>
      </w:r>
      <w:r w:rsidR="00411A52" w:rsidRPr="00C63DC6">
        <w:rPr>
          <w:bCs/>
          <w:iCs/>
          <w:sz w:val="28"/>
          <w:szCs w:val="28"/>
        </w:rPr>
        <w:t>,</w:t>
      </w:r>
      <w:r w:rsidR="009F5ACF" w:rsidRPr="00C63DC6">
        <w:rPr>
          <w:bCs/>
          <w:iCs/>
          <w:sz w:val="28"/>
          <w:szCs w:val="28"/>
        </w:rPr>
        <w:t xml:space="preserve"> s</w:t>
      </w:r>
      <w:r w:rsidR="00BC3819" w:rsidRPr="00C63DC6">
        <w:rPr>
          <w:bCs/>
          <w:iCs/>
          <w:sz w:val="28"/>
          <w:szCs w:val="28"/>
        </w:rPr>
        <w:t>e</w:t>
      </w:r>
      <w:r w:rsidR="009F5ACF" w:rsidRPr="00C63DC6">
        <w:rPr>
          <w:bCs/>
          <w:iCs/>
          <w:sz w:val="28"/>
          <w:szCs w:val="28"/>
        </w:rPr>
        <w:t>cinā</w:t>
      </w:r>
      <w:r w:rsidR="00411A52" w:rsidRPr="00C63DC6">
        <w:rPr>
          <w:bCs/>
          <w:iCs/>
          <w:sz w:val="28"/>
          <w:szCs w:val="28"/>
        </w:rPr>
        <w:t>m</w:t>
      </w:r>
      <w:r w:rsidR="009F5ACF" w:rsidRPr="00C63DC6">
        <w:rPr>
          <w:bCs/>
          <w:iCs/>
          <w:sz w:val="28"/>
          <w:szCs w:val="28"/>
        </w:rPr>
        <w:t xml:space="preserve">, ka </w:t>
      </w:r>
      <w:r w:rsidR="00333DB4" w:rsidRPr="00C63DC6">
        <w:rPr>
          <w:bCs/>
          <w:iCs/>
          <w:sz w:val="28"/>
          <w:szCs w:val="28"/>
        </w:rPr>
        <w:t>vērojama pozitī</w:t>
      </w:r>
      <w:r w:rsidR="00BF0632" w:rsidRPr="00C63DC6">
        <w:rPr>
          <w:bCs/>
          <w:iCs/>
          <w:sz w:val="28"/>
          <w:szCs w:val="28"/>
        </w:rPr>
        <w:t>va tendence transportlīdzekļu iepirkumos, kur ZPI īpatsvars ir pieaudzis</w:t>
      </w:r>
      <w:r w:rsidR="00754862" w:rsidRPr="00C63DC6">
        <w:rPr>
          <w:bCs/>
          <w:iCs/>
          <w:sz w:val="28"/>
          <w:szCs w:val="28"/>
        </w:rPr>
        <w:t xml:space="preserve"> par 17%</w:t>
      </w:r>
      <w:r w:rsidR="00180B7B" w:rsidRPr="00C63DC6">
        <w:rPr>
          <w:bCs/>
          <w:iCs/>
          <w:sz w:val="28"/>
          <w:szCs w:val="28"/>
        </w:rPr>
        <w:t>,</w:t>
      </w:r>
      <w:r w:rsidR="00754862" w:rsidRPr="00C63DC6">
        <w:rPr>
          <w:bCs/>
          <w:iCs/>
          <w:sz w:val="28"/>
          <w:szCs w:val="28"/>
        </w:rPr>
        <w:t xml:space="preserve"> un tīrīšanas un spodrināšanas līdzekļu iepirkumos </w:t>
      </w:r>
      <w:r w:rsidR="00BC3819" w:rsidRPr="00C63DC6">
        <w:rPr>
          <w:bCs/>
          <w:iCs/>
          <w:sz w:val="28"/>
          <w:szCs w:val="28"/>
        </w:rPr>
        <w:t xml:space="preserve">pat līdz </w:t>
      </w:r>
      <w:r w:rsidR="00754862" w:rsidRPr="00C63DC6">
        <w:rPr>
          <w:bCs/>
          <w:iCs/>
          <w:sz w:val="28"/>
          <w:szCs w:val="28"/>
        </w:rPr>
        <w:t xml:space="preserve">45% , kas vairāk saistāms nevis ar pieejas iepirkumiem maiņu, bet jau pieņemto prasību un kritēriju atzīšanu par atbilstošu </w:t>
      </w:r>
      <w:r w:rsidR="00180B7B" w:rsidRPr="00C63DC6">
        <w:rPr>
          <w:bCs/>
          <w:iCs/>
          <w:sz w:val="28"/>
          <w:szCs w:val="28"/>
        </w:rPr>
        <w:t>ZPI</w:t>
      </w:r>
      <w:r w:rsidR="00754862" w:rsidRPr="00C63DC6">
        <w:rPr>
          <w:bCs/>
          <w:iCs/>
          <w:sz w:val="28"/>
          <w:szCs w:val="28"/>
        </w:rPr>
        <w:t>.</w:t>
      </w:r>
      <w:r w:rsidR="009F5ACF" w:rsidRPr="00C63DC6">
        <w:rPr>
          <w:bCs/>
          <w:iCs/>
          <w:sz w:val="28"/>
          <w:szCs w:val="28"/>
        </w:rPr>
        <w:t xml:space="preserve"> </w:t>
      </w:r>
    </w:p>
    <w:p w14:paraId="5FE9A233" w14:textId="77777777" w:rsidR="005076F4" w:rsidRPr="00C63DC6" w:rsidRDefault="00BF0632" w:rsidP="005413F1">
      <w:pPr>
        <w:spacing w:before="120"/>
        <w:jc w:val="both"/>
        <w:outlineLvl w:val="0"/>
        <w:rPr>
          <w:b/>
          <w:bCs/>
          <w:i/>
          <w:iCs/>
        </w:rPr>
      </w:pPr>
      <w:r w:rsidRPr="00C63DC6">
        <w:rPr>
          <w:bCs/>
          <w:iCs/>
          <w:sz w:val="28"/>
          <w:szCs w:val="28"/>
        </w:rPr>
        <w:lastRenderedPageBreak/>
        <w:t xml:space="preserve"> </w:t>
      </w:r>
      <w:r w:rsidR="00FA688F" w:rsidRPr="00C63DC6">
        <w:rPr>
          <w:b/>
          <w:bCs/>
          <w:i/>
          <w:iCs/>
        </w:rPr>
        <w:t>2.</w:t>
      </w:r>
      <w:r w:rsidR="005076F4" w:rsidRPr="00C63DC6">
        <w:rPr>
          <w:b/>
          <w:bCs/>
          <w:i/>
          <w:iCs/>
        </w:rPr>
        <w:t>Tabula</w:t>
      </w:r>
    </w:p>
    <w:p w14:paraId="21006FBF" w14:textId="77777777" w:rsidR="00077168" w:rsidRPr="00C63DC6" w:rsidRDefault="00077168" w:rsidP="005413F1">
      <w:pPr>
        <w:jc w:val="both"/>
        <w:rPr>
          <w:b/>
          <w:bCs/>
          <w:i/>
          <w:iCs/>
          <w:color w:val="000000"/>
        </w:rPr>
      </w:pPr>
      <w:r w:rsidRPr="00C63DC6">
        <w:rPr>
          <w:b/>
          <w:bCs/>
          <w:i/>
          <w:iCs/>
          <w:color w:val="000000"/>
        </w:rPr>
        <w:t xml:space="preserve">Kopējais pārskats (zaļo un kopējais) par PIL rezultātu paziņojumu skaitu un līgumcenām pēc </w:t>
      </w:r>
      <w:r w:rsidR="00844FB1" w:rsidRPr="00C63DC6">
        <w:rPr>
          <w:b/>
          <w:bCs/>
          <w:i/>
          <w:iCs/>
          <w:color w:val="000000"/>
        </w:rPr>
        <w:t xml:space="preserve">preču un pakalpojumu </w:t>
      </w:r>
      <w:r w:rsidR="00741947" w:rsidRPr="00C63DC6">
        <w:rPr>
          <w:b/>
          <w:bCs/>
          <w:i/>
          <w:iCs/>
          <w:color w:val="000000"/>
        </w:rPr>
        <w:t xml:space="preserve">grupām </w:t>
      </w:r>
      <w:r w:rsidR="00224875" w:rsidRPr="00C63DC6">
        <w:rPr>
          <w:b/>
          <w:bCs/>
          <w:i/>
          <w:iCs/>
          <w:color w:val="000000"/>
        </w:rPr>
        <w:t>2017</w:t>
      </w:r>
      <w:r w:rsidRPr="00C63DC6">
        <w:rPr>
          <w:b/>
          <w:bCs/>
          <w:i/>
          <w:iCs/>
          <w:color w:val="000000"/>
        </w:rPr>
        <w:t>.gadā</w:t>
      </w:r>
    </w:p>
    <w:tbl>
      <w:tblPr>
        <w:tblStyle w:val="TableGrid"/>
        <w:tblW w:w="5000" w:type="pct"/>
        <w:tblLayout w:type="fixed"/>
        <w:tblLook w:val="04A0" w:firstRow="1" w:lastRow="0" w:firstColumn="1" w:lastColumn="0" w:noHBand="0" w:noVBand="1"/>
      </w:tblPr>
      <w:tblGrid>
        <w:gridCol w:w="2126"/>
        <w:gridCol w:w="848"/>
        <w:gridCol w:w="850"/>
        <w:gridCol w:w="1558"/>
        <w:gridCol w:w="1417"/>
        <w:gridCol w:w="993"/>
        <w:gridCol w:w="1269"/>
      </w:tblGrid>
      <w:tr w:rsidR="008B09B6" w:rsidRPr="00C63DC6" w14:paraId="561856D7" w14:textId="77777777" w:rsidTr="002178C9">
        <w:tc>
          <w:tcPr>
            <w:tcW w:w="1173" w:type="pct"/>
            <w:vMerge w:val="restart"/>
            <w:shd w:val="clear" w:color="auto" w:fill="D6E3BC" w:themeFill="accent3" w:themeFillTint="66"/>
          </w:tcPr>
          <w:p w14:paraId="28CBB779" w14:textId="77777777" w:rsidR="00990EC0" w:rsidRPr="00C63DC6" w:rsidRDefault="00990EC0" w:rsidP="005413F1">
            <w:pPr>
              <w:jc w:val="both"/>
              <w:rPr>
                <w:b/>
              </w:rPr>
            </w:pPr>
            <w:r w:rsidRPr="00C63DC6">
              <w:rPr>
                <w:b/>
              </w:rPr>
              <w:t>Preču un pakalpojumu grupas</w:t>
            </w:r>
          </w:p>
        </w:tc>
        <w:tc>
          <w:tcPr>
            <w:tcW w:w="937" w:type="pct"/>
            <w:gridSpan w:val="2"/>
            <w:tcBorders>
              <w:bottom w:val="single" w:sz="4" w:space="0" w:color="auto"/>
            </w:tcBorders>
            <w:shd w:val="clear" w:color="auto" w:fill="D6E3BC" w:themeFill="accent3" w:themeFillTint="66"/>
          </w:tcPr>
          <w:p w14:paraId="2A4A6291" w14:textId="77777777" w:rsidR="00990EC0" w:rsidRPr="00C63DC6" w:rsidRDefault="00990EC0" w:rsidP="005413F1">
            <w:pPr>
              <w:jc w:val="both"/>
              <w:rPr>
                <w:b/>
              </w:rPr>
            </w:pPr>
            <w:r w:rsidRPr="00C63DC6">
              <w:rPr>
                <w:b/>
              </w:rPr>
              <w:t>Iepirkumu skaits</w:t>
            </w:r>
          </w:p>
        </w:tc>
        <w:tc>
          <w:tcPr>
            <w:tcW w:w="1642" w:type="pct"/>
            <w:gridSpan w:val="2"/>
            <w:tcBorders>
              <w:bottom w:val="single" w:sz="4" w:space="0" w:color="auto"/>
            </w:tcBorders>
            <w:shd w:val="clear" w:color="auto" w:fill="D6E3BC" w:themeFill="accent3" w:themeFillTint="66"/>
          </w:tcPr>
          <w:p w14:paraId="02B424B4" w14:textId="77777777" w:rsidR="00990EC0" w:rsidRPr="00C63DC6" w:rsidRDefault="00990EC0" w:rsidP="005413F1">
            <w:pPr>
              <w:jc w:val="both"/>
              <w:rPr>
                <w:b/>
              </w:rPr>
            </w:pPr>
            <w:r w:rsidRPr="00C63DC6">
              <w:rPr>
                <w:b/>
              </w:rPr>
              <w:t>Kopējā līgumcena EUR (bez PVN)</w:t>
            </w:r>
          </w:p>
        </w:tc>
        <w:tc>
          <w:tcPr>
            <w:tcW w:w="1248" w:type="pct"/>
            <w:gridSpan w:val="2"/>
            <w:tcBorders>
              <w:bottom w:val="single" w:sz="4" w:space="0" w:color="auto"/>
            </w:tcBorders>
            <w:shd w:val="clear" w:color="auto" w:fill="D6E3BC" w:themeFill="accent3" w:themeFillTint="66"/>
          </w:tcPr>
          <w:p w14:paraId="53F0C091" w14:textId="3BFBCB61" w:rsidR="00990EC0" w:rsidRPr="00C63DC6" w:rsidRDefault="00990EC0" w:rsidP="00990EC0">
            <w:pPr>
              <w:jc w:val="center"/>
              <w:rPr>
                <w:b/>
              </w:rPr>
            </w:pPr>
            <w:r w:rsidRPr="00C63DC6">
              <w:rPr>
                <w:b/>
              </w:rPr>
              <w:t>ZPI īpatsvars</w:t>
            </w:r>
            <w:r w:rsidR="008B09B6" w:rsidRPr="00C63DC6">
              <w:rPr>
                <w:b/>
              </w:rPr>
              <w:t xml:space="preserve"> %</w:t>
            </w:r>
          </w:p>
        </w:tc>
      </w:tr>
      <w:tr w:rsidR="008B09B6" w:rsidRPr="00C63DC6" w14:paraId="096D0FA4" w14:textId="77777777" w:rsidTr="002178C9">
        <w:tc>
          <w:tcPr>
            <w:tcW w:w="1173" w:type="pct"/>
            <w:vMerge/>
            <w:shd w:val="clear" w:color="auto" w:fill="FDE9D9" w:themeFill="accent6" w:themeFillTint="33"/>
          </w:tcPr>
          <w:p w14:paraId="7EC8509E" w14:textId="77777777" w:rsidR="008B09B6" w:rsidRPr="00C63DC6" w:rsidRDefault="008B09B6" w:rsidP="005413F1">
            <w:pPr>
              <w:jc w:val="both"/>
            </w:pPr>
          </w:p>
        </w:tc>
        <w:tc>
          <w:tcPr>
            <w:tcW w:w="468" w:type="pct"/>
            <w:tcBorders>
              <w:top w:val="single" w:sz="4" w:space="0" w:color="auto"/>
            </w:tcBorders>
            <w:shd w:val="clear" w:color="auto" w:fill="D6E3BC" w:themeFill="accent3" w:themeFillTint="66"/>
          </w:tcPr>
          <w:p w14:paraId="65C9A76C" w14:textId="77777777" w:rsidR="008B09B6" w:rsidRPr="00C63DC6" w:rsidRDefault="008B09B6" w:rsidP="005413F1">
            <w:pPr>
              <w:jc w:val="both"/>
              <w:rPr>
                <w:b/>
                <w:sz w:val="22"/>
                <w:szCs w:val="22"/>
              </w:rPr>
            </w:pPr>
            <w:r w:rsidRPr="00C63DC6">
              <w:rPr>
                <w:b/>
                <w:sz w:val="22"/>
                <w:szCs w:val="22"/>
              </w:rPr>
              <w:t>Kopā</w:t>
            </w:r>
          </w:p>
        </w:tc>
        <w:tc>
          <w:tcPr>
            <w:tcW w:w="469" w:type="pct"/>
            <w:tcBorders>
              <w:top w:val="single" w:sz="4" w:space="0" w:color="auto"/>
            </w:tcBorders>
            <w:shd w:val="clear" w:color="auto" w:fill="D6E3BC" w:themeFill="accent3" w:themeFillTint="66"/>
          </w:tcPr>
          <w:p w14:paraId="0428B4FA" w14:textId="77777777" w:rsidR="008B09B6" w:rsidRPr="00C63DC6" w:rsidRDefault="008B09B6" w:rsidP="005413F1">
            <w:pPr>
              <w:jc w:val="both"/>
              <w:rPr>
                <w:b/>
                <w:sz w:val="22"/>
                <w:szCs w:val="22"/>
              </w:rPr>
            </w:pPr>
            <w:r w:rsidRPr="00C63DC6">
              <w:rPr>
                <w:b/>
                <w:sz w:val="22"/>
                <w:szCs w:val="22"/>
              </w:rPr>
              <w:t>t.sk. ZPI</w:t>
            </w:r>
          </w:p>
        </w:tc>
        <w:tc>
          <w:tcPr>
            <w:tcW w:w="860" w:type="pct"/>
            <w:tcBorders>
              <w:top w:val="single" w:sz="4" w:space="0" w:color="auto"/>
            </w:tcBorders>
            <w:shd w:val="clear" w:color="auto" w:fill="D6E3BC" w:themeFill="accent3" w:themeFillTint="66"/>
          </w:tcPr>
          <w:p w14:paraId="28B38D06" w14:textId="77777777" w:rsidR="008B09B6" w:rsidRPr="00C63DC6" w:rsidRDefault="008B09B6" w:rsidP="005413F1">
            <w:pPr>
              <w:jc w:val="both"/>
              <w:rPr>
                <w:b/>
                <w:sz w:val="22"/>
                <w:szCs w:val="22"/>
              </w:rPr>
            </w:pPr>
            <w:r w:rsidRPr="00C63DC6">
              <w:rPr>
                <w:b/>
                <w:sz w:val="22"/>
                <w:szCs w:val="22"/>
              </w:rPr>
              <w:t>Kopā</w:t>
            </w:r>
          </w:p>
        </w:tc>
        <w:tc>
          <w:tcPr>
            <w:tcW w:w="782" w:type="pct"/>
            <w:tcBorders>
              <w:top w:val="single" w:sz="4" w:space="0" w:color="auto"/>
            </w:tcBorders>
            <w:shd w:val="clear" w:color="auto" w:fill="D6E3BC" w:themeFill="accent3" w:themeFillTint="66"/>
          </w:tcPr>
          <w:p w14:paraId="0B35ED7C" w14:textId="77777777" w:rsidR="008B09B6" w:rsidRPr="00C63DC6" w:rsidRDefault="008B09B6" w:rsidP="005413F1">
            <w:pPr>
              <w:jc w:val="both"/>
              <w:rPr>
                <w:b/>
                <w:sz w:val="22"/>
                <w:szCs w:val="22"/>
              </w:rPr>
            </w:pPr>
            <w:r w:rsidRPr="00C63DC6">
              <w:rPr>
                <w:b/>
                <w:sz w:val="22"/>
                <w:szCs w:val="22"/>
              </w:rPr>
              <w:t>t.sk. ZPI</w:t>
            </w:r>
          </w:p>
        </w:tc>
        <w:tc>
          <w:tcPr>
            <w:tcW w:w="548" w:type="pct"/>
            <w:tcBorders>
              <w:top w:val="single" w:sz="4" w:space="0" w:color="auto"/>
            </w:tcBorders>
            <w:shd w:val="clear" w:color="auto" w:fill="D6E3BC" w:themeFill="accent3" w:themeFillTint="66"/>
          </w:tcPr>
          <w:p w14:paraId="7506987A" w14:textId="77777777" w:rsidR="008B09B6" w:rsidRPr="00C63DC6" w:rsidRDefault="008B09B6" w:rsidP="005413F1">
            <w:pPr>
              <w:jc w:val="both"/>
              <w:rPr>
                <w:b/>
                <w:sz w:val="22"/>
                <w:szCs w:val="22"/>
              </w:rPr>
            </w:pPr>
            <w:r w:rsidRPr="00C63DC6">
              <w:rPr>
                <w:b/>
                <w:sz w:val="22"/>
                <w:szCs w:val="22"/>
              </w:rPr>
              <w:t>Iepirkumu</w:t>
            </w:r>
          </w:p>
          <w:p w14:paraId="6D877CF2" w14:textId="77777777" w:rsidR="008B09B6" w:rsidRPr="00C63DC6" w:rsidRDefault="008B09B6" w:rsidP="005413F1">
            <w:pPr>
              <w:jc w:val="both"/>
            </w:pPr>
            <w:r w:rsidRPr="00C63DC6">
              <w:rPr>
                <w:b/>
                <w:sz w:val="22"/>
                <w:szCs w:val="22"/>
              </w:rPr>
              <w:t>Skaits</w:t>
            </w:r>
          </w:p>
        </w:tc>
        <w:tc>
          <w:tcPr>
            <w:tcW w:w="700" w:type="pct"/>
            <w:tcBorders>
              <w:top w:val="single" w:sz="4" w:space="0" w:color="auto"/>
            </w:tcBorders>
            <w:shd w:val="clear" w:color="auto" w:fill="D6E3BC" w:themeFill="accent3" w:themeFillTint="66"/>
          </w:tcPr>
          <w:p w14:paraId="2EE45A68" w14:textId="7490AE9C" w:rsidR="008B09B6" w:rsidRPr="00C63DC6" w:rsidRDefault="008B09B6" w:rsidP="005413F1">
            <w:pPr>
              <w:jc w:val="both"/>
              <w:rPr>
                <w:b/>
                <w:sz w:val="22"/>
                <w:szCs w:val="22"/>
              </w:rPr>
            </w:pPr>
            <w:r w:rsidRPr="00C63DC6">
              <w:rPr>
                <w:b/>
                <w:sz w:val="22"/>
                <w:szCs w:val="22"/>
              </w:rPr>
              <w:t>Finansiālā izteiksme</w:t>
            </w:r>
          </w:p>
        </w:tc>
      </w:tr>
      <w:tr w:rsidR="008B09B6" w:rsidRPr="00C63DC6" w14:paraId="3517A2A5" w14:textId="77777777" w:rsidTr="002178C9">
        <w:tc>
          <w:tcPr>
            <w:tcW w:w="1173" w:type="pct"/>
            <w:shd w:val="clear" w:color="auto" w:fill="auto"/>
          </w:tcPr>
          <w:p w14:paraId="37FDC179" w14:textId="77777777" w:rsidR="008B09B6" w:rsidRPr="00C63DC6" w:rsidRDefault="008B09B6" w:rsidP="008B09B6">
            <w:pPr>
              <w:jc w:val="both"/>
              <w:rPr>
                <w:b/>
              </w:rPr>
            </w:pPr>
            <w:r w:rsidRPr="00C63DC6">
              <w:rPr>
                <w:b/>
              </w:rPr>
              <w:t>Biroja papīrs un drukas iekārtas  (biroja tehnika)</w:t>
            </w:r>
          </w:p>
        </w:tc>
        <w:tc>
          <w:tcPr>
            <w:tcW w:w="468" w:type="pct"/>
            <w:shd w:val="clear" w:color="auto" w:fill="auto"/>
          </w:tcPr>
          <w:p w14:paraId="1CF40FF5" w14:textId="707D0EB1" w:rsidR="008B09B6" w:rsidRPr="00C63DC6" w:rsidRDefault="008B09B6" w:rsidP="008B09B6">
            <w:pPr>
              <w:jc w:val="both"/>
            </w:pPr>
            <w:r w:rsidRPr="00C63DC6">
              <w:t>50</w:t>
            </w:r>
          </w:p>
        </w:tc>
        <w:tc>
          <w:tcPr>
            <w:tcW w:w="469" w:type="pct"/>
            <w:shd w:val="clear" w:color="auto" w:fill="auto"/>
          </w:tcPr>
          <w:p w14:paraId="5A14EB0A" w14:textId="6CE31E3F" w:rsidR="008B09B6" w:rsidRPr="00C63DC6" w:rsidRDefault="008B09B6" w:rsidP="008B09B6">
            <w:pPr>
              <w:jc w:val="both"/>
            </w:pPr>
            <w:r w:rsidRPr="00C63DC6">
              <w:t>5</w:t>
            </w:r>
          </w:p>
        </w:tc>
        <w:tc>
          <w:tcPr>
            <w:tcW w:w="860" w:type="pct"/>
            <w:shd w:val="clear" w:color="auto" w:fill="auto"/>
          </w:tcPr>
          <w:p w14:paraId="6F89D1F2" w14:textId="6837C810" w:rsidR="008B09B6" w:rsidRPr="00C63DC6" w:rsidRDefault="008B09B6" w:rsidP="008B09B6">
            <w:pPr>
              <w:jc w:val="both"/>
            </w:pPr>
            <w:r w:rsidRPr="00C63DC6">
              <w:t>22 268 204</w:t>
            </w:r>
          </w:p>
        </w:tc>
        <w:tc>
          <w:tcPr>
            <w:tcW w:w="782" w:type="pct"/>
            <w:shd w:val="clear" w:color="auto" w:fill="auto"/>
          </w:tcPr>
          <w:p w14:paraId="15481FA9" w14:textId="576FDA8F" w:rsidR="008B09B6" w:rsidRPr="00C63DC6" w:rsidRDefault="008B09B6" w:rsidP="008B09B6">
            <w:pPr>
              <w:jc w:val="both"/>
            </w:pPr>
            <w:r w:rsidRPr="00C63DC6">
              <w:t>259 071</w:t>
            </w:r>
          </w:p>
        </w:tc>
        <w:tc>
          <w:tcPr>
            <w:tcW w:w="548" w:type="pct"/>
            <w:shd w:val="clear" w:color="auto" w:fill="auto"/>
          </w:tcPr>
          <w:p w14:paraId="7CE19150" w14:textId="26A43451" w:rsidR="008B09B6" w:rsidRPr="00C63DC6" w:rsidRDefault="008B09B6" w:rsidP="008B09B6">
            <w:pPr>
              <w:jc w:val="both"/>
            </w:pPr>
            <w:r w:rsidRPr="00C63DC6">
              <w:t>10</w:t>
            </w:r>
          </w:p>
        </w:tc>
        <w:tc>
          <w:tcPr>
            <w:tcW w:w="700" w:type="pct"/>
            <w:shd w:val="clear" w:color="auto" w:fill="auto"/>
          </w:tcPr>
          <w:p w14:paraId="0AF35BDB" w14:textId="5AD2B2B4" w:rsidR="008B09B6" w:rsidRPr="00C63DC6" w:rsidRDefault="00BE70E9" w:rsidP="008B09B6">
            <w:pPr>
              <w:jc w:val="both"/>
            </w:pPr>
            <w:r w:rsidRPr="00C63DC6">
              <w:t>1</w:t>
            </w:r>
          </w:p>
        </w:tc>
      </w:tr>
      <w:tr w:rsidR="008B09B6" w:rsidRPr="00C63DC6" w14:paraId="1DFED127" w14:textId="77777777" w:rsidTr="002178C9">
        <w:tc>
          <w:tcPr>
            <w:tcW w:w="1173" w:type="pct"/>
            <w:shd w:val="clear" w:color="auto" w:fill="auto"/>
          </w:tcPr>
          <w:p w14:paraId="66C775B9" w14:textId="77777777" w:rsidR="008B09B6" w:rsidRPr="00C63DC6" w:rsidRDefault="008B09B6" w:rsidP="008B09B6">
            <w:pPr>
              <w:jc w:val="both"/>
              <w:rPr>
                <w:b/>
              </w:rPr>
            </w:pPr>
            <w:r w:rsidRPr="00C63DC6">
              <w:rPr>
                <w:b/>
              </w:rPr>
              <w:t>Datortehnika, informācijas un komunikācijas tehnoloģiju (IKT infrastruktūra</w:t>
            </w:r>
          </w:p>
        </w:tc>
        <w:tc>
          <w:tcPr>
            <w:tcW w:w="468" w:type="pct"/>
            <w:shd w:val="clear" w:color="auto" w:fill="auto"/>
          </w:tcPr>
          <w:p w14:paraId="0CFC159F" w14:textId="7003B3FF" w:rsidR="008B09B6" w:rsidRPr="00C63DC6" w:rsidRDefault="008B09B6" w:rsidP="008B09B6">
            <w:pPr>
              <w:jc w:val="both"/>
            </w:pPr>
            <w:r w:rsidRPr="00C63DC6">
              <w:t>121</w:t>
            </w:r>
          </w:p>
        </w:tc>
        <w:tc>
          <w:tcPr>
            <w:tcW w:w="469" w:type="pct"/>
            <w:shd w:val="clear" w:color="auto" w:fill="auto"/>
          </w:tcPr>
          <w:p w14:paraId="3DD63F51" w14:textId="51E5B256" w:rsidR="008B09B6" w:rsidRPr="00C63DC6" w:rsidRDefault="008B09B6" w:rsidP="008B09B6">
            <w:pPr>
              <w:jc w:val="both"/>
            </w:pPr>
            <w:r w:rsidRPr="00C63DC6">
              <w:t>41</w:t>
            </w:r>
          </w:p>
        </w:tc>
        <w:tc>
          <w:tcPr>
            <w:tcW w:w="860" w:type="pct"/>
            <w:shd w:val="clear" w:color="auto" w:fill="auto"/>
          </w:tcPr>
          <w:p w14:paraId="5F47D5FF" w14:textId="05DDC04C" w:rsidR="008B09B6" w:rsidRPr="00C63DC6" w:rsidRDefault="008B09B6" w:rsidP="008B09B6">
            <w:pPr>
              <w:jc w:val="both"/>
            </w:pPr>
            <w:r w:rsidRPr="00C63DC6">
              <w:t>6 660 652</w:t>
            </w:r>
          </w:p>
        </w:tc>
        <w:tc>
          <w:tcPr>
            <w:tcW w:w="782" w:type="pct"/>
            <w:shd w:val="clear" w:color="auto" w:fill="auto"/>
          </w:tcPr>
          <w:p w14:paraId="61E99417" w14:textId="61BE5999" w:rsidR="008B09B6" w:rsidRPr="00C63DC6" w:rsidRDefault="008B09B6" w:rsidP="008B09B6">
            <w:pPr>
              <w:jc w:val="both"/>
            </w:pPr>
            <w:r w:rsidRPr="00C63DC6">
              <w:t>3 443 217</w:t>
            </w:r>
          </w:p>
        </w:tc>
        <w:tc>
          <w:tcPr>
            <w:tcW w:w="548" w:type="pct"/>
            <w:shd w:val="clear" w:color="auto" w:fill="auto"/>
          </w:tcPr>
          <w:p w14:paraId="0A8DF8CA" w14:textId="00BCFC6C" w:rsidR="008B09B6" w:rsidRPr="00C63DC6" w:rsidRDefault="008B09B6" w:rsidP="008B09B6">
            <w:pPr>
              <w:jc w:val="both"/>
            </w:pPr>
            <w:r w:rsidRPr="00C63DC6">
              <w:t>34</w:t>
            </w:r>
          </w:p>
        </w:tc>
        <w:tc>
          <w:tcPr>
            <w:tcW w:w="700" w:type="pct"/>
            <w:shd w:val="clear" w:color="auto" w:fill="auto"/>
          </w:tcPr>
          <w:p w14:paraId="58E32B3E" w14:textId="601E8C83" w:rsidR="008B09B6" w:rsidRPr="00C63DC6" w:rsidRDefault="00BE70E9" w:rsidP="008B09B6">
            <w:pPr>
              <w:jc w:val="both"/>
            </w:pPr>
            <w:r w:rsidRPr="00C63DC6">
              <w:t>52</w:t>
            </w:r>
          </w:p>
        </w:tc>
      </w:tr>
      <w:tr w:rsidR="008B09B6" w:rsidRPr="00C63DC6" w14:paraId="74E430E2" w14:textId="77777777" w:rsidTr="002178C9">
        <w:tc>
          <w:tcPr>
            <w:tcW w:w="1173" w:type="pct"/>
            <w:shd w:val="clear" w:color="auto" w:fill="auto"/>
          </w:tcPr>
          <w:p w14:paraId="53AA80A9" w14:textId="77777777" w:rsidR="008B09B6" w:rsidRPr="00C63DC6" w:rsidRDefault="008B09B6" w:rsidP="008B09B6">
            <w:pPr>
              <w:jc w:val="both"/>
              <w:rPr>
                <w:b/>
              </w:rPr>
            </w:pPr>
            <w:r w:rsidRPr="00C63DC6">
              <w:rPr>
                <w:b/>
                <w:bCs/>
                <w:iCs/>
                <w:color w:val="000000"/>
              </w:rPr>
              <w:t>Pārtikas preces</w:t>
            </w:r>
          </w:p>
        </w:tc>
        <w:tc>
          <w:tcPr>
            <w:tcW w:w="468" w:type="pct"/>
            <w:shd w:val="clear" w:color="auto" w:fill="auto"/>
          </w:tcPr>
          <w:p w14:paraId="4F16B5C6" w14:textId="77E54F01" w:rsidR="008B09B6" w:rsidRPr="00C63DC6" w:rsidRDefault="008B09B6" w:rsidP="008B09B6">
            <w:pPr>
              <w:jc w:val="both"/>
            </w:pPr>
            <w:r w:rsidRPr="00C63DC6">
              <w:t>266</w:t>
            </w:r>
          </w:p>
        </w:tc>
        <w:tc>
          <w:tcPr>
            <w:tcW w:w="469" w:type="pct"/>
            <w:shd w:val="clear" w:color="auto" w:fill="auto"/>
          </w:tcPr>
          <w:p w14:paraId="354859BA" w14:textId="4266FBF0" w:rsidR="008B09B6" w:rsidRPr="00C63DC6" w:rsidRDefault="008B09B6" w:rsidP="008B09B6">
            <w:pPr>
              <w:jc w:val="both"/>
            </w:pPr>
            <w:r w:rsidRPr="00C63DC6">
              <w:t>161</w:t>
            </w:r>
          </w:p>
        </w:tc>
        <w:tc>
          <w:tcPr>
            <w:tcW w:w="860" w:type="pct"/>
            <w:shd w:val="clear" w:color="auto" w:fill="auto"/>
          </w:tcPr>
          <w:p w14:paraId="33A70485" w14:textId="2366687C" w:rsidR="008B09B6" w:rsidRPr="00C63DC6" w:rsidRDefault="008B09B6" w:rsidP="008B09B6">
            <w:pPr>
              <w:jc w:val="both"/>
            </w:pPr>
            <w:r w:rsidRPr="00C63DC6">
              <w:t>37 371 748</w:t>
            </w:r>
          </w:p>
        </w:tc>
        <w:tc>
          <w:tcPr>
            <w:tcW w:w="782" w:type="pct"/>
            <w:shd w:val="clear" w:color="auto" w:fill="auto"/>
          </w:tcPr>
          <w:p w14:paraId="296534E4" w14:textId="6A16CF87" w:rsidR="008B09B6" w:rsidRPr="00C63DC6" w:rsidRDefault="008B09B6" w:rsidP="008B09B6">
            <w:pPr>
              <w:jc w:val="both"/>
            </w:pPr>
            <w:r w:rsidRPr="00C63DC6">
              <w:t>33 459 169</w:t>
            </w:r>
          </w:p>
        </w:tc>
        <w:tc>
          <w:tcPr>
            <w:tcW w:w="548" w:type="pct"/>
            <w:shd w:val="clear" w:color="auto" w:fill="auto"/>
          </w:tcPr>
          <w:p w14:paraId="348F43D1" w14:textId="6D2C62DE" w:rsidR="008B09B6" w:rsidRPr="00C63DC6" w:rsidRDefault="008B09B6" w:rsidP="008B09B6">
            <w:pPr>
              <w:jc w:val="both"/>
            </w:pPr>
            <w:r w:rsidRPr="00C63DC6">
              <w:t>60</w:t>
            </w:r>
          </w:p>
        </w:tc>
        <w:tc>
          <w:tcPr>
            <w:tcW w:w="700" w:type="pct"/>
            <w:shd w:val="clear" w:color="auto" w:fill="auto"/>
          </w:tcPr>
          <w:p w14:paraId="2AAAC8C0" w14:textId="0F0177BA" w:rsidR="008B09B6" w:rsidRPr="00C63DC6" w:rsidRDefault="00BE70E9" w:rsidP="008B09B6">
            <w:pPr>
              <w:jc w:val="both"/>
            </w:pPr>
            <w:r w:rsidRPr="00C63DC6">
              <w:t>89</w:t>
            </w:r>
          </w:p>
        </w:tc>
      </w:tr>
      <w:tr w:rsidR="008B09B6" w:rsidRPr="00C63DC6" w14:paraId="2EACEFF3" w14:textId="77777777" w:rsidTr="002178C9">
        <w:tc>
          <w:tcPr>
            <w:tcW w:w="1173" w:type="pct"/>
            <w:shd w:val="clear" w:color="auto" w:fill="EAF1DD" w:themeFill="accent3" w:themeFillTint="33"/>
          </w:tcPr>
          <w:p w14:paraId="7D3CE8A2" w14:textId="77EFDE5E" w:rsidR="008B09B6" w:rsidRPr="00C63DC6" w:rsidRDefault="008B09B6" w:rsidP="00A843B3">
            <w:pPr>
              <w:jc w:val="both"/>
              <w:rPr>
                <w:b/>
                <w:color w:val="000000"/>
              </w:rPr>
            </w:pPr>
            <w:r w:rsidRPr="00C63DC6">
              <w:rPr>
                <w:b/>
                <w:bCs/>
                <w:iCs/>
                <w:color w:val="000000"/>
              </w:rPr>
              <w:t>Ēdināšanas pakalpojumi</w:t>
            </w:r>
          </w:p>
        </w:tc>
        <w:tc>
          <w:tcPr>
            <w:tcW w:w="468" w:type="pct"/>
            <w:shd w:val="clear" w:color="auto" w:fill="EAF1DD" w:themeFill="accent3" w:themeFillTint="33"/>
          </w:tcPr>
          <w:p w14:paraId="24B58C0F" w14:textId="2E2C372B" w:rsidR="008B09B6" w:rsidRPr="00C63DC6" w:rsidRDefault="008B09B6" w:rsidP="008B09B6">
            <w:pPr>
              <w:jc w:val="both"/>
              <w:rPr>
                <w:b/>
              </w:rPr>
            </w:pPr>
            <w:r w:rsidRPr="00C63DC6">
              <w:rPr>
                <w:b/>
              </w:rPr>
              <w:t>164</w:t>
            </w:r>
          </w:p>
        </w:tc>
        <w:tc>
          <w:tcPr>
            <w:tcW w:w="469" w:type="pct"/>
            <w:shd w:val="clear" w:color="auto" w:fill="EAF1DD" w:themeFill="accent3" w:themeFillTint="33"/>
          </w:tcPr>
          <w:p w14:paraId="63CAE301" w14:textId="7194E0CB" w:rsidR="008B09B6" w:rsidRPr="00C63DC6" w:rsidRDefault="008B09B6" w:rsidP="008B09B6">
            <w:pPr>
              <w:jc w:val="both"/>
              <w:rPr>
                <w:b/>
              </w:rPr>
            </w:pPr>
            <w:r w:rsidRPr="00C63DC6">
              <w:rPr>
                <w:b/>
              </w:rPr>
              <w:t>146</w:t>
            </w:r>
          </w:p>
        </w:tc>
        <w:tc>
          <w:tcPr>
            <w:tcW w:w="860" w:type="pct"/>
            <w:shd w:val="clear" w:color="auto" w:fill="EAF1DD" w:themeFill="accent3" w:themeFillTint="33"/>
          </w:tcPr>
          <w:p w14:paraId="7973891B" w14:textId="51E07BC4" w:rsidR="008B09B6" w:rsidRPr="00C63DC6" w:rsidRDefault="008B09B6" w:rsidP="008B09B6">
            <w:pPr>
              <w:jc w:val="both"/>
              <w:rPr>
                <w:b/>
              </w:rPr>
            </w:pPr>
            <w:r w:rsidRPr="00C63DC6">
              <w:rPr>
                <w:b/>
              </w:rPr>
              <w:t>84 015 378</w:t>
            </w:r>
          </w:p>
        </w:tc>
        <w:tc>
          <w:tcPr>
            <w:tcW w:w="782" w:type="pct"/>
            <w:shd w:val="clear" w:color="auto" w:fill="EAF1DD" w:themeFill="accent3" w:themeFillTint="33"/>
          </w:tcPr>
          <w:p w14:paraId="605FD8A7" w14:textId="01128A18" w:rsidR="008B09B6" w:rsidRPr="00C63DC6" w:rsidRDefault="008B09B6" w:rsidP="008B09B6">
            <w:pPr>
              <w:jc w:val="both"/>
              <w:rPr>
                <w:b/>
              </w:rPr>
            </w:pPr>
            <w:r w:rsidRPr="00C63DC6">
              <w:rPr>
                <w:b/>
              </w:rPr>
              <w:t>83 188 029</w:t>
            </w:r>
          </w:p>
        </w:tc>
        <w:tc>
          <w:tcPr>
            <w:tcW w:w="548" w:type="pct"/>
            <w:shd w:val="clear" w:color="auto" w:fill="EAF1DD" w:themeFill="accent3" w:themeFillTint="33"/>
          </w:tcPr>
          <w:p w14:paraId="449A1F8A" w14:textId="5AD9E239" w:rsidR="008B09B6" w:rsidRPr="00C63DC6" w:rsidRDefault="008B09B6" w:rsidP="008B09B6">
            <w:pPr>
              <w:jc w:val="both"/>
              <w:rPr>
                <w:b/>
              </w:rPr>
            </w:pPr>
            <w:r w:rsidRPr="00C63DC6">
              <w:rPr>
                <w:b/>
              </w:rPr>
              <w:t>89</w:t>
            </w:r>
          </w:p>
        </w:tc>
        <w:tc>
          <w:tcPr>
            <w:tcW w:w="700" w:type="pct"/>
            <w:shd w:val="clear" w:color="auto" w:fill="EAF1DD" w:themeFill="accent3" w:themeFillTint="33"/>
          </w:tcPr>
          <w:p w14:paraId="580764A5" w14:textId="465AD0E5" w:rsidR="008B09B6" w:rsidRPr="00C63DC6" w:rsidRDefault="00BE70E9" w:rsidP="008B09B6">
            <w:pPr>
              <w:jc w:val="both"/>
              <w:rPr>
                <w:b/>
              </w:rPr>
            </w:pPr>
            <w:r w:rsidRPr="00C63DC6">
              <w:rPr>
                <w:b/>
              </w:rPr>
              <w:t>99</w:t>
            </w:r>
          </w:p>
        </w:tc>
      </w:tr>
      <w:tr w:rsidR="008B09B6" w:rsidRPr="00C63DC6" w14:paraId="5F0FF889" w14:textId="77777777" w:rsidTr="002178C9">
        <w:tc>
          <w:tcPr>
            <w:tcW w:w="1173" w:type="pct"/>
            <w:shd w:val="clear" w:color="auto" w:fill="auto"/>
          </w:tcPr>
          <w:p w14:paraId="6CE846FC" w14:textId="4832C172" w:rsidR="008B09B6" w:rsidRPr="00C63DC6" w:rsidRDefault="008B09B6" w:rsidP="00A843B3">
            <w:pPr>
              <w:jc w:val="both"/>
              <w:rPr>
                <w:b/>
              </w:rPr>
            </w:pPr>
            <w:r w:rsidRPr="00C63DC6">
              <w:rPr>
                <w:b/>
                <w:color w:val="000000"/>
              </w:rPr>
              <w:t>Tīrīšanas un spodrināšanas līdzekļi</w:t>
            </w:r>
          </w:p>
        </w:tc>
        <w:tc>
          <w:tcPr>
            <w:tcW w:w="468" w:type="pct"/>
            <w:shd w:val="clear" w:color="auto" w:fill="auto"/>
          </w:tcPr>
          <w:p w14:paraId="25F8289C" w14:textId="5FA5B235" w:rsidR="008B09B6" w:rsidRPr="00C63DC6" w:rsidRDefault="008B09B6" w:rsidP="008B09B6">
            <w:pPr>
              <w:jc w:val="both"/>
            </w:pPr>
            <w:r w:rsidRPr="00C63DC6">
              <w:t>42</w:t>
            </w:r>
          </w:p>
        </w:tc>
        <w:tc>
          <w:tcPr>
            <w:tcW w:w="469" w:type="pct"/>
            <w:shd w:val="clear" w:color="auto" w:fill="auto"/>
          </w:tcPr>
          <w:p w14:paraId="3C3AB446" w14:textId="18C3B331" w:rsidR="008B09B6" w:rsidRPr="00C63DC6" w:rsidRDefault="008B09B6" w:rsidP="008B09B6">
            <w:pPr>
              <w:jc w:val="both"/>
            </w:pPr>
            <w:r w:rsidRPr="00C63DC6">
              <w:t>17</w:t>
            </w:r>
          </w:p>
        </w:tc>
        <w:tc>
          <w:tcPr>
            <w:tcW w:w="860" w:type="pct"/>
            <w:shd w:val="clear" w:color="auto" w:fill="auto"/>
          </w:tcPr>
          <w:p w14:paraId="3322C5D6" w14:textId="73D822DE" w:rsidR="008B09B6" w:rsidRPr="00C63DC6" w:rsidRDefault="008B09B6" w:rsidP="008B09B6">
            <w:pPr>
              <w:jc w:val="both"/>
            </w:pPr>
            <w:r w:rsidRPr="00C63DC6">
              <w:t>2 106 831</w:t>
            </w:r>
          </w:p>
        </w:tc>
        <w:tc>
          <w:tcPr>
            <w:tcW w:w="782" w:type="pct"/>
            <w:shd w:val="clear" w:color="auto" w:fill="auto"/>
          </w:tcPr>
          <w:p w14:paraId="580C6581" w14:textId="5A2FA224" w:rsidR="008B09B6" w:rsidRPr="00C63DC6" w:rsidRDefault="008B09B6" w:rsidP="008B09B6">
            <w:pPr>
              <w:jc w:val="both"/>
            </w:pPr>
            <w:r w:rsidRPr="00C63DC6">
              <w:t>509 104</w:t>
            </w:r>
          </w:p>
        </w:tc>
        <w:tc>
          <w:tcPr>
            <w:tcW w:w="548" w:type="pct"/>
            <w:shd w:val="clear" w:color="auto" w:fill="auto"/>
          </w:tcPr>
          <w:p w14:paraId="76DB4EC8" w14:textId="73C88895" w:rsidR="008B09B6" w:rsidRPr="00C63DC6" w:rsidRDefault="008B09B6" w:rsidP="008B09B6">
            <w:pPr>
              <w:jc w:val="both"/>
            </w:pPr>
            <w:r w:rsidRPr="00C63DC6">
              <w:t>40</w:t>
            </w:r>
          </w:p>
        </w:tc>
        <w:tc>
          <w:tcPr>
            <w:tcW w:w="700" w:type="pct"/>
            <w:shd w:val="clear" w:color="auto" w:fill="auto"/>
          </w:tcPr>
          <w:p w14:paraId="6E9ED9A1" w14:textId="250CAF1E" w:rsidR="008B09B6" w:rsidRPr="00C63DC6" w:rsidRDefault="00BE70E9" w:rsidP="008B09B6">
            <w:pPr>
              <w:jc w:val="both"/>
            </w:pPr>
            <w:r w:rsidRPr="00C63DC6">
              <w:t>24</w:t>
            </w:r>
          </w:p>
        </w:tc>
      </w:tr>
      <w:tr w:rsidR="008B09B6" w:rsidRPr="00C63DC6" w14:paraId="63A6B043" w14:textId="77777777" w:rsidTr="002178C9">
        <w:tc>
          <w:tcPr>
            <w:tcW w:w="1173" w:type="pct"/>
            <w:shd w:val="clear" w:color="auto" w:fill="auto"/>
          </w:tcPr>
          <w:p w14:paraId="6445B98F" w14:textId="5E3411A5" w:rsidR="008B09B6" w:rsidRPr="00C63DC6" w:rsidRDefault="008B09B6" w:rsidP="00A843B3">
            <w:pPr>
              <w:jc w:val="both"/>
              <w:rPr>
                <w:b/>
              </w:rPr>
            </w:pPr>
            <w:r w:rsidRPr="00C63DC6">
              <w:rPr>
                <w:b/>
                <w:color w:val="000000"/>
              </w:rPr>
              <w:t>Tīrīšanas pakalpojumi</w:t>
            </w:r>
          </w:p>
        </w:tc>
        <w:tc>
          <w:tcPr>
            <w:tcW w:w="468" w:type="pct"/>
            <w:shd w:val="clear" w:color="auto" w:fill="auto"/>
          </w:tcPr>
          <w:p w14:paraId="61ECA1A7" w14:textId="68AA1B58" w:rsidR="008B09B6" w:rsidRPr="00C63DC6" w:rsidRDefault="008B09B6" w:rsidP="008B09B6">
            <w:pPr>
              <w:jc w:val="both"/>
            </w:pPr>
            <w:r w:rsidRPr="00C63DC6">
              <w:t>164</w:t>
            </w:r>
          </w:p>
        </w:tc>
        <w:tc>
          <w:tcPr>
            <w:tcW w:w="469" w:type="pct"/>
            <w:shd w:val="clear" w:color="auto" w:fill="auto"/>
          </w:tcPr>
          <w:p w14:paraId="4E027A6E" w14:textId="5C592D16" w:rsidR="008B09B6" w:rsidRPr="00C63DC6" w:rsidRDefault="008B09B6" w:rsidP="008B09B6">
            <w:pPr>
              <w:jc w:val="both"/>
            </w:pPr>
            <w:r w:rsidRPr="00C63DC6">
              <w:t>66</w:t>
            </w:r>
          </w:p>
        </w:tc>
        <w:tc>
          <w:tcPr>
            <w:tcW w:w="860" w:type="pct"/>
            <w:shd w:val="clear" w:color="auto" w:fill="auto"/>
          </w:tcPr>
          <w:p w14:paraId="501FA3FA" w14:textId="6240F9B8" w:rsidR="008B09B6" w:rsidRPr="00C63DC6" w:rsidRDefault="008B09B6" w:rsidP="008B09B6">
            <w:pPr>
              <w:jc w:val="both"/>
            </w:pPr>
            <w:r w:rsidRPr="00C63DC6">
              <w:t>23 628 324</w:t>
            </w:r>
          </w:p>
        </w:tc>
        <w:tc>
          <w:tcPr>
            <w:tcW w:w="782" w:type="pct"/>
            <w:shd w:val="clear" w:color="auto" w:fill="auto"/>
          </w:tcPr>
          <w:p w14:paraId="68E29BBD" w14:textId="2474A76D" w:rsidR="008B09B6" w:rsidRPr="00C63DC6" w:rsidRDefault="008B09B6" w:rsidP="008B09B6">
            <w:pPr>
              <w:jc w:val="both"/>
            </w:pPr>
            <w:r w:rsidRPr="00C63DC6">
              <w:t>11 023 310</w:t>
            </w:r>
          </w:p>
        </w:tc>
        <w:tc>
          <w:tcPr>
            <w:tcW w:w="548" w:type="pct"/>
            <w:shd w:val="clear" w:color="auto" w:fill="auto"/>
          </w:tcPr>
          <w:p w14:paraId="63D79CA3" w14:textId="6F2CC133" w:rsidR="008B09B6" w:rsidRPr="00C63DC6" w:rsidRDefault="008B09B6" w:rsidP="008B09B6">
            <w:pPr>
              <w:jc w:val="both"/>
            </w:pPr>
            <w:r w:rsidRPr="00C63DC6">
              <w:t>40</w:t>
            </w:r>
          </w:p>
        </w:tc>
        <w:tc>
          <w:tcPr>
            <w:tcW w:w="700" w:type="pct"/>
            <w:shd w:val="clear" w:color="auto" w:fill="auto"/>
          </w:tcPr>
          <w:p w14:paraId="587D8D68" w14:textId="72A6E823" w:rsidR="008B09B6" w:rsidRPr="00C63DC6" w:rsidRDefault="00BE70E9" w:rsidP="008B09B6">
            <w:pPr>
              <w:jc w:val="both"/>
            </w:pPr>
            <w:r w:rsidRPr="00C63DC6">
              <w:t>47</w:t>
            </w:r>
          </w:p>
        </w:tc>
      </w:tr>
      <w:tr w:rsidR="008B09B6" w:rsidRPr="00C63DC6" w14:paraId="373A0A52" w14:textId="77777777" w:rsidTr="002178C9">
        <w:tc>
          <w:tcPr>
            <w:tcW w:w="1173" w:type="pct"/>
            <w:shd w:val="clear" w:color="auto" w:fill="auto"/>
          </w:tcPr>
          <w:p w14:paraId="77DB858F" w14:textId="0E95E1FA" w:rsidR="008B09B6" w:rsidRPr="00C63DC6" w:rsidRDefault="008B09B6" w:rsidP="00A843B3">
            <w:pPr>
              <w:jc w:val="both"/>
              <w:rPr>
                <w:b/>
              </w:rPr>
            </w:pPr>
            <w:r w:rsidRPr="00C63DC6">
              <w:rPr>
                <w:b/>
                <w:bCs/>
                <w:iCs/>
                <w:color w:val="000000"/>
              </w:rPr>
              <w:t>Iekštelpu apgaismojums</w:t>
            </w:r>
          </w:p>
        </w:tc>
        <w:tc>
          <w:tcPr>
            <w:tcW w:w="468" w:type="pct"/>
            <w:shd w:val="clear" w:color="auto" w:fill="auto"/>
          </w:tcPr>
          <w:p w14:paraId="3B9FB363" w14:textId="4C50361F" w:rsidR="008B09B6" w:rsidRPr="00C63DC6" w:rsidRDefault="008B09B6" w:rsidP="008B09B6">
            <w:pPr>
              <w:jc w:val="both"/>
            </w:pPr>
            <w:r w:rsidRPr="00C63DC6">
              <w:t>43</w:t>
            </w:r>
          </w:p>
        </w:tc>
        <w:tc>
          <w:tcPr>
            <w:tcW w:w="469" w:type="pct"/>
            <w:shd w:val="clear" w:color="auto" w:fill="auto"/>
          </w:tcPr>
          <w:p w14:paraId="78B1C14A" w14:textId="76DBF794" w:rsidR="008B09B6" w:rsidRPr="00C63DC6" w:rsidRDefault="008B09B6" w:rsidP="008B09B6">
            <w:pPr>
              <w:jc w:val="both"/>
            </w:pPr>
            <w:r w:rsidRPr="00C63DC6">
              <w:t>3</w:t>
            </w:r>
          </w:p>
        </w:tc>
        <w:tc>
          <w:tcPr>
            <w:tcW w:w="860" w:type="pct"/>
            <w:shd w:val="clear" w:color="auto" w:fill="auto"/>
          </w:tcPr>
          <w:p w14:paraId="56513C67" w14:textId="00FE082F" w:rsidR="008B09B6" w:rsidRPr="00C63DC6" w:rsidRDefault="008B09B6" w:rsidP="008B09B6">
            <w:pPr>
              <w:jc w:val="both"/>
            </w:pPr>
            <w:r w:rsidRPr="00C63DC6">
              <w:t>1 402 700</w:t>
            </w:r>
          </w:p>
        </w:tc>
        <w:tc>
          <w:tcPr>
            <w:tcW w:w="782" w:type="pct"/>
            <w:shd w:val="clear" w:color="auto" w:fill="auto"/>
          </w:tcPr>
          <w:p w14:paraId="05871376" w14:textId="7D054E20" w:rsidR="008B09B6" w:rsidRPr="00C63DC6" w:rsidRDefault="008B09B6" w:rsidP="008B09B6">
            <w:pPr>
              <w:jc w:val="both"/>
            </w:pPr>
            <w:r w:rsidRPr="00C63DC6">
              <w:t>138 715</w:t>
            </w:r>
          </w:p>
        </w:tc>
        <w:tc>
          <w:tcPr>
            <w:tcW w:w="548" w:type="pct"/>
            <w:shd w:val="clear" w:color="auto" w:fill="auto"/>
          </w:tcPr>
          <w:p w14:paraId="72D6A271" w14:textId="22FCB226" w:rsidR="008B09B6" w:rsidRPr="00C63DC6" w:rsidRDefault="008B09B6" w:rsidP="008B09B6">
            <w:pPr>
              <w:jc w:val="both"/>
            </w:pPr>
            <w:r w:rsidRPr="00C63DC6">
              <w:t>10</w:t>
            </w:r>
          </w:p>
        </w:tc>
        <w:tc>
          <w:tcPr>
            <w:tcW w:w="700" w:type="pct"/>
            <w:shd w:val="clear" w:color="auto" w:fill="auto"/>
          </w:tcPr>
          <w:p w14:paraId="2A0259C1" w14:textId="0619344E" w:rsidR="008B09B6" w:rsidRPr="00C63DC6" w:rsidRDefault="00BE70E9" w:rsidP="008B09B6">
            <w:pPr>
              <w:jc w:val="both"/>
            </w:pPr>
            <w:r w:rsidRPr="00C63DC6">
              <w:t>7</w:t>
            </w:r>
          </w:p>
        </w:tc>
      </w:tr>
      <w:tr w:rsidR="008B09B6" w:rsidRPr="00C63DC6" w14:paraId="7A9850E8" w14:textId="77777777" w:rsidTr="002178C9">
        <w:tc>
          <w:tcPr>
            <w:tcW w:w="1173" w:type="pct"/>
            <w:shd w:val="clear" w:color="auto" w:fill="auto"/>
          </w:tcPr>
          <w:p w14:paraId="575606B9" w14:textId="270AF10A" w:rsidR="008B09B6" w:rsidRPr="00C63DC6" w:rsidRDefault="008B09B6" w:rsidP="00A843B3">
            <w:pPr>
              <w:jc w:val="both"/>
              <w:rPr>
                <w:b/>
              </w:rPr>
            </w:pPr>
            <w:r w:rsidRPr="00C63DC6">
              <w:rPr>
                <w:b/>
                <w:bCs/>
                <w:iCs/>
                <w:color w:val="000000"/>
              </w:rPr>
              <w:t>Ielu apgaismojums un satiksmes signāli</w:t>
            </w:r>
          </w:p>
        </w:tc>
        <w:tc>
          <w:tcPr>
            <w:tcW w:w="468" w:type="pct"/>
            <w:shd w:val="clear" w:color="auto" w:fill="auto"/>
          </w:tcPr>
          <w:p w14:paraId="1A4CD55B" w14:textId="599B4E44" w:rsidR="008B09B6" w:rsidRPr="00C63DC6" w:rsidRDefault="008B09B6" w:rsidP="008B09B6">
            <w:pPr>
              <w:jc w:val="both"/>
            </w:pPr>
            <w:r w:rsidRPr="00C63DC6">
              <w:t>21</w:t>
            </w:r>
          </w:p>
        </w:tc>
        <w:tc>
          <w:tcPr>
            <w:tcW w:w="469" w:type="pct"/>
            <w:shd w:val="clear" w:color="auto" w:fill="auto"/>
          </w:tcPr>
          <w:p w14:paraId="10A1B7FD" w14:textId="128E312A" w:rsidR="008B09B6" w:rsidRPr="00C63DC6" w:rsidRDefault="008B09B6" w:rsidP="008B09B6">
            <w:pPr>
              <w:jc w:val="both"/>
            </w:pPr>
            <w:r w:rsidRPr="00C63DC6">
              <w:t>7</w:t>
            </w:r>
          </w:p>
        </w:tc>
        <w:tc>
          <w:tcPr>
            <w:tcW w:w="860" w:type="pct"/>
            <w:shd w:val="clear" w:color="auto" w:fill="auto"/>
          </w:tcPr>
          <w:p w14:paraId="271C13AB" w14:textId="1CC95B36" w:rsidR="008B09B6" w:rsidRPr="00C63DC6" w:rsidRDefault="008B09B6" w:rsidP="008B09B6">
            <w:pPr>
              <w:jc w:val="both"/>
            </w:pPr>
            <w:r w:rsidRPr="00C63DC6">
              <w:t>1 814 041</w:t>
            </w:r>
          </w:p>
        </w:tc>
        <w:tc>
          <w:tcPr>
            <w:tcW w:w="782" w:type="pct"/>
            <w:shd w:val="clear" w:color="auto" w:fill="auto"/>
          </w:tcPr>
          <w:p w14:paraId="7B2B47C8" w14:textId="02DE24D6" w:rsidR="008B09B6" w:rsidRPr="00C63DC6" w:rsidRDefault="008B09B6" w:rsidP="008B09B6">
            <w:pPr>
              <w:jc w:val="both"/>
            </w:pPr>
            <w:r w:rsidRPr="00C63DC6">
              <w:t>1 210 042</w:t>
            </w:r>
          </w:p>
        </w:tc>
        <w:tc>
          <w:tcPr>
            <w:tcW w:w="548" w:type="pct"/>
            <w:shd w:val="clear" w:color="auto" w:fill="auto"/>
          </w:tcPr>
          <w:p w14:paraId="6A811A91" w14:textId="40C3C63A" w:rsidR="008B09B6" w:rsidRPr="00C63DC6" w:rsidRDefault="00BE70E9" w:rsidP="008B09B6">
            <w:pPr>
              <w:jc w:val="both"/>
            </w:pPr>
            <w:r w:rsidRPr="00C63DC6">
              <w:t>33</w:t>
            </w:r>
          </w:p>
        </w:tc>
        <w:tc>
          <w:tcPr>
            <w:tcW w:w="700" w:type="pct"/>
            <w:shd w:val="clear" w:color="auto" w:fill="auto"/>
          </w:tcPr>
          <w:p w14:paraId="466DBA7E" w14:textId="0F516607" w:rsidR="008B09B6" w:rsidRPr="00C63DC6" w:rsidRDefault="00BE70E9" w:rsidP="008B09B6">
            <w:pPr>
              <w:jc w:val="both"/>
            </w:pPr>
            <w:r w:rsidRPr="00C63DC6">
              <w:t>66</w:t>
            </w:r>
          </w:p>
        </w:tc>
      </w:tr>
      <w:tr w:rsidR="008B09B6" w:rsidRPr="00C63DC6" w14:paraId="3B47BA51" w14:textId="77777777" w:rsidTr="002178C9">
        <w:tc>
          <w:tcPr>
            <w:tcW w:w="1173" w:type="pct"/>
            <w:shd w:val="clear" w:color="auto" w:fill="EAF1DD" w:themeFill="accent3" w:themeFillTint="33"/>
          </w:tcPr>
          <w:p w14:paraId="75F3997B" w14:textId="7E7BDA71" w:rsidR="008B09B6" w:rsidRPr="00C63DC6" w:rsidRDefault="008B09B6" w:rsidP="00A843B3">
            <w:pPr>
              <w:jc w:val="both"/>
              <w:rPr>
                <w:b/>
              </w:rPr>
            </w:pPr>
            <w:r w:rsidRPr="00C63DC6">
              <w:rPr>
                <w:b/>
                <w:color w:val="000000"/>
              </w:rPr>
              <w:t>Būvdarbi - c</w:t>
            </w:r>
            <w:r w:rsidR="00A843B3" w:rsidRPr="00C63DC6">
              <w:rPr>
                <w:b/>
                <w:color w:val="000000"/>
              </w:rPr>
              <w:t>eltniecības darbi</w:t>
            </w:r>
          </w:p>
        </w:tc>
        <w:tc>
          <w:tcPr>
            <w:tcW w:w="468" w:type="pct"/>
            <w:shd w:val="clear" w:color="auto" w:fill="EAF1DD" w:themeFill="accent3" w:themeFillTint="33"/>
          </w:tcPr>
          <w:p w14:paraId="1D53F055" w14:textId="62ADA76E" w:rsidR="008B09B6" w:rsidRPr="00C63DC6" w:rsidRDefault="008B09B6" w:rsidP="008B09B6">
            <w:pPr>
              <w:jc w:val="both"/>
              <w:rPr>
                <w:b/>
              </w:rPr>
            </w:pPr>
            <w:r w:rsidRPr="00C63DC6">
              <w:rPr>
                <w:b/>
              </w:rPr>
              <w:t>2 716</w:t>
            </w:r>
          </w:p>
        </w:tc>
        <w:tc>
          <w:tcPr>
            <w:tcW w:w="469" w:type="pct"/>
            <w:shd w:val="clear" w:color="auto" w:fill="EAF1DD" w:themeFill="accent3" w:themeFillTint="33"/>
          </w:tcPr>
          <w:p w14:paraId="3837AF0B" w14:textId="1822BDFE" w:rsidR="008B09B6" w:rsidRPr="00C63DC6" w:rsidRDefault="008B09B6" w:rsidP="008B09B6">
            <w:pPr>
              <w:jc w:val="both"/>
              <w:rPr>
                <w:b/>
              </w:rPr>
            </w:pPr>
            <w:r w:rsidRPr="00C63DC6">
              <w:rPr>
                <w:b/>
              </w:rPr>
              <w:t>231</w:t>
            </w:r>
          </w:p>
        </w:tc>
        <w:tc>
          <w:tcPr>
            <w:tcW w:w="860" w:type="pct"/>
            <w:shd w:val="clear" w:color="auto" w:fill="EAF1DD" w:themeFill="accent3" w:themeFillTint="33"/>
          </w:tcPr>
          <w:p w14:paraId="4B42FB62" w14:textId="5CE0DB60" w:rsidR="008B09B6" w:rsidRPr="00C63DC6" w:rsidRDefault="008B09B6" w:rsidP="008B09B6">
            <w:pPr>
              <w:jc w:val="both"/>
              <w:rPr>
                <w:b/>
              </w:rPr>
            </w:pPr>
            <w:r w:rsidRPr="00C63DC6">
              <w:rPr>
                <w:b/>
              </w:rPr>
              <w:t>1 106 272 688</w:t>
            </w:r>
          </w:p>
        </w:tc>
        <w:tc>
          <w:tcPr>
            <w:tcW w:w="782" w:type="pct"/>
            <w:shd w:val="clear" w:color="auto" w:fill="EAF1DD" w:themeFill="accent3" w:themeFillTint="33"/>
          </w:tcPr>
          <w:p w14:paraId="63B2B5E4" w14:textId="5B0409EC" w:rsidR="008B09B6" w:rsidRPr="00C63DC6" w:rsidRDefault="008B09B6" w:rsidP="008B09B6">
            <w:pPr>
              <w:jc w:val="both"/>
              <w:rPr>
                <w:b/>
              </w:rPr>
            </w:pPr>
            <w:r w:rsidRPr="00C63DC6">
              <w:rPr>
                <w:b/>
              </w:rPr>
              <w:t>234 055 174</w:t>
            </w:r>
          </w:p>
        </w:tc>
        <w:tc>
          <w:tcPr>
            <w:tcW w:w="548" w:type="pct"/>
            <w:shd w:val="clear" w:color="auto" w:fill="EAF1DD" w:themeFill="accent3" w:themeFillTint="33"/>
          </w:tcPr>
          <w:p w14:paraId="0B74AECF" w14:textId="40CAFB2C" w:rsidR="008B09B6" w:rsidRPr="00C63DC6" w:rsidRDefault="00BE70E9" w:rsidP="008B09B6">
            <w:pPr>
              <w:jc w:val="both"/>
              <w:rPr>
                <w:b/>
              </w:rPr>
            </w:pPr>
            <w:r w:rsidRPr="00C63DC6">
              <w:rPr>
                <w:b/>
              </w:rPr>
              <w:t>8</w:t>
            </w:r>
          </w:p>
        </w:tc>
        <w:tc>
          <w:tcPr>
            <w:tcW w:w="700" w:type="pct"/>
            <w:shd w:val="clear" w:color="auto" w:fill="EAF1DD" w:themeFill="accent3" w:themeFillTint="33"/>
          </w:tcPr>
          <w:p w14:paraId="59F8DD1E" w14:textId="4612949C" w:rsidR="008B09B6" w:rsidRPr="00C63DC6" w:rsidRDefault="00BE70E9" w:rsidP="008B09B6">
            <w:pPr>
              <w:jc w:val="both"/>
              <w:rPr>
                <w:b/>
              </w:rPr>
            </w:pPr>
            <w:r w:rsidRPr="00C63DC6">
              <w:rPr>
                <w:b/>
              </w:rPr>
              <w:t>21</w:t>
            </w:r>
          </w:p>
        </w:tc>
      </w:tr>
      <w:tr w:rsidR="008B09B6" w:rsidRPr="00C63DC6" w14:paraId="7B4A61F9" w14:textId="77777777" w:rsidTr="002178C9">
        <w:tc>
          <w:tcPr>
            <w:tcW w:w="1173" w:type="pct"/>
            <w:shd w:val="clear" w:color="auto" w:fill="auto"/>
          </w:tcPr>
          <w:p w14:paraId="6AB5BF67" w14:textId="707815B6" w:rsidR="008B09B6" w:rsidRPr="00C63DC6" w:rsidRDefault="008B09B6" w:rsidP="00A843B3">
            <w:pPr>
              <w:jc w:val="both"/>
              <w:rPr>
                <w:b/>
                <w:color w:val="000000"/>
              </w:rPr>
            </w:pPr>
            <w:r w:rsidRPr="00C63DC6">
              <w:rPr>
                <w:b/>
                <w:color w:val="000000"/>
              </w:rPr>
              <w:t>Dārzkopības pakalpojumi</w:t>
            </w:r>
          </w:p>
        </w:tc>
        <w:tc>
          <w:tcPr>
            <w:tcW w:w="468" w:type="pct"/>
            <w:shd w:val="clear" w:color="auto" w:fill="auto"/>
          </w:tcPr>
          <w:p w14:paraId="597CCECC" w14:textId="4E1388E1" w:rsidR="008B09B6" w:rsidRPr="00C63DC6" w:rsidRDefault="008B09B6" w:rsidP="008B09B6">
            <w:pPr>
              <w:jc w:val="both"/>
            </w:pPr>
            <w:r w:rsidRPr="00C63DC6">
              <w:t>86</w:t>
            </w:r>
          </w:p>
        </w:tc>
        <w:tc>
          <w:tcPr>
            <w:tcW w:w="469" w:type="pct"/>
            <w:shd w:val="clear" w:color="auto" w:fill="auto"/>
          </w:tcPr>
          <w:p w14:paraId="24165608" w14:textId="1898CEAD" w:rsidR="008B09B6" w:rsidRPr="00C63DC6" w:rsidRDefault="008B09B6" w:rsidP="008B09B6">
            <w:pPr>
              <w:jc w:val="both"/>
            </w:pPr>
            <w:r w:rsidRPr="00C63DC6">
              <w:t>8</w:t>
            </w:r>
          </w:p>
        </w:tc>
        <w:tc>
          <w:tcPr>
            <w:tcW w:w="860" w:type="pct"/>
            <w:shd w:val="clear" w:color="auto" w:fill="auto"/>
          </w:tcPr>
          <w:p w14:paraId="07EF364B" w14:textId="3EA06EBD" w:rsidR="008B09B6" w:rsidRPr="00C63DC6" w:rsidRDefault="008B09B6" w:rsidP="008B09B6">
            <w:pPr>
              <w:jc w:val="both"/>
            </w:pPr>
            <w:r w:rsidRPr="00C63DC6">
              <w:t>8 225 927</w:t>
            </w:r>
          </w:p>
        </w:tc>
        <w:tc>
          <w:tcPr>
            <w:tcW w:w="782" w:type="pct"/>
            <w:shd w:val="clear" w:color="auto" w:fill="auto"/>
          </w:tcPr>
          <w:p w14:paraId="7F02965C" w14:textId="5859A8EA" w:rsidR="008B09B6" w:rsidRPr="00C63DC6" w:rsidRDefault="008B09B6" w:rsidP="008B09B6">
            <w:pPr>
              <w:jc w:val="both"/>
            </w:pPr>
            <w:r w:rsidRPr="00C63DC6">
              <w:t>1 104 537</w:t>
            </w:r>
          </w:p>
        </w:tc>
        <w:tc>
          <w:tcPr>
            <w:tcW w:w="548" w:type="pct"/>
            <w:shd w:val="clear" w:color="auto" w:fill="auto"/>
          </w:tcPr>
          <w:p w14:paraId="321C60D5" w14:textId="00C82D5E" w:rsidR="008B09B6" w:rsidRPr="00C63DC6" w:rsidRDefault="00BE70E9" w:rsidP="008B09B6">
            <w:pPr>
              <w:jc w:val="both"/>
            </w:pPr>
            <w:r w:rsidRPr="00C63DC6">
              <w:t>9</w:t>
            </w:r>
          </w:p>
        </w:tc>
        <w:tc>
          <w:tcPr>
            <w:tcW w:w="700" w:type="pct"/>
            <w:shd w:val="clear" w:color="auto" w:fill="auto"/>
          </w:tcPr>
          <w:p w14:paraId="214F53B1" w14:textId="1A8126AC" w:rsidR="008B09B6" w:rsidRPr="00C63DC6" w:rsidRDefault="00BE70E9" w:rsidP="008B09B6">
            <w:pPr>
              <w:jc w:val="both"/>
            </w:pPr>
            <w:r w:rsidRPr="00C63DC6">
              <w:t>13</w:t>
            </w:r>
          </w:p>
        </w:tc>
      </w:tr>
      <w:tr w:rsidR="008B09B6" w:rsidRPr="00C63DC6" w14:paraId="3C06A98F" w14:textId="77777777" w:rsidTr="002178C9">
        <w:trPr>
          <w:trHeight w:val="543"/>
        </w:trPr>
        <w:tc>
          <w:tcPr>
            <w:tcW w:w="1173" w:type="pct"/>
            <w:shd w:val="clear" w:color="auto" w:fill="auto"/>
          </w:tcPr>
          <w:p w14:paraId="088D1286" w14:textId="49E5E047" w:rsidR="008B09B6" w:rsidRPr="00C63DC6" w:rsidRDefault="008B09B6" w:rsidP="00A843B3">
            <w:pPr>
              <w:jc w:val="both"/>
              <w:rPr>
                <w:b/>
                <w:color w:val="000000"/>
              </w:rPr>
            </w:pPr>
            <w:r w:rsidRPr="00C63DC6">
              <w:rPr>
                <w:b/>
                <w:bCs/>
                <w:iCs/>
                <w:color w:val="000000"/>
              </w:rPr>
              <w:t>Elektroenerģija</w:t>
            </w:r>
          </w:p>
        </w:tc>
        <w:tc>
          <w:tcPr>
            <w:tcW w:w="468" w:type="pct"/>
            <w:shd w:val="clear" w:color="auto" w:fill="auto"/>
          </w:tcPr>
          <w:p w14:paraId="270C5A8D" w14:textId="6A6E381E" w:rsidR="008B09B6" w:rsidRPr="00C63DC6" w:rsidRDefault="008B09B6" w:rsidP="008B09B6">
            <w:pPr>
              <w:jc w:val="both"/>
            </w:pPr>
            <w:r w:rsidRPr="00C63DC6">
              <w:t>103</w:t>
            </w:r>
          </w:p>
        </w:tc>
        <w:tc>
          <w:tcPr>
            <w:tcW w:w="469" w:type="pct"/>
            <w:shd w:val="clear" w:color="auto" w:fill="auto"/>
          </w:tcPr>
          <w:p w14:paraId="1FFA8BB9" w14:textId="41898DB8" w:rsidR="008B09B6" w:rsidRPr="00C63DC6" w:rsidRDefault="008B09B6" w:rsidP="008B09B6">
            <w:pPr>
              <w:jc w:val="both"/>
            </w:pPr>
            <w:r w:rsidRPr="00C63DC6">
              <w:t>5</w:t>
            </w:r>
          </w:p>
        </w:tc>
        <w:tc>
          <w:tcPr>
            <w:tcW w:w="860" w:type="pct"/>
            <w:shd w:val="clear" w:color="auto" w:fill="auto"/>
          </w:tcPr>
          <w:p w14:paraId="69CEEA08" w14:textId="7AA0A5AF" w:rsidR="008B09B6" w:rsidRPr="00C63DC6" w:rsidRDefault="008B09B6" w:rsidP="008B09B6">
            <w:pPr>
              <w:jc w:val="both"/>
            </w:pPr>
            <w:r w:rsidRPr="00C63DC6">
              <w:t>43 921 796</w:t>
            </w:r>
          </w:p>
        </w:tc>
        <w:tc>
          <w:tcPr>
            <w:tcW w:w="782" w:type="pct"/>
            <w:shd w:val="clear" w:color="auto" w:fill="auto"/>
          </w:tcPr>
          <w:p w14:paraId="41F52D17" w14:textId="563D4411" w:rsidR="008B09B6" w:rsidRPr="00C63DC6" w:rsidRDefault="008B09B6" w:rsidP="008B09B6">
            <w:pPr>
              <w:jc w:val="both"/>
            </w:pPr>
            <w:r w:rsidRPr="00C63DC6">
              <w:t>3 428 610</w:t>
            </w:r>
          </w:p>
        </w:tc>
        <w:tc>
          <w:tcPr>
            <w:tcW w:w="548" w:type="pct"/>
            <w:shd w:val="clear" w:color="auto" w:fill="auto"/>
          </w:tcPr>
          <w:p w14:paraId="0081F5D3" w14:textId="34033E19" w:rsidR="008B09B6" w:rsidRPr="00C63DC6" w:rsidRDefault="00BE70E9" w:rsidP="008B09B6">
            <w:pPr>
              <w:jc w:val="both"/>
            </w:pPr>
            <w:r w:rsidRPr="00C63DC6">
              <w:t>5</w:t>
            </w:r>
          </w:p>
        </w:tc>
        <w:tc>
          <w:tcPr>
            <w:tcW w:w="700" w:type="pct"/>
            <w:shd w:val="clear" w:color="auto" w:fill="auto"/>
          </w:tcPr>
          <w:p w14:paraId="75CFB2AE" w14:textId="7B720FDB" w:rsidR="008B09B6" w:rsidRPr="00C63DC6" w:rsidRDefault="00BE70E9" w:rsidP="008B09B6">
            <w:pPr>
              <w:jc w:val="both"/>
            </w:pPr>
            <w:r w:rsidRPr="00C63DC6">
              <w:t>8</w:t>
            </w:r>
          </w:p>
        </w:tc>
      </w:tr>
      <w:tr w:rsidR="008B09B6" w:rsidRPr="00C63DC6" w14:paraId="6BE8CD82" w14:textId="77777777" w:rsidTr="002178C9">
        <w:tc>
          <w:tcPr>
            <w:tcW w:w="1173" w:type="pct"/>
            <w:shd w:val="clear" w:color="auto" w:fill="auto"/>
          </w:tcPr>
          <w:p w14:paraId="2E2EA9D1" w14:textId="12D9D2B2" w:rsidR="008B09B6" w:rsidRPr="00C63DC6" w:rsidRDefault="008B09B6" w:rsidP="00A843B3">
            <w:pPr>
              <w:jc w:val="both"/>
              <w:rPr>
                <w:b/>
                <w:bCs/>
                <w:iCs/>
                <w:color w:val="000000"/>
              </w:rPr>
            </w:pPr>
            <w:r w:rsidRPr="00C63DC6">
              <w:rPr>
                <w:b/>
                <w:bCs/>
                <w:iCs/>
              </w:rPr>
              <w:t>Mēbeles</w:t>
            </w:r>
          </w:p>
        </w:tc>
        <w:tc>
          <w:tcPr>
            <w:tcW w:w="468" w:type="pct"/>
            <w:shd w:val="clear" w:color="auto" w:fill="auto"/>
          </w:tcPr>
          <w:p w14:paraId="4F358CB8" w14:textId="14478C42" w:rsidR="008B09B6" w:rsidRPr="00C63DC6" w:rsidRDefault="008B09B6" w:rsidP="008B09B6">
            <w:pPr>
              <w:jc w:val="both"/>
            </w:pPr>
            <w:r w:rsidRPr="00C63DC6">
              <w:t>170</w:t>
            </w:r>
          </w:p>
        </w:tc>
        <w:tc>
          <w:tcPr>
            <w:tcW w:w="469" w:type="pct"/>
            <w:shd w:val="clear" w:color="auto" w:fill="auto"/>
          </w:tcPr>
          <w:p w14:paraId="546447DC" w14:textId="213F738B" w:rsidR="008B09B6" w:rsidRPr="00C63DC6" w:rsidRDefault="008B09B6" w:rsidP="008B09B6">
            <w:pPr>
              <w:jc w:val="both"/>
            </w:pPr>
            <w:r w:rsidRPr="00C63DC6">
              <w:t>6</w:t>
            </w:r>
          </w:p>
        </w:tc>
        <w:tc>
          <w:tcPr>
            <w:tcW w:w="860" w:type="pct"/>
            <w:shd w:val="clear" w:color="auto" w:fill="auto"/>
          </w:tcPr>
          <w:p w14:paraId="262594AC" w14:textId="2BA23E02" w:rsidR="008B09B6" w:rsidRPr="00C63DC6" w:rsidRDefault="008B09B6" w:rsidP="008B09B6">
            <w:pPr>
              <w:jc w:val="both"/>
            </w:pPr>
            <w:r w:rsidRPr="00C63DC6">
              <w:t>8 263 277</w:t>
            </w:r>
          </w:p>
        </w:tc>
        <w:tc>
          <w:tcPr>
            <w:tcW w:w="782" w:type="pct"/>
            <w:shd w:val="clear" w:color="auto" w:fill="auto"/>
          </w:tcPr>
          <w:p w14:paraId="0AC5447C" w14:textId="3D4FB5F7" w:rsidR="008B09B6" w:rsidRPr="00C63DC6" w:rsidRDefault="008B09B6" w:rsidP="008B09B6">
            <w:pPr>
              <w:jc w:val="both"/>
            </w:pPr>
            <w:r w:rsidRPr="00C63DC6">
              <w:t>785 964</w:t>
            </w:r>
          </w:p>
        </w:tc>
        <w:tc>
          <w:tcPr>
            <w:tcW w:w="548" w:type="pct"/>
            <w:shd w:val="clear" w:color="auto" w:fill="auto"/>
          </w:tcPr>
          <w:p w14:paraId="7266E8BD" w14:textId="0AD0E5D4" w:rsidR="008B09B6" w:rsidRPr="00C63DC6" w:rsidRDefault="00BE70E9" w:rsidP="008B09B6">
            <w:pPr>
              <w:jc w:val="both"/>
            </w:pPr>
            <w:r w:rsidRPr="00C63DC6">
              <w:t>3</w:t>
            </w:r>
          </w:p>
        </w:tc>
        <w:tc>
          <w:tcPr>
            <w:tcW w:w="700" w:type="pct"/>
            <w:shd w:val="clear" w:color="auto" w:fill="auto"/>
          </w:tcPr>
          <w:p w14:paraId="4CE0ECCA" w14:textId="0B0D9D6E" w:rsidR="008B09B6" w:rsidRPr="00C63DC6" w:rsidRDefault="00BE70E9" w:rsidP="008B09B6">
            <w:pPr>
              <w:jc w:val="both"/>
            </w:pPr>
            <w:r w:rsidRPr="00C63DC6">
              <w:t>9</w:t>
            </w:r>
          </w:p>
        </w:tc>
      </w:tr>
      <w:tr w:rsidR="008B09B6" w:rsidRPr="00C63DC6" w14:paraId="72F241E3" w14:textId="77777777" w:rsidTr="002178C9">
        <w:tc>
          <w:tcPr>
            <w:tcW w:w="1173" w:type="pct"/>
            <w:shd w:val="clear" w:color="auto" w:fill="auto"/>
          </w:tcPr>
          <w:p w14:paraId="51B30FB6" w14:textId="4974B468" w:rsidR="008B09B6" w:rsidRPr="00C63DC6" w:rsidRDefault="008B09B6" w:rsidP="00A843B3">
            <w:pPr>
              <w:jc w:val="both"/>
              <w:rPr>
                <w:b/>
                <w:bCs/>
                <w:iCs/>
              </w:rPr>
            </w:pPr>
            <w:r w:rsidRPr="00C63DC6">
              <w:rPr>
                <w:b/>
                <w:color w:val="000000"/>
              </w:rPr>
              <w:t>Mehāniskie transportlīdzekļi</w:t>
            </w:r>
          </w:p>
        </w:tc>
        <w:tc>
          <w:tcPr>
            <w:tcW w:w="468" w:type="pct"/>
            <w:shd w:val="clear" w:color="auto" w:fill="auto"/>
          </w:tcPr>
          <w:p w14:paraId="5D6E967A" w14:textId="0C53EC6F" w:rsidR="008B09B6" w:rsidRPr="00C63DC6" w:rsidRDefault="008B09B6" w:rsidP="008B09B6">
            <w:pPr>
              <w:jc w:val="both"/>
            </w:pPr>
            <w:r w:rsidRPr="00C63DC6">
              <w:t>362</w:t>
            </w:r>
          </w:p>
        </w:tc>
        <w:tc>
          <w:tcPr>
            <w:tcW w:w="469" w:type="pct"/>
            <w:shd w:val="clear" w:color="auto" w:fill="auto"/>
          </w:tcPr>
          <w:p w14:paraId="768FAC98" w14:textId="07B6E9F5" w:rsidR="008B09B6" w:rsidRPr="00C63DC6" w:rsidRDefault="008B09B6" w:rsidP="008B09B6">
            <w:pPr>
              <w:jc w:val="both"/>
            </w:pPr>
            <w:r w:rsidRPr="00C63DC6">
              <w:t>217</w:t>
            </w:r>
          </w:p>
        </w:tc>
        <w:tc>
          <w:tcPr>
            <w:tcW w:w="860" w:type="pct"/>
            <w:shd w:val="clear" w:color="auto" w:fill="auto"/>
          </w:tcPr>
          <w:p w14:paraId="00DD411A" w14:textId="2B076FD0" w:rsidR="008B09B6" w:rsidRPr="00C63DC6" w:rsidRDefault="008B09B6" w:rsidP="008B09B6">
            <w:pPr>
              <w:jc w:val="both"/>
            </w:pPr>
            <w:r w:rsidRPr="00C63DC6">
              <w:t>37 513 722</w:t>
            </w:r>
          </w:p>
        </w:tc>
        <w:tc>
          <w:tcPr>
            <w:tcW w:w="782" w:type="pct"/>
            <w:shd w:val="clear" w:color="auto" w:fill="auto"/>
          </w:tcPr>
          <w:p w14:paraId="43173BEA" w14:textId="1FE68705" w:rsidR="008B09B6" w:rsidRPr="00C63DC6" w:rsidRDefault="008B09B6" w:rsidP="008B09B6">
            <w:pPr>
              <w:jc w:val="both"/>
            </w:pPr>
            <w:r w:rsidRPr="00C63DC6">
              <w:t>30 399 959</w:t>
            </w:r>
          </w:p>
        </w:tc>
        <w:tc>
          <w:tcPr>
            <w:tcW w:w="548" w:type="pct"/>
            <w:shd w:val="clear" w:color="auto" w:fill="auto"/>
          </w:tcPr>
          <w:p w14:paraId="25A23965" w14:textId="2A6A0E69" w:rsidR="008B09B6" w:rsidRPr="00C63DC6" w:rsidRDefault="00BE70E9" w:rsidP="008B09B6">
            <w:pPr>
              <w:jc w:val="both"/>
            </w:pPr>
            <w:r w:rsidRPr="00C63DC6">
              <w:t>60</w:t>
            </w:r>
          </w:p>
        </w:tc>
        <w:tc>
          <w:tcPr>
            <w:tcW w:w="700" w:type="pct"/>
            <w:shd w:val="clear" w:color="auto" w:fill="auto"/>
          </w:tcPr>
          <w:p w14:paraId="6D62660F" w14:textId="41B78A6A" w:rsidR="008B09B6" w:rsidRPr="00C63DC6" w:rsidRDefault="00BE70E9" w:rsidP="008B09B6">
            <w:pPr>
              <w:jc w:val="both"/>
            </w:pPr>
            <w:r w:rsidRPr="00C63DC6">
              <w:t>81</w:t>
            </w:r>
          </w:p>
        </w:tc>
      </w:tr>
      <w:tr w:rsidR="008B09B6" w:rsidRPr="00C63DC6" w14:paraId="023CAE33" w14:textId="77777777" w:rsidTr="002178C9">
        <w:tc>
          <w:tcPr>
            <w:tcW w:w="1173" w:type="pct"/>
            <w:shd w:val="clear" w:color="auto" w:fill="auto"/>
          </w:tcPr>
          <w:p w14:paraId="0AD79EFB" w14:textId="1D39C709" w:rsidR="008B09B6" w:rsidRPr="00C63DC6" w:rsidRDefault="008B09B6" w:rsidP="00A843B3">
            <w:pPr>
              <w:jc w:val="both"/>
              <w:rPr>
                <w:b/>
                <w:color w:val="000000"/>
              </w:rPr>
            </w:pPr>
            <w:r w:rsidRPr="00C63DC6">
              <w:rPr>
                <w:b/>
                <w:bCs/>
                <w:iCs/>
                <w:color w:val="000000"/>
              </w:rPr>
              <w:t>Veselības aprūpes elektriskās un elektroniskās iekārtas</w:t>
            </w:r>
          </w:p>
        </w:tc>
        <w:tc>
          <w:tcPr>
            <w:tcW w:w="468" w:type="pct"/>
            <w:shd w:val="clear" w:color="auto" w:fill="auto"/>
          </w:tcPr>
          <w:p w14:paraId="0CFABBAF" w14:textId="65BA8947" w:rsidR="008B09B6" w:rsidRPr="00C63DC6" w:rsidRDefault="008B09B6" w:rsidP="008B09B6">
            <w:pPr>
              <w:jc w:val="both"/>
            </w:pPr>
            <w:r w:rsidRPr="00C63DC6">
              <w:t>382</w:t>
            </w:r>
          </w:p>
        </w:tc>
        <w:tc>
          <w:tcPr>
            <w:tcW w:w="469" w:type="pct"/>
            <w:shd w:val="clear" w:color="auto" w:fill="auto"/>
          </w:tcPr>
          <w:p w14:paraId="09FEDA68" w14:textId="3EAD7D50" w:rsidR="008B09B6" w:rsidRPr="00C63DC6" w:rsidRDefault="008B09B6" w:rsidP="008B09B6">
            <w:pPr>
              <w:jc w:val="both"/>
            </w:pPr>
            <w:r w:rsidRPr="00C63DC6">
              <w:t>2</w:t>
            </w:r>
          </w:p>
        </w:tc>
        <w:tc>
          <w:tcPr>
            <w:tcW w:w="860" w:type="pct"/>
            <w:shd w:val="clear" w:color="auto" w:fill="auto"/>
          </w:tcPr>
          <w:p w14:paraId="110D733E" w14:textId="57C85535" w:rsidR="008B09B6" w:rsidRPr="00C63DC6" w:rsidRDefault="008B09B6" w:rsidP="008B09B6">
            <w:pPr>
              <w:jc w:val="both"/>
            </w:pPr>
            <w:r w:rsidRPr="00C63DC6">
              <w:t>59 539 508</w:t>
            </w:r>
          </w:p>
        </w:tc>
        <w:tc>
          <w:tcPr>
            <w:tcW w:w="782" w:type="pct"/>
            <w:shd w:val="clear" w:color="auto" w:fill="auto"/>
          </w:tcPr>
          <w:p w14:paraId="4C0AD27C" w14:textId="2A1FFFCA" w:rsidR="008B09B6" w:rsidRPr="00C63DC6" w:rsidRDefault="008B09B6" w:rsidP="008B09B6">
            <w:pPr>
              <w:jc w:val="both"/>
            </w:pPr>
            <w:r w:rsidRPr="00C63DC6">
              <w:t>97 958</w:t>
            </w:r>
          </w:p>
        </w:tc>
        <w:tc>
          <w:tcPr>
            <w:tcW w:w="548" w:type="pct"/>
            <w:shd w:val="clear" w:color="auto" w:fill="auto"/>
          </w:tcPr>
          <w:p w14:paraId="7AD1D692" w14:textId="4ACE52B7" w:rsidR="008B09B6" w:rsidRPr="00C63DC6" w:rsidRDefault="008B09B6" w:rsidP="00BE70E9">
            <w:pPr>
              <w:jc w:val="both"/>
            </w:pPr>
            <w:r w:rsidRPr="00C63DC6">
              <w:t>0.</w:t>
            </w:r>
            <w:r w:rsidR="00BE70E9" w:rsidRPr="00C63DC6">
              <w:t>5</w:t>
            </w:r>
          </w:p>
        </w:tc>
        <w:tc>
          <w:tcPr>
            <w:tcW w:w="700" w:type="pct"/>
            <w:shd w:val="clear" w:color="auto" w:fill="auto"/>
          </w:tcPr>
          <w:p w14:paraId="5639CB64" w14:textId="68481CAE" w:rsidR="008B09B6" w:rsidRPr="00C63DC6" w:rsidRDefault="00BE70E9" w:rsidP="008B09B6">
            <w:pPr>
              <w:jc w:val="both"/>
            </w:pPr>
            <w:r w:rsidRPr="00C63DC6">
              <w:t>0.2</w:t>
            </w:r>
          </w:p>
        </w:tc>
      </w:tr>
      <w:tr w:rsidR="008B09B6" w:rsidRPr="00C63DC6" w14:paraId="20CFA8F7" w14:textId="77777777" w:rsidTr="002178C9">
        <w:tc>
          <w:tcPr>
            <w:tcW w:w="1173" w:type="pct"/>
            <w:shd w:val="clear" w:color="auto" w:fill="auto"/>
          </w:tcPr>
          <w:p w14:paraId="5379921E" w14:textId="4C956229" w:rsidR="008B09B6" w:rsidRPr="00C63DC6" w:rsidRDefault="008B09B6" w:rsidP="00A843B3">
            <w:pPr>
              <w:jc w:val="both"/>
              <w:rPr>
                <w:b/>
                <w:bCs/>
                <w:iCs/>
                <w:color w:val="000000"/>
              </w:rPr>
            </w:pPr>
            <w:r w:rsidRPr="00C63DC6">
              <w:rPr>
                <w:b/>
                <w:bCs/>
                <w:iCs/>
                <w:color w:val="000000"/>
              </w:rPr>
              <w:t>Inženiertehniskā projektēšana</w:t>
            </w:r>
          </w:p>
        </w:tc>
        <w:tc>
          <w:tcPr>
            <w:tcW w:w="468" w:type="pct"/>
            <w:shd w:val="clear" w:color="auto" w:fill="auto"/>
          </w:tcPr>
          <w:p w14:paraId="79E7782A" w14:textId="4E56A11D" w:rsidR="008B09B6" w:rsidRPr="00C63DC6" w:rsidRDefault="008B09B6" w:rsidP="008B09B6">
            <w:pPr>
              <w:jc w:val="both"/>
            </w:pPr>
            <w:r w:rsidRPr="00C63DC6">
              <w:t>201</w:t>
            </w:r>
          </w:p>
        </w:tc>
        <w:tc>
          <w:tcPr>
            <w:tcW w:w="469" w:type="pct"/>
            <w:shd w:val="clear" w:color="auto" w:fill="auto"/>
          </w:tcPr>
          <w:p w14:paraId="3FF9D958" w14:textId="1722DF75" w:rsidR="008B09B6" w:rsidRPr="00C63DC6" w:rsidRDefault="008B09B6" w:rsidP="008B09B6">
            <w:pPr>
              <w:jc w:val="both"/>
            </w:pPr>
            <w:r w:rsidRPr="00C63DC6">
              <w:t>13</w:t>
            </w:r>
          </w:p>
        </w:tc>
        <w:tc>
          <w:tcPr>
            <w:tcW w:w="860" w:type="pct"/>
            <w:shd w:val="clear" w:color="auto" w:fill="auto"/>
          </w:tcPr>
          <w:p w14:paraId="6F13E8FF" w14:textId="123DAE4F" w:rsidR="008B09B6" w:rsidRPr="00C63DC6" w:rsidRDefault="008B09B6" w:rsidP="008B09B6">
            <w:pPr>
              <w:jc w:val="both"/>
            </w:pPr>
            <w:r w:rsidRPr="00C63DC6">
              <w:t>9 403 342</w:t>
            </w:r>
          </w:p>
        </w:tc>
        <w:tc>
          <w:tcPr>
            <w:tcW w:w="782" w:type="pct"/>
            <w:shd w:val="clear" w:color="auto" w:fill="auto"/>
          </w:tcPr>
          <w:p w14:paraId="69DE6B48" w14:textId="77EA62D8" w:rsidR="008B09B6" w:rsidRPr="00C63DC6" w:rsidRDefault="008B09B6" w:rsidP="008B09B6">
            <w:pPr>
              <w:jc w:val="both"/>
            </w:pPr>
            <w:r w:rsidRPr="00C63DC6">
              <w:t>427 536</w:t>
            </w:r>
          </w:p>
        </w:tc>
        <w:tc>
          <w:tcPr>
            <w:tcW w:w="548" w:type="pct"/>
            <w:shd w:val="clear" w:color="auto" w:fill="auto"/>
          </w:tcPr>
          <w:p w14:paraId="228FE0E6" w14:textId="45062737" w:rsidR="008B09B6" w:rsidRPr="00C63DC6" w:rsidRDefault="00BE70E9" w:rsidP="008B09B6">
            <w:pPr>
              <w:jc w:val="both"/>
            </w:pPr>
            <w:r w:rsidRPr="00C63DC6">
              <w:t>6</w:t>
            </w:r>
          </w:p>
        </w:tc>
        <w:tc>
          <w:tcPr>
            <w:tcW w:w="700" w:type="pct"/>
            <w:shd w:val="clear" w:color="auto" w:fill="auto"/>
          </w:tcPr>
          <w:p w14:paraId="14C691AF" w14:textId="181B4EA9" w:rsidR="008B09B6" w:rsidRPr="00C63DC6" w:rsidRDefault="00BE70E9" w:rsidP="008B09B6">
            <w:pPr>
              <w:jc w:val="both"/>
            </w:pPr>
            <w:r w:rsidRPr="00C63DC6">
              <w:t>4</w:t>
            </w:r>
          </w:p>
        </w:tc>
      </w:tr>
      <w:tr w:rsidR="008B09B6" w:rsidRPr="00C63DC6" w14:paraId="4C51405E" w14:textId="77777777" w:rsidTr="002178C9">
        <w:tc>
          <w:tcPr>
            <w:tcW w:w="1173" w:type="pct"/>
            <w:shd w:val="clear" w:color="auto" w:fill="auto"/>
          </w:tcPr>
          <w:p w14:paraId="46FF6A53" w14:textId="19E39A16" w:rsidR="008B09B6" w:rsidRPr="00C63DC6" w:rsidRDefault="008B09B6" w:rsidP="00A843B3">
            <w:pPr>
              <w:jc w:val="both"/>
              <w:rPr>
                <w:b/>
                <w:bCs/>
                <w:iCs/>
                <w:color w:val="000000"/>
              </w:rPr>
            </w:pPr>
            <w:r w:rsidRPr="00C63DC6">
              <w:rPr>
                <w:b/>
                <w:color w:val="000000"/>
              </w:rPr>
              <w:t>Mežsaimniecībai raksturīgi pakalpojumi</w:t>
            </w:r>
          </w:p>
        </w:tc>
        <w:tc>
          <w:tcPr>
            <w:tcW w:w="468" w:type="pct"/>
            <w:shd w:val="clear" w:color="auto" w:fill="auto"/>
          </w:tcPr>
          <w:p w14:paraId="4F9EBE34" w14:textId="028717CF" w:rsidR="008B09B6" w:rsidRPr="00C63DC6" w:rsidRDefault="008B09B6" w:rsidP="008B09B6">
            <w:pPr>
              <w:jc w:val="both"/>
            </w:pPr>
            <w:r w:rsidRPr="00C63DC6">
              <w:t>89</w:t>
            </w:r>
          </w:p>
        </w:tc>
        <w:tc>
          <w:tcPr>
            <w:tcW w:w="469" w:type="pct"/>
            <w:shd w:val="clear" w:color="auto" w:fill="auto"/>
          </w:tcPr>
          <w:p w14:paraId="17F3B8BE" w14:textId="58A3E2AD" w:rsidR="008B09B6" w:rsidRPr="00C63DC6" w:rsidRDefault="008B09B6" w:rsidP="008B09B6">
            <w:pPr>
              <w:jc w:val="both"/>
            </w:pPr>
            <w:r w:rsidRPr="00C63DC6">
              <w:t>23</w:t>
            </w:r>
          </w:p>
        </w:tc>
        <w:tc>
          <w:tcPr>
            <w:tcW w:w="860" w:type="pct"/>
            <w:shd w:val="clear" w:color="auto" w:fill="auto"/>
          </w:tcPr>
          <w:p w14:paraId="7C03216B" w14:textId="6A134527" w:rsidR="008B09B6" w:rsidRPr="00C63DC6" w:rsidRDefault="008B09B6" w:rsidP="008B09B6">
            <w:pPr>
              <w:jc w:val="both"/>
            </w:pPr>
            <w:r w:rsidRPr="00C63DC6">
              <w:t>23 649 200</w:t>
            </w:r>
          </w:p>
        </w:tc>
        <w:tc>
          <w:tcPr>
            <w:tcW w:w="782" w:type="pct"/>
            <w:shd w:val="clear" w:color="auto" w:fill="auto"/>
          </w:tcPr>
          <w:p w14:paraId="1F260241" w14:textId="67E736C0" w:rsidR="008B09B6" w:rsidRPr="00C63DC6" w:rsidRDefault="008B09B6" w:rsidP="008B09B6">
            <w:pPr>
              <w:jc w:val="both"/>
            </w:pPr>
            <w:r w:rsidRPr="00C63DC6">
              <w:t>18 261 649</w:t>
            </w:r>
          </w:p>
        </w:tc>
        <w:tc>
          <w:tcPr>
            <w:tcW w:w="548" w:type="pct"/>
            <w:shd w:val="clear" w:color="auto" w:fill="auto"/>
          </w:tcPr>
          <w:p w14:paraId="4D1C45AE" w14:textId="67B4687B" w:rsidR="008B09B6" w:rsidRPr="00C63DC6" w:rsidRDefault="00BE70E9" w:rsidP="008B09B6">
            <w:pPr>
              <w:jc w:val="both"/>
            </w:pPr>
            <w:r w:rsidRPr="00C63DC6">
              <w:t>26</w:t>
            </w:r>
          </w:p>
        </w:tc>
        <w:tc>
          <w:tcPr>
            <w:tcW w:w="700" w:type="pct"/>
            <w:shd w:val="clear" w:color="auto" w:fill="auto"/>
          </w:tcPr>
          <w:p w14:paraId="10313F2C" w14:textId="0F1919BE" w:rsidR="008B09B6" w:rsidRPr="00C63DC6" w:rsidRDefault="00BE70E9" w:rsidP="008B09B6">
            <w:pPr>
              <w:jc w:val="both"/>
            </w:pPr>
            <w:r w:rsidRPr="00C63DC6">
              <w:t>77</w:t>
            </w:r>
          </w:p>
        </w:tc>
      </w:tr>
      <w:tr w:rsidR="002178C9" w:rsidRPr="00C63DC6" w14:paraId="2AABAB90" w14:textId="77777777" w:rsidTr="002178C9">
        <w:tc>
          <w:tcPr>
            <w:tcW w:w="1173" w:type="pct"/>
            <w:shd w:val="clear" w:color="auto" w:fill="EAF1DD" w:themeFill="accent3" w:themeFillTint="33"/>
          </w:tcPr>
          <w:p w14:paraId="4952B32D" w14:textId="62D4A6A9" w:rsidR="002178C9" w:rsidRPr="00C63DC6" w:rsidRDefault="002178C9" w:rsidP="00A843B3">
            <w:pPr>
              <w:jc w:val="both"/>
              <w:rPr>
                <w:b/>
                <w:color w:val="000000"/>
              </w:rPr>
            </w:pPr>
            <w:r w:rsidRPr="00C63DC6">
              <w:rPr>
                <w:b/>
                <w:color w:val="000000"/>
              </w:rPr>
              <w:t>KOPĀ</w:t>
            </w:r>
          </w:p>
        </w:tc>
        <w:tc>
          <w:tcPr>
            <w:tcW w:w="468" w:type="pct"/>
            <w:shd w:val="clear" w:color="auto" w:fill="EAF1DD" w:themeFill="accent3" w:themeFillTint="33"/>
          </w:tcPr>
          <w:p w14:paraId="04B0AA94" w14:textId="554BB478" w:rsidR="002178C9" w:rsidRPr="00C63DC6" w:rsidRDefault="002178C9" w:rsidP="008B09B6">
            <w:pPr>
              <w:jc w:val="both"/>
              <w:rPr>
                <w:b/>
              </w:rPr>
            </w:pPr>
            <w:r w:rsidRPr="00C63DC6">
              <w:rPr>
                <w:b/>
              </w:rPr>
              <w:t>12025</w:t>
            </w:r>
          </w:p>
        </w:tc>
        <w:tc>
          <w:tcPr>
            <w:tcW w:w="469" w:type="pct"/>
            <w:shd w:val="clear" w:color="auto" w:fill="EAF1DD" w:themeFill="accent3" w:themeFillTint="33"/>
          </w:tcPr>
          <w:p w14:paraId="088CB275" w14:textId="24867538" w:rsidR="002178C9" w:rsidRPr="00C63DC6" w:rsidRDefault="002178C9" w:rsidP="008B09B6">
            <w:pPr>
              <w:jc w:val="both"/>
              <w:rPr>
                <w:b/>
              </w:rPr>
            </w:pPr>
            <w:r w:rsidRPr="00C63DC6">
              <w:rPr>
                <w:b/>
              </w:rPr>
              <w:t>1370</w:t>
            </w:r>
          </w:p>
        </w:tc>
        <w:tc>
          <w:tcPr>
            <w:tcW w:w="860" w:type="pct"/>
            <w:shd w:val="clear" w:color="auto" w:fill="EAF1DD" w:themeFill="accent3" w:themeFillTint="33"/>
          </w:tcPr>
          <w:p w14:paraId="18A6D8F2" w14:textId="5457323D" w:rsidR="002178C9" w:rsidRPr="00C63DC6" w:rsidRDefault="002178C9" w:rsidP="008B09B6">
            <w:pPr>
              <w:jc w:val="both"/>
              <w:rPr>
                <w:b/>
              </w:rPr>
            </w:pPr>
            <w:r w:rsidRPr="00C63DC6">
              <w:rPr>
                <w:b/>
              </w:rPr>
              <w:t>2977073605</w:t>
            </w:r>
          </w:p>
        </w:tc>
        <w:tc>
          <w:tcPr>
            <w:tcW w:w="782" w:type="pct"/>
            <w:shd w:val="clear" w:color="auto" w:fill="EAF1DD" w:themeFill="accent3" w:themeFillTint="33"/>
          </w:tcPr>
          <w:p w14:paraId="53DD765B" w14:textId="302F356A" w:rsidR="002178C9" w:rsidRPr="00C63DC6" w:rsidRDefault="002178C9" w:rsidP="008B09B6">
            <w:pPr>
              <w:jc w:val="both"/>
              <w:rPr>
                <w:b/>
              </w:rPr>
            </w:pPr>
            <w:r w:rsidRPr="00C63DC6">
              <w:rPr>
                <w:b/>
              </w:rPr>
              <w:t>543928375</w:t>
            </w:r>
          </w:p>
        </w:tc>
        <w:tc>
          <w:tcPr>
            <w:tcW w:w="548" w:type="pct"/>
            <w:shd w:val="clear" w:color="auto" w:fill="EAF1DD" w:themeFill="accent3" w:themeFillTint="33"/>
          </w:tcPr>
          <w:p w14:paraId="721274F8" w14:textId="1E20E286" w:rsidR="002178C9" w:rsidRPr="00C63DC6" w:rsidRDefault="002178C9" w:rsidP="008B09B6">
            <w:pPr>
              <w:jc w:val="both"/>
              <w:rPr>
                <w:b/>
              </w:rPr>
            </w:pPr>
            <w:r w:rsidRPr="00C63DC6">
              <w:rPr>
                <w:b/>
              </w:rPr>
              <w:t>11</w:t>
            </w:r>
          </w:p>
        </w:tc>
        <w:tc>
          <w:tcPr>
            <w:tcW w:w="700" w:type="pct"/>
            <w:shd w:val="clear" w:color="auto" w:fill="EAF1DD" w:themeFill="accent3" w:themeFillTint="33"/>
          </w:tcPr>
          <w:p w14:paraId="491E4E39" w14:textId="6E9EFF4D" w:rsidR="002178C9" w:rsidRPr="00C63DC6" w:rsidRDefault="002178C9" w:rsidP="008B09B6">
            <w:pPr>
              <w:jc w:val="both"/>
              <w:rPr>
                <w:b/>
              </w:rPr>
            </w:pPr>
            <w:r w:rsidRPr="00C63DC6">
              <w:rPr>
                <w:b/>
              </w:rPr>
              <w:t>18</w:t>
            </w:r>
          </w:p>
        </w:tc>
      </w:tr>
    </w:tbl>
    <w:p w14:paraId="641F37A1" w14:textId="7554D2A5" w:rsidR="005B533F" w:rsidRPr="00C63DC6" w:rsidRDefault="006B6E7F" w:rsidP="005413F1">
      <w:pPr>
        <w:pStyle w:val="NoSpacing"/>
        <w:spacing w:after="240"/>
        <w:jc w:val="both"/>
        <w:rPr>
          <w:i/>
        </w:rPr>
      </w:pPr>
      <w:r w:rsidRPr="00C63DC6">
        <w:rPr>
          <w:bCs/>
          <w:i/>
          <w:iCs/>
        </w:rPr>
        <w:t>Avots:</w:t>
      </w:r>
      <w:r w:rsidR="00D57545" w:rsidRPr="00C63DC6">
        <w:rPr>
          <w:bCs/>
          <w:i/>
          <w:iCs/>
        </w:rPr>
        <w:t xml:space="preserve"> </w:t>
      </w:r>
      <w:r w:rsidR="00A266E2" w:rsidRPr="00C63DC6">
        <w:rPr>
          <w:i/>
        </w:rPr>
        <w:t>IUB dati</w:t>
      </w:r>
    </w:p>
    <w:p w14:paraId="1CA60165" w14:textId="5A255C1D" w:rsidR="000115DC" w:rsidRPr="00C63DC6" w:rsidRDefault="000115DC" w:rsidP="00AB5C3A">
      <w:pPr>
        <w:pStyle w:val="NoSpacing"/>
        <w:ind w:firstLine="720"/>
        <w:jc w:val="both"/>
        <w:rPr>
          <w:sz w:val="28"/>
          <w:szCs w:val="28"/>
        </w:rPr>
      </w:pPr>
      <w:r w:rsidRPr="00C63DC6">
        <w:rPr>
          <w:sz w:val="28"/>
          <w:szCs w:val="28"/>
        </w:rPr>
        <w:lastRenderedPageBreak/>
        <w:t>Tomēr skatoties uz iepirkum</w:t>
      </w:r>
      <w:r w:rsidR="00180B7B" w:rsidRPr="00C63DC6">
        <w:rPr>
          <w:sz w:val="28"/>
          <w:szCs w:val="28"/>
        </w:rPr>
        <w:t>u</w:t>
      </w:r>
      <w:r w:rsidRPr="00C63DC6">
        <w:rPr>
          <w:sz w:val="28"/>
          <w:szCs w:val="28"/>
        </w:rPr>
        <w:t xml:space="preserve"> skaitu</w:t>
      </w:r>
      <w:r w:rsidR="00411A52" w:rsidRPr="00C63DC6">
        <w:rPr>
          <w:sz w:val="28"/>
          <w:szCs w:val="28"/>
        </w:rPr>
        <w:t>,</w:t>
      </w:r>
      <w:r w:rsidRPr="00C63DC6">
        <w:rPr>
          <w:sz w:val="28"/>
          <w:szCs w:val="28"/>
        </w:rPr>
        <w:t xml:space="preserve"> kuros ir piemērots ZPI</w:t>
      </w:r>
      <w:r w:rsidR="00180B7B" w:rsidRPr="00C63DC6">
        <w:rPr>
          <w:sz w:val="28"/>
          <w:szCs w:val="28"/>
        </w:rPr>
        <w:t>,</w:t>
      </w:r>
      <w:r w:rsidRPr="00C63DC6">
        <w:rPr>
          <w:sz w:val="28"/>
          <w:szCs w:val="28"/>
        </w:rPr>
        <w:t xml:space="preserve"> un kopējo iepirkumu skaitu atbilstošā preču vai pakalpojumu grupā, tas ir mazskaitlīgs arī preču un </w:t>
      </w:r>
      <w:r w:rsidR="007A2C66" w:rsidRPr="00C63DC6">
        <w:rPr>
          <w:sz w:val="28"/>
          <w:szCs w:val="28"/>
        </w:rPr>
        <w:t>pakalpojumu</w:t>
      </w:r>
      <w:r w:rsidRPr="00C63DC6">
        <w:rPr>
          <w:sz w:val="28"/>
          <w:szCs w:val="28"/>
        </w:rPr>
        <w:t xml:space="preserve"> grupās, kuros ZPI no 2017. gada 1. jūlija piemērojams obligāti.</w:t>
      </w:r>
    </w:p>
    <w:p w14:paraId="2790345E" w14:textId="7DE1908D" w:rsidR="005413F1" w:rsidRPr="00C63DC6" w:rsidRDefault="002178C9" w:rsidP="00AB5C3A">
      <w:pPr>
        <w:pStyle w:val="NoSpacing"/>
        <w:spacing w:after="120"/>
        <w:ind w:firstLine="720"/>
        <w:jc w:val="both"/>
        <w:rPr>
          <w:bCs/>
          <w:iCs/>
          <w:sz w:val="28"/>
          <w:szCs w:val="28"/>
        </w:rPr>
      </w:pPr>
      <w:r w:rsidRPr="00C63DC6">
        <w:rPr>
          <w:sz w:val="28"/>
          <w:szCs w:val="28"/>
        </w:rPr>
        <w:t>4</w:t>
      </w:r>
      <w:r w:rsidR="000115DC" w:rsidRPr="00C63DC6">
        <w:rPr>
          <w:sz w:val="28"/>
          <w:szCs w:val="28"/>
        </w:rPr>
        <w:t>.</w:t>
      </w:r>
      <w:r w:rsidR="008263CD" w:rsidRPr="00C63DC6">
        <w:rPr>
          <w:bCs/>
          <w:iCs/>
          <w:sz w:val="28"/>
          <w:szCs w:val="28"/>
        </w:rPr>
        <w:t xml:space="preserve"> </w:t>
      </w:r>
      <w:r w:rsidR="006F7535" w:rsidRPr="00C63DC6">
        <w:rPr>
          <w:bCs/>
          <w:iCs/>
          <w:sz w:val="28"/>
          <w:szCs w:val="28"/>
        </w:rPr>
        <w:t>a</w:t>
      </w:r>
      <w:r w:rsidR="008263CD" w:rsidRPr="00C63DC6">
        <w:rPr>
          <w:bCs/>
          <w:iCs/>
          <w:sz w:val="28"/>
          <w:szCs w:val="28"/>
        </w:rPr>
        <w:t>ttēlā ir sniegts pārskats par ZPI īpatsvaru tām preču un pakalpojumu kategorijām, kurās 201</w:t>
      </w:r>
      <w:r w:rsidR="00996291" w:rsidRPr="00C63DC6">
        <w:rPr>
          <w:bCs/>
          <w:iCs/>
          <w:sz w:val="28"/>
          <w:szCs w:val="28"/>
        </w:rPr>
        <w:t>8</w:t>
      </w:r>
      <w:r w:rsidR="008263CD" w:rsidRPr="00C63DC6">
        <w:rPr>
          <w:bCs/>
          <w:iCs/>
          <w:sz w:val="28"/>
          <w:szCs w:val="28"/>
        </w:rPr>
        <w:t>. gadā iepirkumi veikti</w:t>
      </w:r>
      <w:r w:rsidR="00180B7B" w:rsidRPr="00C63DC6">
        <w:rPr>
          <w:bCs/>
          <w:iCs/>
          <w:sz w:val="28"/>
          <w:szCs w:val="28"/>
        </w:rPr>
        <w:t>,</w:t>
      </w:r>
      <w:r w:rsidR="008263CD" w:rsidRPr="00C63DC6">
        <w:rPr>
          <w:bCs/>
          <w:iCs/>
          <w:sz w:val="28"/>
          <w:szCs w:val="28"/>
        </w:rPr>
        <w:t xml:space="preserve"> ievērojot ZPI principus, parādot atbilstošo preču, pakalpojumu un būvdarbu grupu ZPI īpatsvaru no  kopējiem  ZPI iepirkumiem. Salīdzinot šo informāciju ar </w:t>
      </w:r>
      <w:r w:rsidR="007A2C66" w:rsidRPr="00C63DC6">
        <w:rPr>
          <w:bCs/>
          <w:iCs/>
          <w:sz w:val="28"/>
          <w:szCs w:val="28"/>
        </w:rPr>
        <w:t>iepriekšējā</w:t>
      </w:r>
      <w:r w:rsidR="008263CD" w:rsidRPr="00C63DC6">
        <w:rPr>
          <w:bCs/>
          <w:iCs/>
          <w:sz w:val="28"/>
          <w:szCs w:val="28"/>
        </w:rPr>
        <w:t xml:space="preserve"> gada datiem</w:t>
      </w:r>
      <w:r w:rsidRPr="00C63DC6">
        <w:t xml:space="preserve"> </w:t>
      </w:r>
      <w:r w:rsidRPr="00C63DC6">
        <w:rPr>
          <w:bCs/>
          <w:iCs/>
          <w:sz w:val="28"/>
          <w:szCs w:val="28"/>
        </w:rPr>
        <w:t>ir  mainījies procentuālais sadalījums</w:t>
      </w:r>
      <w:r w:rsidR="008263CD" w:rsidRPr="00C63DC6">
        <w:rPr>
          <w:bCs/>
          <w:iCs/>
          <w:sz w:val="28"/>
          <w:szCs w:val="28"/>
        </w:rPr>
        <w:t xml:space="preserve">, galvenokārt uz </w:t>
      </w:r>
      <w:r w:rsidRPr="00C63DC6">
        <w:rPr>
          <w:bCs/>
          <w:iCs/>
          <w:sz w:val="28"/>
          <w:szCs w:val="28"/>
        </w:rPr>
        <w:t>b</w:t>
      </w:r>
      <w:r w:rsidR="00712E30" w:rsidRPr="00C63DC6">
        <w:rPr>
          <w:bCs/>
          <w:iCs/>
          <w:sz w:val="28"/>
          <w:szCs w:val="28"/>
        </w:rPr>
        <w:t>ūvdarbu</w:t>
      </w:r>
      <w:r w:rsidRPr="00C63DC6">
        <w:t xml:space="preserve"> </w:t>
      </w:r>
      <w:r w:rsidRPr="00C63DC6">
        <w:rPr>
          <w:bCs/>
          <w:iCs/>
          <w:sz w:val="28"/>
          <w:szCs w:val="28"/>
        </w:rPr>
        <w:t>rēķina</w:t>
      </w:r>
      <w:r w:rsidR="00712E30" w:rsidRPr="00C63DC6">
        <w:rPr>
          <w:bCs/>
          <w:iCs/>
          <w:sz w:val="28"/>
          <w:szCs w:val="28"/>
        </w:rPr>
        <w:t xml:space="preserve">, kas saistāms ar ES fondu apguvi un </w:t>
      </w:r>
      <w:r w:rsidR="007A2C66" w:rsidRPr="00C63DC6">
        <w:rPr>
          <w:bCs/>
          <w:iCs/>
          <w:sz w:val="28"/>
          <w:szCs w:val="28"/>
        </w:rPr>
        <w:t>transportlīdzekļu</w:t>
      </w:r>
      <w:r w:rsidR="00712E30" w:rsidRPr="00C63DC6">
        <w:rPr>
          <w:bCs/>
          <w:iCs/>
          <w:sz w:val="28"/>
          <w:szCs w:val="28"/>
        </w:rPr>
        <w:t xml:space="preserve"> iepirkumu</w:t>
      </w:r>
      <w:r w:rsidRPr="00C63DC6">
        <w:rPr>
          <w:bCs/>
          <w:iCs/>
          <w:sz w:val="28"/>
          <w:szCs w:val="28"/>
        </w:rPr>
        <w:t xml:space="preserve"> īpatsvara pieaugumu</w:t>
      </w:r>
      <w:r w:rsidR="008263CD" w:rsidRPr="00C63DC6">
        <w:rPr>
          <w:bCs/>
          <w:iCs/>
          <w:sz w:val="28"/>
          <w:szCs w:val="28"/>
        </w:rPr>
        <w:t>.</w:t>
      </w:r>
    </w:p>
    <w:p w14:paraId="6235C839" w14:textId="747FDA62" w:rsidR="008263CD" w:rsidRPr="00C63DC6" w:rsidRDefault="00353FC9" w:rsidP="005413F1">
      <w:pPr>
        <w:pStyle w:val="NoSpacing"/>
        <w:jc w:val="both"/>
        <w:rPr>
          <w:b/>
          <w:bCs/>
          <w:i/>
          <w:iCs/>
        </w:rPr>
      </w:pPr>
      <w:r w:rsidRPr="00C63DC6">
        <w:rPr>
          <w:b/>
          <w:bCs/>
          <w:i/>
          <w:iCs/>
        </w:rPr>
        <w:t>4</w:t>
      </w:r>
      <w:r w:rsidR="008263CD" w:rsidRPr="00C63DC6">
        <w:rPr>
          <w:b/>
          <w:bCs/>
          <w:i/>
          <w:iCs/>
        </w:rPr>
        <w:t xml:space="preserve">.Attēls </w:t>
      </w:r>
    </w:p>
    <w:p w14:paraId="76B23BC8" w14:textId="77777777" w:rsidR="00997728" w:rsidRPr="00C63DC6" w:rsidRDefault="00997728" w:rsidP="005413F1">
      <w:pPr>
        <w:pStyle w:val="NoSpacing"/>
        <w:jc w:val="both"/>
        <w:rPr>
          <w:b/>
          <w:bCs/>
          <w:i/>
          <w:iCs/>
        </w:rPr>
      </w:pPr>
      <w:r w:rsidRPr="00C63DC6">
        <w:rPr>
          <w:b/>
          <w:bCs/>
          <w:i/>
          <w:iCs/>
        </w:rPr>
        <w:t>Pārskats par PIL rezultātu paziņojumu līgumcenu īpatsvaru ZPI iepirkumos 2018.g.</w:t>
      </w:r>
    </w:p>
    <w:p w14:paraId="0AE9F988" w14:textId="2831AB48" w:rsidR="002178C9" w:rsidRPr="00C63DC6" w:rsidRDefault="00A90C19" w:rsidP="005413F1">
      <w:pPr>
        <w:pStyle w:val="NoSpacing"/>
        <w:jc w:val="both"/>
        <w:rPr>
          <w:b/>
          <w:bCs/>
          <w:i/>
          <w:iCs/>
        </w:rPr>
      </w:pPr>
      <w:r w:rsidRPr="00C63DC6">
        <w:rPr>
          <w:noProof/>
        </w:rPr>
        <w:drawing>
          <wp:inline distT="0" distB="0" distL="0" distR="0" wp14:anchorId="1484BCA1" wp14:editId="580FD0DD">
            <wp:extent cx="5743575" cy="50196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A90AD3" w14:textId="6FAE72EE" w:rsidR="00712E30" w:rsidRPr="00C63DC6" w:rsidRDefault="00AB5C3A" w:rsidP="005413F1">
      <w:pPr>
        <w:pStyle w:val="NoSpacing"/>
        <w:jc w:val="both"/>
        <w:rPr>
          <w:bCs/>
          <w:i/>
          <w:iCs/>
        </w:rPr>
      </w:pPr>
      <w:r w:rsidRPr="00C63DC6">
        <w:rPr>
          <w:bCs/>
          <w:i/>
          <w:iCs/>
        </w:rPr>
        <w:t>Avots:</w:t>
      </w:r>
      <w:r w:rsidR="00D57545" w:rsidRPr="00C63DC6">
        <w:rPr>
          <w:bCs/>
          <w:i/>
          <w:iCs/>
        </w:rPr>
        <w:t xml:space="preserve"> </w:t>
      </w:r>
      <w:r w:rsidR="00A76D42" w:rsidRPr="00C63DC6">
        <w:rPr>
          <w:bCs/>
          <w:i/>
          <w:iCs/>
        </w:rPr>
        <w:t>IUB d</w:t>
      </w:r>
      <w:r w:rsidRPr="00C63DC6">
        <w:rPr>
          <w:bCs/>
          <w:i/>
          <w:iCs/>
        </w:rPr>
        <w:t>ati</w:t>
      </w:r>
    </w:p>
    <w:p w14:paraId="4D168E61" w14:textId="4067427A" w:rsidR="002178C9" w:rsidRPr="00C63DC6" w:rsidRDefault="002178C9" w:rsidP="005413F1">
      <w:pPr>
        <w:pStyle w:val="NoSpacing"/>
        <w:jc w:val="both"/>
        <w:rPr>
          <w:b/>
          <w:bCs/>
          <w:i/>
          <w:iCs/>
        </w:rPr>
      </w:pPr>
    </w:p>
    <w:p w14:paraId="2F7F1816" w14:textId="77777777" w:rsidR="0063029B" w:rsidRDefault="0063029B" w:rsidP="005413F1">
      <w:pPr>
        <w:pStyle w:val="NoSpacing"/>
        <w:jc w:val="both"/>
        <w:rPr>
          <w:b/>
          <w:bCs/>
          <w:i/>
          <w:iCs/>
        </w:rPr>
      </w:pPr>
    </w:p>
    <w:p w14:paraId="39CBC328" w14:textId="77777777" w:rsidR="0063029B" w:rsidRDefault="0063029B" w:rsidP="005413F1">
      <w:pPr>
        <w:pStyle w:val="NoSpacing"/>
        <w:jc w:val="both"/>
        <w:rPr>
          <w:b/>
          <w:bCs/>
          <w:i/>
          <w:iCs/>
        </w:rPr>
      </w:pPr>
    </w:p>
    <w:p w14:paraId="590AB417" w14:textId="77777777" w:rsidR="0063029B" w:rsidRDefault="0063029B" w:rsidP="005413F1">
      <w:pPr>
        <w:pStyle w:val="NoSpacing"/>
        <w:jc w:val="both"/>
        <w:rPr>
          <w:b/>
          <w:bCs/>
          <w:i/>
          <w:iCs/>
        </w:rPr>
      </w:pPr>
    </w:p>
    <w:p w14:paraId="0AABB90A" w14:textId="77777777" w:rsidR="0063029B" w:rsidRDefault="0063029B" w:rsidP="005413F1">
      <w:pPr>
        <w:pStyle w:val="NoSpacing"/>
        <w:jc w:val="both"/>
        <w:rPr>
          <w:b/>
          <w:bCs/>
          <w:i/>
          <w:iCs/>
        </w:rPr>
      </w:pPr>
    </w:p>
    <w:p w14:paraId="78E67093" w14:textId="77777777" w:rsidR="0063029B" w:rsidRDefault="0063029B" w:rsidP="005413F1">
      <w:pPr>
        <w:pStyle w:val="NoSpacing"/>
        <w:jc w:val="both"/>
        <w:rPr>
          <w:b/>
          <w:bCs/>
          <w:i/>
          <w:iCs/>
        </w:rPr>
      </w:pPr>
    </w:p>
    <w:p w14:paraId="3B799D3B" w14:textId="77777777" w:rsidR="0063029B" w:rsidRDefault="0063029B" w:rsidP="005413F1">
      <w:pPr>
        <w:pStyle w:val="NoSpacing"/>
        <w:jc w:val="both"/>
        <w:rPr>
          <w:b/>
          <w:bCs/>
          <w:i/>
          <w:iCs/>
        </w:rPr>
      </w:pPr>
    </w:p>
    <w:p w14:paraId="4391B494" w14:textId="77777777" w:rsidR="0063029B" w:rsidRDefault="0063029B" w:rsidP="005413F1">
      <w:pPr>
        <w:pStyle w:val="NoSpacing"/>
        <w:jc w:val="both"/>
        <w:rPr>
          <w:b/>
          <w:bCs/>
          <w:i/>
          <w:iCs/>
        </w:rPr>
      </w:pPr>
    </w:p>
    <w:p w14:paraId="47C96AEE" w14:textId="77777777" w:rsidR="0063029B" w:rsidRDefault="0063029B" w:rsidP="005413F1">
      <w:pPr>
        <w:pStyle w:val="NoSpacing"/>
        <w:jc w:val="both"/>
        <w:rPr>
          <w:b/>
          <w:bCs/>
          <w:i/>
          <w:iCs/>
        </w:rPr>
      </w:pPr>
    </w:p>
    <w:p w14:paraId="15180C26" w14:textId="77777777" w:rsidR="0063029B" w:rsidRDefault="0063029B" w:rsidP="005413F1">
      <w:pPr>
        <w:pStyle w:val="NoSpacing"/>
        <w:jc w:val="both"/>
        <w:rPr>
          <w:b/>
          <w:bCs/>
          <w:i/>
          <w:iCs/>
        </w:rPr>
      </w:pPr>
    </w:p>
    <w:p w14:paraId="1583883B" w14:textId="4AADA79B" w:rsidR="0097332A" w:rsidRDefault="0097332A" w:rsidP="0097332A">
      <w:pPr>
        <w:pStyle w:val="NoSpacing"/>
        <w:jc w:val="both"/>
        <w:rPr>
          <w:b/>
          <w:bCs/>
          <w:i/>
          <w:iCs/>
        </w:rPr>
      </w:pPr>
      <w:r>
        <w:rPr>
          <w:b/>
          <w:bCs/>
          <w:i/>
          <w:iCs/>
        </w:rPr>
        <w:t>5.Attēls</w:t>
      </w:r>
    </w:p>
    <w:p w14:paraId="5696BF8E" w14:textId="77640955" w:rsidR="0063029B" w:rsidRDefault="0097332A" w:rsidP="0097332A">
      <w:pPr>
        <w:pStyle w:val="NoSpacing"/>
        <w:rPr>
          <w:b/>
          <w:bCs/>
          <w:i/>
          <w:iCs/>
        </w:rPr>
      </w:pPr>
      <w:r w:rsidRPr="0097332A">
        <w:rPr>
          <w:b/>
          <w:bCs/>
          <w:i/>
          <w:iCs/>
        </w:rPr>
        <w:t>ZPI īpatsvara dinamika preču, pakalpojumu un būvdarbu grupās 2015.-2018.g.</w:t>
      </w:r>
    </w:p>
    <w:p w14:paraId="316AD57F" w14:textId="310F4385" w:rsidR="00FF56AB" w:rsidRPr="00C63DC6" w:rsidRDefault="00FF56AB" w:rsidP="005413F1">
      <w:pPr>
        <w:pStyle w:val="NoSpacing"/>
        <w:jc w:val="both"/>
        <w:rPr>
          <w:b/>
          <w:bCs/>
          <w:i/>
          <w:iCs/>
        </w:rPr>
      </w:pPr>
      <w:r w:rsidRPr="00C63DC6">
        <w:rPr>
          <w:noProof/>
        </w:rPr>
        <w:drawing>
          <wp:inline distT="0" distB="0" distL="0" distR="0" wp14:anchorId="14B1B268" wp14:editId="319E0070">
            <wp:extent cx="5760085" cy="30861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D5D1FC" w14:textId="3DC428FC" w:rsidR="00712E30" w:rsidRPr="00C63DC6" w:rsidRDefault="006B6E7F" w:rsidP="00712E30">
      <w:pPr>
        <w:spacing w:after="120"/>
        <w:jc w:val="both"/>
        <w:outlineLvl w:val="0"/>
        <w:rPr>
          <w:bCs/>
          <w:i/>
          <w:iCs/>
        </w:rPr>
      </w:pPr>
      <w:r w:rsidRPr="00C63DC6">
        <w:rPr>
          <w:bCs/>
          <w:i/>
          <w:iCs/>
        </w:rPr>
        <w:t>Avots:</w:t>
      </w:r>
      <w:r w:rsidR="00D57545" w:rsidRPr="00C63DC6">
        <w:rPr>
          <w:bCs/>
          <w:i/>
          <w:iCs/>
        </w:rPr>
        <w:t xml:space="preserve"> </w:t>
      </w:r>
      <w:r w:rsidR="00A76D42" w:rsidRPr="00C63DC6">
        <w:rPr>
          <w:bCs/>
          <w:i/>
          <w:iCs/>
        </w:rPr>
        <w:t>IUB d</w:t>
      </w:r>
      <w:r w:rsidR="00C81535" w:rsidRPr="00C63DC6">
        <w:rPr>
          <w:bCs/>
          <w:i/>
          <w:iCs/>
        </w:rPr>
        <w:t>ati</w:t>
      </w:r>
    </w:p>
    <w:p w14:paraId="1F22359A" w14:textId="480FEB22" w:rsidR="00712E30" w:rsidRPr="00C63DC6" w:rsidRDefault="00712E30" w:rsidP="00B15E38">
      <w:pPr>
        <w:ind w:firstLine="720"/>
        <w:jc w:val="both"/>
        <w:outlineLvl w:val="0"/>
        <w:rPr>
          <w:bCs/>
          <w:iCs/>
          <w:sz w:val="28"/>
          <w:szCs w:val="28"/>
        </w:rPr>
      </w:pPr>
      <w:r w:rsidRPr="00C63DC6">
        <w:rPr>
          <w:bCs/>
          <w:iCs/>
          <w:sz w:val="28"/>
          <w:szCs w:val="28"/>
        </w:rPr>
        <w:t xml:space="preserve">Vērtējot vēsturisko </w:t>
      </w:r>
      <w:r w:rsidR="0093701B" w:rsidRPr="00C63DC6">
        <w:rPr>
          <w:bCs/>
          <w:iCs/>
          <w:sz w:val="28"/>
          <w:szCs w:val="28"/>
        </w:rPr>
        <w:t>ZPI īpatsvar</w:t>
      </w:r>
      <w:r w:rsidR="00C47932" w:rsidRPr="00C63DC6">
        <w:rPr>
          <w:bCs/>
          <w:iCs/>
          <w:sz w:val="28"/>
          <w:szCs w:val="28"/>
        </w:rPr>
        <w:t xml:space="preserve">u, tādām grupām kā </w:t>
      </w:r>
      <w:r w:rsidR="0093701B" w:rsidRPr="00C63DC6">
        <w:rPr>
          <w:bCs/>
          <w:iCs/>
          <w:sz w:val="28"/>
          <w:szCs w:val="28"/>
        </w:rPr>
        <w:t>pārtika</w:t>
      </w:r>
      <w:r w:rsidR="00C47932" w:rsidRPr="00C63DC6">
        <w:rPr>
          <w:bCs/>
          <w:iCs/>
          <w:sz w:val="28"/>
          <w:szCs w:val="28"/>
        </w:rPr>
        <w:t>s preces,</w:t>
      </w:r>
      <w:r w:rsidR="00D57545" w:rsidRPr="00C63DC6">
        <w:rPr>
          <w:bCs/>
          <w:iCs/>
          <w:sz w:val="28"/>
          <w:szCs w:val="28"/>
        </w:rPr>
        <w:t xml:space="preserve"> ēdināšanas pakalpojumi</w:t>
      </w:r>
      <w:r w:rsidR="00C47932" w:rsidRPr="00C63DC6">
        <w:rPr>
          <w:bCs/>
          <w:iCs/>
          <w:sz w:val="28"/>
          <w:szCs w:val="28"/>
        </w:rPr>
        <w:t>,</w:t>
      </w:r>
      <w:r w:rsidR="0093701B" w:rsidRPr="00C63DC6">
        <w:rPr>
          <w:bCs/>
          <w:iCs/>
          <w:sz w:val="28"/>
          <w:szCs w:val="28"/>
        </w:rPr>
        <w:t xml:space="preserve"> </w:t>
      </w:r>
      <w:r w:rsidR="00D57545" w:rsidRPr="00C63DC6">
        <w:rPr>
          <w:bCs/>
          <w:iCs/>
          <w:sz w:val="28"/>
          <w:szCs w:val="28"/>
        </w:rPr>
        <w:t>transportlīdzekļ</w:t>
      </w:r>
      <w:r w:rsidR="00C47932" w:rsidRPr="00C63DC6">
        <w:rPr>
          <w:bCs/>
          <w:iCs/>
          <w:sz w:val="28"/>
          <w:szCs w:val="28"/>
        </w:rPr>
        <w:t>i, un m</w:t>
      </w:r>
      <w:r w:rsidR="0093701B" w:rsidRPr="00C63DC6">
        <w:rPr>
          <w:bCs/>
          <w:iCs/>
          <w:sz w:val="28"/>
          <w:szCs w:val="28"/>
        </w:rPr>
        <w:t xml:space="preserve">ežsaimniecībai raksturīgi pakalpojumi, </w:t>
      </w:r>
      <w:r w:rsidR="00C47932" w:rsidRPr="00C63DC6">
        <w:rPr>
          <w:bCs/>
          <w:iCs/>
          <w:sz w:val="28"/>
          <w:szCs w:val="28"/>
        </w:rPr>
        <w:t>tas saglabājas augsts un turpina pakāpeniski pieaugt</w:t>
      </w:r>
      <w:r w:rsidR="0093701B" w:rsidRPr="00C63DC6">
        <w:rPr>
          <w:bCs/>
          <w:iCs/>
          <w:sz w:val="28"/>
          <w:szCs w:val="28"/>
        </w:rPr>
        <w:t xml:space="preserve">. </w:t>
      </w:r>
      <w:r w:rsidR="00C47932" w:rsidRPr="00C63DC6">
        <w:rPr>
          <w:bCs/>
          <w:iCs/>
          <w:sz w:val="28"/>
          <w:szCs w:val="28"/>
        </w:rPr>
        <w:t xml:space="preserve">Īpašu uzmanību pievēršam </w:t>
      </w:r>
      <w:r w:rsidR="0093701B" w:rsidRPr="00C63DC6">
        <w:rPr>
          <w:bCs/>
          <w:iCs/>
          <w:sz w:val="28"/>
          <w:szCs w:val="28"/>
        </w:rPr>
        <w:t>mežsaimniecībai raksturīgie</w:t>
      </w:r>
      <w:r w:rsidR="00C47932" w:rsidRPr="00C63DC6">
        <w:rPr>
          <w:bCs/>
          <w:iCs/>
          <w:sz w:val="28"/>
          <w:szCs w:val="28"/>
        </w:rPr>
        <w:t>m</w:t>
      </w:r>
      <w:r w:rsidR="0093701B" w:rsidRPr="00C63DC6">
        <w:rPr>
          <w:bCs/>
          <w:iCs/>
          <w:sz w:val="28"/>
          <w:szCs w:val="28"/>
        </w:rPr>
        <w:t xml:space="preserve"> pakalpojumi</w:t>
      </w:r>
      <w:r w:rsidR="00C47932" w:rsidRPr="00C63DC6">
        <w:rPr>
          <w:bCs/>
          <w:iCs/>
          <w:sz w:val="28"/>
          <w:szCs w:val="28"/>
        </w:rPr>
        <w:t>em</w:t>
      </w:r>
      <w:r w:rsidR="0093701B" w:rsidRPr="00C63DC6">
        <w:rPr>
          <w:bCs/>
          <w:iCs/>
          <w:sz w:val="28"/>
          <w:szCs w:val="28"/>
        </w:rPr>
        <w:t xml:space="preserve">, kas </w:t>
      </w:r>
      <w:r w:rsidR="00C47932" w:rsidRPr="00C63DC6">
        <w:rPr>
          <w:bCs/>
          <w:iCs/>
          <w:sz w:val="28"/>
          <w:szCs w:val="28"/>
        </w:rPr>
        <w:t>netiek aptverti ar MK noteikumiem, tomēr tiek veikti atbilstoši</w:t>
      </w:r>
      <w:r w:rsidR="0093701B" w:rsidRPr="00C63DC6">
        <w:rPr>
          <w:bCs/>
          <w:iCs/>
          <w:sz w:val="28"/>
          <w:szCs w:val="28"/>
        </w:rPr>
        <w:t xml:space="preserve"> ZPI p</w:t>
      </w:r>
      <w:r w:rsidR="00C47932" w:rsidRPr="00C63DC6">
        <w:rPr>
          <w:bCs/>
          <w:iCs/>
          <w:sz w:val="28"/>
          <w:szCs w:val="28"/>
        </w:rPr>
        <w:t>rincipiem. G</w:t>
      </w:r>
      <w:r w:rsidR="007F3746" w:rsidRPr="00C63DC6">
        <w:rPr>
          <w:bCs/>
          <w:iCs/>
          <w:sz w:val="28"/>
          <w:szCs w:val="28"/>
        </w:rPr>
        <w:t xml:space="preserve">alvenokārt </w:t>
      </w:r>
      <w:r w:rsidR="0093701B" w:rsidRPr="00C63DC6">
        <w:rPr>
          <w:bCs/>
          <w:iCs/>
          <w:sz w:val="28"/>
          <w:szCs w:val="28"/>
        </w:rPr>
        <w:t xml:space="preserve"> </w:t>
      </w:r>
      <w:r w:rsidR="00C47932" w:rsidRPr="00C63DC6">
        <w:rPr>
          <w:bCs/>
          <w:iCs/>
          <w:sz w:val="28"/>
          <w:szCs w:val="28"/>
        </w:rPr>
        <w:t xml:space="preserve">tie </w:t>
      </w:r>
      <w:r w:rsidR="0093701B" w:rsidRPr="00C63DC6">
        <w:rPr>
          <w:bCs/>
          <w:iCs/>
          <w:sz w:val="28"/>
          <w:szCs w:val="28"/>
        </w:rPr>
        <w:t xml:space="preserve">ir </w:t>
      </w:r>
      <w:r w:rsidR="007F3746" w:rsidRPr="00C63DC6">
        <w:rPr>
          <w:bCs/>
          <w:iCs/>
          <w:sz w:val="28"/>
          <w:szCs w:val="28"/>
        </w:rPr>
        <w:t>saistīti ar mežaudzes atjaunoša</w:t>
      </w:r>
      <w:r w:rsidR="00D57545" w:rsidRPr="00C63DC6">
        <w:rPr>
          <w:bCs/>
          <w:iCs/>
          <w:sz w:val="28"/>
          <w:szCs w:val="28"/>
        </w:rPr>
        <w:t>na</w:t>
      </w:r>
      <w:r w:rsidR="00C47932" w:rsidRPr="00C63DC6">
        <w:rPr>
          <w:bCs/>
          <w:iCs/>
          <w:sz w:val="28"/>
          <w:szCs w:val="28"/>
        </w:rPr>
        <w:t>s darbiem, kam tiek piemērotas</w:t>
      </w:r>
      <w:r w:rsidR="007F3746" w:rsidRPr="00C63DC6">
        <w:rPr>
          <w:bCs/>
          <w:iCs/>
          <w:sz w:val="28"/>
          <w:szCs w:val="28"/>
        </w:rPr>
        <w:t xml:space="preserve"> Latvijas valsts mežu </w:t>
      </w:r>
      <w:r w:rsidR="00087A7F" w:rsidRPr="00C63DC6">
        <w:rPr>
          <w:bCs/>
          <w:iCs/>
          <w:sz w:val="28"/>
          <w:szCs w:val="28"/>
        </w:rPr>
        <w:t xml:space="preserve">izstrādātās </w:t>
      </w:r>
      <w:r w:rsidR="00C47932" w:rsidRPr="00C63DC6">
        <w:rPr>
          <w:bCs/>
          <w:iCs/>
          <w:sz w:val="28"/>
          <w:szCs w:val="28"/>
        </w:rPr>
        <w:t xml:space="preserve">ZPI </w:t>
      </w:r>
      <w:r w:rsidR="00087A7F" w:rsidRPr="00C63DC6">
        <w:rPr>
          <w:bCs/>
          <w:iCs/>
          <w:sz w:val="28"/>
          <w:szCs w:val="28"/>
        </w:rPr>
        <w:t>prasības, piemēram:</w:t>
      </w:r>
    </w:p>
    <w:p w14:paraId="2A4F46E0" w14:textId="3799A8B0" w:rsidR="00087A7F" w:rsidRPr="00C63DC6" w:rsidRDefault="00087A7F" w:rsidP="00087A7F">
      <w:pPr>
        <w:pStyle w:val="ListParagraph"/>
        <w:numPr>
          <w:ilvl w:val="0"/>
          <w:numId w:val="21"/>
        </w:numPr>
        <w:spacing w:after="120"/>
        <w:jc w:val="both"/>
        <w:outlineLvl w:val="0"/>
        <w:rPr>
          <w:bCs/>
          <w:iCs/>
          <w:sz w:val="28"/>
          <w:szCs w:val="28"/>
        </w:rPr>
      </w:pPr>
      <w:r w:rsidRPr="00C63DC6">
        <w:rPr>
          <w:bCs/>
          <w:iCs/>
          <w:sz w:val="28"/>
          <w:szCs w:val="28"/>
        </w:rPr>
        <w:t>Prasības vides piesārņojuma samazināšanai, Meža infrastruktūras objektu ekspluatācijas noteikumi, Vides aizsardzības prasības meža darbos, Norādījumi augsnes un ūdeņu aizsardzībai meža darbos, Medību infrastruktūras ierīkošanas nosacījumi;</w:t>
      </w:r>
    </w:p>
    <w:p w14:paraId="28B4569C" w14:textId="1CE930FF" w:rsidR="00087A7F" w:rsidRPr="00C63DC6" w:rsidRDefault="00087A7F" w:rsidP="00087A7F">
      <w:pPr>
        <w:pStyle w:val="ListParagraph"/>
        <w:numPr>
          <w:ilvl w:val="0"/>
          <w:numId w:val="21"/>
        </w:numPr>
        <w:spacing w:after="120"/>
        <w:jc w:val="both"/>
        <w:outlineLvl w:val="0"/>
        <w:rPr>
          <w:bCs/>
          <w:iCs/>
          <w:sz w:val="28"/>
          <w:szCs w:val="28"/>
        </w:rPr>
      </w:pPr>
      <w:r w:rsidRPr="00C63DC6">
        <w:rPr>
          <w:bCs/>
          <w:iCs/>
          <w:sz w:val="28"/>
          <w:szCs w:val="28"/>
        </w:rPr>
        <w:t>FSC un PEFC sertifikācijas standartos noteiktās prasības.</w:t>
      </w:r>
    </w:p>
    <w:p w14:paraId="6419EE23" w14:textId="4F9F1C1D" w:rsidR="00AB5C3A" w:rsidRPr="00C63DC6" w:rsidRDefault="00087A7F" w:rsidP="00B15E38">
      <w:pPr>
        <w:jc w:val="both"/>
        <w:outlineLvl w:val="0"/>
        <w:rPr>
          <w:bCs/>
          <w:iCs/>
          <w:sz w:val="28"/>
          <w:szCs w:val="28"/>
        </w:rPr>
      </w:pPr>
      <w:r w:rsidRPr="00C63DC6">
        <w:rPr>
          <w:bCs/>
          <w:iCs/>
          <w:sz w:val="28"/>
          <w:szCs w:val="28"/>
        </w:rPr>
        <w:t xml:space="preserve">Minētās prasības ir pieejamas </w:t>
      </w:r>
      <w:r w:rsidR="00B706CB" w:rsidRPr="00C63DC6">
        <w:rPr>
          <w:bCs/>
          <w:iCs/>
          <w:sz w:val="28"/>
          <w:szCs w:val="28"/>
        </w:rPr>
        <w:t>Latvijas Valsts mežu interneta vietnē</w:t>
      </w:r>
      <w:r w:rsidR="008D225F" w:rsidRPr="00C63DC6">
        <w:rPr>
          <w:rStyle w:val="FootnoteReference"/>
          <w:bCs/>
          <w:iCs/>
          <w:sz w:val="28"/>
          <w:szCs w:val="28"/>
        </w:rPr>
        <w:footnoteReference w:id="1"/>
      </w:r>
      <w:r w:rsidR="00B706CB" w:rsidRPr="00C63DC6">
        <w:rPr>
          <w:bCs/>
          <w:iCs/>
          <w:sz w:val="28"/>
          <w:szCs w:val="28"/>
        </w:rPr>
        <w:t>.</w:t>
      </w:r>
    </w:p>
    <w:p w14:paraId="340357D1" w14:textId="55DB5C0B" w:rsidR="002F7E02" w:rsidRPr="00C63DC6" w:rsidRDefault="00BD2C02" w:rsidP="00AB5C3A">
      <w:pPr>
        <w:spacing w:after="120"/>
        <w:ind w:firstLine="720"/>
        <w:jc w:val="both"/>
        <w:outlineLvl w:val="0"/>
        <w:rPr>
          <w:sz w:val="28"/>
          <w:szCs w:val="28"/>
        </w:rPr>
      </w:pPr>
      <w:r w:rsidRPr="00C63DC6">
        <w:rPr>
          <w:sz w:val="28"/>
          <w:szCs w:val="28"/>
        </w:rPr>
        <w:t xml:space="preserve">Skatot ZPI </w:t>
      </w:r>
      <w:r w:rsidR="00D57545" w:rsidRPr="00C63DC6">
        <w:rPr>
          <w:sz w:val="28"/>
          <w:szCs w:val="28"/>
        </w:rPr>
        <w:t>piemērošanas</w:t>
      </w:r>
      <w:r w:rsidRPr="00C63DC6">
        <w:rPr>
          <w:sz w:val="28"/>
          <w:szCs w:val="28"/>
        </w:rPr>
        <w:t xml:space="preserve"> progresu no piegādātāju puses, š</w:t>
      </w:r>
      <w:r w:rsidR="000706DD" w:rsidRPr="00C63DC6">
        <w:rPr>
          <w:sz w:val="28"/>
          <w:szCs w:val="28"/>
        </w:rPr>
        <w:t>obrīd nav iespējams izvērtēt tos piegādātāju</w:t>
      </w:r>
      <w:r w:rsidR="005847EF" w:rsidRPr="00C63DC6">
        <w:rPr>
          <w:sz w:val="28"/>
          <w:szCs w:val="28"/>
        </w:rPr>
        <w:t>s</w:t>
      </w:r>
      <w:r w:rsidR="00E862A4" w:rsidRPr="00C63DC6">
        <w:rPr>
          <w:sz w:val="28"/>
          <w:szCs w:val="28"/>
        </w:rPr>
        <w:t xml:space="preserve">, kas uzvarējuši finansiāli lielākos iepirkumos (ar </w:t>
      </w:r>
      <w:r w:rsidR="00DE5D61" w:rsidRPr="00C63DC6">
        <w:rPr>
          <w:sz w:val="28"/>
          <w:szCs w:val="28"/>
        </w:rPr>
        <w:t xml:space="preserve">ZPI </w:t>
      </w:r>
      <w:r w:rsidR="00E862A4" w:rsidRPr="00C63DC6">
        <w:rPr>
          <w:sz w:val="28"/>
          <w:szCs w:val="28"/>
        </w:rPr>
        <w:t>principiem)</w:t>
      </w:r>
      <w:r w:rsidR="00DA0642" w:rsidRPr="00C63DC6">
        <w:rPr>
          <w:sz w:val="28"/>
          <w:szCs w:val="28"/>
        </w:rPr>
        <w:t>,</w:t>
      </w:r>
      <w:r w:rsidR="000706DD" w:rsidRPr="00C63DC6">
        <w:t xml:space="preserve"> </w:t>
      </w:r>
      <w:r w:rsidR="000706DD" w:rsidRPr="00C63DC6">
        <w:rPr>
          <w:sz w:val="28"/>
          <w:szCs w:val="28"/>
        </w:rPr>
        <w:t>jo šobrīd publikācijās, kur uzvarētājs ir personu apvienība, tiek norādīti visi apvienības dalībnieki, bet ir zināma tikai iepirkuma kopējā līgumsumma</w:t>
      </w:r>
      <w:r w:rsidR="005847EF" w:rsidRPr="00C63DC6">
        <w:rPr>
          <w:sz w:val="28"/>
          <w:szCs w:val="28"/>
        </w:rPr>
        <w:t>.</w:t>
      </w:r>
      <w:r w:rsidR="000706DD" w:rsidRPr="00C63DC6">
        <w:rPr>
          <w:sz w:val="28"/>
          <w:szCs w:val="28"/>
        </w:rPr>
        <w:t xml:space="preserve"> </w:t>
      </w:r>
      <w:r w:rsidR="005847EF" w:rsidRPr="00C63DC6">
        <w:rPr>
          <w:sz w:val="28"/>
          <w:szCs w:val="28"/>
        </w:rPr>
        <w:t>L</w:t>
      </w:r>
      <w:r w:rsidR="000706DD" w:rsidRPr="00C63DC6">
        <w:rPr>
          <w:sz w:val="28"/>
          <w:szCs w:val="28"/>
        </w:rPr>
        <w:t>īdz ar to dati par uzņēmumiem, kas uzvarējuši finansiāli lielākos iepirkumus, būs neprecīzi, jo katram apvienības dalībniekam tiek atlasīta šī  iepirkuma kopējā līgumsumma.</w:t>
      </w:r>
      <w:r w:rsidR="000706DD" w:rsidRPr="00C63DC6">
        <w:rPr>
          <w:sz w:val="28"/>
          <w:szCs w:val="28"/>
        </w:rPr>
        <w:tab/>
        <w:t>Izvērtējot uzņēmumus p</w:t>
      </w:r>
      <w:r w:rsidR="006A6EE7" w:rsidRPr="00C63DC6">
        <w:rPr>
          <w:sz w:val="28"/>
          <w:szCs w:val="28"/>
        </w:rPr>
        <w:t>ē</w:t>
      </w:r>
      <w:r w:rsidR="000706DD" w:rsidRPr="00C63DC6">
        <w:rPr>
          <w:sz w:val="28"/>
          <w:szCs w:val="28"/>
        </w:rPr>
        <w:t xml:space="preserve">c iepirkumu daļu skaita, </w:t>
      </w:r>
      <w:r w:rsidR="000706DD" w:rsidRPr="00C63DC6">
        <w:rPr>
          <w:sz w:val="28"/>
          <w:szCs w:val="28"/>
        </w:rPr>
        <w:lastRenderedPageBreak/>
        <w:t>j</w:t>
      </w:r>
      <w:r w:rsidR="00A6639F" w:rsidRPr="00C63DC6">
        <w:rPr>
          <w:sz w:val="28"/>
          <w:szCs w:val="28"/>
        </w:rPr>
        <w:t>au izvērtējot 2. tabulas rādītājus</w:t>
      </w:r>
      <w:r w:rsidR="00DE5D61" w:rsidRPr="00C63DC6">
        <w:rPr>
          <w:sz w:val="28"/>
          <w:szCs w:val="28"/>
        </w:rPr>
        <w:t>,</w:t>
      </w:r>
      <w:r w:rsidR="00A6639F" w:rsidRPr="00C63DC6">
        <w:rPr>
          <w:sz w:val="28"/>
          <w:szCs w:val="28"/>
        </w:rPr>
        <w:t xml:space="preserve"> var paredzēt, ka pēc iepirkumu daļu skaita nozīmīgākie uzņēmumi būs</w:t>
      </w:r>
      <w:r w:rsidR="006A6EE7" w:rsidRPr="00C63DC6">
        <w:rPr>
          <w:sz w:val="28"/>
          <w:szCs w:val="28"/>
        </w:rPr>
        <w:t xml:space="preserve"> pārtikas produktu izplatītāji. To parāda 3. tabula.</w:t>
      </w:r>
    </w:p>
    <w:p w14:paraId="361D42BB" w14:textId="77777777" w:rsidR="00C54958" w:rsidRPr="00C63DC6" w:rsidRDefault="00942D95" w:rsidP="000706DD">
      <w:pPr>
        <w:spacing w:before="120"/>
        <w:jc w:val="both"/>
        <w:rPr>
          <w:b/>
          <w:bCs/>
          <w:i/>
          <w:iCs/>
          <w:color w:val="000000"/>
        </w:rPr>
      </w:pPr>
      <w:r w:rsidRPr="00C63DC6">
        <w:rPr>
          <w:b/>
          <w:bCs/>
          <w:i/>
          <w:iCs/>
          <w:color w:val="000000"/>
        </w:rPr>
        <w:t>3</w:t>
      </w:r>
      <w:r w:rsidR="005076F4" w:rsidRPr="00C63DC6">
        <w:rPr>
          <w:b/>
          <w:bCs/>
          <w:i/>
          <w:iCs/>
          <w:color w:val="000000"/>
        </w:rPr>
        <w:t>.T</w:t>
      </w:r>
      <w:r w:rsidR="00C54958" w:rsidRPr="00C63DC6">
        <w:rPr>
          <w:b/>
          <w:bCs/>
          <w:i/>
          <w:iCs/>
          <w:color w:val="000000"/>
        </w:rPr>
        <w:t>abula</w:t>
      </w:r>
    </w:p>
    <w:p w14:paraId="1B95E278" w14:textId="5CD427D0" w:rsidR="006B6E7F" w:rsidRPr="00C63DC6" w:rsidRDefault="00C54958" w:rsidP="005413F1">
      <w:pPr>
        <w:jc w:val="both"/>
        <w:rPr>
          <w:b/>
          <w:bCs/>
          <w:i/>
          <w:iCs/>
          <w:color w:val="000000"/>
        </w:rPr>
      </w:pPr>
      <w:r w:rsidRPr="00C63DC6">
        <w:rPr>
          <w:b/>
          <w:bCs/>
          <w:i/>
          <w:iCs/>
          <w:color w:val="000000"/>
        </w:rPr>
        <w:t xml:space="preserve">"TOP 10" </w:t>
      </w:r>
      <w:r w:rsidR="00AD5617" w:rsidRPr="00C63DC6">
        <w:rPr>
          <w:b/>
          <w:bCs/>
          <w:i/>
          <w:iCs/>
          <w:color w:val="000000"/>
        </w:rPr>
        <w:t>uzņēmumi, kas uzvarējuši pēc iepirkumu daļu skaita</w:t>
      </w:r>
      <w:r w:rsidRPr="00C63DC6">
        <w:rPr>
          <w:b/>
          <w:bCs/>
          <w:i/>
          <w:iCs/>
          <w:color w:val="000000"/>
        </w:rPr>
        <w:t xml:space="preserve"> </w:t>
      </w:r>
      <w:r w:rsidR="000706DD" w:rsidRPr="00C63DC6">
        <w:rPr>
          <w:b/>
          <w:bCs/>
          <w:i/>
          <w:iCs/>
          <w:color w:val="000000"/>
        </w:rPr>
        <w:t>2018</w:t>
      </w:r>
      <w:r w:rsidR="00AD5617" w:rsidRPr="00C63DC6">
        <w:rPr>
          <w:b/>
          <w:bCs/>
          <w:i/>
          <w:iCs/>
          <w:color w:val="000000"/>
        </w:rPr>
        <w:t xml:space="preserve">. gadā </w:t>
      </w:r>
      <w:r w:rsidRPr="00C63DC6">
        <w:rPr>
          <w:b/>
          <w:bCs/>
          <w:i/>
          <w:iCs/>
          <w:color w:val="000000"/>
        </w:rPr>
        <w:t>(</w:t>
      </w:r>
      <w:r w:rsidR="000B58F1" w:rsidRPr="00C63DC6">
        <w:rPr>
          <w:b/>
          <w:bCs/>
          <w:i/>
          <w:iCs/>
          <w:color w:val="000000"/>
        </w:rPr>
        <w:t>ZPI</w:t>
      </w:r>
      <w:r w:rsidRPr="00C63DC6">
        <w:rPr>
          <w:b/>
          <w:bCs/>
          <w:i/>
          <w:iCs/>
          <w:color w:val="000000"/>
        </w:rPr>
        <w:t xml:space="preserve"> principiem)</w:t>
      </w:r>
    </w:p>
    <w:tbl>
      <w:tblPr>
        <w:tblStyle w:val="TableGrid"/>
        <w:tblW w:w="9067" w:type="dxa"/>
        <w:tblLook w:val="04A0" w:firstRow="1" w:lastRow="0" w:firstColumn="1" w:lastColumn="0" w:noHBand="0" w:noVBand="1"/>
      </w:tblPr>
      <w:tblGrid>
        <w:gridCol w:w="6340"/>
        <w:gridCol w:w="2727"/>
      </w:tblGrid>
      <w:tr w:rsidR="000706DD" w:rsidRPr="00C63DC6" w14:paraId="370383FD" w14:textId="77777777" w:rsidTr="007C16B1">
        <w:trPr>
          <w:trHeight w:val="391"/>
        </w:trPr>
        <w:tc>
          <w:tcPr>
            <w:tcW w:w="6340" w:type="dxa"/>
            <w:shd w:val="clear" w:color="auto" w:fill="C2D69B" w:themeFill="accent3" w:themeFillTint="99"/>
          </w:tcPr>
          <w:p w14:paraId="601DC399" w14:textId="1D0EDF89" w:rsidR="000706DD" w:rsidRPr="00C63DC6" w:rsidRDefault="000706DD" w:rsidP="000706DD">
            <w:pPr>
              <w:jc w:val="both"/>
              <w:rPr>
                <w:b/>
                <w:i/>
              </w:rPr>
            </w:pPr>
            <w:r w:rsidRPr="00C63DC6">
              <w:rPr>
                <w:b/>
                <w:i/>
              </w:rPr>
              <w:t>Uz</w:t>
            </w:r>
            <w:r w:rsidR="00FB15EC" w:rsidRPr="00C63DC6">
              <w:rPr>
                <w:b/>
                <w:i/>
              </w:rPr>
              <w:t>varējušā uzņēmuma nosaukums</w:t>
            </w:r>
          </w:p>
        </w:tc>
        <w:tc>
          <w:tcPr>
            <w:tcW w:w="2727" w:type="dxa"/>
            <w:shd w:val="clear" w:color="auto" w:fill="C2D69B" w:themeFill="accent3" w:themeFillTint="99"/>
          </w:tcPr>
          <w:p w14:paraId="70E5B2A6" w14:textId="2F7000BD" w:rsidR="000706DD" w:rsidRPr="00C63DC6" w:rsidRDefault="000706DD" w:rsidP="000706DD">
            <w:pPr>
              <w:jc w:val="both"/>
              <w:rPr>
                <w:b/>
                <w:i/>
              </w:rPr>
            </w:pPr>
            <w:r w:rsidRPr="00C63DC6">
              <w:rPr>
                <w:b/>
                <w:i/>
              </w:rPr>
              <w:t>Iepirkumu daļu skaits</w:t>
            </w:r>
          </w:p>
        </w:tc>
      </w:tr>
      <w:tr w:rsidR="000706DD" w:rsidRPr="00C63DC6" w14:paraId="2531E194" w14:textId="77777777" w:rsidTr="000706DD">
        <w:trPr>
          <w:trHeight w:val="300"/>
        </w:trPr>
        <w:tc>
          <w:tcPr>
            <w:tcW w:w="6340" w:type="dxa"/>
            <w:noWrap/>
          </w:tcPr>
          <w:p w14:paraId="77897FBA" w14:textId="012EA2F9" w:rsidR="000706DD" w:rsidRPr="00C63DC6" w:rsidRDefault="000706DD" w:rsidP="000706DD">
            <w:pPr>
              <w:jc w:val="both"/>
              <w:rPr>
                <w:bCs/>
                <w:iCs/>
                <w:color w:val="000000"/>
              </w:rPr>
            </w:pPr>
            <w:r w:rsidRPr="00C63DC6">
              <w:t>SIA "Sanitex"</w:t>
            </w:r>
          </w:p>
        </w:tc>
        <w:tc>
          <w:tcPr>
            <w:tcW w:w="2727" w:type="dxa"/>
            <w:noWrap/>
          </w:tcPr>
          <w:p w14:paraId="70F5EA7E" w14:textId="752EE652" w:rsidR="000706DD" w:rsidRPr="00C63DC6" w:rsidRDefault="000706DD" w:rsidP="000706DD">
            <w:pPr>
              <w:jc w:val="both"/>
              <w:rPr>
                <w:bCs/>
                <w:iCs/>
                <w:color w:val="000000"/>
              </w:rPr>
            </w:pPr>
            <w:r w:rsidRPr="00C63DC6">
              <w:t>311</w:t>
            </w:r>
          </w:p>
        </w:tc>
      </w:tr>
      <w:tr w:rsidR="000706DD" w:rsidRPr="00C63DC6" w14:paraId="2E0C62E3" w14:textId="77777777" w:rsidTr="000706DD">
        <w:trPr>
          <w:trHeight w:val="300"/>
        </w:trPr>
        <w:tc>
          <w:tcPr>
            <w:tcW w:w="6340" w:type="dxa"/>
            <w:noWrap/>
          </w:tcPr>
          <w:p w14:paraId="05A7C3B6" w14:textId="2346DD04" w:rsidR="000706DD" w:rsidRPr="00C63DC6" w:rsidRDefault="000706DD" w:rsidP="000706DD">
            <w:pPr>
              <w:jc w:val="both"/>
              <w:rPr>
                <w:bCs/>
                <w:iCs/>
                <w:color w:val="000000"/>
              </w:rPr>
            </w:pPr>
            <w:r w:rsidRPr="00C63DC6">
              <w:t>SIA "Kabuleti fruit"</w:t>
            </w:r>
          </w:p>
        </w:tc>
        <w:tc>
          <w:tcPr>
            <w:tcW w:w="2727" w:type="dxa"/>
            <w:noWrap/>
          </w:tcPr>
          <w:p w14:paraId="100BC189" w14:textId="70999FD1" w:rsidR="000706DD" w:rsidRPr="00C63DC6" w:rsidRDefault="000706DD" w:rsidP="000706DD">
            <w:pPr>
              <w:jc w:val="both"/>
              <w:rPr>
                <w:bCs/>
                <w:iCs/>
                <w:color w:val="000000"/>
              </w:rPr>
            </w:pPr>
            <w:r w:rsidRPr="00C63DC6">
              <w:t>154</w:t>
            </w:r>
          </w:p>
        </w:tc>
      </w:tr>
      <w:tr w:rsidR="000706DD" w:rsidRPr="00C63DC6" w14:paraId="659DA99F" w14:textId="77777777" w:rsidTr="000706DD">
        <w:trPr>
          <w:trHeight w:val="300"/>
        </w:trPr>
        <w:tc>
          <w:tcPr>
            <w:tcW w:w="6340" w:type="dxa"/>
            <w:noWrap/>
          </w:tcPr>
          <w:p w14:paraId="2C3A6832" w14:textId="50950C10" w:rsidR="000706DD" w:rsidRPr="00C63DC6" w:rsidRDefault="000706DD" w:rsidP="000706DD">
            <w:pPr>
              <w:jc w:val="both"/>
              <w:rPr>
                <w:bCs/>
                <w:iCs/>
                <w:color w:val="000000"/>
              </w:rPr>
            </w:pPr>
            <w:r w:rsidRPr="00C63DC6">
              <w:t>SIA "Lanekss"</w:t>
            </w:r>
          </w:p>
        </w:tc>
        <w:tc>
          <w:tcPr>
            <w:tcW w:w="2727" w:type="dxa"/>
            <w:noWrap/>
          </w:tcPr>
          <w:p w14:paraId="57BC15D0" w14:textId="00FC9476" w:rsidR="000706DD" w:rsidRPr="00C63DC6" w:rsidRDefault="000706DD" w:rsidP="000706DD">
            <w:pPr>
              <w:jc w:val="both"/>
              <w:rPr>
                <w:bCs/>
                <w:iCs/>
                <w:color w:val="000000"/>
              </w:rPr>
            </w:pPr>
            <w:r w:rsidRPr="00C63DC6">
              <w:t>105</w:t>
            </w:r>
          </w:p>
        </w:tc>
      </w:tr>
      <w:tr w:rsidR="000706DD" w:rsidRPr="00C63DC6" w14:paraId="04F86C56" w14:textId="77777777" w:rsidTr="000706DD">
        <w:trPr>
          <w:trHeight w:val="300"/>
        </w:trPr>
        <w:tc>
          <w:tcPr>
            <w:tcW w:w="6340" w:type="dxa"/>
            <w:noWrap/>
          </w:tcPr>
          <w:p w14:paraId="6C812987" w14:textId="74D833C1" w:rsidR="000706DD" w:rsidRPr="00C63DC6" w:rsidRDefault="000706DD" w:rsidP="000706DD">
            <w:pPr>
              <w:jc w:val="both"/>
              <w:rPr>
                <w:bCs/>
                <w:iCs/>
                <w:color w:val="000000"/>
              </w:rPr>
            </w:pPr>
            <w:r w:rsidRPr="00C63DC6">
              <w:t>SIA "Rēzeknes gaļas kombināts"</w:t>
            </w:r>
          </w:p>
        </w:tc>
        <w:tc>
          <w:tcPr>
            <w:tcW w:w="2727" w:type="dxa"/>
            <w:noWrap/>
          </w:tcPr>
          <w:p w14:paraId="3223080B" w14:textId="2546587F" w:rsidR="000706DD" w:rsidRPr="00C63DC6" w:rsidRDefault="000706DD" w:rsidP="000706DD">
            <w:pPr>
              <w:jc w:val="both"/>
              <w:rPr>
                <w:bCs/>
                <w:iCs/>
                <w:color w:val="000000"/>
              </w:rPr>
            </w:pPr>
            <w:r w:rsidRPr="00C63DC6">
              <w:t>86</w:t>
            </w:r>
          </w:p>
        </w:tc>
      </w:tr>
      <w:tr w:rsidR="000706DD" w:rsidRPr="00C63DC6" w14:paraId="636B3EF2" w14:textId="77777777" w:rsidTr="000706DD">
        <w:trPr>
          <w:trHeight w:val="300"/>
        </w:trPr>
        <w:tc>
          <w:tcPr>
            <w:tcW w:w="6340" w:type="dxa"/>
            <w:noWrap/>
          </w:tcPr>
          <w:p w14:paraId="4960C6A7" w14:textId="16BDB603" w:rsidR="000706DD" w:rsidRPr="00C63DC6" w:rsidRDefault="000706DD" w:rsidP="000706DD">
            <w:pPr>
              <w:jc w:val="both"/>
              <w:rPr>
                <w:bCs/>
                <w:iCs/>
                <w:color w:val="000000"/>
              </w:rPr>
            </w:pPr>
            <w:r w:rsidRPr="00C63DC6">
              <w:t>SIA "Laki Fruit"</w:t>
            </w:r>
          </w:p>
        </w:tc>
        <w:tc>
          <w:tcPr>
            <w:tcW w:w="2727" w:type="dxa"/>
            <w:noWrap/>
          </w:tcPr>
          <w:p w14:paraId="20B1E357" w14:textId="06FC5B93" w:rsidR="000706DD" w:rsidRPr="00C63DC6" w:rsidRDefault="000706DD" w:rsidP="000706DD">
            <w:pPr>
              <w:jc w:val="both"/>
              <w:rPr>
                <w:bCs/>
                <w:iCs/>
                <w:color w:val="000000"/>
              </w:rPr>
            </w:pPr>
            <w:r w:rsidRPr="00C63DC6">
              <w:t>80</w:t>
            </w:r>
          </w:p>
        </w:tc>
      </w:tr>
      <w:tr w:rsidR="000706DD" w:rsidRPr="00C63DC6" w14:paraId="4F7E1569" w14:textId="77777777" w:rsidTr="000706DD">
        <w:trPr>
          <w:trHeight w:val="300"/>
        </w:trPr>
        <w:tc>
          <w:tcPr>
            <w:tcW w:w="6340" w:type="dxa"/>
            <w:noWrap/>
          </w:tcPr>
          <w:p w14:paraId="245AA88D" w14:textId="1A51B8A6" w:rsidR="000706DD" w:rsidRPr="00C63DC6" w:rsidRDefault="000706DD" w:rsidP="000706DD">
            <w:pPr>
              <w:jc w:val="both"/>
              <w:rPr>
                <w:bCs/>
                <w:iCs/>
                <w:color w:val="000000"/>
              </w:rPr>
            </w:pPr>
            <w:r w:rsidRPr="00C63DC6">
              <w:t>SIA "Futurus food"</w:t>
            </w:r>
          </w:p>
        </w:tc>
        <w:tc>
          <w:tcPr>
            <w:tcW w:w="2727" w:type="dxa"/>
            <w:noWrap/>
          </w:tcPr>
          <w:p w14:paraId="4500EC82" w14:textId="4C256C28" w:rsidR="000706DD" w:rsidRPr="00C63DC6" w:rsidRDefault="000706DD" w:rsidP="000706DD">
            <w:pPr>
              <w:jc w:val="both"/>
              <w:rPr>
                <w:bCs/>
                <w:iCs/>
                <w:color w:val="000000"/>
              </w:rPr>
            </w:pPr>
            <w:r w:rsidRPr="00C63DC6">
              <w:t>74</w:t>
            </w:r>
          </w:p>
        </w:tc>
      </w:tr>
      <w:tr w:rsidR="000706DD" w:rsidRPr="00C63DC6" w14:paraId="7D4604B0" w14:textId="77777777" w:rsidTr="000706DD">
        <w:trPr>
          <w:trHeight w:val="300"/>
        </w:trPr>
        <w:tc>
          <w:tcPr>
            <w:tcW w:w="6340" w:type="dxa"/>
            <w:noWrap/>
          </w:tcPr>
          <w:p w14:paraId="33084359" w14:textId="52B308AE" w:rsidR="000706DD" w:rsidRPr="00C63DC6" w:rsidRDefault="000706DD" w:rsidP="000706DD">
            <w:pPr>
              <w:jc w:val="both"/>
              <w:rPr>
                <w:bCs/>
                <w:iCs/>
                <w:color w:val="000000"/>
              </w:rPr>
            </w:pPr>
            <w:r w:rsidRPr="00C63DC6">
              <w:t>SIA "S.A.V."</w:t>
            </w:r>
          </w:p>
        </w:tc>
        <w:tc>
          <w:tcPr>
            <w:tcW w:w="2727" w:type="dxa"/>
            <w:noWrap/>
          </w:tcPr>
          <w:p w14:paraId="5F0C7DE1" w14:textId="3960E65C" w:rsidR="000706DD" w:rsidRPr="00C63DC6" w:rsidRDefault="000706DD" w:rsidP="000706DD">
            <w:pPr>
              <w:jc w:val="both"/>
              <w:rPr>
                <w:bCs/>
                <w:iCs/>
                <w:color w:val="000000"/>
              </w:rPr>
            </w:pPr>
            <w:r w:rsidRPr="00C63DC6">
              <w:t>39</w:t>
            </w:r>
          </w:p>
        </w:tc>
      </w:tr>
      <w:tr w:rsidR="000706DD" w:rsidRPr="00C63DC6" w14:paraId="298BEBBD" w14:textId="77777777" w:rsidTr="000706DD">
        <w:trPr>
          <w:trHeight w:val="300"/>
        </w:trPr>
        <w:tc>
          <w:tcPr>
            <w:tcW w:w="6340" w:type="dxa"/>
            <w:noWrap/>
          </w:tcPr>
          <w:p w14:paraId="022EDFFC" w14:textId="55722785" w:rsidR="000706DD" w:rsidRPr="00C63DC6" w:rsidRDefault="000706DD" w:rsidP="000706DD">
            <w:pPr>
              <w:jc w:val="both"/>
              <w:rPr>
                <w:bCs/>
                <w:iCs/>
                <w:color w:val="000000"/>
              </w:rPr>
            </w:pPr>
            <w:r w:rsidRPr="00C63DC6">
              <w:t>SIA "Regat"</w:t>
            </w:r>
          </w:p>
        </w:tc>
        <w:tc>
          <w:tcPr>
            <w:tcW w:w="2727" w:type="dxa"/>
            <w:noWrap/>
          </w:tcPr>
          <w:p w14:paraId="5B536664" w14:textId="1762F9D4" w:rsidR="000706DD" w:rsidRPr="00C63DC6" w:rsidRDefault="000706DD" w:rsidP="000706DD">
            <w:pPr>
              <w:jc w:val="both"/>
              <w:rPr>
                <w:bCs/>
                <w:iCs/>
                <w:color w:val="000000"/>
              </w:rPr>
            </w:pPr>
            <w:r w:rsidRPr="00C63DC6">
              <w:t>33</w:t>
            </w:r>
          </w:p>
        </w:tc>
      </w:tr>
      <w:tr w:rsidR="000706DD" w:rsidRPr="00C63DC6" w14:paraId="0F27E96E" w14:textId="77777777" w:rsidTr="000706DD">
        <w:trPr>
          <w:trHeight w:val="300"/>
        </w:trPr>
        <w:tc>
          <w:tcPr>
            <w:tcW w:w="6340" w:type="dxa"/>
            <w:noWrap/>
          </w:tcPr>
          <w:p w14:paraId="77DF813B" w14:textId="4B16EBB1" w:rsidR="000706DD" w:rsidRPr="00C63DC6" w:rsidRDefault="000706DD" w:rsidP="000706DD">
            <w:pPr>
              <w:jc w:val="both"/>
              <w:rPr>
                <w:bCs/>
                <w:iCs/>
                <w:color w:val="000000"/>
              </w:rPr>
            </w:pPr>
            <w:r w:rsidRPr="00C63DC6">
              <w:t>SIA "Junona Bep"</w:t>
            </w:r>
          </w:p>
        </w:tc>
        <w:tc>
          <w:tcPr>
            <w:tcW w:w="2727" w:type="dxa"/>
            <w:noWrap/>
          </w:tcPr>
          <w:p w14:paraId="546DB0E3" w14:textId="495CCF8D" w:rsidR="000706DD" w:rsidRPr="00C63DC6" w:rsidRDefault="000706DD" w:rsidP="000706DD">
            <w:pPr>
              <w:jc w:val="both"/>
              <w:rPr>
                <w:bCs/>
                <w:iCs/>
                <w:color w:val="000000"/>
              </w:rPr>
            </w:pPr>
            <w:r w:rsidRPr="00C63DC6">
              <w:t>31</w:t>
            </w:r>
          </w:p>
        </w:tc>
      </w:tr>
      <w:tr w:rsidR="000706DD" w:rsidRPr="00C63DC6" w14:paraId="17549C87" w14:textId="77777777" w:rsidTr="00B15E38">
        <w:trPr>
          <w:trHeight w:val="226"/>
        </w:trPr>
        <w:tc>
          <w:tcPr>
            <w:tcW w:w="6340" w:type="dxa"/>
            <w:shd w:val="clear" w:color="auto" w:fill="FFFFFF" w:themeFill="background1"/>
            <w:hideMark/>
          </w:tcPr>
          <w:p w14:paraId="0932E932" w14:textId="0EDCCA33" w:rsidR="000706DD" w:rsidRPr="00C63DC6" w:rsidRDefault="000706DD" w:rsidP="000706DD">
            <w:r w:rsidRPr="00C63DC6">
              <w:t>SIA "Valks"</w:t>
            </w:r>
          </w:p>
        </w:tc>
        <w:tc>
          <w:tcPr>
            <w:tcW w:w="2727" w:type="dxa"/>
            <w:shd w:val="clear" w:color="auto" w:fill="FFFFFF" w:themeFill="background1"/>
            <w:hideMark/>
          </w:tcPr>
          <w:p w14:paraId="0128DA8A" w14:textId="580C14E6" w:rsidR="000706DD" w:rsidRPr="00C63DC6" w:rsidRDefault="000706DD" w:rsidP="000706DD">
            <w:r w:rsidRPr="00C63DC6">
              <w:t>30</w:t>
            </w:r>
          </w:p>
        </w:tc>
      </w:tr>
    </w:tbl>
    <w:p w14:paraId="397016F6" w14:textId="4894F15B" w:rsidR="00A266E2" w:rsidRPr="00C63DC6" w:rsidRDefault="00160B9A" w:rsidP="005413F1">
      <w:pPr>
        <w:jc w:val="both"/>
        <w:rPr>
          <w:bCs/>
          <w:i/>
          <w:iCs/>
        </w:rPr>
      </w:pPr>
      <w:r w:rsidRPr="00C63DC6">
        <w:rPr>
          <w:bCs/>
          <w:i/>
          <w:iCs/>
        </w:rPr>
        <w:t xml:space="preserve">Avots: </w:t>
      </w:r>
      <w:r w:rsidR="00A76D42" w:rsidRPr="00C63DC6">
        <w:rPr>
          <w:bCs/>
          <w:i/>
          <w:iCs/>
        </w:rPr>
        <w:t>IUB d</w:t>
      </w:r>
      <w:r w:rsidR="00A266E2" w:rsidRPr="00C63DC6">
        <w:rPr>
          <w:bCs/>
          <w:i/>
          <w:iCs/>
        </w:rPr>
        <w:t>ati</w:t>
      </w:r>
    </w:p>
    <w:p w14:paraId="1C2DA0AE" w14:textId="091DB110" w:rsidR="008314EE" w:rsidRPr="00C63DC6" w:rsidRDefault="00E1422B" w:rsidP="007C16B1">
      <w:pPr>
        <w:spacing w:before="120"/>
        <w:ind w:firstLine="720"/>
        <w:jc w:val="both"/>
        <w:rPr>
          <w:sz w:val="28"/>
          <w:szCs w:val="28"/>
        </w:rPr>
      </w:pPr>
      <w:r w:rsidRPr="00C63DC6">
        <w:rPr>
          <w:sz w:val="28"/>
          <w:szCs w:val="28"/>
        </w:rPr>
        <w:t xml:space="preserve">Izskatot </w:t>
      </w:r>
      <w:r w:rsidR="005D5F2D" w:rsidRPr="00C63DC6">
        <w:rPr>
          <w:sz w:val="28"/>
          <w:szCs w:val="28"/>
        </w:rPr>
        <w:t xml:space="preserve">valsts pārvaldes institūciju </w:t>
      </w:r>
      <w:r w:rsidRPr="00C63DC6">
        <w:rPr>
          <w:sz w:val="28"/>
          <w:szCs w:val="28"/>
        </w:rPr>
        <w:t xml:space="preserve">iepirkumu struktūru pēc iepirkumu skaita un līgumcenām, </w:t>
      </w:r>
      <w:r w:rsidR="005847EF" w:rsidRPr="00C63DC6">
        <w:rPr>
          <w:sz w:val="28"/>
          <w:szCs w:val="28"/>
        </w:rPr>
        <w:t>būtisku</w:t>
      </w:r>
      <w:r w:rsidRPr="00C63DC6">
        <w:rPr>
          <w:sz w:val="28"/>
          <w:szCs w:val="28"/>
        </w:rPr>
        <w:t xml:space="preserve"> iepirkumu daļu sast</w:t>
      </w:r>
      <w:r w:rsidR="005D5F2D" w:rsidRPr="00C63DC6">
        <w:rPr>
          <w:sz w:val="28"/>
          <w:szCs w:val="28"/>
        </w:rPr>
        <w:t>ā</w:t>
      </w:r>
      <w:r w:rsidRPr="00C63DC6">
        <w:rPr>
          <w:sz w:val="28"/>
          <w:szCs w:val="28"/>
        </w:rPr>
        <w:t>da būvniec</w:t>
      </w:r>
      <w:r w:rsidR="005D5F2D" w:rsidRPr="00C63DC6">
        <w:rPr>
          <w:sz w:val="28"/>
          <w:szCs w:val="28"/>
        </w:rPr>
        <w:t>ī</w:t>
      </w:r>
      <w:r w:rsidRPr="00C63DC6">
        <w:rPr>
          <w:sz w:val="28"/>
          <w:szCs w:val="28"/>
        </w:rPr>
        <w:t xml:space="preserve">bas darbi, kā arī </w:t>
      </w:r>
      <w:r w:rsidR="005D5F2D" w:rsidRPr="00C63DC6">
        <w:rPr>
          <w:sz w:val="28"/>
          <w:szCs w:val="28"/>
        </w:rPr>
        <w:t>elektronisko iepirkumu sistēmas pre</w:t>
      </w:r>
      <w:r w:rsidR="00D2364A" w:rsidRPr="00C63DC6">
        <w:rPr>
          <w:sz w:val="28"/>
          <w:szCs w:val="28"/>
        </w:rPr>
        <w:t>ču un pakalpojumu katalogu at</w:t>
      </w:r>
      <w:r w:rsidR="005D5F2D" w:rsidRPr="00C63DC6">
        <w:rPr>
          <w:sz w:val="28"/>
          <w:szCs w:val="28"/>
        </w:rPr>
        <w:t>j</w:t>
      </w:r>
      <w:r w:rsidR="00D2364A" w:rsidRPr="00C63DC6">
        <w:rPr>
          <w:sz w:val="28"/>
          <w:szCs w:val="28"/>
        </w:rPr>
        <w:t>a</w:t>
      </w:r>
      <w:r w:rsidR="005D5F2D" w:rsidRPr="00C63DC6">
        <w:rPr>
          <w:sz w:val="28"/>
          <w:szCs w:val="28"/>
        </w:rPr>
        <w:t>unošana.</w:t>
      </w:r>
      <w:r w:rsidRPr="00C63DC6">
        <w:rPr>
          <w:sz w:val="28"/>
          <w:szCs w:val="28"/>
        </w:rPr>
        <w:t xml:space="preserve"> </w:t>
      </w:r>
      <w:r w:rsidR="00A06F91" w:rsidRPr="00C63DC6">
        <w:rPr>
          <w:sz w:val="28"/>
          <w:szCs w:val="28"/>
        </w:rPr>
        <w:t xml:space="preserve">Valsts pārvaldes institūciju </w:t>
      </w:r>
      <w:r w:rsidRPr="00C63DC6">
        <w:rPr>
          <w:sz w:val="28"/>
          <w:szCs w:val="28"/>
        </w:rPr>
        <w:t>uzskaitījums, kas 201</w:t>
      </w:r>
      <w:r w:rsidR="00D57545" w:rsidRPr="00C63DC6">
        <w:rPr>
          <w:sz w:val="28"/>
          <w:szCs w:val="28"/>
        </w:rPr>
        <w:t>8</w:t>
      </w:r>
      <w:r w:rsidR="00A06F91" w:rsidRPr="00C63DC6">
        <w:rPr>
          <w:sz w:val="28"/>
          <w:szCs w:val="28"/>
        </w:rPr>
        <w:t>.gadā vairāk veikušas iepirkumus ar iekļautiem ZPI principiem</w:t>
      </w:r>
      <w:r w:rsidR="004502F6" w:rsidRPr="00C63DC6">
        <w:rPr>
          <w:sz w:val="28"/>
          <w:szCs w:val="28"/>
        </w:rPr>
        <w:t xml:space="preserve"> </w:t>
      </w:r>
      <w:r w:rsidR="00D57545" w:rsidRPr="00C63DC6">
        <w:rPr>
          <w:sz w:val="28"/>
          <w:szCs w:val="28"/>
        </w:rPr>
        <w:t>finansiālā</w:t>
      </w:r>
      <w:r w:rsidR="004502F6" w:rsidRPr="00C63DC6">
        <w:rPr>
          <w:sz w:val="28"/>
          <w:szCs w:val="28"/>
        </w:rPr>
        <w:t xml:space="preserve"> izteiksmē</w:t>
      </w:r>
      <w:r w:rsidR="00160B9A" w:rsidRPr="00C63DC6">
        <w:rPr>
          <w:sz w:val="28"/>
          <w:szCs w:val="28"/>
        </w:rPr>
        <w:t xml:space="preserve"> ir apkopots 4. tabulā </w:t>
      </w:r>
      <w:r w:rsidR="004502F6" w:rsidRPr="00C63DC6">
        <w:rPr>
          <w:sz w:val="28"/>
          <w:szCs w:val="28"/>
        </w:rPr>
        <w:t xml:space="preserve"> un pēc iepirkumu skaita</w:t>
      </w:r>
      <w:r w:rsidR="00160B9A" w:rsidRPr="00C63DC6">
        <w:rPr>
          <w:sz w:val="28"/>
          <w:szCs w:val="28"/>
        </w:rPr>
        <w:t xml:space="preserve"> 5. tabulā. F</w:t>
      </w:r>
      <w:r w:rsidR="004502F6" w:rsidRPr="00C63DC6">
        <w:rPr>
          <w:sz w:val="28"/>
          <w:szCs w:val="28"/>
        </w:rPr>
        <w:t xml:space="preserve">inansiālā gan arī iepirkumu skaita ziņā vadošo vietu ieņem </w:t>
      </w:r>
      <w:r w:rsidR="00C30D60" w:rsidRPr="00C63DC6">
        <w:rPr>
          <w:sz w:val="28"/>
          <w:szCs w:val="28"/>
        </w:rPr>
        <w:t>ar mežsaimniec</w:t>
      </w:r>
      <w:r w:rsidR="0017569A" w:rsidRPr="00C63DC6">
        <w:rPr>
          <w:sz w:val="28"/>
          <w:szCs w:val="28"/>
        </w:rPr>
        <w:t xml:space="preserve">ību </w:t>
      </w:r>
      <w:r w:rsidR="00160B9A" w:rsidRPr="00C63DC6">
        <w:rPr>
          <w:sz w:val="28"/>
          <w:szCs w:val="28"/>
        </w:rPr>
        <w:t xml:space="preserve">un būvdarbiem </w:t>
      </w:r>
      <w:r w:rsidR="0017569A" w:rsidRPr="00C63DC6">
        <w:rPr>
          <w:sz w:val="28"/>
          <w:szCs w:val="28"/>
        </w:rPr>
        <w:t>saistīti iepirkumi</w:t>
      </w:r>
      <w:r w:rsidR="004502F6" w:rsidRPr="00C63DC6">
        <w:rPr>
          <w:sz w:val="28"/>
          <w:szCs w:val="28"/>
        </w:rPr>
        <w:t>.</w:t>
      </w:r>
    </w:p>
    <w:p w14:paraId="26870EDD" w14:textId="77777777" w:rsidR="00335A34" w:rsidRPr="00C63DC6" w:rsidRDefault="00942D95" w:rsidP="007C16B1">
      <w:pPr>
        <w:pStyle w:val="NoSpacing"/>
        <w:spacing w:before="120"/>
        <w:jc w:val="both"/>
        <w:outlineLvl w:val="0"/>
        <w:rPr>
          <w:b/>
          <w:i/>
        </w:rPr>
      </w:pPr>
      <w:r w:rsidRPr="00C63DC6">
        <w:rPr>
          <w:b/>
          <w:i/>
        </w:rPr>
        <w:t>4</w:t>
      </w:r>
      <w:r w:rsidR="005076F4" w:rsidRPr="00C63DC6">
        <w:rPr>
          <w:b/>
          <w:i/>
        </w:rPr>
        <w:t>.T</w:t>
      </w:r>
      <w:r w:rsidR="00335A34" w:rsidRPr="00C63DC6">
        <w:rPr>
          <w:b/>
          <w:i/>
        </w:rPr>
        <w:t>abula</w:t>
      </w:r>
    </w:p>
    <w:p w14:paraId="265206B5" w14:textId="39F13CD7" w:rsidR="00335A34" w:rsidRPr="00C63DC6" w:rsidRDefault="000C1A5D" w:rsidP="005413F1">
      <w:pPr>
        <w:pStyle w:val="NoSpacing"/>
        <w:jc w:val="both"/>
        <w:rPr>
          <w:b/>
          <w:bCs/>
          <w:i/>
          <w:iCs/>
          <w:color w:val="000000"/>
        </w:rPr>
      </w:pPr>
      <w:r w:rsidRPr="00C63DC6">
        <w:rPr>
          <w:b/>
          <w:bCs/>
          <w:i/>
          <w:iCs/>
          <w:color w:val="000000"/>
        </w:rPr>
        <w:t>Valsts pārvaldes institūcijas</w:t>
      </w:r>
      <w:r w:rsidR="00B15E38">
        <w:rPr>
          <w:b/>
          <w:bCs/>
          <w:i/>
          <w:iCs/>
          <w:color w:val="000000"/>
        </w:rPr>
        <w:t>,</w:t>
      </w:r>
      <w:r w:rsidR="00A90C19">
        <w:rPr>
          <w:b/>
          <w:bCs/>
          <w:i/>
          <w:iCs/>
          <w:color w:val="000000"/>
        </w:rPr>
        <w:t xml:space="preserve"> </w:t>
      </w:r>
      <w:r w:rsidRPr="00C63DC6">
        <w:rPr>
          <w:b/>
          <w:bCs/>
          <w:i/>
          <w:iCs/>
          <w:color w:val="000000"/>
        </w:rPr>
        <w:t>kuras visvairāk 2018. gadā rīkojušas iepirkumus, ievērojot ZPI (pēc</w:t>
      </w:r>
      <w:r w:rsidR="007C16B1">
        <w:rPr>
          <w:b/>
          <w:bCs/>
          <w:i/>
          <w:iCs/>
          <w:color w:val="000000"/>
        </w:rPr>
        <w:t xml:space="preserve"> kopējās</w:t>
      </w:r>
      <w:r w:rsidRPr="00C63DC6">
        <w:rPr>
          <w:b/>
          <w:bCs/>
          <w:i/>
          <w:iCs/>
          <w:color w:val="000000"/>
        </w:rPr>
        <w:t xml:space="preserve"> līgumcenas).</w:t>
      </w:r>
      <w:r w:rsidR="00A06F91" w:rsidRPr="00C63DC6">
        <w:rPr>
          <w:b/>
          <w:bCs/>
          <w:i/>
          <w:iCs/>
          <w:color w:val="000000"/>
        </w:rPr>
        <w:t xml:space="preserve"> </w:t>
      </w:r>
    </w:p>
    <w:tbl>
      <w:tblPr>
        <w:tblStyle w:val="TableGrid"/>
        <w:tblW w:w="9067" w:type="dxa"/>
        <w:tblLook w:val="04A0" w:firstRow="1" w:lastRow="0" w:firstColumn="1" w:lastColumn="0" w:noHBand="0" w:noVBand="1"/>
      </w:tblPr>
      <w:tblGrid>
        <w:gridCol w:w="6799"/>
        <w:gridCol w:w="2268"/>
      </w:tblGrid>
      <w:tr w:rsidR="004502F6" w:rsidRPr="00C63DC6" w14:paraId="3A757E03" w14:textId="77777777" w:rsidTr="007C16B1">
        <w:trPr>
          <w:trHeight w:val="309"/>
        </w:trPr>
        <w:tc>
          <w:tcPr>
            <w:tcW w:w="6799" w:type="dxa"/>
            <w:shd w:val="clear" w:color="auto" w:fill="C2D69B" w:themeFill="accent3" w:themeFillTint="99"/>
            <w:hideMark/>
          </w:tcPr>
          <w:p w14:paraId="38A56035" w14:textId="052A3EB9" w:rsidR="004502F6" w:rsidRPr="00C63DC6" w:rsidRDefault="004502F6" w:rsidP="004502F6">
            <w:pPr>
              <w:pStyle w:val="NoSpacing"/>
              <w:jc w:val="both"/>
              <w:rPr>
                <w:b/>
                <w:bCs/>
                <w:i/>
                <w:iCs/>
                <w:color w:val="000000"/>
              </w:rPr>
            </w:pPr>
            <w:r w:rsidRPr="00C63DC6">
              <w:rPr>
                <w:b/>
                <w:bCs/>
                <w:i/>
                <w:iCs/>
                <w:color w:val="000000"/>
              </w:rPr>
              <w:t>Valsts institūcijas nosaukums</w:t>
            </w:r>
          </w:p>
        </w:tc>
        <w:tc>
          <w:tcPr>
            <w:tcW w:w="2268" w:type="dxa"/>
            <w:shd w:val="clear" w:color="auto" w:fill="C2D69B" w:themeFill="accent3" w:themeFillTint="99"/>
            <w:hideMark/>
          </w:tcPr>
          <w:p w14:paraId="3A8DA892" w14:textId="77777777" w:rsidR="007C16B1" w:rsidRDefault="007C16B1" w:rsidP="004502F6">
            <w:pPr>
              <w:pStyle w:val="NoSpacing"/>
              <w:jc w:val="both"/>
              <w:rPr>
                <w:b/>
                <w:bCs/>
                <w:i/>
                <w:iCs/>
                <w:color w:val="000000"/>
              </w:rPr>
            </w:pPr>
            <w:r>
              <w:rPr>
                <w:b/>
                <w:bCs/>
                <w:i/>
                <w:iCs/>
                <w:color w:val="000000"/>
              </w:rPr>
              <w:t>Kopējā līgumcena</w:t>
            </w:r>
          </w:p>
          <w:p w14:paraId="3B68B1B0" w14:textId="5FFAFB75" w:rsidR="004502F6" w:rsidRPr="00C63DC6" w:rsidRDefault="004502F6" w:rsidP="004502F6">
            <w:pPr>
              <w:pStyle w:val="NoSpacing"/>
              <w:jc w:val="both"/>
              <w:rPr>
                <w:b/>
                <w:bCs/>
                <w:i/>
                <w:iCs/>
                <w:color w:val="000000"/>
              </w:rPr>
            </w:pPr>
            <w:r w:rsidRPr="00C63DC6">
              <w:rPr>
                <w:b/>
                <w:bCs/>
                <w:i/>
                <w:iCs/>
                <w:color w:val="000000"/>
              </w:rPr>
              <w:t>EUR, bez PVN</w:t>
            </w:r>
          </w:p>
        </w:tc>
      </w:tr>
      <w:tr w:rsidR="004502F6" w:rsidRPr="00C63DC6" w14:paraId="37B60F9C" w14:textId="77777777" w:rsidTr="00B15E38">
        <w:trPr>
          <w:trHeight w:val="300"/>
        </w:trPr>
        <w:tc>
          <w:tcPr>
            <w:tcW w:w="6799" w:type="dxa"/>
            <w:noWrap/>
            <w:hideMark/>
          </w:tcPr>
          <w:p w14:paraId="005EF9FF" w14:textId="6788C68C" w:rsidR="004502F6" w:rsidRPr="00C63DC6" w:rsidRDefault="004502F6" w:rsidP="004502F6">
            <w:pPr>
              <w:pStyle w:val="NoSpacing"/>
              <w:jc w:val="both"/>
              <w:rPr>
                <w:bCs/>
                <w:iCs/>
                <w:color w:val="000000"/>
              </w:rPr>
            </w:pPr>
            <w:r w:rsidRPr="00C63DC6">
              <w:rPr>
                <w:bCs/>
                <w:iCs/>
                <w:color w:val="000000"/>
              </w:rPr>
              <w:t>AS "Latvijas valsts meži"</w:t>
            </w:r>
          </w:p>
        </w:tc>
        <w:tc>
          <w:tcPr>
            <w:tcW w:w="2268" w:type="dxa"/>
            <w:noWrap/>
            <w:hideMark/>
          </w:tcPr>
          <w:p w14:paraId="56A94B2E" w14:textId="6A870438" w:rsidR="004502F6" w:rsidRPr="00C63DC6" w:rsidRDefault="004502F6" w:rsidP="004502F6">
            <w:pPr>
              <w:pStyle w:val="NoSpacing"/>
              <w:jc w:val="both"/>
              <w:rPr>
                <w:bCs/>
                <w:iCs/>
                <w:color w:val="000000"/>
              </w:rPr>
            </w:pPr>
            <w:r w:rsidRPr="00C63DC6">
              <w:rPr>
                <w:bCs/>
                <w:iCs/>
                <w:color w:val="000000"/>
              </w:rPr>
              <w:t>120</w:t>
            </w:r>
            <w:r w:rsidR="00FB15EC" w:rsidRPr="00C63DC6">
              <w:rPr>
                <w:bCs/>
                <w:iCs/>
                <w:color w:val="000000"/>
              </w:rPr>
              <w:t xml:space="preserve"> </w:t>
            </w:r>
            <w:r w:rsidRPr="00C63DC6">
              <w:rPr>
                <w:bCs/>
                <w:iCs/>
                <w:color w:val="000000"/>
              </w:rPr>
              <w:t>906</w:t>
            </w:r>
            <w:r w:rsidR="00FB15EC" w:rsidRPr="00C63DC6">
              <w:rPr>
                <w:bCs/>
                <w:iCs/>
                <w:color w:val="000000"/>
              </w:rPr>
              <w:t xml:space="preserve"> 637</w:t>
            </w:r>
          </w:p>
        </w:tc>
      </w:tr>
      <w:tr w:rsidR="004502F6" w:rsidRPr="00C63DC6" w14:paraId="01AF433B" w14:textId="77777777" w:rsidTr="00B15E38">
        <w:trPr>
          <w:trHeight w:val="300"/>
        </w:trPr>
        <w:tc>
          <w:tcPr>
            <w:tcW w:w="6799" w:type="dxa"/>
            <w:noWrap/>
            <w:hideMark/>
          </w:tcPr>
          <w:p w14:paraId="5E81AB1D" w14:textId="77777777" w:rsidR="004502F6" w:rsidRPr="00C63DC6" w:rsidRDefault="004502F6" w:rsidP="004502F6">
            <w:pPr>
              <w:pStyle w:val="NoSpacing"/>
              <w:jc w:val="both"/>
              <w:rPr>
                <w:bCs/>
                <w:iCs/>
                <w:color w:val="000000"/>
              </w:rPr>
            </w:pPr>
            <w:r w:rsidRPr="00C63DC6">
              <w:rPr>
                <w:bCs/>
                <w:iCs/>
                <w:color w:val="000000"/>
              </w:rPr>
              <w:t>VAS Latvijas Valsts ceļi</w:t>
            </w:r>
          </w:p>
        </w:tc>
        <w:tc>
          <w:tcPr>
            <w:tcW w:w="2268" w:type="dxa"/>
            <w:noWrap/>
            <w:hideMark/>
          </w:tcPr>
          <w:p w14:paraId="2F8E5067" w14:textId="39D81B3B" w:rsidR="004502F6" w:rsidRPr="00C63DC6" w:rsidRDefault="00FB15EC" w:rsidP="00FB15EC">
            <w:pPr>
              <w:pStyle w:val="NoSpacing"/>
              <w:jc w:val="both"/>
              <w:rPr>
                <w:bCs/>
                <w:iCs/>
                <w:color w:val="000000"/>
              </w:rPr>
            </w:pPr>
            <w:r w:rsidRPr="00C63DC6">
              <w:rPr>
                <w:bCs/>
                <w:iCs/>
                <w:color w:val="000000"/>
              </w:rPr>
              <w:t>58 453 641</w:t>
            </w:r>
          </w:p>
        </w:tc>
      </w:tr>
      <w:tr w:rsidR="004502F6" w:rsidRPr="00C63DC6" w14:paraId="3C178548" w14:textId="77777777" w:rsidTr="00B15E38">
        <w:trPr>
          <w:trHeight w:val="331"/>
        </w:trPr>
        <w:tc>
          <w:tcPr>
            <w:tcW w:w="6799" w:type="dxa"/>
            <w:hideMark/>
          </w:tcPr>
          <w:p w14:paraId="3BB2F0AC" w14:textId="77777777" w:rsidR="004502F6" w:rsidRPr="00C63DC6" w:rsidRDefault="004502F6" w:rsidP="004502F6">
            <w:pPr>
              <w:pStyle w:val="NoSpacing"/>
              <w:jc w:val="both"/>
              <w:rPr>
                <w:bCs/>
                <w:iCs/>
                <w:color w:val="000000"/>
              </w:rPr>
            </w:pPr>
            <w:r w:rsidRPr="00C63DC6">
              <w:rPr>
                <w:bCs/>
                <w:iCs/>
                <w:color w:val="000000"/>
              </w:rPr>
              <w:t>Valsts aizsardzības militāro objektu un iepirkumu centrs</w:t>
            </w:r>
          </w:p>
        </w:tc>
        <w:tc>
          <w:tcPr>
            <w:tcW w:w="2268" w:type="dxa"/>
            <w:noWrap/>
            <w:hideMark/>
          </w:tcPr>
          <w:p w14:paraId="5AC7BFD7" w14:textId="747F1431" w:rsidR="004502F6" w:rsidRPr="00C63DC6" w:rsidRDefault="004502F6" w:rsidP="00FB15EC">
            <w:pPr>
              <w:pStyle w:val="NoSpacing"/>
              <w:jc w:val="both"/>
              <w:rPr>
                <w:bCs/>
                <w:iCs/>
                <w:color w:val="000000"/>
              </w:rPr>
            </w:pPr>
            <w:r w:rsidRPr="00C63DC6">
              <w:rPr>
                <w:bCs/>
                <w:iCs/>
                <w:color w:val="000000"/>
              </w:rPr>
              <w:t>10</w:t>
            </w:r>
            <w:r w:rsidR="00FB15EC" w:rsidRPr="00C63DC6">
              <w:rPr>
                <w:bCs/>
                <w:iCs/>
                <w:color w:val="000000"/>
              </w:rPr>
              <w:t xml:space="preserve"> </w:t>
            </w:r>
            <w:r w:rsidRPr="00C63DC6">
              <w:rPr>
                <w:bCs/>
                <w:iCs/>
                <w:color w:val="000000"/>
              </w:rPr>
              <w:t>945</w:t>
            </w:r>
            <w:r w:rsidR="00FB15EC" w:rsidRPr="00C63DC6">
              <w:rPr>
                <w:bCs/>
                <w:iCs/>
                <w:color w:val="000000"/>
              </w:rPr>
              <w:t xml:space="preserve"> </w:t>
            </w:r>
            <w:r w:rsidRPr="00C63DC6">
              <w:rPr>
                <w:bCs/>
                <w:iCs/>
                <w:color w:val="000000"/>
              </w:rPr>
              <w:t>623</w:t>
            </w:r>
          </w:p>
        </w:tc>
      </w:tr>
      <w:tr w:rsidR="004502F6" w:rsidRPr="00C63DC6" w14:paraId="6071E09A" w14:textId="77777777" w:rsidTr="00B15E38">
        <w:trPr>
          <w:trHeight w:val="293"/>
        </w:trPr>
        <w:tc>
          <w:tcPr>
            <w:tcW w:w="6799" w:type="dxa"/>
            <w:hideMark/>
          </w:tcPr>
          <w:p w14:paraId="6D60DD64" w14:textId="77777777" w:rsidR="004502F6" w:rsidRPr="00C63DC6" w:rsidRDefault="004502F6" w:rsidP="004502F6">
            <w:pPr>
              <w:pStyle w:val="NoSpacing"/>
              <w:jc w:val="both"/>
              <w:rPr>
                <w:bCs/>
                <w:iCs/>
                <w:color w:val="000000"/>
              </w:rPr>
            </w:pPr>
            <w:r w:rsidRPr="00C63DC6">
              <w:rPr>
                <w:bCs/>
                <w:iCs/>
                <w:color w:val="000000"/>
              </w:rPr>
              <w:t>SIA "Rīgas Austrumu klīniskā universitātes slimnīca"</w:t>
            </w:r>
          </w:p>
        </w:tc>
        <w:tc>
          <w:tcPr>
            <w:tcW w:w="2268" w:type="dxa"/>
            <w:noWrap/>
            <w:hideMark/>
          </w:tcPr>
          <w:p w14:paraId="381A350C" w14:textId="6965F264" w:rsidR="004502F6" w:rsidRPr="00C63DC6" w:rsidRDefault="00FB15EC" w:rsidP="00FB15EC">
            <w:pPr>
              <w:pStyle w:val="NoSpacing"/>
              <w:jc w:val="both"/>
              <w:rPr>
                <w:bCs/>
                <w:iCs/>
                <w:color w:val="000000"/>
              </w:rPr>
            </w:pPr>
            <w:r w:rsidRPr="00C63DC6">
              <w:rPr>
                <w:bCs/>
                <w:iCs/>
                <w:color w:val="000000"/>
              </w:rPr>
              <w:t>8 979 091</w:t>
            </w:r>
          </w:p>
        </w:tc>
      </w:tr>
      <w:tr w:rsidR="004502F6" w:rsidRPr="00C63DC6" w14:paraId="05D405C2" w14:textId="77777777" w:rsidTr="00B15E38">
        <w:trPr>
          <w:trHeight w:val="355"/>
        </w:trPr>
        <w:tc>
          <w:tcPr>
            <w:tcW w:w="6799" w:type="dxa"/>
            <w:hideMark/>
          </w:tcPr>
          <w:p w14:paraId="0BC26C95" w14:textId="77777777" w:rsidR="004502F6" w:rsidRPr="00C63DC6" w:rsidRDefault="004502F6" w:rsidP="004502F6">
            <w:pPr>
              <w:pStyle w:val="NoSpacing"/>
              <w:jc w:val="both"/>
              <w:rPr>
                <w:bCs/>
                <w:iCs/>
                <w:color w:val="000000"/>
              </w:rPr>
            </w:pPr>
            <w:r w:rsidRPr="00C63DC6">
              <w:rPr>
                <w:bCs/>
                <w:iCs/>
                <w:color w:val="000000"/>
              </w:rPr>
              <w:t>LR NBS Nodrošinājuma pavēlniecības 3.Reģionālais nodrošinājuma centrs</w:t>
            </w:r>
          </w:p>
        </w:tc>
        <w:tc>
          <w:tcPr>
            <w:tcW w:w="2268" w:type="dxa"/>
            <w:noWrap/>
            <w:hideMark/>
          </w:tcPr>
          <w:p w14:paraId="3CCC548A" w14:textId="5CFAD966" w:rsidR="004502F6" w:rsidRPr="00C63DC6" w:rsidRDefault="00FB15EC" w:rsidP="004502F6">
            <w:pPr>
              <w:pStyle w:val="NoSpacing"/>
              <w:jc w:val="both"/>
              <w:rPr>
                <w:bCs/>
                <w:iCs/>
                <w:color w:val="000000"/>
              </w:rPr>
            </w:pPr>
            <w:r w:rsidRPr="00C63DC6">
              <w:rPr>
                <w:bCs/>
                <w:iCs/>
                <w:color w:val="000000"/>
              </w:rPr>
              <w:t>8 270 248</w:t>
            </w:r>
          </w:p>
        </w:tc>
      </w:tr>
      <w:tr w:rsidR="004502F6" w:rsidRPr="00C63DC6" w14:paraId="1528FEA3" w14:textId="77777777" w:rsidTr="00B15E38">
        <w:trPr>
          <w:trHeight w:val="364"/>
        </w:trPr>
        <w:tc>
          <w:tcPr>
            <w:tcW w:w="6799" w:type="dxa"/>
            <w:hideMark/>
          </w:tcPr>
          <w:p w14:paraId="31ED8BDD" w14:textId="77777777" w:rsidR="004502F6" w:rsidRPr="00C63DC6" w:rsidRDefault="004502F6" w:rsidP="004502F6">
            <w:pPr>
              <w:pStyle w:val="NoSpacing"/>
              <w:jc w:val="both"/>
              <w:rPr>
                <w:bCs/>
                <w:iCs/>
                <w:color w:val="000000"/>
              </w:rPr>
            </w:pPr>
            <w:r w:rsidRPr="00C63DC6">
              <w:rPr>
                <w:bCs/>
                <w:iCs/>
                <w:color w:val="000000"/>
              </w:rPr>
              <w:t>VSIA „Paula Stradiņa klīniskā universitātes slimnīca”</w:t>
            </w:r>
          </w:p>
        </w:tc>
        <w:tc>
          <w:tcPr>
            <w:tcW w:w="2268" w:type="dxa"/>
            <w:noWrap/>
            <w:hideMark/>
          </w:tcPr>
          <w:p w14:paraId="011B7375" w14:textId="6C57DC20" w:rsidR="004502F6" w:rsidRPr="00C63DC6" w:rsidRDefault="004502F6" w:rsidP="00FB15EC">
            <w:pPr>
              <w:pStyle w:val="NoSpacing"/>
              <w:jc w:val="both"/>
              <w:rPr>
                <w:bCs/>
                <w:iCs/>
                <w:color w:val="000000"/>
              </w:rPr>
            </w:pPr>
            <w:r w:rsidRPr="00C63DC6">
              <w:rPr>
                <w:bCs/>
                <w:iCs/>
                <w:color w:val="000000"/>
              </w:rPr>
              <w:t>6</w:t>
            </w:r>
            <w:r w:rsidR="00FB15EC" w:rsidRPr="00C63DC6">
              <w:rPr>
                <w:bCs/>
                <w:iCs/>
                <w:color w:val="000000"/>
              </w:rPr>
              <w:t xml:space="preserve"> </w:t>
            </w:r>
            <w:r w:rsidRPr="00C63DC6">
              <w:rPr>
                <w:bCs/>
                <w:iCs/>
                <w:color w:val="000000"/>
              </w:rPr>
              <w:t>080</w:t>
            </w:r>
            <w:r w:rsidR="00FB15EC" w:rsidRPr="00C63DC6">
              <w:rPr>
                <w:bCs/>
                <w:iCs/>
                <w:color w:val="000000"/>
              </w:rPr>
              <w:t xml:space="preserve"> </w:t>
            </w:r>
            <w:r w:rsidRPr="00C63DC6">
              <w:rPr>
                <w:bCs/>
                <w:iCs/>
                <w:color w:val="000000"/>
              </w:rPr>
              <w:t>000</w:t>
            </w:r>
          </w:p>
        </w:tc>
      </w:tr>
      <w:tr w:rsidR="004502F6" w:rsidRPr="00C63DC6" w14:paraId="459E72EE" w14:textId="77777777" w:rsidTr="00B15E38">
        <w:trPr>
          <w:trHeight w:val="411"/>
        </w:trPr>
        <w:tc>
          <w:tcPr>
            <w:tcW w:w="6799" w:type="dxa"/>
            <w:hideMark/>
          </w:tcPr>
          <w:p w14:paraId="60BD705B" w14:textId="77777777" w:rsidR="004502F6" w:rsidRPr="00C63DC6" w:rsidRDefault="004502F6" w:rsidP="004502F6">
            <w:pPr>
              <w:pStyle w:val="NoSpacing"/>
              <w:jc w:val="both"/>
              <w:rPr>
                <w:bCs/>
                <w:iCs/>
                <w:color w:val="000000"/>
              </w:rPr>
            </w:pPr>
            <w:r w:rsidRPr="00C63DC6">
              <w:rPr>
                <w:bCs/>
                <w:iCs/>
                <w:color w:val="000000"/>
              </w:rPr>
              <w:t>Neatliekamās medicīniskās palīdzības dienests</w:t>
            </w:r>
          </w:p>
        </w:tc>
        <w:tc>
          <w:tcPr>
            <w:tcW w:w="2268" w:type="dxa"/>
            <w:noWrap/>
            <w:hideMark/>
          </w:tcPr>
          <w:p w14:paraId="5E8C40CA" w14:textId="3E3D050D" w:rsidR="004502F6" w:rsidRPr="00C63DC6" w:rsidRDefault="004502F6" w:rsidP="00FB15EC">
            <w:pPr>
              <w:pStyle w:val="NoSpacing"/>
              <w:jc w:val="both"/>
              <w:rPr>
                <w:bCs/>
                <w:iCs/>
                <w:color w:val="000000"/>
              </w:rPr>
            </w:pPr>
            <w:r w:rsidRPr="00C63DC6">
              <w:rPr>
                <w:bCs/>
                <w:iCs/>
                <w:color w:val="000000"/>
              </w:rPr>
              <w:t>3</w:t>
            </w:r>
            <w:r w:rsidR="00FB15EC" w:rsidRPr="00C63DC6">
              <w:rPr>
                <w:bCs/>
                <w:iCs/>
                <w:color w:val="000000"/>
              </w:rPr>
              <w:t xml:space="preserve"> </w:t>
            </w:r>
            <w:r w:rsidRPr="00C63DC6">
              <w:rPr>
                <w:bCs/>
                <w:iCs/>
                <w:color w:val="000000"/>
              </w:rPr>
              <w:t>661</w:t>
            </w:r>
            <w:r w:rsidR="00FB15EC" w:rsidRPr="00C63DC6">
              <w:rPr>
                <w:bCs/>
                <w:iCs/>
                <w:color w:val="000000"/>
              </w:rPr>
              <w:t xml:space="preserve"> </w:t>
            </w:r>
            <w:r w:rsidRPr="00C63DC6">
              <w:rPr>
                <w:bCs/>
                <w:iCs/>
                <w:color w:val="000000"/>
              </w:rPr>
              <w:t>800</w:t>
            </w:r>
          </w:p>
        </w:tc>
      </w:tr>
      <w:tr w:rsidR="004502F6" w:rsidRPr="00C63DC6" w14:paraId="780B050A" w14:textId="77777777" w:rsidTr="00B15E38">
        <w:trPr>
          <w:trHeight w:val="417"/>
        </w:trPr>
        <w:tc>
          <w:tcPr>
            <w:tcW w:w="6799" w:type="dxa"/>
            <w:hideMark/>
          </w:tcPr>
          <w:p w14:paraId="6AABDD5D" w14:textId="77777777" w:rsidR="004502F6" w:rsidRPr="00C63DC6" w:rsidRDefault="004502F6" w:rsidP="004502F6">
            <w:pPr>
              <w:pStyle w:val="NoSpacing"/>
              <w:jc w:val="both"/>
              <w:rPr>
                <w:bCs/>
                <w:iCs/>
                <w:color w:val="000000"/>
              </w:rPr>
            </w:pPr>
            <w:r w:rsidRPr="00C63DC6">
              <w:rPr>
                <w:bCs/>
                <w:iCs/>
                <w:color w:val="000000"/>
              </w:rPr>
              <w:t>Valsts akciju sabiedrība "Valsts nekustamie īpašumi"</w:t>
            </w:r>
          </w:p>
        </w:tc>
        <w:tc>
          <w:tcPr>
            <w:tcW w:w="2268" w:type="dxa"/>
            <w:noWrap/>
            <w:hideMark/>
          </w:tcPr>
          <w:p w14:paraId="5E582EDF" w14:textId="643FFE5C" w:rsidR="004502F6" w:rsidRPr="00C63DC6" w:rsidRDefault="00FB15EC" w:rsidP="00FB15EC">
            <w:pPr>
              <w:pStyle w:val="NoSpacing"/>
              <w:jc w:val="both"/>
              <w:rPr>
                <w:bCs/>
                <w:iCs/>
                <w:color w:val="000000"/>
              </w:rPr>
            </w:pPr>
            <w:r w:rsidRPr="00C63DC6">
              <w:rPr>
                <w:bCs/>
                <w:iCs/>
                <w:color w:val="000000"/>
              </w:rPr>
              <w:t>3 650 170</w:t>
            </w:r>
          </w:p>
        </w:tc>
      </w:tr>
      <w:tr w:rsidR="004502F6" w:rsidRPr="00C63DC6" w14:paraId="7C9CCD2C" w14:textId="77777777" w:rsidTr="00B15E38">
        <w:trPr>
          <w:trHeight w:val="600"/>
        </w:trPr>
        <w:tc>
          <w:tcPr>
            <w:tcW w:w="6799" w:type="dxa"/>
            <w:hideMark/>
          </w:tcPr>
          <w:p w14:paraId="59CD3D47" w14:textId="77777777" w:rsidR="004502F6" w:rsidRPr="00C63DC6" w:rsidRDefault="004502F6" w:rsidP="004502F6">
            <w:pPr>
              <w:pStyle w:val="NoSpacing"/>
              <w:jc w:val="both"/>
              <w:rPr>
                <w:bCs/>
                <w:iCs/>
                <w:color w:val="000000"/>
              </w:rPr>
            </w:pPr>
            <w:r w:rsidRPr="00C63DC6">
              <w:rPr>
                <w:bCs/>
                <w:iCs/>
                <w:color w:val="000000"/>
              </w:rPr>
              <w:t>Pārtikas drošības, dzīvnieku veselības un vides zinātniskais institūts "BIOR"</w:t>
            </w:r>
          </w:p>
        </w:tc>
        <w:tc>
          <w:tcPr>
            <w:tcW w:w="2268" w:type="dxa"/>
            <w:noWrap/>
            <w:hideMark/>
          </w:tcPr>
          <w:p w14:paraId="31B4B552" w14:textId="301A017A" w:rsidR="004502F6" w:rsidRPr="00C63DC6" w:rsidRDefault="004502F6" w:rsidP="00FB15EC">
            <w:pPr>
              <w:pStyle w:val="NoSpacing"/>
              <w:jc w:val="both"/>
              <w:rPr>
                <w:bCs/>
                <w:iCs/>
                <w:color w:val="000000"/>
              </w:rPr>
            </w:pPr>
            <w:r w:rsidRPr="00C63DC6">
              <w:rPr>
                <w:bCs/>
                <w:iCs/>
                <w:color w:val="000000"/>
              </w:rPr>
              <w:t>2</w:t>
            </w:r>
            <w:r w:rsidR="00FB15EC" w:rsidRPr="00C63DC6">
              <w:rPr>
                <w:bCs/>
                <w:iCs/>
                <w:color w:val="000000"/>
              </w:rPr>
              <w:t xml:space="preserve"> </w:t>
            </w:r>
            <w:r w:rsidRPr="00C63DC6">
              <w:rPr>
                <w:bCs/>
                <w:iCs/>
                <w:color w:val="000000"/>
              </w:rPr>
              <w:t>968</w:t>
            </w:r>
            <w:r w:rsidR="00FB15EC" w:rsidRPr="00C63DC6">
              <w:rPr>
                <w:bCs/>
                <w:iCs/>
                <w:color w:val="000000"/>
              </w:rPr>
              <w:t xml:space="preserve"> </w:t>
            </w:r>
            <w:r w:rsidRPr="00C63DC6">
              <w:rPr>
                <w:bCs/>
                <w:iCs/>
                <w:color w:val="000000"/>
              </w:rPr>
              <w:t>84</w:t>
            </w:r>
            <w:r w:rsidR="00FB15EC" w:rsidRPr="00C63DC6">
              <w:rPr>
                <w:bCs/>
                <w:iCs/>
                <w:color w:val="000000"/>
              </w:rPr>
              <w:t>5</w:t>
            </w:r>
          </w:p>
        </w:tc>
      </w:tr>
      <w:tr w:rsidR="004502F6" w:rsidRPr="00C63DC6" w14:paraId="4C434B26" w14:textId="77777777" w:rsidTr="00B15E38">
        <w:trPr>
          <w:trHeight w:val="300"/>
        </w:trPr>
        <w:tc>
          <w:tcPr>
            <w:tcW w:w="6799" w:type="dxa"/>
            <w:noWrap/>
            <w:hideMark/>
          </w:tcPr>
          <w:p w14:paraId="26780EA4" w14:textId="77777777" w:rsidR="004502F6" w:rsidRPr="00C63DC6" w:rsidRDefault="004502F6" w:rsidP="004502F6">
            <w:pPr>
              <w:pStyle w:val="NoSpacing"/>
              <w:jc w:val="both"/>
              <w:rPr>
                <w:bCs/>
                <w:iCs/>
                <w:color w:val="000000"/>
              </w:rPr>
            </w:pPr>
            <w:r w:rsidRPr="00C63DC6">
              <w:rPr>
                <w:bCs/>
                <w:iCs/>
                <w:color w:val="000000"/>
              </w:rPr>
              <w:t>Valsts meža dienests</w:t>
            </w:r>
          </w:p>
        </w:tc>
        <w:tc>
          <w:tcPr>
            <w:tcW w:w="2268" w:type="dxa"/>
            <w:noWrap/>
            <w:hideMark/>
          </w:tcPr>
          <w:p w14:paraId="66D67494" w14:textId="52BB53B7" w:rsidR="004502F6" w:rsidRPr="00C63DC6" w:rsidRDefault="004502F6" w:rsidP="00FB15EC">
            <w:pPr>
              <w:pStyle w:val="NoSpacing"/>
              <w:jc w:val="both"/>
              <w:rPr>
                <w:bCs/>
                <w:iCs/>
                <w:color w:val="000000"/>
              </w:rPr>
            </w:pPr>
            <w:r w:rsidRPr="00C63DC6">
              <w:rPr>
                <w:bCs/>
                <w:iCs/>
                <w:color w:val="000000"/>
              </w:rPr>
              <w:t>2</w:t>
            </w:r>
            <w:r w:rsidR="00FB15EC" w:rsidRPr="00C63DC6">
              <w:rPr>
                <w:bCs/>
                <w:iCs/>
                <w:color w:val="000000"/>
              </w:rPr>
              <w:t xml:space="preserve"> </w:t>
            </w:r>
            <w:r w:rsidRPr="00C63DC6">
              <w:rPr>
                <w:bCs/>
                <w:iCs/>
                <w:color w:val="000000"/>
              </w:rPr>
              <w:t>573</w:t>
            </w:r>
            <w:r w:rsidR="00FB15EC" w:rsidRPr="00C63DC6">
              <w:rPr>
                <w:bCs/>
                <w:iCs/>
                <w:color w:val="000000"/>
              </w:rPr>
              <w:t xml:space="preserve"> </w:t>
            </w:r>
            <w:r w:rsidRPr="00C63DC6">
              <w:rPr>
                <w:bCs/>
                <w:iCs/>
                <w:color w:val="000000"/>
              </w:rPr>
              <w:t>59</w:t>
            </w:r>
            <w:r w:rsidR="00FB15EC" w:rsidRPr="00C63DC6">
              <w:rPr>
                <w:bCs/>
                <w:iCs/>
                <w:color w:val="000000"/>
              </w:rPr>
              <w:t>7</w:t>
            </w:r>
          </w:p>
        </w:tc>
      </w:tr>
    </w:tbl>
    <w:p w14:paraId="75694B2B" w14:textId="2CABFB4B" w:rsidR="00CD559E" w:rsidRPr="00C63DC6" w:rsidRDefault="00160B9A" w:rsidP="00160B9A">
      <w:pPr>
        <w:pStyle w:val="NoSpacing"/>
        <w:jc w:val="both"/>
        <w:rPr>
          <w:i/>
        </w:rPr>
      </w:pPr>
      <w:r w:rsidRPr="00C63DC6">
        <w:rPr>
          <w:bCs/>
          <w:i/>
          <w:iCs/>
          <w:color w:val="000000"/>
        </w:rPr>
        <w:t>A</w:t>
      </w:r>
      <w:r w:rsidR="00A06F91" w:rsidRPr="00C63DC6">
        <w:rPr>
          <w:i/>
        </w:rPr>
        <w:t>vots:</w:t>
      </w:r>
      <w:r w:rsidR="00D57545" w:rsidRPr="00C63DC6">
        <w:rPr>
          <w:i/>
        </w:rPr>
        <w:t xml:space="preserve"> </w:t>
      </w:r>
      <w:r w:rsidR="00A76D42" w:rsidRPr="00C63DC6">
        <w:rPr>
          <w:i/>
        </w:rPr>
        <w:t>IUB d</w:t>
      </w:r>
      <w:r w:rsidR="00A06F91" w:rsidRPr="00C63DC6">
        <w:rPr>
          <w:i/>
        </w:rPr>
        <w:t>ati</w:t>
      </w:r>
    </w:p>
    <w:p w14:paraId="5505398A" w14:textId="77777777" w:rsidR="007C16B1" w:rsidRDefault="007C16B1" w:rsidP="00160B9A">
      <w:pPr>
        <w:pStyle w:val="NoSpacing"/>
        <w:spacing w:before="240"/>
        <w:jc w:val="both"/>
        <w:outlineLvl w:val="0"/>
        <w:rPr>
          <w:b/>
          <w:i/>
        </w:rPr>
      </w:pPr>
    </w:p>
    <w:p w14:paraId="447D46CA" w14:textId="77777777" w:rsidR="007C16B1" w:rsidRDefault="007C16B1" w:rsidP="00160B9A">
      <w:pPr>
        <w:pStyle w:val="NoSpacing"/>
        <w:spacing w:before="240"/>
        <w:jc w:val="both"/>
        <w:outlineLvl w:val="0"/>
        <w:rPr>
          <w:b/>
          <w:i/>
        </w:rPr>
      </w:pPr>
    </w:p>
    <w:p w14:paraId="535A3677" w14:textId="52915C2C" w:rsidR="00160B9A" w:rsidRPr="00C63DC6" w:rsidRDefault="00160B9A" w:rsidP="00160B9A">
      <w:pPr>
        <w:pStyle w:val="NoSpacing"/>
        <w:spacing w:before="240"/>
        <w:jc w:val="both"/>
        <w:outlineLvl w:val="0"/>
        <w:rPr>
          <w:b/>
          <w:i/>
        </w:rPr>
      </w:pPr>
      <w:r w:rsidRPr="00C63DC6">
        <w:rPr>
          <w:b/>
          <w:i/>
        </w:rPr>
        <w:t>5.Tabula</w:t>
      </w:r>
    </w:p>
    <w:p w14:paraId="27181060" w14:textId="3566C967" w:rsidR="00160B9A" w:rsidRPr="00C63DC6" w:rsidRDefault="000C1A5D" w:rsidP="00160B9A">
      <w:pPr>
        <w:pStyle w:val="NoSpacing"/>
        <w:jc w:val="both"/>
        <w:rPr>
          <w:i/>
        </w:rPr>
      </w:pPr>
      <w:r w:rsidRPr="00C63DC6">
        <w:rPr>
          <w:b/>
          <w:bCs/>
          <w:i/>
          <w:iCs/>
          <w:color w:val="000000"/>
        </w:rPr>
        <w:t>Valsts pārvaldes institūcijas</w:t>
      </w:r>
      <w:r w:rsidR="00A90C19">
        <w:rPr>
          <w:b/>
          <w:bCs/>
          <w:i/>
          <w:iCs/>
          <w:color w:val="000000"/>
        </w:rPr>
        <w:t xml:space="preserve"> </w:t>
      </w:r>
      <w:r w:rsidRPr="00C63DC6">
        <w:rPr>
          <w:b/>
          <w:bCs/>
          <w:i/>
          <w:iCs/>
          <w:color w:val="000000"/>
        </w:rPr>
        <w:t>kuras visvairāk 2018. gadā rīkojušas iepirkumus, ievērojot ZPI (pēc iepirkumu skaita).</w:t>
      </w:r>
    </w:p>
    <w:tbl>
      <w:tblPr>
        <w:tblStyle w:val="TableGrid"/>
        <w:tblW w:w="9067" w:type="dxa"/>
        <w:tblLook w:val="04A0" w:firstRow="1" w:lastRow="0" w:firstColumn="1" w:lastColumn="0" w:noHBand="0" w:noVBand="1"/>
      </w:tblPr>
      <w:tblGrid>
        <w:gridCol w:w="6374"/>
        <w:gridCol w:w="2693"/>
      </w:tblGrid>
      <w:tr w:rsidR="00160B9A" w:rsidRPr="00C63DC6" w14:paraId="6D247D12" w14:textId="77777777" w:rsidTr="00EC3CBA">
        <w:trPr>
          <w:trHeight w:val="600"/>
        </w:trPr>
        <w:tc>
          <w:tcPr>
            <w:tcW w:w="6374" w:type="dxa"/>
            <w:shd w:val="clear" w:color="auto" w:fill="C2D69B" w:themeFill="accent3" w:themeFillTint="99"/>
            <w:hideMark/>
          </w:tcPr>
          <w:p w14:paraId="1D3A5ADB" w14:textId="77777777" w:rsidR="00160B9A" w:rsidRPr="00C63DC6" w:rsidRDefault="00160B9A" w:rsidP="00160B9A">
            <w:pPr>
              <w:pStyle w:val="NoSpacing"/>
              <w:rPr>
                <w:i/>
              </w:rPr>
            </w:pPr>
            <w:r w:rsidRPr="00C63DC6">
              <w:rPr>
                <w:b/>
                <w:bCs/>
                <w:i/>
                <w:iCs/>
              </w:rPr>
              <w:t>Valsts institūcijas nosaukums</w:t>
            </w:r>
          </w:p>
        </w:tc>
        <w:tc>
          <w:tcPr>
            <w:tcW w:w="2693" w:type="dxa"/>
            <w:shd w:val="clear" w:color="auto" w:fill="C2D69B" w:themeFill="accent3" w:themeFillTint="99"/>
            <w:hideMark/>
          </w:tcPr>
          <w:p w14:paraId="62BC4EB6" w14:textId="77777777" w:rsidR="00160B9A" w:rsidRPr="00C63DC6" w:rsidRDefault="00160B9A" w:rsidP="00160B9A">
            <w:pPr>
              <w:pStyle w:val="NoSpacing"/>
              <w:rPr>
                <w:b/>
                <w:bCs/>
                <w:i/>
                <w:iCs/>
              </w:rPr>
            </w:pPr>
            <w:r w:rsidRPr="00C63DC6">
              <w:rPr>
                <w:b/>
                <w:bCs/>
                <w:i/>
                <w:iCs/>
              </w:rPr>
              <w:t>Publikāciju skaits</w:t>
            </w:r>
          </w:p>
        </w:tc>
      </w:tr>
      <w:tr w:rsidR="00160B9A" w:rsidRPr="00C63DC6" w14:paraId="624E9484" w14:textId="77777777" w:rsidTr="00EC3CBA">
        <w:trPr>
          <w:trHeight w:val="300"/>
        </w:trPr>
        <w:tc>
          <w:tcPr>
            <w:tcW w:w="6374" w:type="dxa"/>
            <w:noWrap/>
          </w:tcPr>
          <w:p w14:paraId="2BDF1D64" w14:textId="77777777" w:rsidR="00160B9A" w:rsidRPr="00C63DC6" w:rsidRDefault="00160B9A" w:rsidP="00160B9A">
            <w:pPr>
              <w:pStyle w:val="NoSpacing"/>
              <w:rPr>
                <w:bCs/>
                <w:iCs/>
              </w:rPr>
            </w:pPr>
            <w:r w:rsidRPr="00C63DC6">
              <w:rPr>
                <w:bCs/>
                <w:iCs/>
              </w:rPr>
              <w:t>AS "Latvijas</w:t>
            </w:r>
            <w:r w:rsidRPr="00C63DC6">
              <w:t xml:space="preserve"> valsts meži"</w:t>
            </w:r>
          </w:p>
        </w:tc>
        <w:tc>
          <w:tcPr>
            <w:tcW w:w="2693" w:type="dxa"/>
            <w:noWrap/>
          </w:tcPr>
          <w:p w14:paraId="297756ED" w14:textId="77777777" w:rsidR="00160B9A" w:rsidRPr="00C63DC6" w:rsidRDefault="00160B9A" w:rsidP="00160B9A">
            <w:pPr>
              <w:pStyle w:val="NoSpacing"/>
              <w:rPr>
                <w:bCs/>
                <w:iCs/>
              </w:rPr>
            </w:pPr>
            <w:r w:rsidRPr="00C63DC6">
              <w:rPr>
                <w:bCs/>
                <w:iCs/>
              </w:rPr>
              <w:t>55</w:t>
            </w:r>
          </w:p>
        </w:tc>
      </w:tr>
      <w:tr w:rsidR="00160B9A" w:rsidRPr="00C63DC6" w14:paraId="2BD6C35D" w14:textId="77777777" w:rsidTr="00EC3CBA">
        <w:trPr>
          <w:trHeight w:val="300"/>
        </w:trPr>
        <w:tc>
          <w:tcPr>
            <w:tcW w:w="6374" w:type="dxa"/>
            <w:noWrap/>
          </w:tcPr>
          <w:p w14:paraId="7BA484A9" w14:textId="77777777" w:rsidR="00160B9A" w:rsidRPr="00C63DC6" w:rsidRDefault="00160B9A" w:rsidP="00160B9A">
            <w:pPr>
              <w:pStyle w:val="NoSpacing"/>
              <w:rPr>
                <w:bCs/>
                <w:iCs/>
              </w:rPr>
            </w:pPr>
            <w:r w:rsidRPr="00C63DC6">
              <w:rPr>
                <w:bCs/>
                <w:iCs/>
              </w:rPr>
              <w:t xml:space="preserve">Valsts aizsardzības </w:t>
            </w:r>
            <w:r w:rsidRPr="00C63DC6">
              <w:t>militāro objektu un iepirkumu centrs</w:t>
            </w:r>
          </w:p>
        </w:tc>
        <w:tc>
          <w:tcPr>
            <w:tcW w:w="2693" w:type="dxa"/>
            <w:noWrap/>
          </w:tcPr>
          <w:p w14:paraId="71823922" w14:textId="77777777" w:rsidR="00160B9A" w:rsidRPr="00C63DC6" w:rsidRDefault="00160B9A" w:rsidP="00160B9A">
            <w:pPr>
              <w:pStyle w:val="NoSpacing"/>
              <w:rPr>
                <w:bCs/>
                <w:iCs/>
              </w:rPr>
            </w:pPr>
            <w:r w:rsidRPr="00C63DC6">
              <w:rPr>
                <w:bCs/>
                <w:iCs/>
              </w:rPr>
              <w:t>37</w:t>
            </w:r>
          </w:p>
        </w:tc>
      </w:tr>
      <w:tr w:rsidR="00160B9A" w:rsidRPr="00C63DC6" w14:paraId="43BBFDB0" w14:textId="77777777" w:rsidTr="00EC3CBA">
        <w:trPr>
          <w:trHeight w:val="300"/>
        </w:trPr>
        <w:tc>
          <w:tcPr>
            <w:tcW w:w="6374" w:type="dxa"/>
            <w:noWrap/>
          </w:tcPr>
          <w:p w14:paraId="6911A3EB" w14:textId="77777777" w:rsidR="00160B9A" w:rsidRPr="00C63DC6" w:rsidRDefault="00160B9A" w:rsidP="00160B9A">
            <w:pPr>
              <w:pStyle w:val="NoSpacing"/>
              <w:rPr>
                <w:bCs/>
                <w:iCs/>
              </w:rPr>
            </w:pPr>
            <w:r w:rsidRPr="00C63DC6">
              <w:rPr>
                <w:bCs/>
                <w:iCs/>
              </w:rPr>
              <w:t>Valsts policija</w:t>
            </w:r>
          </w:p>
        </w:tc>
        <w:tc>
          <w:tcPr>
            <w:tcW w:w="2693" w:type="dxa"/>
            <w:noWrap/>
          </w:tcPr>
          <w:p w14:paraId="64CA661B" w14:textId="77777777" w:rsidR="00160B9A" w:rsidRPr="00C63DC6" w:rsidRDefault="00160B9A" w:rsidP="00160B9A">
            <w:pPr>
              <w:pStyle w:val="NoSpacing"/>
              <w:rPr>
                <w:bCs/>
                <w:iCs/>
              </w:rPr>
            </w:pPr>
            <w:r w:rsidRPr="00C63DC6">
              <w:rPr>
                <w:bCs/>
                <w:iCs/>
              </w:rPr>
              <w:t>22</w:t>
            </w:r>
          </w:p>
        </w:tc>
      </w:tr>
      <w:tr w:rsidR="00160B9A" w:rsidRPr="00C63DC6" w14:paraId="52F6A903" w14:textId="77777777" w:rsidTr="00EC3CBA">
        <w:trPr>
          <w:trHeight w:val="300"/>
        </w:trPr>
        <w:tc>
          <w:tcPr>
            <w:tcW w:w="6374" w:type="dxa"/>
            <w:noWrap/>
          </w:tcPr>
          <w:p w14:paraId="1E0027A6" w14:textId="77777777" w:rsidR="00160B9A" w:rsidRPr="00C63DC6" w:rsidRDefault="00160B9A" w:rsidP="00160B9A">
            <w:pPr>
              <w:pStyle w:val="NoSpacing"/>
              <w:rPr>
                <w:bCs/>
                <w:iCs/>
              </w:rPr>
            </w:pPr>
            <w:r w:rsidRPr="00C63DC6">
              <w:rPr>
                <w:bCs/>
                <w:iCs/>
              </w:rPr>
              <w:t>Pārtikas drošības, dzīvnieku</w:t>
            </w:r>
            <w:r w:rsidRPr="00C63DC6">
              <w:t xml:space="preserve"> veselības un vides zinātniskais institūts "BIOR"</w:t>
            </w:r>
          </w:p>
        </w:tc>
        <w:tc>
          <w:tcPr>
            <w:tcW w:w="2693" w:type="dxa"/>
            <w:noWrap/>
          </w:tcPr>
          <w:p w14:paraId="06FDD590" w14:textId="77777777" w:rsidR="00160B9A" w:rsidRPr="00C63DC6" w:rsidRDefault="00160B9A" w:rsidP="00160B9A">
            <w:pPr>
              <w:pStyle w:val="NoSpacing"/>
              <w:rPr>
                <w:bCs/>
                <w:iCs/>
              </w:rPr>
            </w:pPr>
            <w:r w:rsidRPr="00C63DC6">
              <w:rPr>
                <w:bCs/>
                <w:iCs/>
              </w:rPr>
              <w:t>19</w:t>
            </w:r>
          </w:p>
        </w:tc>
      </w:tr>
      <w:tr w:rsidR="00160B9A" w:rsidRPr="00C63DC6" w14:paraId="493F4827" w14:textId="77777777" w:rsidTr="00EC3CBA">
        <w:trPr>
          <w:trHeight w:val="300"/>
        </w:trPr>
        <w:tc>
          <w:tcPr>
            <w:tcW w:w="6374" w:type="dxa"/>
            <w:noWrap/>
          </w:tcPr>
          <w:p w14:paraId="5BBEBEAA" w14:textId="77777777" w:rsidR="00160B9A" w:rsidRPr="00C63DC6" w:rsidRDefault="00160B9A" w:rsidP="00160B9A">
            <w:pPr>
              <w:pStyle w:val="NoSpacing"/>
              <w:rPr>
                <w:bCs/>
                <w:iCs/>
              </w:rPr>
            </w:pPr>
            <w:r w:rsidRPr="00C63DC6">
              <w:rPr>
                <w:bCs/>
                <w:iCs/>
              </w:rPr>
              <w:t>Nodrošinājuma valsts aģentūra</w:t>
            </w:r>
          </w:p>
        </w:tc>
        <w:tc>
          <w:tcPr>
            <w:tcW w:w="2693" w:type="dxa"/>
            <w:noWrap/>
          </w:tcPr>
          <w:p w14:paraId="3FA57326" w14:textId="77777777" w:rsidR="00160B9A" w:rsidRPr="00C63DC6" w:rsidRDefault="00160B9A" w:rsidP="00160B9A">
            <w:pPr>
              <w:pStyle w:val="NoSpacing"/>
              <w:rPr>
                <w:bCs/>
                <w:iCs/>
              </w:rPr>
            </w:pPr>
            <w:r w:rsidRPr="00C63DC6">
              <w:rPr>
                <w:bCs/>
                <w:iCs/>
              </w:rPr>
              <w:t>15</w:t>
            </w:r>
          </w:p>
        </w:tc>
      </w:tr>
      <w:tr w:rsidR="00160B9A" w:rsidRPr="00C63DC6" w14:paraId="493DE46F" w14:textId="77777777" w:rsidTr="00EC3CBA">
        <w:trPr>
          <w:trHeight w:val="300"/>
        </w:trPr>
        <w:tc>
          <w:tcPr>
            <w:tcW w:w="6374" w:type="dxa"/>
            <w:noWrap/>
          </w:tcPr>
          <w:p w14:paraId="1BBFE7B9" w14:textId="77777777" w:rsidR="00160B9A" w:rsidRPr="00C63DC6" w:rsidRDefault="00160B9A" w:rsidP="00160B9A">
            <w:pPr>
              <w:pStyle w:val="NoSpacing"/>
              <w:rPr>
                <w:bCs/>
                <w:iCs/>
              </w:rPr>
            </w:pPr>
            <w:r w:rsidRPr="00C63DC6">
              <w:rPr>
                <w:bCs/>
                <w:iCs/>
              </w:rPr>
              <w:t>Valsts ieņēmumu dienests</w:t>
            </w:r>
          </w:p>
        </w:tc>
        <w:tc>
          <w:tcPr>
            <w:tcW w:w="2693" w:type="dxa"/>
            <w:noWrap/>
          </w:tcPr>
          <w:p w14:paraId="2C2958BC" w14:textId="77777777" w:rsidR="00160B9A" w:rsidRPr="00C63DC6" w:rsidRDefault="00160B9A" w:rsidP="00160B9A">
            <w:pPr>
              <w:pStyle w:val="NoSpacing"/>
              <w:rPr>
                <w:bCs/>
                <w:iCs/>
              </w:rPr>
            </w:pPr>
            <w:r w:rsidRPr="00C63DC6">
              <w:rPr>
                <w:bCs/>
                <w:iCs/>
              </w:rPr>
              <w:t>12</w:t>
            </w:r>
          </w:p>
        </w:tc>
      </w:tr>
      <w:tr w:rsidR="00160B9A" w:rsidRPr="00C63DC6" w14:paraId="628814BC" w14:textId="77777777" w:rsidTr="00EC3CBA">
        <w:trPr>
          <w:trHeight w:val="300"/>
        </w:trPr>
        <w:tc>
          <w:tcPr>
            <w:tcW w:w="6374" w:type="dxa"/>
            <w:noWrap/>
          </w:tcPr>
          <w:p w14:paraId="667162BE" w14:textId="77777777" w:rsidR="00160B9A" w:rsidRPr="00C63DC6" w:rsidRDefault="00160B9A" w:rsidP="00160B9A">
            <w:pPr>
              <w:pStyle w:val="NoSpacing"/>
              <w:rPr>
                <w:bCs/>
                <w:iCs/>
              </w:rPr>
            </w:pPr>
            <w:r w:rsidRPr="00C63DC6">
              <w:rPr>
                <w:bCs/>
                <w:iCs/>
              </w:rPr>
              <w:t xml:space="preserve">Valsts SIA "Latvijas </w:t>
            </w:r>
            <w:r w:rsidRPr="00C63DC6">
              <w:t>Televīzija"</w:t>
            </w:r>
          </w:p>
        </w:tc>
        <w:tc>
          <w:tcPr>
            <w:tcW w:w="2693" w:type="dxa"/>
            <w:noWrap/>
          </w:tcPr>
          <w:p w14:paraId="26E60CDC" w14:textId="77777777" w:rsidR="00160B9A" w:rsidRPr="00C63DC6" w:rsidRDefault="00160B9A" w:rsidP="00160B9A">
            <w:pPr>
              <w:pStyle w:val="NoSpacing"/>
              <w:rPr>
                <w:bCs/>
                <w:iCs/>
              </w:rPr>
            </w:pPr>
            <w:r w:rsidRPr="00C63DC6">
              <w:rPr>
                <w:bCs/>
                <w:iCs/>
              </w:rPr>
              <w:t>11</w:t>
            </w:r>
          </w:p>
        </w:tc>
      </w:tr>
      <w:tr w:rsidR="00160B9A" w:rsidRPr="00C63DC6" w14:paraId="34BED4B0" w14:textId="77777777" w:rsidTr="00EC3CBA">
        <w:trPr>
          <w:trHeight w:val="300"/>
        </w:trPr>
        <w:tc>
          <w:tcPr>
            <w:tcW w:w="6374" w:type="dxa"/>
            <w:noWrap/>
          </w:tcPr>
          <w:p w14:paraId="19904EB6" w14:textId="77777777" w:rsidR="00160B9A" w:rsidRPr="00C63DC6" w:rsidRDefault="00160B9A" w:rsidP="00160B9A">
            <w:pPr>
              <w:pStyle w:val="NoSpacing"/>
              <w:rPr>
                <w:bCs/>
                <w:iCs/>
              </w:rPr>
            </w:pPr>
            <w:r w:rsidRPr="00C63DC6">
              <w:rPr>
                <w:bCs/>
                <w:iCs/>
              </w:rPr>
              <w:t xml:space="preserve">Latvijas Lauksaimniecības universitāte </w:t>
            </w:r>
          </w:p>
        </w:tc>
        <w:tc>
          <w:tcPr>
            <w:tcW w:w="2693" w:type="dxa"/>
            <w:noWrap/>
          </w:tcPr>
          <w:p w14:paraId="50284A7F" w14:textId="77777777" w:rsidR="00160B9A" w:rsidRPr="00C63DC6" w:rsidRDefault="00160B9A" w:rsidP="00160B9A">
            <w:pPr>
              <w:pStyle w:val="NoSpacing"/>
              <w:rPr>
                <w:bCs/>
                <w:iCs/>
              </w:rPr>
            </w:pPr>
            <w:r w:rsidRPr="00C63DC6">
              <w:rPr>
                <w:bCs/>
                <w:iCs/>
              </w:rPr>
              <w:t>9</w:t>
            </w:r>
          </w:p>
        </w:tc>
      </w:tr>
      <w:tr w:rsidR="00160B9A" w:rsidRPr="00C63DC6" w14:paraId="058A3CB4" w14:textId="77777777" w:rsidTr="00EC3CBA">
        <w:trPr>
          <w:trHeight w:val="300"/>
        </w:trPr>
        <w:tc>
          <w:tcPr>
            <w:tcW w:w="6374" w:type="dxa"/>
            <w:noWrap/>
          </w:tcPr>
          <w:p w14:paraId="17F222A8" w14:textId="77777777" w:rsidR="00160B9A" w:rsidRPr="00C63DC6" w:rsidRDefault="00160B9A" w:rsidP="00160B9A">
            <w:pPr>
              <w:pStyle w:val="NoSpacing"/>
              <w:rPr>
                <w:bCs/>
                <w:iCs/>
              </w:rPr>
            </w:pPr>
            <w:r w:rsidRPr="00C63DC6">
              <w:t>Valsts akciju sabiedrība "Valsts nekustamie īpašumi"</w:t>
            </w:r>
          </w:p>
        </w:tc>
        <w:tc>
          <w:tcPr>
            <w:tcW w:w="2693" w:type="dxa"/>
            <w:noWrap/>
          </w:tcPr>
          <w:p w14:paraId="3F283BC8" w14:textId="77777777" w:rsidR="00160B9A" w:rsidRPr="00C63DC6" w:rsidRDefault="00160B9A" w:rsidP="00160B9A">
            <w:pPr>
              <w:pStyle w:val="NoSpacing"/>
              <w:rPr>
                <w:bCs/>
                <w:iCs/>
              </w:rPr>
            </w:pPr>
            <w:r w:rsidRPr="00C63DC6">
              <w:t>9</w:t>
            </w:r>
          </w:p>
        </w:tc>
      </w:tr>
      <w:tr w:rsidR="00160B9A" w:rsidRPr="00C63DC6" w14:paraId="11A4AE1B" w14:textId="77777777" w:rsidTr="00EC3CBA">
        <w:trPr>
          <w:trHeight w:val="300"/>
        </w:trPr>
        <w:tc>
          <w:tcPr>
            <w:tcW w:w="6374" w:type="dxa"/>
            <w:noWrap/>
          </w:tcPr>
          <w:p w14:paraId="23477F16" w14:textId="77777777" w:rsidR="00160B9A" w:rsidRPr="00C63DC6" w:rsidRDefault="00160B9A" w:rsidP="00160B9A">
            <w:pPr>
              <w:pStyle w:val="NoSpacing"/>
            </w:pPr>
            <w:r w:rsidRPr="00C63DC6">
              <w:t>VAS Latvijas Valsts ceļi</w:t>
            </w:r>
          </w:p>
        </w:tc>
        <w:tc>
          <w:tcPr>
            <w:tcW w:w="2693" w:type="dxa"/>
            <w:noWrap/>
          </w:tcPr>
          <w:p w14:paraId="08E34397" w14:textId="77777777" w:rsidR="00160B9A" w:rsidRPr="00C63DC6" w:rsidRDefault="00160B9A" w:rsidP="00160B9A">
            <w:pPr>
              <w:pStyle w:val="NoSpacing"/>
            </w:pPr>
            <w:r w:rsidRPr="00C63DC6">
              <w:t>9</w:t>
            </w:r>
          </w:p>
        </w:tc>
      </w:tr>
    </w:tbl>
    <w:p w14:paraId="641CC07D" w14:textId="21C748BE" w:rsidR="00160B9A" w:rsidRPr="00C63DC6" w:rsidRDefault="00A76D42" w:rsidP="007C16B1">
      <w:pPr>
        <w:pStyle w:val="NoSpacing"/>
        <w:spacing w:after="240"/>
        <w:jc w:val="both"/>
        <w:rPr>
          <w:i/>
        </w:rPr>
      </w:pPr>
      <w:r w:rsidRPr="00C63DC6">
        <w:rPr>
          <w:i/>
        </w:rPr>
        <w:t>Avots: IUB d</w:t>
      </w:r>
      <w:r w:rsidR="000C1A5D" w:rsidRPr="00C63DC6">
        <w:rPr>
          <w:i/>
        </w:rPr>
        <w:t>ati</w:t>
      </w:r>
    </w:p>
    <w:p w14:paraId="6EDC69B1" w14:textId="3E0DBE51" w:rsidR="00B04FFE" w:rsidRPr="00C63DC6" w:rsidRDefault="00D2364A" w:rsidP="0017569A">
      <w:pPr>
        <w:spacing w:after="240"/>
        <w:ind w:firstLine="357"/>
        <w:jc w:val="both"/>
        <w:rPr>
          <w:sz w:val="28"/>
          <w:szCs w:val="28"/>
        </w:rPr>
      </w:pPr>
      <w:r w:rsidRPr="00C63DC6">
        <w:rPr>
          <w:sz w:val="28"/>
          <w:szCs w:val="28"/>
        </w:rPr>
        <w:t xml:space="preserve">Pašvaldību sektorā </w:t>
      </w:r>
      <w:r w:rsidR="00885BDD" w:rsidRPr="00C63DC6">
        <w:rPr>
          <w:sz w:val="28"/>
          <w:szCs w:val="28"/>
        </w:rPr>
        <w:t>l</w:t>
      </w:r>
      <w:r w:rsidRPr="00C63DC6">
        <w:rPr>
          <w:sz w:val="28"/>
          <w:szCs w:val="28"/>
        </w:rPr>
        <w:t xml:space="preserve">ielāko daļu iepirkumu gan </w:t>
      </w:r>
      <w:r w:rsidR="00885BDD" w:rsidRPr="00C63DC6">
        <w:rPr>
          <w:sz w:val="28"/>
          <w:szCs w:val="28"/>
        </w:rPr>
        <w:t xml:space="preserve">pēc </w:t>
      </w:r>
      <w:r w:rsidRPr="00C63DC6">
        <w:rPr>
          <w:sz w:val="28"/>
          <w:szCs w:val="28"/>
        </w:rPr>
        <w:t>skaita</w:t>
      </w:r>
      <w:r w:rsidR="00885BDD" w:rsidRPr="00C63DC6">
        <w:rPr>
          <w:sz w:val="28"/>
          <w:szCs w:val="28"/>
        </w:rPr>
        <w:t>,</w:t>
      </w:r>
      <w:r w:rsidRPr="00C63DC6">
        <w:rPr>
          <w:sz w:val="28"/>
          <w:szCs w:val="28"/>
        </w:rPr>
        <w:t xml:space="preserve"> gan līgumcenām sastāda </w:t>
      </w:r>
      <w:r w:rsidR="003845E8" w:rsidRPr="00C63DC6">
        <w:rPr>
          <w:sz w:val="28"/>
          <w:szCs w:val="28"/>
        </w:rPr>
        <w:t xml:space="preserve">pārtikas preču un </w:t>
      </w:r>
      <w:r w:rsidRPr="00C63DC6">
        <w:rPr>
          <w:sz w:val="28"/>
          <w:szCs w:val="28"/>
        </w:rPr>
        <w:t>ēdināšan</w:t>
      </w:r>
      <w:r w:rsidR="003845E8" w:rsidRPr="00C63DC6">
        <w:rPr>
          <w:sz w:val="28"/>
          <w:szCs w:val="28"/>
        </w:rPr>
        <w:t>a</w:t>
      </w:r>
      <w:r w:rsidRPr="00C63DC6">
        <w:rPr>
          <w:sz w:val="28"/>
          <w:szCs w:val="28"/>
        </w:rPr>
        <w:t xml:space="preserve">s pakalpojumu jomas iepirkumi, kā </w:t>
      </w:r>
      <w:r w:rsidR="008B2B9B" w:rsidRPr="00C63DC6">
        <w:rPr>
          <w:sz w:val="28"/>
          <w:szCs w:val="28"/>
        </w:rPr>
        <w:t xml:space="preserve">arī </w:t>
      </w:r>
      <w:r w:rsidRPr="00C63DC6">
        <w:rPr>
          <w:sz w:val="28"/>
          <w:szCs w:val="28"/>
        </w:rPr>
        <w:t>varētu tik</w:t>
      </w:r>
      <w:r w:rsidR="003845E8" w:rsidRPr="00C63DC6">
        <w:rPr>
          <w:sz w:val="28"/>
          <w:szCs w:val="28"/>
        </w:rPr>
        <w:t>t</w:t>
      </w:r>
      <w:r w:rsidRPr="00C63DC6">
        <w:rPr>
          <w:sz w:val="28"/>
          <w:szCs w:val="28"/>
        </w:rPr>
        <w:t xml:space="preserve"> saistīti ar transporta līdzekļu un infrastruktūras pilnveidošanas</w:t>
      </w:r>
      <w:r w:rsidR="00B925FD" w:rsidRPr="00C63DC6">
        <w:rPr>
          <w:sz w:val="28"/>
          <w:szCs w:val="28"/>
        </w:rPr>
        <w:t xml:space="preserve"> </w:t>
      </w:r>
      <w:r w:rsidR="003845E8" w:rsidRPr="00C63DC6">
        <w:rPr>
          <w:sz w:val="28"/>
          <w:szCs w:val="28"/>
        </w:rPr>
        <w:t>projektiem un iepirkumiem. Pašvaldību un pašvaldību institūciju iepirkumi pēc līgumcenām</w:t>
      </w:r>
      <w:r w:rsidR="000C1A5D" w:rsidRPr="00C63DC6">
        <w:rPr>
          <w:sz w:val="28"/>
          <w:szCs w:val="28"/>
        </w:rPr>
        <w:t xml:space="preserve"> un publikāciju skaita</w:t>
      </w:r>
      <w:r w:rsidR="003845E8" w:rsidRPr="00C63DC6">
        <w:rPr>
          <w:sz w:val="28"/>
          <w:szCs w:val="28"/>
        </w:rPr>
        <w:t xml:space="preserve"> ir ap</w:t>
      </w:r>
      <w:r w:rsidR="00D13D33" w:rsidRPr="00C63DC6">
        <w:rPr>
          <w:sz w:val="28"/>
          <w:szCs w:val="28"/>
        </w:rPr>
        <w:t>kopoti 6</w:t>
      </w:r>
      <w:r w:rsidR="006F7535" w:rsidRPr="00C63DC6">
        <w:rPr>
          <w:sz w:val="28"/>
          <w:szCs w:val="28"/>
        </w:rPr>
        <w:t>.</w:t>
      </w:r>
      <w:r w:rsidR="000C1A5D" w:rsidRPr="00C63DC6">
        <w:rPr>
          <w:sz w:val="28"/>
          <w:szCs w:val="28"/>
        </w:rPr>
        <w:t xml:space="preserve"> un </w:t>
      </w:r>
      <w:r w:rsidR="00D13D33" w:rsidRPr="00C63DC6">
        <w:rPr>
          <w:sz w:val="28"/>
          <w:szCs w:val="28"/>
        </w:rPr>
        <w:t>7</w:t>
      </w:r>
      <w:r w:rsidR="000C1A5D" w:rsidRPr="00C63DC6">
        <w:rPr>
          <w:sz w:val="28"/>
          <w:szCs w:val="28"/>
        </w:rPr>
        <w:t>. tabulās.</w:t>
      </w:r>
    </w:p>
    <w:p w14:paraId="0962E6D8" w14:textId="437FF6DC" w:rsidR="006E327F" w:rsidRPr="00C63DC6" w:rsidRDefault="00D13D33" w:rsidP="00353FC9">
      <w:pPr>
        <w:jc w:val="both"/>
        <w:rPr>
          <w:b/>
          <w:i/>
        </w:rPr>
      </w:pPr>
      <w:r w:rsidRPr="00C63DC6">
        <w:rPr>
          <w:b/>
          <w:i/>
        </w:rPr>
        <w:t>6</w:t>
      </w:r>
      <w:r w:rsidR="006E327F" w:rsidRPr="00C63DC6">
        <w:rPr>
          <w:b/>
          <w:i/>
        </w:rPr>
        <w:t>.Tabula</w:t>
      </w:r>
    </w:p>
    <w:p w14:paraId="74FFC504" w14:textId="231C8A6A" w:rsidR="007F3FC6" w:rsidRPr="00C63DC6" w:rsidRDefault="00594493" w:rsidP="006E327F">
      <w:pPr>
        <w:jc w:val="both"/>
        <w:rPr>
          <w:b/>
          <w:i/>
        </w:rPr>
      </w:pPr>
      <w:r w:rsidRPr="00C63DC6">
        <w:rPr>
          <w:b/>
          <w:i/>
        </w:rPr>
        <w:t>Pašvaldības un pašvaldību in</w:t>
      </w:r>
      <w:r w:rsidR="007F3FC6" w:rsidRPr="00C63DC6">
        <w:rPr>
          <w:b/>
          <w:i/>
        </w:rPr>
        <w:t>stitūcijas, kuras visvairāk 2018</w:t>
      </w:r>
      <w:r w:rsidRPr="00C63DC6">
        <w:rPr>
          <w:b/>
          <w:i/>
        </w:rPr>
        <w:t>. gadā rīkojušas iepirkumus</w:t>
      </w:r>
      <w:r w:rsidR="002B50C6" w:rsidRPr="00C63DC6">
        <w:rPr>
          <w:b/>
          <w:i/>
        </w:rPr>
        <w:t>,</w:t>
      </w:r>
      <w:r w:rsidRPr="00C63DC6">
        <w:rPr>
          <w:b/>
          <w:i/>
        </w:rPr>
        <w:t xml:space="preserve"> </w:t>
      </w:r>
      <w:r w:rsidR="006F7535" w:rsidRPr="00C63DC6">
        <w:rPr>
          <w:b/>
          <w:i/>
        </w:rPr>
        <w:t>ievērojot ZPI</w:t>
      </w:r>
      <w:r w:rsidRPr="00C63DC6">
        <w:rPr>
          <w:b/>
          <w:i/>
        </w:rPr>
        <w:t xml:space="preserve"> (pēc līgumcenas).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126"/>
      </w:tblGrid>
      <w:tr w:rsidR="007F3FC6" w:rsidRPr="00C63DC6" w14:paraId="6131583D" w14:textId="77777777" w:rsidTr="007F3FC6">
        <w:trPr>
          <w:trHeight w:val="600"/>
        </w:trPr>
        <w:tc>
          <w:tcPr>
            <w:tcW w:w="6941" w:type="dxa"/>
            <w:shd w:val="clear" w:color="auto" w:fill="C2D69B" w:themeFill="accent3" w:themeFillTint="99"/>
            <w:hideMark/>
          </w:tcPr>
          <w:p w14:paraId="1646DDC2" w14:textId="77777777" w:rsidR="007F3FC6" w:rsidRPr="00C63DC6" w:rsidRDefault="007F3FC6" w:rsidP="00C7518B">
            <w:pPr>
              <w:jc w:val="both"/>
              <w:rPr>
                <w:b/>
                <w:i/>
              </w:rPr>
            </w:pPr>
            <w:r w:rsidRPr="00C63DC6">
              <w:rPr>
                <w:b/>
                <w:i/>
              </w:rPr>
              <w:t>Pašvaldības iestādes nosaukums</w:t>
            </w:r>
          </w:p>
        </w:tc>
        <w:tc>
          <w:tcPr>
            <w:tcW w:w="2126" w:type="dxa"/>
            <w:shd w:val="clear" w:color="auto" w:fill="C2D69B" w:themeFill="accent3" w:themeFillTint="99"/>
            <w:hideMark/>
          </w:tcPr>
          <w:p w14:paraId="37B62189" w14:textId="77777777" w:rsidR="007F3FC6" w:rsidRPr="00C63DC6" w:rsidRDefault="007F3FC6" w:rsidP="00C7518B">
            <w:pPr>
              <w:jc w:val="both"/>
              <w:rPr>
                <w:b/>
                <w:i/>
              </w:rPr>
            </w:pPr>
            <w:r w:rsidRPr="00C63DC6">
              <w:rPr>
                <w:b/>
                <w:i/>
              </w:rPr>
              <w:t>Kopējā līgumcena EUR, bez PVN</w:t>
            </w:r>
          </w:p>
        </w:tc>
      </w:tr>
      <w:tr w:rsidR="007F3FC6" w:rsidRPr="00C63DC6" w14:paraId="004B536B" w14:textId="77777777" w:rsidTr="007F3FC6">
        <w:trPr>
          <w:trHeight w:val="421"/>
        </w:trPr>
        <w:tc>
          <w:tcPr>
            <w:tcW w:w="6941" w:type="dxa"/>
            <w:shd w:val="clear" w:color="auto" w:fill="auto"/>
            <w:hideMark/>
          </w:tcPr>
          <w:p w14:paraId="3D130356" w14:textId="77777777" w:rsidR="007F3FC6" w:rsidRPr="00C63DC6" w:rsidRDefault="007F3FC6" w:rsidP="00C7518B">
            <w:pPr>
              <w:jc w:val="both"/>
            </w:pPr>
            <w:r w:rsidRPr="00C63DC6">
              <w:t>Jelgavas pilsētas pašvaldība</w:t>
            </w:r>
          </w:p>
        </w:tc>
        <w:tc>
          <w:tcPr>
            <w:tcW w:w="2126" w:type="dxa"/>
            <w:shd w:val="clear" w:color="auto" w:fill="auto"/>
            <w:noWrap/>
            <w:hideMark/>
          </w:tcPr>
          <w:p w14:paraId="1D73D8A7" w14:textId="77777777" w:rsidR="007F3FC6" w:rsidRPr="00C63DC6" w:rsidRDefault="007F3FC6" w:rsidP="00C7518B">
            <w:pPr>
              <w:jc w:val="both"/>
            </w:pPr>
            <w:r w:rsidRPr="00C63DC6">
              <w:t>38 831 475</w:t>
            </w:r>
          </w:p>
        </w:tc>
      </w:tr>
      <w:tr w:rsidR="007F3FC6" w:rsidRPr="00C63DC6" w14:paraId="5FAC46BC" w14:textId="77777777" w:rsidTr="007F3FC6">
        <w:trPr>
          <w:trHeight w:val="388"/>
        </w:trPr>
        <w:tc>
          <w:tcPr>
            <w:tcW w:w="6941" w:type="dxa"/>
            <w:shd w:val="clear" w:color="auto" w:fill="auto"/>
            <w:hideMark/>
          </w:tcPr>
          <w:p w14:paraId="64CBCDB1" w14:textId="77777777" w:rsidR="007F3FC6" w:rsidRPr="00C63DC6" w:rsidRDefault="007F3FC6" w:rsidP="00C7518B">
            <w:pPr>
              <w:jc w:val="both"/>
            </w:pPr>
            <w:r w:rsidRPr="00C63DC6">
              <w:t>Rīgas domes Izglītības, kultūras un sporta departaments</w:t>
            </w:r>
          </w:p>
        </w:tc>
        <w:tc>
          <w:tcPr>
            <w:tcW w:w="2126" w:type="dxa"/>
            <w:shd w:val="clear" w:color="auto" w:fill="auto"/>
            <w:noWrap/>
            <w:hideMark/>
          </w:tcPr>
          <w:p w14:paraId="799EE461" w14:textId="77777777" w:rsidR="007F3FC6" w:rsidRPr="00C63DC6" w:rsidRDefault="007F3FC6" w:rsidP="00C7518B">
            <w:pPr>
              <w:jc w:val="both"/>
            </w:pPr>
            <w:r w:rsidRPr="00C63DC6">
              <w:t>38 198 931</w:t>
            </w:r>
          </w:p>
        </w:tc>
      </w:tr>
      <w:tr w:rsidR="007F3FC6" w:rsidRPr="00C63DC6" w14:paraId="465B6985" w14:textId="77777777" w:rsidTr="007F3FC6">
        <w:trPr>
          <w:trHeight w:val="300"/>
        </w:trPr>
        <w:tc>
          <w:tcPr>
            <w:tcW w:w="6941" w:type="dxa"/>
            <w:shd w:val="clear" w:color="auto" w:fill="auto"/>
            <w:noWrap/>
            <w:hideMark/>
          </w:tcPr>
          <w:p w14:paraId="6F2290E8" w14:textId="77777777" w:rsidR="007F3FC6" w:rsidRPr="00C63DC6" w:rsidRDefault="007F3FC6" w:rsidP="00C7518B">
            <w:pPr>
              <w:jc w:val="both"/>
            </w:pPr>
            <w:r w:rsidRPr="00C63DC6">
              <w:t>Rīgas domes satiksmes departaments</w:t>
            </w:r>
          </w:p>
        </w:tc>
        <w:tc>
          <w:tcPr>
            <w:tcW w:w="2126" w:type="dxa"/>
            <w:shd w:val="clear" w:color="auto" w:fill="auto"/>
            <w:noWrap/>
            <w:hideMark/>
          </w:tcPr>
          <w:p w14:paraId="1C1E02BA" w14:textId="77777777" w:rsidR="007F3FC6" w:rsidRPr="00C63DC6" w:rsidRDefault="007F3FC6" w:rsidP="00C7518B">
            <w:pPr>
              <w:jc w:val="both"/>
            </w:pPr>
            <w:r w:rsidRPr="00C63DC6">
              <w:t>30 383 219</w:t>
            </w:r>
          </w:p>
        </w:tc>
      </w:tr>
      <w:tr w:rsidR="007F3FC6" w:rsidRPr="00C63DC6" w14:paraId="005229E4" w14:textId="77777777" w:rsidTr="007F3FC6">
        <w:trPr>
          <w:trHeight w:val="300"/>
        </w:trPr>
        <w:tc>
          <w:tcPr>
            <w:tcW w:w="6941" w:type="dxa"/>
            <w:shd w:val="clear" w:color="auto" w:fill="auto"/>
            <w:noWrap/>
            <w:hideMark/>
          </w:tcPr>
          <w:p w14:paraId="3BEBE5E3" w14:textId="77777777" w:rsidR="007F3FC6" w:rsidRPr="00C63DC6" w:rsidRDefault="007F3FC6" w:rsidP="00C7518B">
            <w:pPr>
              <w:jc w:val="both"/>
            </w:pPr>
            <w:r w:rsidRPr="00C63DC6">
              <w:t>Daugavpils pilsētas pašvaldība</w:t>
            </w:r>
          </w:p>
        </w:tc>
        <w:tc>
          <w:tcPr>
            <w:tcW w:w="2126" w:type="dxa"/>
            <w:shd w:val="clear" w:color="auto" w:fill="auto"/>
            <w:noWrap/>
            <w:hideMark/>
          </w:tcPr>
          <w:p w14:paraId="63DF15BF" w14:textId="77777777" w:rsidR="007F3FC6" w:rsidRPr="00C63DC6" w:rsidRDefault="007F3FC6" w:rsidP="00C7518B">
            <w:pPr>
              <w:jc w:val="both"/>
            </w:pPr>
            <w:r w:rsidRPr="00C63DC6">
              <w:t>26 022 906</w:t>
            </w:r>
          </w:p>
        </w:tc>
      </w:tr>
      <w:tr w:rsidR="007F3FC6" w:rsidRPr="00C63DC6" w14:paraId="03609780" w14:textId="77777777" w:rsidTr="007F3FC6">
        <w:trPr>
          <w:trHeight w:val="300"/>
        </w:trPr>
        <w:tc>
          <w:tcPr>
            <w:tcW w:w="6941" w:type="dxa"/>
            <w:shd w:val="clear" w:color="auto" w:fill="auto"/>
            <w:noWrap/>
            <w:hideMark/>
          </w:tcPr>
          <w:p w14:paraId="6B1DB9B6" w14:textId="77777777" w:rsidR="007F3FC6" w:rsidRPr="00C63DC6" w:rsidRDefault="007F3FC6" w:rsidP="00C7518B">
            <w:pPr>
              <w:jc w:val="both"/>
            </w:pPr>
            <w:r w:rsidRPr="00C63DC6">
              <w:t>Jūrmalas pilsētas pašvaldība</w:t>
            </w:r>
          </w:p>
        </w:tc>
        <w:tc>
          <w:tcPr>
            <w:tcW w:w="2126" w:type="dxa"/>
            <w:shd w:val="clear" w:color="auto" w:fill="auto"/>
            <w:noWrap/>
            <w:hideMark/>
          </w:tcPr>
          <w:p w14:paraId="6E6A698F" w14:textId="77777777" w:rsidR="007F3FC6" w:rsidRPr="00C63DC6" w:rsidRDefault="007F3FC6" w:rsidP="00C7518B">
            <w:pPr>
              <w:jc w:val="both"/>
            </w:pPr>
            <w:r w:rsidRPr="00C63DC6">
              <w:t>19 275 702</w:t>
            </w:r>
          </w:p>
        </w:tc>
      </w:tr>
      <w:tr w:rsidR="007F3FC6" w:rsidRPr="00C63DC6" w14:paraId="24BC2904" w14:textId="77777777" w:rsidTr="007F3FC6">
        <w:trPr>
          <w:trHeight w:val="300"/>
        </w:trPr>
        <w:tc>
          <w:tcPr>
            <w:tcW w:w="6941" w:type="dxa"/>
            <w:shd w:val="clear" w:color="auto" w:fill="auto"/>
            <w:noWrap/>
            <w:hideMark/>
          </w:tcPr>
          <w:p w14:paraId="2BA0C96A" w14:textId="77777777" w:rsidR="007F3FC6" w:rsidRPr="00C63DC6" w:rsidRDefault="007F3FC6" w:rsidP="00C7518B">
            <w:pPr>
              <w:jc w:val="both"/>
            </w:pPr>
            <w:r w:rsidRPr="00C63DC6">
              <w:t xml:space="preserve">Rēzeknes pilsētas pašvaldība </w:t>
            </w:r>
          </w:p>
        </w:tc>
        <w:tc>
          <w:tcPr>
            <w:tcW w:w="2126" w:type="dxa"/>
            <w:shd w:val="clear" w:color="auto" w:fill="auto"/>
            <w:noWrap/>
            <w:hideMark/>
          </w:tcPr>
          <w:p w14:paraId="525BBF06" w14:textId="77777777" w:rsidR="007F3FC6" w:rsidRPr="00C63DC6" w:rsidRDefault="007F3FC6" w:rsidP="00C7518B">
            <w:pPr>
              <w:jc w:val="both"/>
            </w:pPr>
            <w:r w:rsidRPr="00C63DC6">
              <w:t>16 975 544</w:t>
            </w:r>
          </w:p>
        </w:tc>
      </w:tr>
      <w:tr w:rsidR="007F3FC6" w:rsidRPr="00C63DC6" w14:paraId="2A2DE2EC" w14:textId="77777777" w:rsidTr="007F3FC6">
        <w:trPr>
          <w:trHeight w:val="300"/>
        </w:trPr>
        <w:tc>
          <w:tcPr>
            <w:tcW w:w="6941" w:type="dxa"/>
            <w:shd w:val="clear" w:color="auto" w:fill="auto"/>
            <w:noWrap/>
            <w:hideMark/>
          </w:tcPr>
          <w:p w14:paraId="617E3E24" w14:textId="77777777" w:rsidR="007F3FC6" w:rsidRPr="00C63DC6" w:rsidRDefault="007F3FC6" w:rsidP="00C7518B">
            <w:pPr>
              <w:jc w:val="both"/>
            </w:pPr>
            <w:r w:rsidRPr="00C63DC6">
              <w:t>Liepājas pilsētas  pašvaldība</w:t>
            </w:r>
          </w:p>
        </w:tc>
        <w:tc>
          <w:tcPr>
            <w:tcW w:w="2126" w:type="dxa"/>
            <w:shd w:val="clear" w:color="auto" w:fill="auto"/>
            <w:noWrap/>
            <w:hideMark/>
          </w:tcPr>
          <w:p w14:paraId="4322D40E" w14:textId="77777777" w:rsidR="007F3FC6" w:rsidRPr="00C63DC6" w:rsidRDefault="007F3FC6" w:rsidP="00C7518B">
            <w:pPr>
              <w:jc w:val="both"/>
            </w:pPr>
            <w:r w:rsidRPr="00C63DC6">
              <w:t>15 633 655</w:t>
            </w:r>
          </w:p>
        </w:tc>
      </w:tr>
      <w:tr w:rsidR="007F3FC6" w:rsidRPr="00C63DC6" w14:paraId="42BB9017" w14:textId="77777777" w:rsidTr="006E327F">
        <w:trPr>
          <w:trHeight w:val="328"/>
        </w:trPr>
        <w:tc>
          <w:tcPr>
            <w:tcW w:w="6941" w:type="dxa"/>
            <w:shd w:val="clear" w:color="auto" w:fill="auto"/>
            <w:hideMark/>
          </w:tcPr>
          <w:p w14:paraId="3D67364D" w14:textId="77777777" w:rsidR="007F3FC6" w:rsidRPr="00C63DC6" w:rsidRDefault="007F3FC6" w:rsidP="00C7518B">
            <w:pPr>
              <w:jc w:val="both"/>
            </w:pPr>
            <w:r w:rsidRPr="00C63DC6">
              <w:t>Dobeles novada pašvaldība</w:t>
            </w:r>
          </w:p>
        </w:tc>
        <w:tc>
          <w:tcPr>
            <w:tcW w:w="2126" w:type="dxa"/>
            <w:shd w:val="clear" w:color="auto" w:fill="auto"/>
            <w:noWrap/>
            <w:hideMark/>
          </w:tcPr>
          <w:p w14:paraId="3B9AF526" w14:textId="77777777" w:rsidR="007F3FC6" w:rsidRPr="00C63DC6" w:rsidRDefault="007F3FC6" w:rsidP="00C7518B">
            <w:pPr>
              <w:jc w:val="both"/>
            </w:pPr>
            <w:r w:rsidRPr="00C63DC6">
              <w:t>13 924 197</w:t>
            </w:r>
          </w:p>
        </w:tc>
      </w:tr>
      <w:tr w:rsidR="007F3FC6" w:rsidRPr="00C63DC6" w14:paraId="696D4C26" w14:textId="77777777" w:rsidTr="007F3FC6">
        <w:trPr>
          <w:trHeight w:val="300"/>
        </w:trPr>
        <w:tc>
          <w:tcPr>
            <w:tcW w:w="6941" w:type="dxa"/>
            <w:shd w:val="clear" w:color="auto" w:fill="auto"/>
            <w:noWrap/>
            <w:hideMark/>
          </w:tcPr>
          <w:p w14:paraId="3093A1AA" w14:textId="77777777" w:rsidR="007F3FC6" w:rsidRPr="00C63DC6" w:rsidRDefault="007F3FC6" w:rsidP="00C7518B">
            <w:pPr>
              <w:jc w:val="both"/>
            </w:pPr>
            <w:r w:rsidRPr="00C63DC6">
              <w:t>Valmieras pilsētas pašvaldība</w:t>
            </w:r>
          </w:p>
        </w:tc>
        <w:tc>
          <w:tcPr>
            <w:tcW w:w="2126" w:type="dxa"/>
            <w:shd w:val="clear" w:color="auto" w:fill="auto"/>
            <w:noWrap/>
            <w:hideMark/>
          </w:tcPr>
          <w:p w14:paraId="2AADD266" w14:textId="77777777" w:rsidR="007F3FC6" w:rsidRPr="00C63DC6" w:rsidRDefault="007F3FC6" w:rsidP="00C7518B">
            <w:pPr>
              <w:jc w:val="both"/>
            </w:pPr>
            <w:r w:rsidRPr="00C63DC6">
              <w:t>10 513 341</w:t>
            </w:r>
          </w:p>
        </w:tc>
      </w:tr>
      <w:tr w:rsidR="007F3FC6" w:rsidRPr="00C63DC6" w14:paraId="3DDD5B77" w14:textId="77777777" w:rsidTr="007F3FC6">
        <w:trPr>
          <w:trHeight w:val="300"/>
        </w:trPr>
        <w:tc>
          <w:tcPr>
            <w:tcW w:w="6941" w:type="dxa"/>
            <w:shd w:val="clear" w:color="auto" w:fill="auto"/>
            <w:noWrap/>
            <w:hideMark/>
          </w:tcPr>
          <w:p w14:paraId="210F3762" w14:textId="77777777" w:rsidR="007F3FC6" w:rsidRPr="00C63DC6" w:rsidRDefault="007F3FC6" w:rsidP="00C7518B">
            <w:pPr>
              <w:jc w:val="both"/>
            </w:pPr>
            <w:r w:rsidRPr="00C63DC6">
              <w:t>Jēkabpils pilsētas pašvaldība</w:t>
            </w:r>
          </w:p>
        </w:tc>
        <w:tc>
          <w:tcPr>
            <w:tcW w:w="2126" w:type="dxa"/>
            <w:shd w:val="clear" w:color="auto" w:fill="auto"/>
            <w:noWrap/>
            <w:hideMark/>
          </w:tcPr>
          <w:p w14:paraId="5FCC5B74" w14:textId="77777777" w:rsidR="007F3FC6" w:rsidRPr="00C63DC6" w:rsidRDefault="007F3FC6" w:rsidP="00C7518B">
            <w:pPr>
              <w:jc w:val="both"/>
            </w:pPr>
            <w:r w:rsidRPr="00C63DC6">
              <w:t>5 845 793</w:t>
            </w:r>
          </w:p>
        </w:tc>
      </w:tr>
    </w:tbl>
    <w:p w14:paraId="13361DD9" w14:textId="734AE386" w:rsidR="007F3FC6" w:rsidRPr="00C63DC6" w:rsidRDefault="00A76D42" w:rsidP="005413F1">
      <w:pPr>
        <w:jc w:val="both"/>
        <w:rPr>
          <w:bCs/>
          <w:i/>
          <w:iCs/>
        </w:rPr>
      </w:pPr>
      <w:r w:rsidRPr="00C63DC6">
        <w:rPr>
          <w:bCs/>
          <w:i/>
          <w:iCs/>
        </w:rPr>
        <w:t>Avots: IUB d</w:t>
      </w:r>
      <w:r w:rsidR="000C1A5D" w:rsidRPr="00C63DC6">
        <w:rPr>
          <w:bCs/>
          <w:i/>
          <w:iCs/>
        </w:rPr>
        <w:t>ati</w:t>
      </w:r>
    </w:p>
    <w:p w14:paraId="1094F6B9" w14:textId="77777777" w:rsidR="007F3FC6" w:rsidRPr="00C63DC6" w:rsidRDefault="007F3FC6" w:rsidP="005413F1">
      <w:pPr>
        <w:jc w:val="both"/>
        <w:rPr>
          <w:bCs/>
          <w:i/>
          <w:iCs/>
        </w:rPr>
      </w:pPr>
    </w:p>
    <w:p w14:paraId="3DC9C3CA" w14:textId="77777777" w:rsidR="007F3FC6" w:rsidRPr="00C63DC6" w:rsidRDefault="007F3FC6" w:rsidP="005413F1">
      <w:pPr>
        <w:jc w:val="both"/>
        <w:rPr>
          <w:bCs/>
          <w:i/>
          <w:iCs/>
        </w:rPr>
      </w:pPr>
    </w:p>
    <w:p w14:paraId="701C512C" w14:textId="77777777" w:rsidR="006E327F" w:rsidRPr="00C63DC6" w:rsidRDefault="006E327F" w:rsidP="005413F1">
      <w:pPr>
        <w:jc w:val="both"/>
        <w:rPr>
          <w:bCs/>
          <w:i/>
          <w:iCs/>
        </w:rPr>
      </w:pPr>
    </w:p>
    <w:p w14:paraId="6A3F0700" w14:textId="77777777" w:rsidR="007F3FC6" w:rsidRPr="00C63DC6" w:rsidRDefault="007F3FC6" w:rsidP="005413F1">
      <w:pPr>
        <w:jc w:val="both"/>
        <w:rPr>
          <w:bCs/>
          <w:i/>
          <w:iCs/>
        </w:rPr>
      </w:pPr>
    </w:p>
    <w:p w14:paraId="1DE72456" w14:textId="48A0DB2F" w:rsidR="00160B9A" w:rsidRPr="00C63DC6" w:rsidRDefault="00D13D33" w:rsidP="00160B9A">
      <w:pPr>
        <w:jc w:val="both"/>
        <w:rPr>
          <w:b/>
          <w:bCs/>
          <w:i/>
          <w:iCs/>
        </w:rPr>
      </w:pPr>
      <w:r w:rsidRPr="00C63DC6">
        <w:rPr>
          <w:b/>
          <w:bCs/>
          <w:i/>
          <w:iCs/>
        </w:rPr>
        <w:lastRenderedPageBreak/>
        <w:t>7</w:t>
      </w:r>
      <w:r w:rsidR="00160B9A" w:rsidRPr="00C63DC6">
        <w:rPr>
          <w:b/>
          <w:bCs/>
          <w:i/>
          <w:iCs/>
        </w:rPr>
        <w:t>.Tabula</w:t>
      </w:r>
    </w:p>
    <w:p w14:paraId="4769A805" w14:textId="6D319B37" w:rsidR="00160B9A" w:rsidRPr="00C63DC6" w:rsidRDefault="00160B9A" w:rsidP="00160B9A">
      <w:pPr>
        <w:jc w:val="both"/>
        <w:rPr>
          <w:b/>
          <w:bCs/>
          <w:i/>
          <w:iCs/>
        </w:rPr>
      </w:pPr>
      <w:r w:rsidRPr="00C63DC6">
        <w:rPr>
          <w:b/>
          <w:bCs/>
          <w:i/>
          <w:iCs/>
        </w:rPr>
        <w:t>Pašvaldības un pašvaldību institūcijas, kuras visvairāk 2018. gadā rīkojušas iepirkumus, ievērojot ZPI (pēc iepirkumu skaita).</w:t>
      </w:r>
    </w:p>
    <w:tbl>
      <w:tblPr>
        <w:tblW w:w="9067" w:type="dxa"/>
        <w:tblLayout w:type="fixed"/>
        <w:tblLook w:val="04A0" w:firstRow="1" w:lastRow="0" w:firstColumn="1" w:lastColumn="0" w:noHBand="0" w:noVBand="1"/>
      </w:tblPr>
      <w:tblGrid>
        <w:gridCol w:w="6091"/>
        <w:gridCol w:w="2976"/>
      </w:tblGrid>
      <w:tr w:rsidR="007F3FC6" w:rsidRPr="00C63DC6" w14:paraId="58006724" w14:textId="77777777" w:rsidTr="007F3FC6">
        <w:trPr>
          <w:trHeight w:val="600"/>
        </w:trPr>
        <w:tc>
          <w:tcPr>
            <w:tcW w:w="609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BBBCA35" w14:textId="77777777" w:rsidR="007F3FC6" w:rsidRPr="00C63DC6" w:rsidRDefault="007F3FC6" w:rsidP="00C7518B">
            <w:pPr>
              <w:jc w:val="both"/>
              <w:rPr>
                <w:b/>
                <w:i/>
              </w:rPr>
            </w:pPr>
            <w:r w:rsidRPr="00C63DC6">
              <w:rPr>
                <w:b/>
                <w:i/>
              </w:rPr>
              <w:t>Pašvaldības iestādes nosaukums</w:t>
            </w:r>
          </w:p>
        </w:tc>
        <w:tc>
          <w:tcPr>
            <w:tcW w:w="2976" w:type="dxa"/>
            <w:tcBorders>
              <w:top w:val="single" w:sz="4" w:space="0" w:color="auto"/>
              <w:left w:val="nil"/>
              <w:bottom w:val="single" w:sz="4" w:space="0" w:color="auto"/>
              <w:right w:val="single" w:sz="4" w:space="0" w:color="auto"/>
            </w:tcBorders>
            <w:shd w:val="clear" w:color="auto" w:fill="C2D69B" w:themeFill="accent3" w:themeFillTint="99"/>
            <w:hideMark/>
          </w:tcPr>
          <w:p w14:paraId="7E492AEB" w14:textId="77777777" w:rsidR="007F3FC6" w:rsidRPr="00C63DC6" w:rsidRDefault="007F3FC6" w:rsidP="00C7518B">
            <w:pPr>
              <w:jc w:val="both"/>
              <w:rPr>
                <w:b/>
                <w:i/>
              </w:rPr>
            </w:pPr>
            <w:r w:rsidRPr="00C63DC6">
              <w:rPr>
                <w:b/>
                <w:i/>
              </w:rPr>
              <w:t>Publikāciju skaits</w:t>
            </w:r>
          </w:p>
        </w:tc>
      </w:tr>
      <w:tr w:rsidR="007F3FC6" w:rsidRPr="00C63DC6" w14:paraId="4844CB7B" w14:textId="77777777" w:rsidTr="007F3FC6">
        <w:trPr>
          <w:trHeight w:val="383"/>
        </w:trPr>
        <w:tc>
          <w:tcPr>
            <w:tcW w:w="6091" w:type="dxa"/>
            <w:tcBorders>
              <w:top w:val="nil"/>
              <w:left w:val="single" w:sz="4" w:space="0" w:color="auto"/>
              <w:bottom w:val="single" w:sz="4" w:space="0" w:color="auto"/>
              <w:right w:val="single" w:sz="4" w:space="0" w:color="auto"/>
            </w:tcBorders>
            <w:shd w:val="clear" w:color="auto" w:fill="auto"/>
            <w:hideMark/>
          </w:tcPr>
          <w:p w14:paraId="2281ADF7" w14:textId="77777777" w:rsidR="007F3FC6" w:rsidRPr="00C63DC6" w:rsidRDefault="007F3FC6" w:rsidP="00C7518B">
            <w:pPr>
              <w:jc w:val="both"/>
            </w:pPr>
            <w:r w:rsidRPr="00C63DC6">
              <w:t>Liepājas pilsētas pašvaldība</w:t>
            </w:r>
          </w:p>
        </w:tc>
        <w:tc>
          <w:tcPr>
            <w:tcW w:w="2976" w:type="dxa"/>
            <w:tcBorders>
              <w:top w:val="nil"/>
              <w:left w:val="nil"/>
              <w:bottom w:val="single" w:sz="4" w:space="0" w:color="auto"/>
              <w:right w:val="single" w:sz="4" w:space="0" w:color="auto"/>
            </w:tcBorders>
            <w:shd w:val="clear" w:color="auto" w:fill="auto"/>
            <w:noWrap/>
            <w:hideMark/>
          </w:tcPr>
          <w:p w14:paraId="63FBA70F" w14:textId="77777777" w:rsidR="007F3FC6" w:rsidRPr="00C63DC6" w:rsidRDefault="007F3FC6" w:rsidP="00C7518B">
            <w:pPr>
              <w:jc w:val="both"/>
            </w:pPr>
            <w:r w:rsidRPr="00C63DC6">
              <w:t>48</w:t>
            </w:r>
          </w:p>
        </w:tc>
      </w:tr>
      <w:tr w:rsidR="007F3FC6" w:rsidRPr="00C63DC6" w14:paraId="767AF482" w14:textId="77777777" w:rsidTr="007F3FC6">
        <w:trPr>
          <w:trHeight w:val="348"/>
        </w:trPr>
        <w:tc>
          <w:tcPr>
            <w:tcW w:w="6091" w:type="dxa"/>
            <w:tcBorders>
              <w:top w:val="nil"/>
              <w:left w:val="single" w:sz="4" w:space="0" w:color="auto"/>
              <w:bottom w:val="single" w:sz="4" w:space="0" w:color="auto"/>
              <w:right w:val="single" w:sz="4" w:space="0" w:color="auto"/>
            </w:tcBorders>
            <w:shd w:val="clear" w:color="auto" w:fill="auto"/>
            <w:noWrap/>
            <w:hideMark/>
          </w:tcPr>
          <w:p w14:paraId="123F1024" w14:textId="77777777" w:rsidR="007F3FC6" w:rsidRPr="00C63DC6" w:rsidRDefault="007F3FC6" w:rsidP="00C7518B">
            <w:pPr>
              <w:jc w:val="both"/>
            </w:pPr>
            <w:r w:rsidRPr="00C63DC6">
              <w:t>Rīgas domes Izglītības, kultūras un sporta departaments</w:t>
            </w:r>
          </w:p>
        </w:tc>
        <w:tc>
          <w:tcPr>
            <w:tcW w:w="2976" w:type="dxa"/>
            <w:tcBorders>
              <w:top w:val="nil"/>
              <w:left w:val="nil"/>
              <w:bottom w:val="single" w:sz="4" w:space="0" w:color="auto"/>
              <w:right w:val="single" w:sz="4" w:space="0" w:color="auto"/>
            </w:tcBorders>
            <w:shd w:val="clear" w:color="auto" w:fill="auto"/>
            <w:noWrap/>
            <w:hideMark/>
          </w:tcPr>
          <w:p w14:paraId="185B027B" w14:textId="77777777" w:rsidR="007F3FC6" w:rsidRPr="00C63DC6" w:rsidRDefault="007F3FC6" w:rsidP="00C7518B">
            <w:pPr>
              <w:jc w:val="both"/>
            </w:pPr>
            <w:r w:rsidRPr="00C63DC6">
              <w:t>44</w:t>
            </w:r>
          </w:p>
        </w:tc>
      </w:tr>
      <w:tr w:rsidR="007F3FC6" w:rsidRPr="00C63DC6" w14:paraId="3443422C" w14:textId="77777777" w:rsidTr="007F3FC6">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66031889" w14:textId="77777777" w:rsidR="007F3FC6" w:rsidRPr="00C63DC6" w:rsidRDefault="007F3FC6" w:rsidP="00C7518B">
            <w:pPr>
              <w:jc w:val="both"/>
            </w:pPr>
            <w:r w:rsidRPr="00C63DC6">
              <w:t>Jelgavas pilsētas pašvaldība</w:t>
            </w:r>
          </w:p>
        </w:tc>
        <w:tc>
          <w:tcPr>
            <w:tcW w:w="2976" w:type="dxa"/>
            <w:tcBorders>
              <w:top w:val="nil"/>
              <w:left w:val="nil"/>
              <w:bottom w:val="single" w:sz="4" w:space="0" w:color="auto"/>
              <w:right w:val="single" w:sz="4" w:space="0" w:color="auto"/>
            </w:tcBorders>
            <w:shd w:val="clear" w:color="auto" w:fill="auto"/>
            <w:noWrap/>
            <w:hideMark/>
          </w:tcPr>
          <w:p w14:paraId="1FD11C9C" w14:textId="77777777" w:rsidR="007F3FC6" w:rsidRPr="00C63DC6" w:rsidRDefault="007F3FC6" w:rsidP="00C7518B">
            <w:pPr>
              <w:jc w:val="both"/>
            </w:pPr>
            <w:r w:rsidRPr="00C63DC6">
              <w:t>35</w:t>
            </w:r>
          </w:p>
        </w:tc>
      </w:tr>
      <w:tr w:rsidR="007F3FC6" w:rsidRPr="00C63DC6" w14:paraId="65F9A1D1" w14:textId="77777777" w:rsidTr="007F3FC6">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134E5FFD" w14:textId="77777777" w:rsidR="007F3FC6" w:rsidRPr="00C63DC6" w:rsidRDefault="007F3FC6" w:rsidP="00C7518B">
            <w:pPr>
              <w:jc w:val="both"/>
            </w:pPr>
            <w:r w:rsidRPr="00C63DC6">
              <w:t>Daugavpils pilsētas pašvaldība</w:t>
            </w:r>
          </w:p>
        </w:tc>
        <w:tc>
          <w:tcPr>
            <w:tcW w:w="2976" w:type="dxa"/>
            <w:tcBorders>
              <w:top w:val="nil"/>
              <w:left w:val="nil"/>
              <w:bottom w:val="single" w:sz="4" w:space="0" w:color="auto"/>
              <w:right w:val="single" w:sz="4" w:space="0" w:color="auto"/>
            </w:tcBorders>
            <w:shd w:val="clear" w:color="auto" w:fill="auto"/>
            <w:noWrap/>
            <w:hideMark/>
          </w:tcPr>
          <w:p w14:paraId="40C523C2" w14:textId="77777777" w:rsidR="007F3FC6" w:rsidRPr="00C63DC6" w:rsidRDefault="007F3FC6" w:rsidP="00C7518B">
            <w:pPr>
              <w:jc w:val="both"/>
            </w:pPr>
            <w:r w:rsidRPr="00C63DC6">
              <w:t>31</w:t>
            </w:r>
          </w:p>
        </w:tc>
      </w:tr>
      <w:tr w:rsidR="007F3FC6" w:rsidRPr="00C63DC6" w14:paraId="01717022" w14:textId="77777777" w:rsidTr="007F3FC6">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34C1AEAF" w14:textId="77777777" w:rsidR="007F3FC6" w:rsidRPr="00C63DC6" w:rsidRDefault="007F3FC6" w:rsidP="00C7518B">
            <w:pPr>
              <w:jc w:val="both"/>
            </w:pPr>
            <w:r w:rsidRPr="00C63DC6">
              <w:t>Rēzeknes pilsētas pašvaldība</w:t>
            </w:r>
          </w:p>
        </w:tc>
        <w:tc>
          <w:tcPr>
            <w:tcW w:w="2976" w:type="dxa"/>
            <w:tcBorders>
              <w:top w:val="nil"/>
              <w:left w:val="nil"/>
              <w:bottom w:val="single" w:sz="4" w:space="0" w:color="auto"/>
              <w:right w:val="single" w:sz="4" w:space="0" w:color="auto"/>
            </w:tcBorders>
            <w:shd w:val="clear" w:color="auto" w:fill="auto"/>
            <w:noWrap/>
            <w:hideMark/>
          </w:tcPr>
          <w:p w14:paraId="05574EAA" w14:textId="77777777" w:rsidR="007F3FC6" w:rsidRPr="00C63DC6" w:rsidRDefault="007F3FC6" w:rsidP="00C7518B">
            <w:pPr>
              <w:jc w:val="both"/>
            </w:pPr>
            <w:r w:rsidRPr="00C63DC6">
              <w:t>30</w:t>
            </w:r>
          </w:p>
        </w:tc>
      </w:tr>
      <w:tr w:rsidR="007F3FC6" w:rsidRPr="00C63DC6" w14:paraId="3D5BD39B" w14:textId="77777777" w:rsidTr="007F3FC6">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77E76772" w14:textId="77777777" w:rsidR="007F3FC6" w:rsidRPr="00C63DC6" w:rsidRDefault="007F3FC6" w:rsidP="00C7518B">
            <w:pPr>
              <w:jc w:val="both"/>
            </w:pPr>
            <w:r w:rsidRPr="00C63DC6">
              <w:t>Jūrmalas pilsētas pašvaldība</w:t>
            </w:r>
          </w:p>
        </w:tc>
        <w:tc>
          <w:tcPr>
            <w:tcW w:w="2976" w:type="dxa"/>
            <w:tcBorders>
              <w:top w:val="nil"/>
              <w:left w:val="nil"/>
              <w:bottom w:val="single" w:sz="4" w:space="0" w:color="auto"/>
              <w:right w:val="single" w:sz="4" w:space="0" w:color="auto"/>
            </w:tcBorders>
            <w:shd w:val="clear" w:color="auto" w:fill="auto"/>
            <w:noWrap/>
            <w:hideMark/>
          </w:tcPr>
          <w:p w14:paraId="037868DF" w14:textId="77777777" w:rsidR="007F3FC6" w:rsidRPr="00C63DC6" w:rsidRDefault="007F3FC6" w:rsidP="00C7518B">
            <w:pPr>
              <w:jc w:val="both"/>
            </w:pPr>
            <w:r w:rsidRPr="00C63DC6">
              <w:t>24</w:t>
            </w:r>
          </w:p>
        </w:tc>
      </w:tr>
      <w:tr w:rsidR="007F3FC6" w:rsidRPr="00C63DC6" w14:paraId="6AF270F1" w14:textId="77777777" w:rsidTr="007F3FC6">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06D1BBAD" w14:textId="77777777" w:rsidR="007F3FC6" w:rsidRPr="00C63DC6" w:rsidRDefault="007F3FC6" w:rsidP="00C7518B">
            <w:pPr>
              <w:jc w:val="both"/>
            </w:pPr>
            <w:r w:rsidRPr="00C63DC6">
              <w:t>Jēkabpils pilsētas pašvaldība</w:t>
            </w:r>
          </w:p>
        </w:tc>
        <w:tc>
          <w:tcPr>
            <w:tcW w:w="2976" w:type="dxa"/>
            <w:tcBorders>
              <w:top w:val="nil"/>
              <w:left w:val="nil"/>
              <w:bottom w:val="single" w:sz="4" w:space="0" w:color="auto"/>
              <w:right w:val="single" w:sz="4" w:space="0" w:color="auto"/>
            </w:tcBorders>
            <w:shd w:val="clear" w:color="auto" w:fill="auto"/>
            <w:noWrap/>
            <w:hideMark/>
          </w:tcPr>
          <w:p w14:paraId="37199192" w14:textId="77777777" w:rsidR="007F3FC6" w:rsidRPr="00C63DC6" w:rsidRDefault="007F3FC6" w:rsidP="00C7518B">
            <w:pPr>
              <w:jc w:val="both"/>
            </w:pPr>
            <w:r w:rsidRPr="00C63DC6">
              <w:t>21</w:t>
            </w:r>
          </w:p>
        </w:tc>
      </w:tr>
      <w:tr w:rsidR="007F3FC6" w:rsidRPr="00C63DC6" w14:paraId="0798D37B" w14:textId="77777777" w:rsidTr="007F3FC6">
        <w:trPr>
          <w:trHeight w:val="275"/>
        </w:trPr>
        <w:tc>
          <w:tcPr>
            <w:tcW w:w="6091" w:type="dxa"/>
            <w:tcBorders>
              <w:top w:val="nil"/>
              <w:left w:val="single" w:sz="4" w:space="0" w:color="auto"/>
              <w:bottom w:val="single" w:sz="4" w:space="0" w:color="auto"/>
              <w:right w:val="single" w:sz="4" w:space="0" w:color="auto"/>
            </w:tcBorders>
            <w:shd w:val="clear" w:color="auto" w:fill="auto"/>
            <w:noWrap/>
            <w:hideMark/>
          </w:tcPr>
          <w:p w14:paraId="71E3C4C2" w14:textId="77777777" w:rsidR="007F3FC6" w:rsidRPr="00C63DC6" w:rsidRDefault="007F3FC6" w:rsidP="00C7518B">
            <w:pPr>
              <w:jc w:val="both"/>
            </w:pPr>
            <w:r w:rsidRPr="00C63DC6">
              <w:t>Madonas novada pašvaldība</w:t>
            </w:r>
          </w:p>
        </w:tc>
        <w:tc>
          <w:tcPr>
            <w:tcW w:w="2976" w:type="dxa"/>
            <w:tcBorders>
              <w:top w:val="nil"/>
              <w:left w:val="nil"/>
              <w:bottom w:val="single" w:sz="4" w:space="0" w:color="auto"/>
              <w:right w:val="single" w:sz="4" w:space="0" w:color="auto"/>
            </w:tcBorders>
            <w:shd w:val="clear" w:color="auto" w:fill="auto"/>
            <w:noWrap/>
            <w:hideMark/>
          </w:tcPr>
          <w:p w14:paraId="4A004661" w14:textId="77777777" w:rsidR="007F3FC6" w:rsidRPr="00C63DC6" w:rsidRDefault="007F3FC6" w:rsidP="00C7518B">
            <w:pPr>
              <w:jc w:val="both"/>
            </w:pPr>
            <w:r w:rsidRPr="00C63DC6">
              <w:t>16</w:t>
            </w:r>
          </w:p>
        </w:tc>
      </w:tr>
      <w:tr w:rsidR="007F3FC6" w:rsidRPr="00C63DC6" w14:paraId="0C86F77C" w14:textId="77777777" w:rsidTr="007F3FC6">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0CF5B9CD" w14:textId="77777777" w:rsidR="007F3FC6" w:rsidRPr="00C63DC6" w:rsidRDefault="007F3FC6" w:rsidP="00C7518B">
            <w:pPr>
              <w:jc w:val="both"/>
            </w:pPr>
            <w:r w:rsidRPr="00C63DC6">
              <w:t>Dobeles novada pašvaldība</w:t>
            </w:r>
          </w:p>
        </w:tc>
        <w:tc>
          <w:tcPr>
            <w:tcW w:w="2976" w:type="dxa"/>
            <w:tcBorders>
              <w:top w:val="nil"/>
              <w:left w:val="nil"/>
              <w:bottom w:val="single" w:sz="4" w:space="0" w:color="auto"/>
              <w:right w:val="single" w:sz="4" w:space="0" w:color="auto"/>
            </w:tcBorders>
            <w:shd w:val="clear" w:color="auto" w:fill="auto"/>
            <w:noWrap/>
            <w:hideMark/>
          </w:tcPr>
          <w:p w14:paraId="49E5B614" w14:textId="77777777" w:rsidR="007F3FC6" w:rsidRPr="00C63DC6" w:rsidRDefault="007F3FC6" w:rsidP="00C7518B">
            <w:pPr>
              <w:jc w:val="both"/>
            </w:pPr>
            <w:r w:rsidRPr="00C63DC6">
              <w:t>12</w:t>
            </w:r>
          </w:p>
        </w:tc>
      </w:tr>
      <w:tr w:rsidR="007F3FC6" w:rsidRPr="00C63DC6" w14:paraId="059BB825" w14:textId="77777777" w:rsidTr="007F3FC6">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30D0F7D6" w14:textId="77777777" w:rsidR="007F3FC6" w:rsidRPr="00C63DC6" w:rsidRDefault="007F3FC6" w:rsidP="00C7518B">
            <w:pPr>
              <w:jc w:val="both"/>
            </w:pPr>
            <w:r w:rsidRPr="00C63DC6">
              <w:t>Rīgas domes satiksmes departaments</w:t>
            </w:r>
          </w:p>
        </w:tc>
        <w:tc>
          <w:tcPr>
            <w:tcW w:w="2976" w:type="dxa"/>
            <w:tcBorders>
              <w:top w:val="nil"/>
              <w:left w:val="nil"/>
              <w:bottom w:val="single" w:sz="4" w:space="0" w:color="auto"/>
              <w:right w:val="single" w:sz="4" w:space="0" w:color="auto"/>
            </w:tcBorders>
            <w:shd w:val="clear" w:color="auto" w:fill="auto"/>
            <w:noWrap/>
            <w:hideMark/>
          </w:tcPr>
          <w:p w14:paraId="5BC09186" w14:textId="77777777" w:rsidR="007F3FC6" w:rsidRPr="00C63DC6" w:rsidRDefault="007F3FC6" w:rsidP="00C7518B">
            <w:pPr>
              <w:jc w:val="both"/>
            </w:pPr>
            <w:r w:rsidRPr="00C63DC6">
              <w:t>12</w:t>
            </w:r>
          </w:p>
        </w:tc>
      </w:tr>
    </w:tbl>
    <w:p w14:paraId="794E16A8" w14:textId="08695310" w:rsidR="00E472E7" w:rsidRPr="00C63DC6" w:rsidRDefault="00E4293F" w:rsidP="00AB5C3A">
      <w:pPr>
        <w:spacing w:after="240"/>
        <w:jc w:val="both"/>
        <w:rPr>
          <w:bCs/>
          <w:i/>
          <w:iCs/>
        </w:rPr>
      </w:pPr>
      <w:r w:rsidRPr="00C63DC6">
        <w:rPr>
          <w:bCs/>
          <w:i/>
          <w:iCs/>
        </w:rPr>
        <w:t>Avots:</w:t>
      </w:r>
      <w:r w:rsidR="00D57545" w:rsidRPr="00C63DC6">
        <w:rPr>
          <w:bCs/>
          <w:i/>
          <w:iCs/>
        </w:rPr>
        <w:t xml:space="preserve"> </w:t>
      </w:r>
      <w:r w:rsidR="00A266E2" w:rsidRPr="00C63DC6">
        <w:rPr>
          <w:bCs/>
          <w:i/>
          <w:iCs/>
        </w:rPr>
        <w:t xml:space="preserve">IUB </w:t>
      </w:r>
      <w:r w:rsidR="00A76D42" w:rsidRPr="00C63DC6">
        <w:rPr>
          <w:bCs/>
          <w:i/>
          <w:iCs/>
        </w:rPr>
        <w:t>d</w:t>
      </w:r>
      <w:r w:rsidR="00A266E2" w:rsidRPr="00C63DC6">
        <w:rPr>
          <w:bCs/>
          <w:i/>
          <w:iCs/>
        </w:rPr>
        <w:t>ati</w:t>
      </w:r>
    </w:p>
    <w:p w14:paraId="43C8368C" w14:textId="239F236D" w:rsidR="00A300BA" w:rsidRPr="00C63DC6" w:rsidRDefault="00156AB5" w:rsidP="00035FBA">
      <w:pPr>
        <w:spacing w:after="120"/>
        <w:ind w:firstLine="720"/>
        <w:jc w:val="both"/>
        <w:rPr>
          <w:sz w:val="28"/>
          <w:szCs w:val="28"/>
        </w:rPr>
      </w:pPr>
      <w:r w:rsidRPr="00C63DC6">
        <w:rPr>
          <w:sz w:val="28"/>
          <w:szCs w:val="28"/>
        </w:rPr>
        <w:t xml:space="preserve">Informatīvā ziņojuma sagatavošanā izmantoti dati par PIL ietvaros veiktajiem iepirkumiem, jo šie iepirkumi </w:t>
      </w:r>
      <w:r w:rsidR="00DC7B83" w:rsidRPr="00C63DC6">
        <w:rPr>
          <w:sz w:val="28"/>
          <w:szCs w:val="28"/>
        </w:rPr>
        <w:t>veido</w:t>
      </w:r>
      <w:r w:rsidRPr="00C63DC6">
        <w:rPr>
          <w:sz w:val="28"/>
          <w:szCs w:val="28"/>
        </w:rPr>
        <w:t xml:space="preserve"> lielāko daļu no iepirkumiem, t.sk. arī iepirkumus, kuros tiek piemēroti ZPI principi. Salīdzinājumam </w:t>
      </w:r>
      <w:r w:rsidR="00D13D33" w:rsidRPr="00C63DC6">
        <w:rPr>
          <w:sz w:val="28"/>
          <w:szCs w:val="28"/>
        </w:rPr>
        <w:t>8</w:t>
      </w:r>
      <w:r w:rsidRPr="00C63DC6">
        <w:rPr>
          <w:sz w:val="28"/>
          <w:szCs w:val="28"/>
        </w:rPr>
        <w:t>. tabulā ir apkopota informācija par SPSIL ietvarā 201</w:t>
      </w:r>
      <w:r w:rsidR="00927A8F" w:rsidRPr="00C63DC6">
        <w:rPr>
          <w:sz w:val="28"/>
          <w:szCs w:val="28"/>
        </w:rPr>
        <w:t>8</w:t>
      </w:r>
      <w:r w:rsidRPr="00C63DC6">
        <w:rPr>
          <w:sz w:val="28"/>
          <w:szCs w:val="28"/>
        </w:rPr>
        <w:t>.gadā veiktajiem iepirkumiem pēc iepirkumu veida.</w:t>
      </w:r>
      <w:r w:rsidR="005D2F2E" w:rsidRPr="00C63DC6">
        <w:rPr>
          <w:sz w:val="28"/>
          <w:szCs w:val="28"/>
        </w:rPr>
        <w:t xml:space="preserve"> Izvērtējot līgumcenas, secinā</w:t>
      </w:r>
      <w:r w:rsidR="00885BDD" w:rsidRPr="00C63DC6">
        <w:rPr>
          <w:sz w:val="28"/>
          <w:szCs w:val="28"/>
        </w:rPr>
        <w:t>m</w:t>
      </w:r>
      <w:r w:rsidR="005D2F2E" w:rsidRPr="00C63DC6">
        <w:rPr>
          <w:sz w:val="28"/>
          <w:szCs w:val="28"/>
        </w:rPr>
        <w:t>, ka 201</w:t>
      </w:r>
      <w:r w:rsidR="00927A8F" w:rsidRPr="00C63DC6">
        <w:rPr>
          <w:sz w:val="28"/>
          <w:szCs w:val="28"/>
        </w:rPr>
        <w:t>8</w:t>
      </w:r>
      <w:r w:rsidR="005D2F2E" w:rsidRPr="00C63DC6">
        <w:rPr>
          <w:sz w:val="28"/>
          <w:szCs w:val="28"/>
        </w:rPr>
        <w:t xml:space="preserve">. gadā, </w:t>
      </w:r>
      <w:r w:rsidR="002B50C6" w:rsidRPr="00C63DC6">
        <w:rPr>
          <w:sz w:val="28"/>
          <w:szCs w:val="28"/>
        </w:rPr>
        <w:t xml:space="preserve">salīdzinot </w:t>
      </w:r>
      <w:r w:rsidR="005D2F2E" w:rsidRPr="00C63DC6">
        <w:rPr>
          <w:sz w:val="28"/>
          <w:szCs w:val="28"/>
        </w:rPr>
        <w:t>ar 201</w:t>
      </w:r>
      <w:r w:rsidR="00927A8F" w:rsidRPr="00C63DC6">
        <w:rPr>
          <w:sz w:val="28"/>
          <w:szCs w:val="28"/>
        </w:rPr>
        <w:t>7</w:t>
      </w:r>
      <w:r w:rsidR="005D2F2E" w:rsidRPr="00C63DC6">
        <w:rPr>
          <w:sz w:val="28"/>
          <w:szCs w:val="28"/>
        </w:rPr>
        <w:t>. gadu</w:t>
      </w:r>
      <w:r w:rsidR="00D13D33" w:rsidRPr="00C63DC6">
        <w:rPr>
          <w:sz w:val="28"/>
          <w:szCs w:val="28"/>
        </w:rPr>
        <w:t xml:space="preserve"> (skat. 9. tabulu)</w:t>
      </w:r>
      <w:r w:rsidR="00885BDD" w:rsidRPr="00C63DC6">
        <w:rPr>
          <w:sz w:val="28"/>
          <w:szCs w:val="28"/>
        </w:rPr>
        <w:t>,</w:t>
      </w:r>
      <w:r w:rsidR="007F3656" w:rsidRPr="00C63DC6">
        <w:rPr>
          <w:sz w:val="28"/>
          <w:szCs w:val="28"/>
        </w:rPr>
        <w:t xml:space="preserve"> </w:t>
      </w:r>
      <w:r w:rsidR="00855E30" w:rsidRPr="00C63DC6">
        <w:rPr>
          <w:sz w:val="28"/>
          <w:szCs w:val="28"/>
        </w:rPr>
        <w:t xml:space="preserve">līdzīgi kā PIL </w:t>
      </w:r>
      <w:r w:rsidR="007F3656" w:rsidRPr="00C63DC6">
        <w:rPr>
          <w:sz w:val="28"/>
          <w:szCs w:val="28"/>
        </w:rPr>
        <w:t xml:space="preserve">līgumcenu apjoms ir </w:t>
      </w:r>
      <w:r w:rsidR="00855E30" w:rsidRPr="00C63DC6">
        <w:rPr>
          <w:sz w:val="28"/>
          <w:szCs w:val="28"/>
        </w:rPr>
        <w:t>pieaudzis</w:t>
      </w:r>
      <w:r w:rsidR="007F3656" w:rsidRPr="00C63DC6">
        <w:rPr>
          <w:sz w:val="28"/>
          <w:szCs w:val="28"/>
        </w:rPr>
        <w:t xml:space="preserve">, </w:t>
      </w:r>
      <w:r w:rsidR="00855E30" w:rsidRPr="00C63DC6">
        <w:rPr>
          <w:sz w:val="28"/>
          <w:szCs w:val="28"/>
        </w:rPr>
        <w:t>t.sk arī</w:t>
      </w:r>
      <w:r w:rsidR="007F3656" w:rsidRPr="00C63DC6">
        <w:rPr>
          <w:sz w:val="28"/>
          <w:szCs w:val="28"/>
        </w:rPr>
        <w:t xml:space="preserve"> ZPI īpatsvars</w:t>
      </w:r>
      <w:r w:rsidR="00855E30" w:rsidRPr="00C63DC6">
        <w:rPr>
          <w:sz w:val="28"/>
          <w:szCs w:val="28"/>
        </w:rPr>
        <w:t>.</w:t>
      </w:r>
      <w:r w:rsidR="007F3656" w:rsidRPr="00C63DC6">
        <w:rPr>
          <w:sz w:val="28"/>
          <w:szCs w:val="28"/>
        </w:rPr>
        <w:t xml:space="preserve"> </w:t>
      </w:r>
    </w:p>
    <w:p w14:paraId="72E17B16" w14:textId="15110918" w:rsidR="00A300BA" w:rsidRPr="00C63DC6" w:rsidRDefault="00D13D33" w:rsidP="00353FC9">
      <w:pPr>
        <w:pStyle w:val="NoSpacing"/>
        <w:jc w:val="both"/>
        <w:outlineLvl w:val="0"/>
        <w:rPr>
          <w:b/>
          <w:i/>
        </w:rPr>
      </w:pPr>
      <w:r w:rsidRPr="00C63DC6">
        <w:rPr>
          <w:b/>
          <w:i/>
        </w:rPr>
        <w:t>8</w:t>
      </w:r>
      <w:r w:rsidR="00A300BA" w:rsidRPr="00C63DC6">
        <w:rPr>
          <w:b/>
          <w:i/>
        </w:rPr>
        <w:t>.Tabula</w:t>
      </w:r>
    </w:p>
    <w:p w14:paraId="4F3C0037" w14:textId="357C7934" w:rsidR="007F3656" w:rsidRPr="00C63DC6" w:rsidRDefault="00A300BA" w:rsidP="005413F1">
      <w:pPr>
        <w:pStyle w:val="NoSpacing"/>
        <w:jc w:val="both"/>
        <w:rPr>
          <w:b/>
          <w:bCs/>
          <w:i/>
          <w:iCs/>
          <w:color w:val="000000"/>
        </w:rPr>
      </w:pPr>
      <w:r w:rsidRPr="00C63DC6">
        <w:rPr>
          <w:b/>
          <w:bCs/>
          <w:i/>
          <w:iCs/>
          <w:color w:val="000000"/>
        </w:rPr>
        <w:t xml:space="preserve"> Kopējais pārskats (</w:t>
      </w:r>
      <w:r w:rsidR="00855736" w:rsidRPr="00C63DC6">
        <w:rPr>
          <w:b/>
          <w:bCs/>
          <w:i/>
          <w:iCs/>
          <w:color w:val="000000"/>
        </w:rPr>
        <w:t xml:space="preserve">ZPI </w:t>
      </w:r>
      <w:r w:rsidRPr="00C63DC6">
        <w:rPr>
          <w:b/>
          <w:bCs/>
          <w:i/>
          <w:iCs/>
          <w:color w:val="000000"/>
        </w:rPr>
        <w:t>un kopējais) par SPSIL rezultātu paziņojumu</w:t>
      </w:r>
      <w:r w:rsidR="007F3FC6" w:rsidRPr="00C63DC6">
        <w:rPr>
          <w:b/>
          <w:bCs/>
          <w:i/>
          <w:iCs/>
          <w:color w:val="000000"/>
        </w:rPr>
        <w:t xml:space="preserve"> skaitu</w:t>
      </w:r>
      <w:r w:rsidRPr="00C63DC6">
        <w:rPr>
          <w:b/>
          <w:bCs/>
          <w:i/>
          <w:iCs/>
          <w:color w:val="000000"/>
        </w:rPr>
        <w:t xml:space="preserve"> līgumcenām pēc ie</w:t>
      </w:r>
      <w:r w:rsidR="00B85D74" w:rsidRPr="00C63DC6">
        <w:rPr>
          <w:b/>
          <w:bCs/>
          <w:i/>
          <w:iCs/>
          <w:color w:val="000000"/>
        </w:rPr>
        <w:t xml:space="preserve">pirkumu veida </w:t>
      </w:r>
      <w:r w:rsidR="007F3656" w:rsidRPr="00C63DC6">
        <w:rPr>
          <w:b/>
          <w:bCs/>
          <w:i/>
          <w:iCs/>
          <w:color w:val="000000"/>
        </w:rPr>
        <w:t>201</w:t>
      </w:r>
      <w:r w:rsidR="007F3FC6" w:rsidRPr="00C63DC6">
        <w:rPr>
          <w:b/>
          <w:bCs/>
          <w:i/>
          <w:iCs/>
          <w:color w:val="000000"/>
        </w:rPr>
        <w:t>8</w:t>
      </w:r>
      <w:r w:rsidR="005D2F2E" w:rsidRPr="00C63DC6">
        <w:rPr>
          <w:b/>
          <w:bCs/>
          <w:i/>
          <w:iCs/>
          <w:color w:val="000000"/>
        </w:rPr>
        <w:t>.g</w:t>
      </w:r>
      <w:r w:rsidR="007F3656" w:rsidRPr="00C63DC6">
        <w:rPr>
          <w:b/>
          <w:bCs/>
          <w:i/>
          <w:iCs/>
          <w:color w:val="000000"/>
        </w:rPr>
        <w:t>adā</w:t>
      </w:r>
    </w:p>
    <w:tbl>
      <w:tblPr>
        <w:tblW w:w="9203" w:type="dxa"/>
        <w:tblLook w:val="04A0" w:firstRow="1" w:lastRow="0" w:firstColumn="1" w:lastColumn="0" w:noHBand="0" w:noVBand="1"/>
      </w:tblPr>
      <w:tblGrid>
        <w:gridCol w:w="3539"/>
        <w:gridCol w:w="1421"/>
        <w:gridCol w:w="1556"/>
        <w:gridCol w:w="1537"/>
        <w:gridCol w:w="1150"/>
      </w:tblGrid>
      <w:tr w:rsidR="007F3656" w:rsidRPr="00C63DC6" w14:paraId="644E7EA5" w14:textId="77777777" w:rsidTr="003323DF">
        <w:trPr>
          <w:trHeight w:val="300"/>
        </w:trPr>
        <w:tc>
          <w:tcPr>
            <w:tcW w:w="3539" w:type="dxa"/>
            <w:vMerge w:val="restart"/>
            <w:tcBorders>
              <w:top w:val="single" w:sz="4" w:space="0" w:color="auto"/>
              <w:left w:val="single" w:sz="4" w:space="0" w:color="auto"/>
              <w:right w:val="single" w:sz="4" w:space="0" w:color="auto"/>
            </w:tcBorders>
            <w:shd w:val="clear" w:color="auto" w:fill="C2D69B" w:themeFill="accent3" w:themeFillTint="99"/>
            <w:noWrap/>
            <w:vAlign w:val="center"/>
            <w:hideMark/>
          </w:tcPr>
          <w:p w14:paraId="4BE11652" w14:textId="77777777" w:rsidR="007F3656" w:rsidRPr="00C63DC6" w:rsidRDefault="007F3656" w:rsidP="005413F1">
            <w:pPr>
              <w:jc w:val="both"/>
              <w:rPr>
                <w:b/>
                <w:color w:val="000000"/>
              </w:rPr>
            </w:pPr>
            <w:r w:rsidRPr="00C63DC6">
              <w:rPr>
                <w:b/>
                <w:color w:val="000000"/>
              </w:rPr>
              <w:t>Iepirkumu veids</w:t>
            </w:r>
          </w:p>
          <w:p w14:paraId="1522278D" w14:textId="77777777" w:rsidR="007F3656" w:rsidRPr="00C63DC6" w:rsidRDefault="007F3656" w:rsidP="005413F1">
            <w:pPr>
              <w:jc w:val="both"/>
              <w:rPr>
                <w:b/>
                <w:color w:val="000000"/>
              </w:rPr>
            </w:pPr>
            <w:r w:rsidRPr="00C63DC6">
              <w:rPr>
                <w:b/>
                <w:color w:val="000000"/>
              </w:rPr>
              <w:t> </w:t>
            </w:r>
          </w:p>
        </w:tc>
        <w:tc>
          <w:tcPr>
            <w:tcW w:w="5664" w:type="dxa"/>
            <w:gridSpan w:val="4"/>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14:paraId="5A5404F1" w14:textId="2BC01DE1" w:rsidR="007F3656" w:rsidRPr="00C63DC6" w:rsidRDefault="003323DF" w:rsidP="003323DF">
            <w:pPr>
              <w:jc w:val="center"/>
              <w:rPr>
                <w:b/>
                <w:bCs/>
                <w:color w:val="000000"/>
              </w:rPr>
            </w:pPr>
            <w:r w:rsidRPr="00C63DC6">
              <w:rPr>
                <w:b/>
                <w:bCs/>
                <w:color w:val="000000"/>
              </w:rPr>
              <w:t>2018</w:t>
            </w:r>
            <w:r w:rsidR="007F3656" w:rsidRPr="00C63DC6">
              <w:rPr>
                <w:b/>
                <w:bCs/>
                <w:color w:val="000000"/>
              </w:rPr>
              <w:t>.gads</w:t>
            </w:r>
          </w:p>
        </w:tc>
      </w:tr>
      <w:tr w:rsidR="003323DF" w:rsidRPr="00C63DC6" w14:paraId="6173FB89" w14:textId="77777777" w:rsidTr="003323DF">
        <w:trPr>
          <w:trHeight w:val="300"/>
        </w:trPr>
        <w:tc>
          <w:tcPr>
            <w:tcW w:w="3539" w:type="dxa"/>
            <w:vMerge/>
            <w:tcBorders>
              <w:left w:val="single" w:sz="4" w:space="0" w:color="auto"/>
              <w:right w:val="single" w:sz="4" w:space="0" w:color="auto"/>
            </w:tcBorders>
            <w:shd w:val="clear" w:color="auto" w:fill="C2D69B" w:themeFill="accent3" w:themeFillTint="99"/>
            <w:vAlign w:val="center"/>
            <w:hideMark/>
          </w:tcPr>
          <w:p w14:paraId="325D6BC4" w14:textId="77777777" w:rsidR="003323DF" w:rsidRPr="00C63DC6" w:rsidRDefault="003323DF" w:rsidP="005413F1">
            <w:pPr>
              <w:jc w:val="both"/>
              <w:rPr>
                <w:b/>
                <w:color w:val="000000"/>
              </w:rPr>
            </w:pPr>
          </w:p>
        </w:tc>
        <w:tc>
          <w:tcPr>
            <w:tcW w:w="1421" w:type="dxa"/>
            <w:tcBorders>
              <w:top w:val="nil"/>
              <w:left w:val="nil"/>
              <w:bottom w:val="nil"/>
              <w:right w:val="single" w:sz="4" w:space="0" w:color="auto"/>
            </w:tcBorders>
            <w:shd w:val="clear" w:color="auto" w:fill="C2D69B" w:themeFill="accent3" w:themeFillTint="99"/>
            <w:noWrap/>
            <w:vAlign w:val="bottom"/>
            <w:hideMark/>
          </w:tcPr>
          <w:p w14:paraId="44FC004A" w14:textId="77777777" w:rsidR="003323DF" w:rsidRPr="00C63DC6" w:rsidRDefault="003323DF" w:rsidP="005413F1">
            <w:pPr>
              <w:jc w:val="both"/>
              <w:rPr>
                <w:b/>
                <w:color w:val="000000"/>
              </w:rPr>
            </w:pPr>
            <w:r w:rsidRPr="00C63DC6">
              <w:rPr>
                <w:b/>
                <w:color w:val="000000"/>
              </w:rPr>
              <w:t>Būvdarbi</w:t>
            </w:r>
          </w:p>
        </w:tc>
        <w:tc>
          <w:tcPr>
            <w:tcW w:w="1556" w:type="dxa"/>
            <w:tcBorders>
              <w:top w:val="nil"/>
              <w:left w:val="nil"/>
              <w:bottom w:val="nil"/>
              <w:right w:val="single" w:sz="4" w:space="0" w:color="auto"/>
            </w:tcBorders>
            <w:shd w:val="clear" w:color="auto" w:fill="C2D69B" w:themeFill="accent3" w:themeFillTint="99"/>
            <w:noWrap/>
            <w:vAlign w:val="bottom"/>
            <w:hideMark/>
          </w:tcPr>
          <w:p w14:paraId="12A3F8AB" w14:textId="77777777" w:rsidR="003323DF" w:rsidRPr="00C63DC6" w:rsidRDefault="003323DF" w:rsidP="005413F1">
            <w:pPr>
              <w:jc w:val="both"/>
              <w:rPr>
                <w:b/>
                <w:color w:val="000000"/>
              </w:rPr>
            </w:pPr>
            <w:r w:rsidRPr="00C63DC6">
              <w:rPr>
                <w:b/>
                <w:color w:val="000000"/>
              </w:rPr>
              <w:t>Piegāde</w:t>
            </w:r>
          </w:p>
        </w:tc>
        <w:tc>
          <w:tcPr>
            <w:tcW w:w="1537" w:type="dxa"/>
            <w:tcBorders>
              <w:top w:val="nil"/>
              <w:left w:val="nil"/>
              <w:bottom w:val="nil"/>
              <w:right w:val="single" w:sz="4" w:space="0" w:color="auto"/>
            </w:tcBorders>
            <w:shd w:val="clear" w:color="auto" w:fill="C2D69B" w:themeFill="accent3" w:themeFillTint="99"/>
            <w:noWrap/>
            <w:vAlign w:val="bottom"/>
            <w:hideMark/>
          </w:tcPr>
          <w:p w14:paraId="1B7079EC" w14:textId="77777777" w:rsidR="003323DF" w:rsidRPr="00C63DC6" w:rsidRDefault="003323DF" w:rsidP="005413F1">
            <w:pPr>
              <w:jc w:val="both"/>
              <w:rPr>
                <w:b/>
                <w:color w:val="000000"/>
              </w:rPr>
            </w:pPr>
            <w:r w:rsidRPr="00C63DC6">
              <w:rPr>
                <w:b/>
                <w:color w:val="000000"/>
              </w:rPr>
              <w:t>Pakalpojumi</w:t>
            </w:r>
          </w:p>
        </w:tc>
        <w:tc>
          <w:tcPr>
            <w:tcW w:w="1150" w:type="dxa"/>
            <w:tcBorders>
              <w:top w:val="nil"/>
              <w:left w:val="nil"/>
              <w:bottom w:val="nil"/>
              <w:right w:val="single" w:sz="4" w:space="0" w:color="auto"/>
            </w:tcBorders>
            <w:shd w:val="clear" w:color="auto" w:fill="C2D69B" w:themeFill="accent3" w:themeFillTint="99"/>
            <w:vAlign w:val="bottom"/>
          </w:tcPr>
          <w:p w14:paraId="37876D2C" w14:textId="4944FE63" w:rsidR="003323DF" w:rsidRPr="00C63DC6" w:rsidRDefault="003323DF" w:rsidP="005413F1">
            <w:pPr>
              <w:jc w:val="both"/>
              <w:rPr>
                <w:b/>
                <w:color w:val="000000"/>
              </w:rPr>
            </w:pPr>
            <w:r w:rsidRPr="00C63DC6">
              <w:rPr>
                <w:b/>
                <w:color w:val="000000"/>
              </w:rPr>
              <w:t>ZPI īpatsvars</w:t>
            </w:r>
          </w:p>
        </w:tc>
      </w:tr>
      <w:tr w:rsidR="003323DF" w:rsidRPr="00C63DC6" w14:paraId="0AA99D6F" w14:textId="77777777" w:rsidTr="003323DF">
        <w:trPr>
          <w:trHeight w:val="300"/>
        </w:trPr>
        <w:tc>
          <w:tcPr>
            <w:tcW w:w="3539" w:type="dxa"/>
            <w:vMerge/>
            <w:tcBorders>
              <w:left w:val="single" w:sz="4" w:space="0" w:color="auto"/>
              <w:bottom w:val="single" w:sz="4" w:space="0" w:color="auto"/>
              <w:right w:val="single" w:sz="4" w:space="0" w:color="auto"/>
            </w:tcBorders>
            <w:shd w:val="clear" w:color="auto" w:fill="C2D69B" w:themeFill="accent3" w:themeFillTint="99"/>
            <w:noWrap/>
            <w:vAlign w:val="bottom"/>
            <w:hideMark/>
          </w:tcPr>
          <w:p w14:paraId="3985ACB5" w14:textId="77777777" w:rsidR="003323DF" w:rsidRPr="00C63DC6" w:rsidRDefault="003323DF" w:rsidP="005413F1">
            <w:pPr>
              <w:jc w:val="both"/>
              <w:rPr>
                <w:color w:val="000000"/>
              </w:rPr>
            </w:pPr>
          </w:p>
        </w:tc>
        <w:tc>
          <w:tcPr>
            <w:tcW w:w="1421" w:type="dxa"/>
            <w:tcBorders>
              <w:top w:val="nil"/>
              <w:left w:val="nil"/>
              <w:bottom w:val="single" w:sz="4" w:space="0" w:color="auto"/>
              <w:right w:val="single" w:sz="4" w:space="0" w:color="auto"/>
            </w:tcBorders>
            <w:shd w:val="clear" w:color="auto" w:fill="C2D69B" w:themeFill="accent3" w:themeFillTint="99"/>
            <w:noWrap/>
            <w:vAlign w:val="bottom"/>
            <w:hideMark/>
          </w:tcPr>
          <w:p w14:paraId="583F71D8" w14:textId="77777777" w:rsidR="003323DF" w:rsidRPr="00C63DC6" w:rsidRDefault="003323DF" w:rsidP="005413F1">
            <w:pPr>
              <w:jc w:val="both"/>
              <w:rPr>
                <w:color w:val="000000"/>
              </w:rPr>
            </w:pPr>
            <w:r w:rsidRPr="00C63DC6">
              <w:rPr>
                <w:color w:val="000000"/>
              </w:rPr>
              <w:t> </w:t>
            </w:r>
          </w:p>
        </w:tc>
        <w:tc>
          <w:tcPr>
            <w:tcW w:w="1556" w:type="dxa"/>
            <w:tcBorders>
              <w:top w:val="nil"/>
              <w:left w:val="nil"/>
              <w:bottom w:val="single" w:sz="4" w:space="0" w:color="auto"/>
              <w:right w:val="single" w:sz="4" w:space="0" w:color="auto"/>
            </w:tcBorders>
            <w:shd w:val="clear" w:color="auto" w:fill="C2D69B" w:themeFill="accent3" w:themeFillTint="99"/>
            <w:noWrap/>
            <w:vAlign w:val="bottom"/>
            <w:hideMark/>
          </w:tcPr>
          <w:p w14:paraId="14FF605C" w14:textId="77777777" w:rsidR="003323DF" w:rsidRPr="00C63DC6" w:rsidRDefault="003323DF" w:rsidP="005413F1">
            <w:pPr>
              <w:jc w:val="both"/>
              <w:rPr>
                <w:color w:val="000000"/>
              </w:rPr>
            </w:pPr>
            <w:r w:rsidRPr="00C63DC6">
              <w:rPr>
                <w:color w:val="000000"/>
              </w:rPr>
              <w:t> </w:t>
            </w:r>
          </w:p>
        </w:tc>
        <w:tc>
          <w:tcPr>
            <w:tcW w:w="1537" w:type="dxa"/>
            <w:tcBorders>
              <w:top w:val="nil"/>
              <w:left w:val="nil"/>
              <w:bottom w:val="single" w:sz="4" w:space="0" w:color="auto"/>
              <w:right w:val="single" w:sz="4" w:space="0" w:color="auto"/>
            </w:tcBorders>
            <w:shd w:val="clear" w:color="auto" w:fill="C2D69B" w:themeFill="accent3" w:themeFillTint="99"/>
            <w:noWrap/>
            <w:vAlign w:val="bottom"/>
            <w:hideMark/>
          </w:tcPr>
          <w:p w14:paraId="058ED87D" w14:textId="77777777" w:rsidR="003323DF" w:rsidRPr="00C63DC6" w:rsidRDefault="003323DF" w:rsidP="005413F1">
            <w:pPr>
              <w:jc w:val="both"/>
              <w:rPr>
                <w:color w:val="000000"/>
              </w:rPr>
            </w:pPr>
            <w:r w:rsidRPr="00C63DC6">
              <w:rPr>
                <w:color w:val="000000"/>
              </w:rPr>
              <w:t> </w:t>
            </w:r>
          </w:p>
        </w:tc>
        <w:tc>
          <w:tcPr>
            <w:tcW w:w="1150" w:type="dxa"/>
            <w:tcBorders>
              <w:top w:val="nil"/>
              <w:left w:val="nil"/>
              <w:bottom w:val="single" w:sz="4" w:space="0" w:color="auto"/>
              <w:right w:val="single" w:sz="4" w:space="0" w:color="auto"/>
            </w:tcBorders>
            <w:shd w:val="clear" w:color="auto" w:fill="C2D69B" w:themeFill="accent3" w:themeFillTint="99"/>
            <w:vAlign w:val="bottom"/>
          </w:tcPr>
          <w:p w14:paraId="24206AB0" w14:textId="480F1469" w:rsidR="003323DF" w:rsidRPr="00C63DC6" w:rsidRDefault="003323DF" w:rsidP="005413F1">
            <w:pPr>
              <w:jc w:val="both"/>
              <w:rPr>
                <w:color w:val="000000"/>
              </w:rPr>
            </w:pPr>
          </w:p>
        </w:tc>
      </w:tr>
      <w:tr w:rsidR="003323DF" w:rsidRPr="00C63DC6" w14:paraId="7F470680" w14:textId="77777777" w:rsidTr="003323DF">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74C8C038" w14:textId="09372900" w:rsidR="003323DF" w:rsidRPr="00C63DC6" w:rsidRDefault="003323DF" w:rsidP="005413F1">
            <w:pPr>
              <w:jc w:val="both"/>
              <w:rPr>
                <w:b/>
                <w:color w:val="000000"/>
              </w:rPr>
            </w:pPr>
            <w:r w:rsidRPr="00C63DC6">
              <w:rPr>
                <w:b/>
                <w:color w:val="000000"/>
              </w:rPr>
              <w:t>Kopējais publikāciju skaits</w:t>
            </w:r>
          </w:p>
        </w:tc>
        <w:tc>
          <w:tcPr>
            <w:tcW w:w="1421" w:type="dxa"/>
            <w:tcBorders>
              <w:top w:val="nil"/>
              <w:left w:val="nil"/>
              <w:bottom w:val="single" w:sz="4" w:space="0" w:color="auto"/>
              <w:right w:val="single" w:sz="4" w:space="0" w:color="auto"/>
            </w:tcBorders>
            <w:shd w:val="clear" w:color="auto" w:fill="auto"/>
            <w:vAlign w:val="bottom"/>
          </w:tcPr>
          <w:p w14:paraId="54831EC7" w14:textId="242CA0B8" w:rsidR="003323DF" w:rsidRPr="00C63DC6" w:rsidRDefault="003323DF" w:rsidP="003323DF">
            <w:pPr>
              <w:jc w:val="center"/>
              <w:rPr>
                <w:color w:val="000000"/>
              </w:rPr>
            </w:pPr>
            <w:r w:rsidRPr="00C63DC6">
              <w:rPr>
                <w:color w:val="000000"/>
              </w:rPr>
              <w:t>42</w:t>
            </w:r>
          </w:p>
        </w:tc>
        <w:tc>
          <w:tcPr>
            <w:tcW w:w="1556" w:type="dxa"/>
            <w:tcBorders>
              <w:top w:val="nil"/>
              <w:left w:val="nil"/>
              <w:bottom w:val="single" w:sz="4" w:space="0" w:color="auto"/>
              <w:right w:val="single" w:sz="4" w:space="0" w:color="auto"/>
            </w:tcBorders>
            <w:shd w:val="clear" w:color="auto" w:fill="auto"/>
            <w:vAlign w:val="bottom"/>
          </w:tcPr>
          <w:p w14:paraId="45408AA4" w14:textId="5F1E83C4" w:rsidR="003323DF" w:rsidRPr="00C63DC6" w:rsidRDefault="003323DF" w:rsidP="003323DF">
            <w:pPr>
              <w:jc w:val="center"/>
              <w:rPr>
                <w:color w:val="000000"/>
              </w:rPr>
            </w:pPr>
            <w:r w:rsidRPr="00C63DC6">
              <w:rPr>
                <w:color w:val="000000"/>
              </w:rPr>
              <w:t>79</w:t>
            </w:r>
          </w:p>
        </w:tc>
        <w:tc>
          <w:tcPr>
            <w:tcW w:w="1537" w:type="dxa"/>
            <w:tcBorders>
              <w:top w:val="nil"/>
              <w:left w:val="nil"/>
              <w:bottom w:val="single" w:sz="4" w:space="0" w:color="auto"/>
              <w:right w:val="single" w:sz="4" w:space="0" w:color="auto"/>
            </w:tcBorders>
            <w:shd w:val="clear" w:color="auto" w:fill="auto"/>
            <w:vAlign w:val="bottom"/>
          </w:tcPr>
          <w:p w14:paraId="0998DAD0" w14:textId="77777777" w:rsidR="003323DF" w:rsidRPr="00C63DC6" w:rsidRDefault="003323DF" w:rsidP="003323DF">
            <w:pPr>
              <w:jc w:val="center"/>
              <w:rPr>
                <w:color w:val="000000"/>
              </w:rPr>
            </w:pPr>
            <w:r w:rsidRPr="00C63DC6">
              <w:rPr>
                <w:color w:val="000000"/>
              </w:rPr>
              <w:t>43</w:t>
            </w:r>
          </w:p>
        </w:tc>
        <w:tc>
          <w:tcPr>
            <w:tcW w:w="1150" w:type="dxa"/>
            <w:vMerge w:val="restart"/>
            <w:tcBorders>
              <w:top w:val="nil"/>
              <w:left w:val="nil"/>
              <w:right w:val="single" w:sz="4" w:space="0" w:color="auto"/>
            </w:tcBorders>
            <w:shd w:val="clear" w:color="auto" w:fill="auto"/>
            <w:vAlign w:val="center"/>
          </w:tcPr>
          <w:p w14:paraId="581380F4" w14:textId="3CC1ED0B" w:rsidR="003323DF" w:rsidRPr="00C63DC6" w:rsidRDefault="003323DF" w:rsidP="003323DF">
            <w:pPr>
              <w:jc w:val="center"/>
              <w:rPr>
                <w:b/>
                <w:color w:val="000000"/>
              </w:rPr>
            </w:pPr>
            <w:r w:rsidRPr="00C63DC6">
              <w:rPr>
                <w:b/>
                <w:color w:val="000000"/>
              </w:rPr>
              <w:t>10,4%</w:t>
            </w:r>
          </w:p>
        </w:tc>
      </w:tr>
      <w:tr w:rsidR="003323DF" w:rsidRPr="00C63DC6" w14:paraId="249D948A" w14:textId="77777777" w:rsidTr="003323DF">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26351BE3" w14:textId="3183FC4A" w:rsidR="003323DF" w:rsidRPr="00C63DC6" w:rsidRDefault="003323DF" w:rsidP="005413F1">
            <w:pPr>
              <w:jc w:val="both"/>
              <w:rPr>
                <w:color w:val="000000"/>
              </w:rPr>
            </w:pPr>
            <w:r w:rsidRPr="00C63DC6">
              <w:rPr>
                <w:color w:val="000000"/>
              </w:rPr>
              <w:t>t.sk.</w:t>
            </w:r>
          </w:p>
        </w:tc>
        <w:tc>
          <w:tcPr>
            <w:tcW w:w="1421" w:type="dxa"/>
            <w:tcBorders>
              <w:top w:val="nil"/>
              <w:left w:val="nil"/>
              <w:bottom w:val="single" w:sz="4" w:space="0" w:color="auto"/>
              <w:right w:val="single" w:sz="4" w:space="0" w:color="auto"/>
            </w:tcBorders>
            <w:shd w:val="clear" w:color="auto" w:fill="auto"/>
            <w:vAlign w:val="bottom"/>
          </w:tcPr>
          <w:p w14:paraId="5E7B9806" w14:textId="77777777" w:rsidR="003323DF" w:rsidRPr="00C63DC6" w:rsidRDefault="003323DF" w:rsidP="003323DF">
            <w:pPr>
              <w:jc w:val="center"/>
              <w:rPr>
                <w:color w:val="000000"/>
              </w:rPr>
            </w:pPr>
          </w:p>
        </w:tc>
        <w:tc>
          <w:tcPr>
            <w:tcW w:w="1556" w:type="dxa"/>
            <w:tcBorders>
              <w:top w:val="nil"/>
              <w:left w:val="nil"/>
              <w:bottom w:val="single" w:sz="4" w:space="0" w:color="auto"/>
              <w:right w:val="single" w:sz="4" w:space="0" w:color="auto"/>
            </w:tcBorders>
            <w:shd w:val="clear" w:color="auto" w:fill="auto"/>
            <w:vAlign w:val="bottom"/>
          </w:tcPr>
          <w:p w14:paraId="4683FFBC" w14:textId="77777777" w:rsidR="003323DF" w:rsidRPr="00C63DC6" w:rsidRDefault="003323DF" w:rsidP="003323DF">
            <w:pPr>
              <w:jc w:val="center"/>
              <w:rPr>
                <w:color w:val="000000"/>
              </w:rPr>
            </w:pPr>
          </w:p>
        </w:tc>
        <w:tc>
          <w:tcPr>
            <w:tcW w:w="1537" w:type="dxa"/>
            <w:tcBorders>
              <w:top w:val="nil"/>
              <w:left w:val="nil"/>
              <w:bottom w:val="single" w:sz="4" w:space="0" w:color="auto"/>
              <w:right w:val="single" w:sz="4" w:space="0" w:color="auto"/>
            </w:tcBorders>
            <w:shd w:val="clear" w:color="auto" w:fill="auto"/>
            <w:vAlign w:val="bottom"/>
          </w:tcPr>
          <w:p w14:paraId="30ADAE56" w14:textId="77777777" w:rsidR="003323DF" w:rsidRPr="00C63DC6" w:rsidRDefault="003323DF" w:rsidP="003323DF">
            <w:pPr>
              <w:jc w:val="center"/>
              <w:rPr>
                <w:b/>
                <w:color w:val="000000"/>
              </w:rPr>
            </w:pPr>
          </w:p>
        </w:tc>
        <w:tc>
          <w:tcPr>
            <w:tcW w:w="1150" w:type="dxa"/>
            <w:vMerge/>
            <w:tcBorders>
              <w:left w:val="nil"/>
              <w:right w:val="single" w:sz="4" w:space="0" w:color="auto"/>
            </w:tcBorders>
            <w:shd w:val="clear" w:color="auto" w:fill="auto"/>
            <w:vAlign w:val="bottom"/>
          </w:tcPr>
          <w:p w14:paraId="50F6BC2B" w14:textId="2943FF81" w:rsidR="003323DF" w:rsidRPr="00C63DC6" w:rsidRDefault="003323DF" w:rsidP="003323DF">
            <w:pPr>
              <w:jc w:val="center"/>
              <w:rPr>
                <w:b/>
                <w:color w:val="000000"/>
              </w:rPr>
            </w:pPr>
          </w:p>
        </w:tc>
      </w:tr>
      <w:tr w:rsidR="003323DF" w:rsidRPr="00C63DC6" w14:paraId="7CDBDAE3" w14:textId="77777777" w:rsidTr="003323DF">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595BEB12" w14:textId="7B3AA8E3" w:rsidR="003323DF" w:rsidRPr="00C63DC6" w:rsidRDefault="003323DF" w:rsidP="003323DF">
            <w:pPr>
              <w:jc w:val="both"/>
              <w:rPr>
                <w:b/>
                <w:color w:val="000000"/>
              </w:rPr>
            </w:pPr>
            <w:r w:rsidRPr="00C63DC6">
              <w:rPr>
                <w:b/>
                <w:color w:val="000000"/>
              </w:rPr>
              <w:t>Publikāciju skaits ar norādi par ZPI</w:t>
            </w:r>
          </w:p>
        </w:tc>
        <w:tc>
          <w:tcPr>
            <w:tcW w:w="1421" w:type="dxa"/>
            <w:tcBorders>
              <w:top w:val="nil"/>
              <w:left w:val="nil"/>
              <w:bottom w:val="single" w:sz="4" w:space="0" w:color="auto"/>
              <w:right w:val="single" w:sz="4" w:space="0" w:color="auto"/>
            </w:tcBorders>
            <w:shd w:val="clear" w:color="auto" w:fill="auto"/>
            <w:vAlign w:val="bottom"/>
          </w:tcPr>
          <w:p w14:paraId="3655F0B3" w14:textId="4D9D148A" w:rsidR="003323DF" w:rsidRPr="00C63DC6" w:rsidRDefault="003323DF" w:rsidP="003323DF">
            <w:pPr>
              <w:jc w:val="center"/>
              <w:rPr>
                <w:color w:val="000000"/>
              </w:rPr>
            </w:pPr>
            <w:r w:rsidRPr="00C63DC6">
              <w:rPr>
                <w:color w:val="000000"/>
              </w:rPr>
              <w:t>3</w:t>
            </w:r>
          </w:p>
        </w:tc>
        <w:tc>
          <w:tcPr>
            <w:tcW w:w="1556" w:type="dxa"/>
            <w:tcBorders>
              <w:top w:val="nil"/>
              <w:left w:val="nil"/>
              <w:bottom w:val="single" w:sz="4" w:space="0" w:color="auto"/>
              <w:right w:val="single" w:sz="4" w:space="0" w:color="auto"/>
            </w:tcBorders>
            <w:shd w:val="clear" w:color="auto" w:fill="auto"/>
            <w:vAlign w:val="bottom"/>
          </w:tcPr>
          <w:p w14:paraId="19FFD0BB" w14:textId="1E29E18E" w:rsidR="003323DF" w:rsidRPr="00C63DC6" w:rsidRDefault="003323DF" w:rsidP="003323DF">
            <w:pPr>
              <w:jc w:val="center"/>
              <w:rPr>
                <w:color w:val="000000"/>
              </w:rPr>
            </w:pPr>
            <w:r w:rsidRPr="00C63DC6">
              <w:rPr>
                <w:color w:val="000000"/>
              </w:rPr>
              <w:t>12</w:t>
            </w:r>
          </w:p>
        </w:tc>
        <w:tc>
          <w:tcPr>
            <w:tcW w:w="1537" w:type="dxa"/>
            <w:tcBorders>
              <w:top w:val="nil"/>
              <w:left w:val="nil"/>
              <w:bottom w:val="single" w:sz="4" w:space="0" w:color="auto"/>
              <w:right w:val="single" w:sz="4" w:space="0" w:color="auto"/>
            </w:tcBorders>
            <w:shd w:val="clear" w:color="auto" w:fill="auto"/>
            <w:vAlign w:val="bottom"/>
          </w:tcPr>
          <w:p w14:paraId="123C2AD6" w14:textId="77777777" w:rsidR="003323DF" w:rsidRPr="00C63DC6" w:rsidRDefault="003323DF" w:rsidP="003323DF">
            <w:pPr>
              <w:jc w:val="center"/>
              <w:rPr>
                <w:color w:val="000000"/>
              </w:rPr>
            </w:pPr>
            <w:r w:rsidRPr="00C63DC6">
              <w:rPr>
                <w:color w:val="000000"/>
              </w:rPr>
              <w:t>2</w:t>
            </w:r>
          </w:p>
        </w:tc>
        <w:tc>
          <w:tcPr>
            <w:tcW w:w="1150" w:type="dxa"/>
            <w:vMerge/>
            <w:tcBorders>
              <w:left w:val="nil"/>
              <w:bottom w:val="single" w:sz="4" w:space="0" w:color="auto"/>
              <w:right w:val="single" w:sz="4" w:space="0" w:color="auto"/>
            </w:tcBorders>
            <w:shd w:val="clear" w:color="auto" w:fill="auto"/>
            <w:vAlign w:val="bottom"/>
          </w:tcPr>
          <w:p w14:paraId="05F75746" w14:textId="456D6EB0" w:rsidR="003323DF" w:rsidRPr="00C63DC6" w:rsidRDefault="003323DF" w:rsidP="003323DF">
            <w:pPr>
              <w:jc w:val="center"/>
              <w:rPr>
                <w:b/>
                <w:color w:val="000000"/>
              </w:rPr>
            </w:pPr>
          </w:p>
        </w:tc>
      </w:tr>
      <w:tr w:rsidR="003323DF" w:rsidRPr="00C63DC6" w14:paraId="00DF1721" w14:textId="77777777" w:rsidTr="003323DF">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8096758" w14:textId="77777777" w:rsidR="003323DF" w:rsidRPr="00C63DC6" w:rsidRDefault="003323DF" w:rsidP="005413F1">
            <w:pPr>
              <w:jc w:val="both"/>
              <w:rPr>
                <w:color w:val="000000"/>
              </w:rPr>
            </w:pPr>
            <w:r w:rsidRPr="00C63DC6">
              <w:rPr>
                <w:b/>
                <w:color w:val="000000"/>
              </w:rPr>
              <w:t>Kopējā līgumcena EUR (bez PVN)</w:t>
            </w:r>
          </w:p>
        </w:tc>
        <w:tc>
          <w:tcPr>
            <w:tcW w:w="1421" w:type="dxa"/>
            <w:tcBorders>
              <w:top w:val="nil"/>
              <w:left w:val="nil"/>
              <w:bottom w:val="single" w:sz="4" w:space="0" w:color="auto"/>
              <w:right w:val="single" w:sz="4" w:space="0" w:color="auto"/>
            </w:tcBorders>
            <w:shd w:val="clear" w:color="auto" w:fill="auto"/>
            <w:vAlign w:val="bottom"/>
            <w:hideMark/>
          </w:tcPr>
          <w:p w14:paraId="0BCE6168" w14:textId="087249B0" w:rsidR="003323DF" w:rsidRPr="00C63DC6" w:rsidRDefault="003323DF" w:rsidP="005413F1">
            <w:pPr>
              <w:jc w:val="both"/>
              <w:rPr>
                <w:color w:val="000000"/>
              </w:rPr>
            </w:pPr>
            <w:r w:rsidRPr="00C63DC6">
              <w:rPr>
                <w:color w:val="000000"/>
              </w:rPr>
              <w:t>181 512 726</w:t>
            </w:r>
          </w:p>
        </w:tc>
        <w:tc>
          <w:tcPr>
            <w:tcW w:w="1556" w:type="dxa"/>
            <w:tcBorders>
              <w:top w:val="nil"/>
              <w:left w:val="nil"/>
              <w:bottom w:val="single" w:sz="4" w:space="0" w:color="auto"/>
              <w:right w:val="single" w:sz="4" w:space="0" w:color="auto"/>
            </w:tcBorders>
            <w:shd w:val="clear" w:color="auto" w:fill="auto"/>
            <w:vAlign w:val="bottom"/>
            <w:hideMark/>
          </w:tcPr>
          <w:p w14:paraId="077B7C5F" w14:textId="757790D7" w:rsidR="003323DF" w:rsidRPr="00C63DC6" w:rsidRDefault="003323DF" w:rsidP="005413F1">
            <w:pPr>
              <w:jc w:val="both"/>
              <w:rPr>
                <w:color w:val="000000"/>
              </w:rPr>
            </w:pPr>
            <w:r w:rsidRPr="00C63DC6">
              <w:rPr>
                <w:color w:val="000000"/>
              </w:rPr>
              <w:t>118 772 385</w:t>
            </w:r>
          </w:p>
        </w:tc>
        <w:tc>
          <w:tcPr>
            <w:tcW w:w="1537" w:type="dxa"/>
            <w:tcBorders>
              <w:top w:val="nil"/>
              <w:left w:val="nil"/>
              <w:bottom w:val="single" w:sz="4" w:space="0" w:color="auto"/>
              <w:right w:val="single" w:sz="4" w:space="0" w:color="auto"/>
            </w:tcBorders>
            <w:shd w:val="clear" w:color="auto" w:fill="auto"/>
            <w:vAlign w:val="bottom"/>
            <w:hideMark/>
          </w:tcPr>
          <w:p w14:paraId="04B240D2" w14:textId="77777777" w:rsidR="003323DF" w:rsidRPr="00C63DC6" w:rsidRDefault="003323DF" w:rsidP="005413F1">
            <w:pPr>
              <w:jc w:val="both"/>
              <w:rPr>
                <w:color w:val="000000"/>
              </w:rPr>
            </w:pPr>
            <w:r w:rsidRPr="00C63DC6">
              <w:rPr>
                <w:color w:val="000000"/>
              </w:rPr>
              <w:t>130 994 071</w:t>
            </w:r>
          </w:p>
        </w:tc>
        <w:tc>
          <w:tcPr>
            <w:tcW w:w="1150" w:type="dxa"/>
            <w:vMerge w:val="restart"/>
            <w:tcBorders>
              <w:top w:val="nil"/>
              <w:left w:val="nil"/>
              <w:right w:val="single" w:sz="4" w:space="0" w:color="auto"/>
            </w:tcBorders>
            <w:shd w:val="clear" w:color="auto" w:fill="auto"/>
            <w:vAlign w:val="center"/>
          </w:tcPr>
          <w:p w14:paraId="275EF4B9" w14:textId="32A53CBE" w:rsidR="003323DF" w:rsidRPr="00C63DC6" w:rsidRDefault="003323DF" w:rsidP="003323DF">
            <w:pPr>
              <w:jc w:val="center"/>
              <w:rPr>
                <w:b/>
                <w:color w:val="000000"/>
              </w:rPr>
            </w:pPr>
            <w:r w:rsidRPr="00C63DC6">
              <w:rPr>
                <w:b/>
                <w:color w:val="000000"/>
              </w:rPr>
              <w:t>24,8%</w:t>
            </w:r>
          </w:p>
        </w:tc>
      </w:tr>
      <w:tr w:rsidR="003323DF" w:rsidRPr="00C63DC6" w14:paraId="33A3E330" w14:textId="77777777" w:rsidTr="003323DF">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9871021" w14:textId="77777777" w:rsidR="003323DF" w:rsidRPr="00C63DC6" w:rsidRDefault="003323DF" w:rsidP="005413F1">
            <w:pPr>
              <w:jc w:val="both"/>
              <w:rPr>
                <w:color w:val="000000"/>
              </w:rPr>
            </w:pPr>
            <w:r w:rsidRPr="00C63DC6">
              <w:rPr>
                <w:color w:val="000000"/>
              </w:rPr>
              <w:t>t.sk.</w:t>
            </w:r>
          </w:p>
        </w:tc>
        <w:tc>
          <w:tcPr>
            <w:tcW w:w="1421" w:type="dxa"/>
            <w:tcBorders>
              <w:top w:val="nil"/>
              <w:left w:val="nil"/>
              <w:bottom w:val="single" w:sz="4" w:space="0" w:color="auto"/>
              <w:right w:val="single" w:sz="4" w:space="0" w:color="auto"/>
            </w:tcBorders>
            <w:shd w:val="clear" w:color="auto" w:fill="auto"/>
            <w:vAlign w:val="bottom"/>
            <w:hideMark/>
          </w:tcPr>
          <w:p w14:paraId="1D826BE0" w14:textId="77777777" w:rsidR="003323DF" w:rsidRPr="00C63DC6" w:rsidRDefault="003323DF" w:rsidP="005413F1">
            <w:pPr>
              <w:jc w:val="both"/>
              <w:rPr>
                <w:color w:val="000000"/>
              </w:rPr>
            </w:pPr>
            <w:r w:rsidRPr="00C63DC6">
              <w:rPr>
                <w:color w:val="000000"/>
              </w:rPr>
              <w:t> </w:t>
            </w:r>
          </w:p>
        </w:tc>
        <w:tc>
          <w:tcPr>
            <w:tcW w:w="1556" w:type="dxa"/>
            <w:tcBorders>
              <w:top w:val="nil"/>
              <w:left w:val="nil"/>
              <w:bottom w:val="single" w:sz="4" w:space="0" w:color="auto"/>
              <w:right w:val="single" w:sz="4" w:space="0" w:color="auto"/>
            </w:tcBorders>
            <w:shd w:val="clear" w:color="auto" w:fill="auto"/>
            <w:vAlign w:val="bottom"/>
            <w:hideMark/>
          </w:tcPr>
          <w:p w14:paraId="2F7143F5" w14:textId="77777777" w:rsidR="003323DF" w:rsidRPr="00C63DC6" w:rsidRDefault="003323DF" w:rsidP="005413F1">
            <w:pPr>
              <w:jc w:val="both"/>
              <w:rPr>
                <w:color w:val="000000"/>
              </w:rPr>
            </w:pPr>
            <w:r w:rsidRPr="00C63DC6">
              <w:rPr>
                <w:color w:val="000000"/>
              </w:rPr>
              <w:t> </w:t>
            </w:r>
          </w:p>
        </w:tc>
        <w:tc>
          <w:tcPr>
            <w:tcW w:w="1537" w:type="dxa"/>
            <w:tcBorders>
              <w:top w:val="nil"/>
              <w:left w:val="nil"/>
              <w:bottom w:val="single" w:sz="4" w:space="0" w:color="auto"/>
              <w:right w:val="single" w:sz="4" w:space="0" w:color="auto"/>
            </w:tcBorders>
            <w:shd w:val="clear" w:color="auto" w:fill="auto"/>
            <w:vAlign w:val="bottom"/>
            <w:hideMark/>
          </w:tcPr>
          <w:p w14:paraId="7E6D7B93" w14:textId="77777777" w:rsidR="003323DF" w:rsidRPr="00C63DC6" w:rsidRDefault="003323DF" w:rsidP="005413F1">
            <w:pPr>
              <w:jc w:val="both"/>
              <w:rPr>
                <w:b/>
                <w:color w:val="000000"/>
              </w:rPr>
            </w:pPr>
            <w:r w:rsidRPr="00C63DC6">
              <w:rPr>
                <w:b/>
                <w:color w:val="000000"/>
              </w:rPr>
              <w:t> </w:t>
            </w:r>
          </w:p>
        </w:tc>
        <w:tc>
          <w:tcPr>
            <w:tcW w:w="1150" w:type="dxa"/>
            <w:vMerge/>
            <w:tcBorders>
              <w:left w:val="nil"/>
              <w:right w:val="single" w:sz="4" w:space="0" w:color="auto"/>
            </w:tcBorders>
            <w:shd w:val="clear" w:color="auto" w:fill="auto"/>
            <w:vAlign w:val="bottom"/>
          </w:tcPr>
          <w:p w14:paraId="2748EC74" w14:textId="7AEA0277" w:rsidR="003323DF" w:rsidRPr="00C63DC6" w:rsidRDefault="003323DF" w:rsidP="005413F1">
            <w:pPr>
              <w:jc w:val="both"/>
              <w:rPr>
                <w:b/>
                <w:color w:val="000000"/>
              </w:rPr>
            </w:pPr>
          </w:p>
        </w:tc>
      </w:tr>
      <w:tr w:rsidR="003323DF" w:rsidRPr="00C63DC6" w14:paraId="15DE19D8" w14:textId="77777777" w:rsidTr="003323DF">
        <w:trPr>
          <w:trHeight w:val="600"/>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314F7DBF" w14:textId="77777777" w:rsidR="003323DF" w:rsidRPr="00C63DC6" w:rsidRDefault="003323DF" w:rsidP="005413F1">
            <w:pPr>
              <w:jc w:val="both"/>
              <w:rPr>
                <w:b/>
                <w:color w:val="000000"/>
              </w:rPr>
            </w:pPr>
            <w:r w:rsidRPr="00C63DC6">
              <w:rPr>
                <w:b/>
                <w:color w:val="000000"/>
              </w:rPr>
              <w:t>kopējā līgumcena EUR (bez PVN) ar norādi par ZPI</w:t>
            </w:r>
          </w:p>
        </w:tc>
        <w:tc>
          <w:tcPr>
            <w:tcW w:w="1421" w:type="dxa"/>
            <w:tcBorders>
              <w:top w:val="nil"/>
              <w:left w:val="nil"/>
              <w:bottom w:val="single" w:sz="4" w:space="0" w:color="auto"/>
              <w:right w:val="single" w:sz="4" w:space="0" w:color="auto"/>
            </w:tcBorders>
            <w:shd w:val="clear" w:color="auto" w:fill="auto"/>
            <w:vAlign w:val="bottom"/>
            <w:hideMark/>
          </w:tcPr>
          <w:p w14:paraId="5197C74A" w14:textId="4901D4E2" w:rsidR="003323DF" w:rsidRPr="00C63DC6" w:rsidRDefault="003323DF" w:rsidP="005413F1">
            <w:pPr>
              <w:jc w:val="both"/>
              <w:rPr>
                <w:color w:val="000000"/>
              </w:rPr>
            </w:pPr>
            <w:r w:rsidRPr="00C63DC6">
              <w:rPr>
                <w:color w:val="000000"/>
              </w:rPr>
              <w:t>90 002 879</w:t>
            </w:r>
          </w:p>
        </w:tc>
        <w:tc>
          <w:tcPr>
            <w:tcW w:w="1556" w:type="dxa"/>
            <w:tcBorders>
              <w:top w:val="nil"/>
              <w:left w:val="nil"/>
              <w:bottom w:val="single" w:sz="4" w:space="0" w:color="auto"/>
              <w:right w:val="single" w:sz="4" w:space="0" w:color="auto"/>
            </w:tcBorders>
            <w:shd w:val="clear" w:color="auto" w:fill="auto"/>
            <w:vAlign w:val="bottom"/>
            <w:hideMark/>
          </w:tcPr>
          <w:p w14:paraId="46C53B3C" w14:textId="402E2F97" w:rsidR="003323DF" w:rsidRPr="00C63DC6" w:rsidRDefault="003323DF" w:rsidP="005413F1">
            <w:pPr>
              <w:jc w:val="both"/>
              <w:rPr>
                <w:color w:val="000000"/>
              </w:rPr>
            </w:pPr>
            <w:r w:rsidRPr="00C63DC6">
              <w:rPr>
                <w:color w:val="000000"/>
              </w:rPr>
              <w:t>16 055 399</w:t>
            </w:r>
          </w:p>
        </w:tc>
        <w:tc>
          <w:tcPr>
            <w:tcW w:w="1537" w:type="dxa"/>
            <w:tcBorders>
              <w:top w:val="nil"/>
              <w:left w:val="nil"/>
              <w:bottom w:val="single" w:sz="4" w:space="0" w:color="auto"/>
              <w:right w:val="single" w:sz="4" w:space="0" w:color="auto"/>
            </w:tcBorders>
            <w:shd w:val="clear" w:color="auto" w:fill="auto"/>
            <w:vAlign w:val="bottom"/>
            <w:hideMark/>
          </w:tcPr>
          <w:p w14:paraId="25AD0D75" w14:textId="77777777" w:rsidR="003323DF" w:rsidRPr="00C63DC6" w:rsidRDefault="003323DF" w:rsidP="003323DF">
            <w:pPr>
              <w:jc w:val="center"/>
              <w:rPr>
                <w:color w:val="000000"/>
              </w:rPr>
            </w:pPr>
            <w:r w:rsidRPr="00C63DC6">
              <w:rPr>
                <w:color w:val="000000"/>
              </w:rPr>
              <w:t>836 000</w:t>
            </w:r>
          </w:p>
        </w:tc>
        <w:tc>
          <w:tcPr>
            <w:tcW w:w="1150" w:type="dxa"/>
            <w:vMerge/>
            <w:tcBorders>
              <w:left w:val="nil"/>
              <w:bottom w:val="single" w:sz="4" w:space="0" w:color="auto"/>
              <w:right w:val="single" w:sz="4" w:space="0" w:color="auto"/>
            </w:tcBorders>
            <w:shd w:val="clear" w:color="auto" w:fill="auto"/>
            <w:vAlign w:val="bottom"/>
          </w:tcPr>
          <w:p w14:paraId="6306C5C6" w14:textId="6E35EC09" w:rsidR="003323DF" w:rsidRPr="00C63DC6" w:rsidRDefault="003323DF" w:rsidP="005413F1">
            <w:pPr>
              <w:jc w:val="both"/>
              <w:rPr>
                <w:b/>
                <w:color w:val="000000"/>
              </w:rPr>
            </w:pPr>
          </w:p>
        </w:tc>
      </w:tr>
    </w:tbl>
    <w:p w14:paraId="04922FF1" w14:textId="119EB6ED" w:rsidR="00A300BA" w:rsidRPr="00C63DC6" w:rsidRDefault="00E4293F" w:rsidP="005413F1">
      <w:pPr>
        <w:pStyle w:val="NoSpacing"/>
        <w:jc w:val="both"/>
        <w:rPr>
          <w:bCs/>
          <w:i/>
          <w:iCs/>
        </w:rPr>
      </w:pPr>
      <w:r w:rsidRPr="00C63DC6">
        <w:rPr>
          <w:bCs/>
          <w:i/>
          <w:iCs/>
        </w:rPr>
        <w:t>Avots:</w:t>
      </w:r>
      <w:r w:rsidR="00D57545" w:rsidRPr="00C63DC6">
        <w:rPr>
          <w:bCs/>
          <w:i/>
          <w:iCs/>
        </w:rPr>
        <w:t xml:space="preserve"> </w:t>
      </w:r>
      <w:r w:rsidR="007C16B1">
        <w:rPr>
          <w:bCs/>
          <w:i/>
          <w:iCs/>
        </w:rPr>
        <w:t>IUB d</w:t>
      </w:r>
      <w:r w:rsidR="00A300BA" w:rsidRPr="00C63DC6">
        <w:rPr>
          <w:bCs/>
          <w:i/>
          <w:iCs/>
        </w:rPr>
        <w:t>ati</w:t>
      </w:r>
    </w:p>
    <w:p w14:paraId="378905B6" w14:textId="77777777" w:rsidR="000C1A5D" w:rsidRPr="00C63DC6" w:rsidRDefault="000C1A5D" w:rsidP="005413F1">
      <w:pPr>
        <w:pStyle w:val="NoSpacing"/>
        <w:jc w:val="both"/>
        <w:rPr>
          <w:bCs/>
          <w:i/>
          <w:iCs/>
        </w:rPr>
      </w:pPr>
    </w:p>
    <w:p w14:paraId="1EACDD7A" w14:textId="77777777" w:rsidR="000C1A5D" w:rsidRPr="00C63DC6" w:rsidRDefault="000C1A5D" w:rsidP="005413F1">
      <w:pPr>
        <w:pStyle w:val="NoSpacing"/>
        <w:jc w:val="both"/>
        <w:rPr>
          <w:bCs/>
          <w:i/>
          <w:iCs/>
        </w:rPr>
      </w:pPr>
    </w:p>
    <w:p w14:paraId="59140324" w14:textId="77777777" w:rsidR="00A76D42" w:rsidRDefault="00A76D42" w:rsidP="005413F1">
      <w:pPr>
        <w:pStyle w:val="NoSpacing"/>
        <w:jc w:val="both"/>
        <w:rPr>
          <w:b/>
          <w:bCs/>
          <w:i/>
          <w:iCs/>
          <w:color w:val="000000"/>
        </w:rPr>
      </w:pPr>
    </w:p>
    <w:p w14:paraId="68CFCE82" w14:textId="77777777" w:rsidR="007C16B1" w:rsidRDefault="007C16B1" w:rsidP="005413F1">
      <w:pPr>
        <w:pStyle w:val="NoSpacing"/>
        <w:jc w:val="both"/>
        <w:rPr>
          <w:b/>
          <w:bCs/>
          <w:i/>
          <w:iCs/>
          <w:color w:val="000000"/>
        </w:rPr>
      </w:pPr>
    </w:p>
    <w:p w14:paraId="073248BE" w14:textId="77777777" w:rsidR="007C16B1" w:rsidRPr="00C63DC6" w:rsidRDefault="007C16B1" w:rsidP="005413F1">
      <w:pPr>
        <w:pStyle w:val="NoSpacing"/>
        <w:jc w:val="both"/>
        <w:rPr>
          <w:b/>
          <w:bCs/>
          <w:i/>
          <w:iCs/>
          <w:color w:val="000000"/>
        </w:rPr>
      </w:pPr>
    </w:p>
    <w:p w14:paraId="6FC9583D" w14:textId="2FD44245" w:rsidR="00A76D42" w:rsidRPr="00C63DC6" w:rsidRDefault="00D13D33" w:rsidP="005413F1">
      <w:pPr>
        <w:pStyle w:val="NoSpacing"/>
        <w:jc w:val="both"/>
        <w:rPr>
          <w:b/>
          <w:bCs/>
          <w:i/>
          <w:iCs/>
          <w:color w:val="000000"/>
        </w:rPr>
      </w:pPr>
      <w:r w:rsidRPr="00C63DC6">
        <w:rPr>
          <w:b/>
          <w:bCs/>
          <w:i/>
          <w:iCs/>
          <w:color w:val="000000"/>
        </w:rPr>
        <w:lastRenderedPageBreak/>
        <w:t>9</w:t>
      </w:r>
      <w:r w:rsidR="00A76D42" w:rsidRPr="00C63DC6">
        <w:rPr>
          <w:b/>
          <w:bCs/>
          <w:i/>
          <w:iCs/>
          <w:color w:val="000000"/>
        </w:rPr>
        <w:t>.Tabula</w:t>
      </w:r>
    </w:p>
    <w:p w14:paraId="0BC82017" w14:textId="0B2D175A" w:rsidR="00855E30" w:rsidRPr="00C63DC6" w:rsidRDefault="00A76D42" w:rsidP="005413F1">
      <w:pPr>
        <w:pStyle w:val="NoSpacing"/>
        <w:jc w:val="both"/>
        <w:rPr>
          <w:bCs/>
          <w:iCs/>
        </w:rPr>
      </w:pPr>
      <w:r w:rsidRPr="00C63DC6">
        <w:rPr>
          <w:b/>
          <w:bCs/>
          <w:i/>
          <w:iCs/>
          <w:color w:val="000000"/>
        </w:rPr>
        <w:t>Kopējais pārskats (ZPI un kopējais) par SPSIL rezultātu paziņojumu skaitu līgumcenām pēc iepirkumu veida 2017.gadā</w:t>
      </w:r>
    </w:p>
    <w:tbl>
      <w:tblPr>
        <w:tblStyle w:val="TableGrid"/>
        <w:tblW w:w="9061" w:type="dxa"/>
        <w:tblLook w:val="04A0" w:firstRow="1" w:lastRow="0" w:firstColumn="1" w:lastColumn="0" w:noHBand="0" w:noVBand="1"/>
      </w:tblPr>
      <w:tblGrid>
        <w:gridCol w:w="3251"/>
        <w:gridCol w:w="1422"/>
        <w:gridCol w:w="1558"/>
        <w:gridCol w:w="1680"/>
        <w:gridCol w:w="1150"/>
      </w:tblGrid>
      <w:tr w:rsidR="002A7FF6" w:rsidRPr="00C63DC6" w14:paraId="0134C1F9" w14:textId="753E4052" w:rsidTr="00A76D42">
        <w:trPr>
          <w:trHeight w:val="300"/>
        </w:trPr>
        <w:tc>
          <w:tcPr>
            <w:tcW w:w="3251" w:type="dxa"/>
            <w:vMerge w:val="restart"/>
            <w:shd w:val="clear" w:color="auto" w:fill="C2D69B" w:themeFill="accent3" w:themeFillTint="99"/>
            <w:noWrap/>
            <w:hideMark/>
          </w:tcPr>
          <w:p w14:paraId="4A4CE71F" w14:textId="77777777" w:rsidR="002A7FF6" w:rsidRPr="00C63DC6" w:rsidRDefault="002A7FF6" w:rsidP="000C1A5D">
            <w:pPr>
              <w:pStyle w:val="NoSpacing"/>
              <w:jc w:val="both"/>
              <w:rPr>
                <w:b/>
                <w:bCs/>
                <w:iCs/>
              </w:rPr>
            </w:pPr>
            <w:r w:rsidRPr="00C63DC6">
              <w:rPr>
                <w:b/>
                <w:bCs/>
                <w:iCs/>
              </w:rPr>
              <w:t>Iepirkumu veids</w:t>
            </w:r>
          </w:p>
        </w:tc>
        <w:tc>
          <w:tcPr>
            <w:tcW w:w="5810" w:type="dxa"/>
            <w:gridSpan w:val="4"/>
            <w:shd w:val="clear" w:color="auto" w:fill="C2D69B" w:themeFill="accent3" w:themeFillTint="99"/>
            <w:noWrap/>
            <w:hideMark/>
          </w:tcPr>
          <w:p w14:paraId="7036790E" w14:textId="70C481A2" w:rsidR="002A7FF6" w:rsidRPr="00C63DC6" w:rsidRDefault="002A7FF6" w:rsidP="002A7FF6">
            <w:pPr>
              <w:pStyle w:val="NoSpacing"/>
              <w:jc w:val="center"/>
              <w:rPr>
                <w:b/>
                <w:bCs/>
                <w:iCs/>
              </w:rPr>
            </w:pPr>
            <w:r w:rsidRPr="00C63DC6">
              <w:rPr>
                <w:b/>
                <w:bCs/>
                <w:iCs/>
              </w:rPr>
              <w:t>2017.gads</w:t>
            </w:r>
          </w:p>
        </w:tc>
      </w:tr>
      <w:tr w:rsidR="000C1A5D" w:rsidRPr="00C63DC6" w14:paraId="3AF6CC8B" w14:textId="74CF043F" w:rsidTr="00A76D42">
        <w:trPr>
          <w:trHeight w:val="300"/>
        </w:trPr>
        <w:tc>
          <w:tcPr>
            <w:tcW w:w="3251" w:type="dxa"/>
            <w:vMerge/>
            <w:shd w:val="clear" w:color="auto" w:fill="C2D69B" w:themeFill="accent3" w:themeFillTint="99"/>
            <w:hideMark/>
          </w:tcPr>
          <w:p w14:paraId="600217B8" w14:textId="77777777" w:rsidR="000C1A5D" w:rsidRPr="00C63DC6" w:rsidRDefault="000C1A5D" w:rsidP="000C1A5D">
            <w:pPr>
              <w:pStyle w:val="NoSpacing"/>
              <w:jc w:val="both"/>
              <w:rPr>
                <w:b/>
                <w:bCs/>
                <w:iCs/>
              </w:rPr>
            </w:pPr>
          </w:p>
        </w:tc>
        <w:tc>
          <w:tcPr>
            <w:tcW w:w="1422" w:type="dxa"/>
            <w:shd w:val="clear" w:color="auto" w:fill="C2D69B" w:themeFill="accent3" w:themeFillTint="99"/>
            <w:noWrap/>
            <w:hideMark/>
          </w:tcPr>
          <w:p w14:paraId="4B54C966" w14:textId="77777777" w:rsidR="000C1A5D" w:rsidRPr="00C63DC6" w:rsidRDefault="000C1A5D" w:rsidP="000C1A5D">
            <w:pPr>
              <w:pStyle w:val="NoSpacing"/>
              <w:jc w:val="both"/>
              <w:rPr>
                <w:b/>
                <w:bCs/>
                <w:iCs/>
              </w:rPr>
            </w:pPr>
            <w:r w:rsidRPr="00C63DC6">
              <w:rPr>
                <w:b/>
                <w:bCs/>
                <w:iCs/>
              </w:rPr>
              <w:t>Būvdarbi</w:t>
            </w:r>
          </w:p>
        </w:tc>
        <w:tc>
          <w:tcPr>
            <w:tcW w:w="1558" w:type="dxa"/>
            <w:shd w:val="clear" w:color="auto" w:fill="C2D69B" w:themeFill="accent3" w:themeFillTint="99"/>
            <w:noWrap/>
            <w:hideMark/>
          </w:tcPr>
          <w:p w14:paraId="0EBF39CE" w14:textId="77777777" w:rsidR="000C1A5D" w:rsidRPr="00C63DC6" w:rsidRDefault="000C1A5D" w:rsidP="000C1A5D">
            <w:pPr>
              <w:pStyle w:val="NoSpacing"/>
              <w:jc w:val="both"/>
              <w:rPr>
                <w:b/>
                <w:bCs/>
                <w:iCs/>
              </w:rPr>
            </w:pPr>
            <w:r w:rsidRPr="00C63DC6">
              <w:rPr>
                <w:b/>
                <w:bCs/>
                <w:iCs/>
              </w:rPr>
              <w:t>Piegāde</w:t>
            </w:r>
          </w:p>
        </w:tc>
        <w:tc>
          <w:tcPr>
            <w:tcW w:w="1680" w:type="dxa"/>
            <w:shd w:val="clear" w:color="auto" w:fill="C2D69B" w:themeFill="accent3" w:themeFillTint="99"/>
            <w:noWrap/>
            <w:hideMark/>
          </w:tcPr>
          <w:p w14:paraId="59194EF4" w14:textId="77777777" w:rsidR="000C1A5D" w:rsidRPr="00C63DC6" w:rsidRDefault="000C1A5D" w:rsidP="000C1A5D">
            <w:pPr>
              <w:pStyle w:val="NoSpacing"/>
              <w:jc w:val="both"/>
              <w:rPr>
                <w:b/>
                <w:bCs/>
                <w:iCs/>
              </w:rPr>
            </w:pPr>
            <w:r w:rsidRPr="00C63DC6">
              <w:rPr>
                <w:b/>
                <w:bCs/>
                <w:iCs/>
              </w:rPr>
              <w:t>Pakalpojumi</w:t>
            </w:r>
          </w:p>
        </w:tc>
        <w:tc>
          <w:tcPr>
            <w:tcW w:w="1150" w:type="dxa"/>
            <w:shd w:val="clear" w:color="auto" w:fill="C2D69B" w:themeFill="accent3" w:themeFillTint="99"/>
          </w:tcPr>
          <w:p w14:paraId="44E2CFF6" w14:textId="6E8A5315" w:rsidR="000C1A5D" w:rsidRPr="00C63DC6" w:rsidRDefault="002A7FF6" w:rsidP="000C1A5D">
            <w:pPr>
              <w:pStyle w:val="NoSpacing"/>
              <w:jc w:val="both"/>
              <w:rPr>
                <w:b/>
                <w:bCs/>
                <w:iCs/>
              </w:rPr>
            </w:pPr>
            <w:r w:rsidRPr="00C63DC6">
              <w:rPr>
                <w:b/>
                <w:bCs/>
                <w:iCs/>
              </w:rPr>
              <w:t>ZPI īpatsvars</w:t>
            </w:r>
          </w:p>
        </w:tc>
      </w:tr>
      <w:tr w:rsidR="002A7FF6" w:rsidRPr="00C63DC6" w14:paraId="57D11F3B" w14:textId="23C0BDC3" w:rsidTr="002A7FF6">
        <w:trPr>
          <w:trHeight w:val="300"/>
        </w:trPr>
        <w:tc>
          <w:tcPr>
            <w:tcW w:w="3251" w:type="dxa"/>
            <w:noWrap/>
            <w:hideMark/>
          </w:tcPr>
          <w:p w14:paraId="0B406287" w14:textId="32CE9769" w:rsidR="002A7FF6" w:rsidRPr="00C63DC6" w:rsidRDefault="002A7FF6" w:rsidP="000C1A5D">
            <w:pPr>
              <w:pStyle w:val="NoSpacing"/>
              <w:jc w:val="both"/>
              <w:rPr>
                <w:b/>
                <w:bCs/>
                <w:iCs/>
              </w:rPr>
            </w:pPr>
            <w:r w:rsidRPr="00C63DC6">
              <w:rPr>
                <w:b/>
                <w:bCs/>
                <w:iCs/>
              </w:rPr>
              <w:t>Kopējais publikāciju skaits</w:t>
            </w:r>
          </w:p>
        </w:tc>
        <w:tc>
          <w:tcPr>
            <w:tcW w:w="1422" w:type="dxa"/>
            <w:noWrap/>
            <w:hideMark/>
          </w:tcPr>
          <w:p w14:paraId="40108ED0" w14:textId="77777777" w:rsidR="002A7FF6" w:rsidRPr="00C63DC6" w:rsidRDefault="002A7FF6" w:rsidP="000C1A5D">
            <w:pPr>
              <w:pStyle w:val="NoSpacing"/>
              <w:jc w:val="both"/>
              <w:rPr>
                <w:bCs/>
                <w:iCs/>
              </w:rPr>
            </w:pPr>
            <w:r w:rsidRPr="00C63DC6">
              <w:rPr>
                <w:bCs/>
                <w:iCs/>
              </w:rPr>
              <w:t>22</w:t>
            </w:r>
          </w:p>
        </w:tc>
        <w:tc>
          <w:tcPr>
            <w:tcW w:w="1558" w:type="dxa"/>
            <w:noWrap/>
            <w:hideMark/>
          </w:tcPr>
          <w:p w14:paraId="56439D20" w14:textId="77777777" w:rsidR="002A7FF6" w:rsidRPr="00C63DC6" w:rsidRDefault="002A7FF6" w:rsidP="000C1A5D">
            <w:pPr>
              <w:pStyle w:val="NoSpacing"/>
              <w:jc w:val="both"/>
              <w:rPr>
                <w:bCs/>
                <w:iCs/>
              </w:rPr>
            </w:pPr>
            <w:r w:rsidRPr="00C63DC6">
              <w:rPr>
                <w:bCs/>
                <w:iCs/>
              </w:rPr>
              <w:t>60</w:t>
            </w:r>
          </w:p>
        </w:tc>
        <w:tc>
          <w:tcPr>
            <w:tcW w:w="1680" w:type="dxa"/>
            <w:noWrap/>
            <w:hideMark/>
          </w:tcPr>
          <w:p w14:paraId="7AEFAD1D" w14:textId="77777777" w:rsidR="002A7FF6" w:rsidRPr="00C63DC6" w:rsidRDefault="002A7FF6" w:rsidP="000C1A5D">
            <w:pPr>
              <w:pStyle w:val="NoSpacing"/>
              <w:jc w:val="both"/>
              <w:rPr>
                <w:bCs/>
                <w:iCs/>
              </w:rPr>
            </w:pPr>
            <w:r w:rsidRPr="00C63DC6">
              <w:rPr>
                <w:bCs/>
                <w:iCs/>
              </w:rPr>
              <w:t>36</w:t>
            </w:r>
          </w:p>
        </w:tc>
        <w:tc>
          <w:tcPr>
            <w:tcW w:w="1150" w:type="dxa"/>
            <w:vMerge w:val="restart"/>
            <w:vAlign w:val="center"/>
          </w:tcPr>
          <w:p w14:paraId="343CA99F" w14:textId="28E0D4B5" w:rsidR="002A7FF6" w:rsidRPr="00C63DC6" w:rsidRDefault="002A7FF6" w:rsidP="002A7FF6">
            <w:pPr>
              <w:pStyle w:val="NoSpacing"/>
              <w:jc w:val="center"/>
              <w:rPr>
                <w:b/>
                <w:bCs/>
                <w:iCs/>
              </w:rPr>
            </w:pPr>
            <w:r w:rsidRPr="00C63DC6">
              <w:rPr>
                <w:b/>
                <w:bCs/>
                <w:iCs/>
              </w:rPr>
              <w:t>6,8%</w:t>
            </w:r>
          </w:p>
        </w:tc>
      </w:tr>
      <w:tr w:rsidR="002A7FF6" w:rsidRPr="00C63DC6" w14:paraId="3B593F16" w14:textId="1644130E" w:rsidTr="002A7FF6">
        <w:trPr>
          <w:trHeight w:val="300"/>
        </w:trPr>
        <w:tc>
          <w:tcPr>
            <w:tcW w:w="3251" w:type="dxa"/>
            <w:noWrap/>
            <w:hideMark/>
          </w:tcPr>
          <w:p w14:paraId="0CA7F147" w14:textId="77777777" w:rsidR="002A7FF6" w:rsidRPr="00C63DC6" w:rsidRDefault="002A7FF6" w:rsidP="000C1A5D">
            <w:pPr>
              <w:pStyle w:val="NoSpacing"/>
              <w:jc w:val="both"/>
              <w:rPr>
                <w:bCs/>
                <w:iCs/>
              </w:rPr>
            </w:pPr>
            <w:r w:rsidRPr="00C63DC6">
              <w:rPr>
                <w:bCs/>
                <w:iCs/>
              </w:rPr>
              <w:t>t.sk.</w:t>
            </w:r>
          </w:p>
        </w:tc>
        <w:tc>
          <w:tcPr>
            <w:tcW w:w="1422" w:type="dxa"/>
            <w:noWrap/>
            <w:hideMark/>
          </w:tcPr>
          <w:p w14:paraId="21DFF847" w14:textId="77777777" w:rsidR="002A7FF6" w:rsidRPr="00C63DC6" w:rsidRDefault="002A7FF6" w:rsidP="000C1A5D">
            <w:pPr>
              <w:pStyle w:val="NoSpacing"/>
              <w:jc w:val="both"/>
              <w:rPr>
                <w:bCs/>
                <w:iCs/>
              </w:rPr>
            </w:pPr>
            <w:r w:rsidRPr="00C63DC6">
              <w:rPr>
                <w:bCs/>
                <w:iCs/>
              </w:rPr>
              <w:t> </w:t>
            </w:r>
          </w:p>
        </w:tc>
        <w:tc>
          <w:tcPr>
            <w:tcW w:w="1558" w:type="dxa"/>
            <w:noWrap/>
            <w:hideMark/>
          </w:tcPr>
          <w:p w14:paraId="28447A36" w14:textId="77777777" w:rsidR="002A7FF6" w:rsidRPr="00C63DC6" w:rsidRDefault="002A7FF6" w:rsidP="000C1A5D">
            <w:pPr>
              <w:pStyle w:val="NoSpacing"/>
              <w:jc w:val="both"/>
              <w:rPr>
                <w:bCs/>
                <w:iCs/>
              </w:rPr>
            </w:pPr>
            <w:r w:rsidRPr="00C63DC6">
              <w:rPr>
                <w:bCs/>
                <w:iCs/>
              </w:rPr>
              <w:t> </w:t>
            </w:r>
          </w:p>
        </w:tc>
        <w:tc>
          <w:tcPr>
            <w:tcW w:w="1680" w:type="dxa"/>
            <w:noWrap/>
            <w:hideMark/>
          </w:tcPr>
          <w:p w14:paraId="661128DB" w14:textId="77777777" w:rsidR="002A7FF6" w:rsidRPr="00C63DC6" w:rsidRDefault="002A7FF6" w:rsidP="000C1A5D">
            <w:pPr>
              <w:pStyle w:val="NoSpacing"/>
              <w:jc w:val="both"/>
              <w:rPr>
                <w:bCs/>
                <w:iCs/>
              </w:rPr>
            </w:pPr>
            <w:r w:rsidRPr="00C63DC6">
              <w:rPr>
                <w:bCs/>
                <w:iCs/>
              </w:rPr>
              <w:t> </w:t>
            </w:r>
          </w:p>
        </w:tc>
        <w:tc>
          <w:tcPr>
            <w:tcW w:w="1150" w:type="dxa"/>
            <w:vMerge/>
          </w:tcPr>
          <w:p w14:paraId="4C9BAED7" w14:textId="5A27186C" w:rsidR="002A7FF6" w:rsidRPr="00C63DC6" w:rsidRDefault="002A7FF6" w:rsidP="000C1A5D">
            <w:pPr>
              <w:pStyle w:val="NoSpacing"/>
              <w:jc w:val="both"/>
              <w:rPr>
                <w:b/>
                <w:bCs/>
                <w:iCs/>
              </w:rPr>
            </w:pPr>
          </w:p>
        </w:tc>
      </w:tr>
      <w:tr w:rsidR="002A7FF6" w:rsidRPr="00C63DC6" w14:paraId="445437D7" w14:textId="0B8F5523" w:rsidTr="002A7FF6">
        <w:trPr>
          <w:trHeight w:val="300"/>
        </w:trPr>
        <w:tc>
          <w:tcPr>
            <w:tcW w:w="3251" w:type="dxa"/>
            <w:noWrap/>
            <w:hideMark/>
          </w:tcPr>
          <w:p w14:paraId="69D60D8D" w14:textId="30FBBECB" w:rsidR="002A7FF6" w:rsidRPr="00C63DC6" w:rsidRDefault="002A7FF6" w:rsidP="000C1A5D">
            <w:pPr>
              <w:pStyle w:val="NoSpacing"/>
              <w:jc w:val="both"/>
              <w:rPr>
                <w:b/>
                <w:bCs/>
                <w:iCs/>
              </w:rPr>
            </w:pPr>
            <w:r w:rsidRPr="00C63DC6">
              <w:rPr>
                <w:b/>
                <w:bCs/>
                <w:iCs/>
              </w:rPr>
              <w:t>publikāciju skaits ar norādi par ZPI</w:t>
            </w:r>
          </w:p>
        </w:tc>
        <w:tc>
          <w:tcPr>
            <w:tcW w:w="1422" w:type="dxa"/>
            <w:noWrap/>
            <w:hideMark/>
          </w:tcPr>
          <w:p w14:paraId="53D2BCE7" w14:textId="77777777" w:rsidR="002A7FF6" w:rsidRPr="00C63DC6" w:rsidRDefault="002A7FF6" w:rsidP="000C1A5D">
            <w:pPr>
              <w:pStyle w:val="NoSpacing"/>
              <w:jc w:val="both"/>
              <w:rPr>
                <w:bCs/>
                <w:iCs/>
              </w:rPr>
            </w:pPr>
            <w:r w:rsidRPr="00C63DC6">
              <w:rPr>
                <w:bCs/>
                <w:iCs/>
              </w:rPr>
              <w:t>0</w:t>
            </w:r>
          </w:p>
        </w:tc>
        <w:tc>
          <w:tcPr>
            <w:tcW w:w="1558" w:type="dxa"/>
            <w:noWrap/>
            <w:hideMark/>
          </w:tcPr>
          <w:p w14:paraId="56A5CC39" w14:textId="77777777" w:rsidR="002A7FF6" w:rsidRPr="00C63DC6" w:rsidRDefault="002A7FF6" w:rsidP="000C1A5D">
            <w:pPr>
              <w:pStyle w:val="NoSpacing"/>
              <w:jc w:val="both"/>
              <w:rPr>
                <w:bCs/>
                <w:iCs/>
              </w:rPr>
            </w:pPr>
            <w:r w:rsidRPr="00C63DC6">
              <w:rPr>
                <w:bCs/>
                <w:iCs/>
              </w:rPr>
              <w:t>7</w:t>
            </w:r>
          </w:p>
        </w:tc>
        <w:tc>
          <w:tcPr>
            <w:tcW w:w="1680" w:type="dxa"/>
            <w:noWrap/>
            <w:hideMark/>
          </w:tcPr>
          <w:p w14:paraId="31988C89" w14:textId="77777777" w:rsidR="002A7FF6" w:rsidRPr="00C63DC6" w:rsidRDefault="002A7FF6" w:rsidP="000C1A5D">
            <w:pPr>
              <w:pStyle w:val="NoSpacing"/>
              <w:jc w:val="both"/>
              <w:rPr>
                <w:bCs/>
                <w:iCs/>
              </w:rPr>
            </w:pPr>
            <w:r w:rsidRPr="00C63DC6">
              <w:rPr>
                <w:bCs/>
                <w:iCs/>
              </w:rPr>
              <w:t>1</w:t>
            </w:r>
          </w:p>
        </w:tc>
        <w:tc>
          <w:tcPr>
            <w:tcW w:w="1150" w:type="dxa"/>
            <w:vMerge/>
          </w:tcPr>
          <w:p w14:paraId="14C1C9D4" w14:textId="77777777" w:rsidR="002A7FF6" w:rsidRPr="00C63DC6" w:rsidRDefault="002A7FF6" w:rsidP="000C1A5D">
            <w:pPr>
              <w:pStyle w:val="NoSpacing"/>
              <w:jc w:val="both"/>
              <w:rPr>
                <w:b/>
                <w:bCs/>
                <w:iCs/>
              </w:rPr>
            </w:pPr>
          </w:p>
        </w:tc>
      </w:tr>
      <w:tr w:rsidR="002A7FF6" w:rsidRPr="00C63DC6" w14:paraId="2E7AB5B8" w14:textId="6C147A36" w:rsidTr="002A7FF6">
        <w:trPr>
          <w:trHeight w:val="300"/>
        </w:trPr>
        <w:tc>
          <w:tcPr>
            <w:tcW w:w="3251" w:type="dxa"/>
            <w:noWrap/>
            <w:hideMark/>
          </w:tcPr>
          <w:p w14:paraId="16EA00AA" w14:textId="77777777" w:rsidR="002A7FF6" w:rsidRPr="00C63DC6" w:rsidRDefault="002A7FF6" w:rsidP="000C1A5D">
            <w:pPr>
              <w:pStyle w:val="NoSpacing"/>
              <w:jc w:val="both"/>
              <w:rPr>
                <w:b/>
                <w:bCs/>
                <w:iCs/>
              </w:rPr>
            </w:pPr>
            <w:r w:rsidRPr="00C63DC6">
              <w:rPr>
                <w:b/>
                <w:bCs/>
                <w:iCs/>
              </w:rPr>
              <w:t>Kopējā līgumcena EUR (bez PVN)</w:t>
            </w:r>
          </w:p>
        </w:tc>
        <w:tc>
          <w:tcPr>
            <w:tcW w:w="1422" w:type="dxa"/>
            <w:hideMark/>
          </w:tcPr>
          <w:p w14:paraId="2A283BFF" w14:textId="77777777" w:rsidR="002A7FF6" w:rsidRPr="00C63DC6" w:rsidRDefault="002A7FF6" w:rsidP="000C1A5D">
            <w:pPr>
              <w:pStyle w:val="NoSpacing"/>
              <w:jc w:val="both"/>
              <w:rPr>
                <w:bCs/>
                <w:iCs/>
              </w:rPr>
            </w:pPr>
            <w:r w:rsidRPr="00C63DC6">
              <w:rPr>
                <w:bCs/>
                <w:iCs/>
              </w:rPr>
              <w:t>51 633 112</w:t>
            </w:r>
          </w:p>
        </w:tc>
        <w:tc>
          <w:tcPr>
            <w:tcW w:w="1558" w:type="dxa"/>
            <w:hideMark/>
          </w:tcPr>
          <w:p w14:paraId="64926EFD" w14:textId="77777777" w:rsidR="002A7FF6" w:rsidRPr="00C63DC6" w:rsidRDefault="002A7FF6" w:rsidP="000C1A5D">
            <w:pPr>
              <w:pStyle w:val="NoSpacing"/>
              <w:jc w:val="both"/>
              <w:rPr>
                <w:bCs/>
                <w:iCs/>
              </w:rPr>
            </w:pPr>
            <w:r w:rsidRPr="00C63DC6">
              <w:rPr>
                <w:bCs/>
                <w:iCs/>
              </w:rPr>
              <w:t>147 478 143</w:t>
            </w:r>
          </w:p>
        </w:tc>
        <w:tc>
          <w:tcPr>
            <w:tcW w:w="1680" w:type="dxa"/>
            <w:hideMark/>
          </w:tcPr>
          <w:p w14:paraId="60B8D971" w14:textId="77777777" w:rsidR="002A7FF6" w:rsidRPr="00C63DC6" w:rsidRDefault="002A7FF6" w:rsidP="000C1A5D">
            <w:pPr>
              <w:pStyle w:val="NoSpacing"/>
              <w:jc w:val="both"/>
              <w:rPr>
                <w:bCs/>
                <w:iCs/>
              </w:rPr>
            </w:pPr>
            <w:r w:rsidRPr="00C63DC6">
              <w:rPr>
                <w:bCs/>
                <w:iCs/>
              </w:rPr>
              <w:t>38 956 129</w:t>
            </w:r>
          </w:p>
        </w:tc>
        <w:tc>
          <w:tcPr>
            <w:tcW w:w="1150" w:type="dxa"/>
            <w:vMerge w:val="restart"/>
            <w:vAlign w:val="center"/>
          </w:tcPr>
          <w:p w14:paraId="68A14793" w14:textId="1E0BF794" w:rsidR="002A7FF6" w:rsidRPr="00C63DC6" w:rsidRDefault="002A7FF6" w:rsidP="002A7FF6">
            <w:pPr>
              <w:pStyle w:val="NoSpacing"/>
              <w:jc w:val="center"/>
              <w:rPr>
                <w:b/>
                <w:bCs/>
                <w:iCs/>
              </w:rPr>
            </w:pPr>
            <w:r w:rsidRPr="00C63DC6">
              <w:rPr>
                <w:b/>
                <w:bCs/>
                <w:iCs/>
              </w:rPr>
              <w:t>2%</w:t>
            </w:r>
          </w:p>
        </w:tc>
      </w:tr>
      <w:tr w:rsidR="002A7FF6" w:rsidRPr="00C63DC6" w14:paraId="14D2AD69" w14:textId="0E43CA37" w:rsidTr="002A7FF6">
        <w:trPr>
          <w:trHeight w:val="300"/>
        </w:trPr>
        <w:tc>
          <w:tcPr>
            <w:tcW w:w="3251" w:type="dxa"/>
            <w:noWrap/>
            <w:hideMark/>
          </w:tcPr>
          <w:p w14:paraId="349A1C60" w14:textId="77777777" w:rsidR="002A7FF6" w:rsidRPr="00C63DC6" w:rsidRDefault="002A7FF6" w:rsidP="000C1A5D">
            <w:pPr>
              <w:pStyle w:val="NoSpacing"/>
              <w:jc w:val="both"/>
              <w:rPr>
                <w:bCs/>
                <w:iCs/>
              </w:rPr>
            </w:pPr>
            <w:r w:rsidRPr="00C63DC6">
              <w:rPr>
                <w:bCs/>
                <w:iCs/>
              </w:rPr>
              <w:t>t.sk.</w:t>
            </w:r>
          </w:p>
        </w:tc>
        <w:tc>
          <w:tcPr>
            <w:tcW w:w="1422" w:type="dxa"/>
            <w:hideMark/>
          </w:tcPr>
          <w:p w14:paraId="173F6220" w14:textId="77777777" w:rsidR="002A7FF6" w:rsidRPr="00C63DC6" w:rsidRDefault="002A7FF6" w:rsidP="000C1A5D">
            <w:pPr>
              <w:pStyle w:val="NoSpacing"/>
              <w:jc w:val="both"/>
              <w:rPr>
                <w:bCs/>
                <w:iCs/>
              </w:rPr>
            </w:pPr>
            <w:r w:rsidRPr="00C63DC6">
              <w:rPr>
                <w:bCs/>
                <w:iCs/>
              </w:rPr>
              <w:t> </w:t>
            </w:r>
          </w:p>
        </w:tc>
        <w:tc>
          <w:tcPr>
            <w:tcW w:w="1558" w:type="dxa"/>
            <w:hideMark/>
          </w:tcPr>
          <w:p w14:paraId="75A41188" w14:textId="77777777" w:rsidR="002A7FF6" w:rsidRPr="00C63DC6" w:rsidRDefault="002A7FF6" w:rsidP="000C1A5D">
            <w:pPr>
              <w:pStyle w:val="NoSpacing"/>
              <w:jc w:val="both"/>
              <w:rPr>
                <w:bCs/>
                <w:iCs/>
              </w:rPr>
            </w:pPr>
            <w:r w:rsidRPr="00C63DC6">
              <w:rPr>
                <w:bCs/>
                <w:iCs/>
              </w:rPr>
              <w:t> </w:t>
            </w:r>
          </w:p>
        </w:tc>
        <w:tc>
          <w:tcPr>
            <w:tcW w:w="1680" w:type="dxa"/>
            <w:hideMark/>
          </w:tcPr>
          <w:p w14:paraId="3241792E" w14:textId="77777777" w:rsidR="002A7FF6" w:rsidRPr="00C63DC6" w:rsidRDefault="002A7FF6" w:rsidP="000C1A5D">
            <w:pPr>
              <w:pStyle w:val="NoSpacing"/>
              <w:jc w:val="both"/>
              <w:rPr>
                <w:bCs/>
                <w:iCs/>
              </w:rPr>
            </w:pPr>
            <w:r w:rsidRPr="00C63DC6">
              <w:rPr>
                <w:bCs/>
                <w:iCs/>
              </w:rPr>
              <w:t> </w:t>
            </w:r>
          </w:p>
        </w:tc>
        <w:tc>
          <w:tcPr>
            <w:tcW w:w="1150" w:type="dxa"/>
            <w:vMerge/>
          </w:tcPr>
          <w:p w14:paraId="59B16477" w14:textId="5E324939" w:rsidR="002A7FF6" w:rsidRPr="00C63DC6" w:rsidRDefault="002A7FF6" w:rsidP="000C1A5D">
            <w:pPr>
              <w:pStyle w:val="NoSpacing"/>
              <w:jc w:val="both"/>
              <w:rPr>
                <w:bCs/>
                <w:iCs/>
              </w:rPr>
            </w:pPr>
          </w:p>
        </w:tc>
      </w:tr>
      <w:tr w:rsidR="002A7FF6" w:rsidRPr="00C63DC6" w14:paraId="74A2B619" w14:textId="056803D3" w:rsidTr="002A7FF6">
        <w:trPr>
          <w:trHeight w:val="600"/>
        </w:trPr>
        <w:tc>
          <w:tcPr>
            <w:tcW w:w="3251" w:type="dxa"/>
            <w:hideMark/>
          </w:tcPr>
          <w:p w14:paraId="7153447F" w14:textId="79DC4197" w:rsidR="002A7FF6" w:rsidRPr="00C63DC6" w:rsidRDefault="002A7FF6" w:rsidP="000C1A5D">
            <w:pPr>
              <w:pStyle w:val="NoSpacing"/>
              <w:jc w:val="both"/>
              <w:rPr>
                <w:b/>
                <w:bCs/>
                <w:iCs/>
              </w:rPr>
            </w:pPr>
            <w:r w:rsidRPr="00C63DC6">
              <w:rPr>
                <w:b/>
                <w:bCs/>
                <w:iCs/>
              </w:rPr>
              <w:t>kopējā līgumcena EUR (bez PVN) ar norādi par ZPI</w:t>
            </w:r>
          </w:p>
        </w:tc>
        <w:tc>
          <w:tcPr>
            <w:tcW w:w="1422" w:type="dxa"/>
            <w:hideMark/>
          </w:tcPr>
          <w:p w14:paraId="2277B48C" w14:textId="77777777" w:rsidR="002A7FF6" w:rsidRPr="00C63DC6" w:rsidRDefault="002A7FF6" w:rsidP="000C1A5D">
            <w:pPr>
              <w:pStyle w:val="NoSpacing"/>
              <w:jc w:val="both"/>
              <w:rPr>
                <w:bCs/>
                <w:iCs/>
              </w:rPr>
            </w:pPr>
            <w:r w:rsidRPr="00C63DC6">
              <w:rPr>
                <w:bCs/>
                <w:iCs/>
              </w:rPr>
              <w:t>0</w:t>
            </w:r>
          </w:p>
        </w:tc>
        <w:tc>
          <w:tcPr>
            <w:tcW w:w="1558" w:type="dxa"/>
            <w:hideMark/>
          </w:tcPr>
          <w:p w14:paraId="655634CD" w14:textId="77777777" w:rsidR="002A7FF6" w:rsidRPr="00C63DC6" w:rsidRDefault="002A7FF6" w:rsidP="000C1A5D">
            <w:pPr>
              <w:pStyle w:val="NoSpacing"/>
              <w:jc w:val="both"/>
              <w:rPr>
                <w:bCs/>
                <w:iCs/>
              </w:rPr>
            </w:pPr>
            <w:r w:rsidRPr="00C63DC6">
              <w:rPr>
                <w:bCs/>
                <w:iCs/>
              </w:rPr>
              <w:t>2 773 519</w:t>
            </w:r>
          </w:p>
        </w:tc>
        <w:tc>
          <w:tcPr>
            <w:tcW w:w="1680" w:type="dxa"/>
            <w:hideMark/>
          </w:tcPr>
          <w:p w14:paraId="3734836D" w14:textId="77777777" w:rsidR="002A7FF6" w:rsidRPr="00C63DC6" w:rsidRDefault="002A7FF6" w:rsidP="000C1A5D">
            <w:pPr>
              <w:pStyle w:val="NoSpacing"/>
              <w:jc w:val="both"/>
              <w:rPr>
                <w:bCs/>
                <w:iCs/>
              </w:rPr>
            </w:pPr>
            <w:r w:rsidRPr="00C63DC6">
              <w:rPr>
                <w:bCs/>
                <w:iCs/>
              </w:rPr>
              <w:t>1 908 000</w:t>
            </w:r>
          </w:p>
        </w:tc>
        <w:tc>
          <w:tcPr>
            <w:tcW w:w="1150" w:type="dxa"/>
            <w:vMerge/>
          </w:tcPr>
          <w:p w14:paraId="026759EC" w14:textId="77777777" w:rsidR="002A7FF6" w:rsidRPr="00C63DC6" w:rsidRDefault="002A7FF6" w:rsidP="000C1A5D">
            <w:pPr>
              <w:pStyle w:val="NoSpacing"/>
              <w:jc w:val="both"/>
              <w:rPr>
                <w:bCs/>
                <w:iCs/>
              </w:rPr>
            </w:pPr>
          </w:p>
        </w:tc>
      </w:tr>
    </w:tbl>
    <w:p w14:paraId="5BE57EE2" w14:textId="78B03821" w:rsidR="00A76D42" w:rsidRPr="00C63DC6" w:rsidRDefault="00A76D42" w:rsidP="0064174A">
      <w:pPr>
        <w:pStyle w:val="NoSpacing"/>
        <w:spacing w:after="240"/>
        <w:jc w:val="both"/>
        <w:rPr>
          <w:bCs/>
          <w:i/>
          <w:iCs/>
        </w:rPr>
      </w:pPr>
      <w:r w:rsidRPr="00C63DC6">
        <w:rPr>
          <w:bCs/>
          <w:i/>
          <w:iCs/>
        </w:rPr>
        <w:t>Avots:IUB dati</w:t>
      </w:r>
    </w:p>
    <w:p w14:paraId="7405BDDA" w14:textId="77777777" w:rsidR="00A76D42" w:rsidRPr="00C63DC6" w:rsidRDefault="00855E30" w:rsidP="0064174A">
      <w:pPr>
        <w:pStyle w:val="NoSpacing"/>
        <w:spacing w:after="240"/>
        <w:ind w:firstLine="720"/>
        <w:jc w:val="both"/>
        <w:rPr>
          <w:bCs/>
          <w:iCs/>
          <w:sz w:val="28"/>
          <w:szCs w:val="28"/>
        </w:rPr>
      </w:pPr>
      <w:r w:rsidRPr="00C63DC6">
        <w:rPr>
          <w:bCs/>
          <w:iCs/>
          <w:sz w:val="28"/>
          <w:szCs w:val="28"/>
        </w:rPr>
        <w:t xml:space="preserve">SPSIL ietvarā nozīmīgākās ZPI </w:t>
      </w:r>
      <w:r w:rsidR="00D57545" w:rsidRPr="00C63DC6">
        <w:rPr>
          <w:bCs/>
          <w:iCs/>
          <w:sz w:val="28"/>
          <w:szCs w:val="28"/>
        </w:rPr>
        <w:t>iepirkumu</w:t>
      </w:r>
      <w:r w:rsidRPr="00C63DC6">
        <w:rPr>
          <w:bCs/>
          <w:iCs/>
          <w:sz w:val="28"/>
          <w:szCs w:val="28"/>
        </w:rPr>
        <w:t xml:space="preserve"> preču un pakalpojumu grupas ir bijušas mehāniskie transporta līdzekļi. Atsevišķi ir izdalīti Dzelzceļa vilcienu un tramvaju </w:t>
      </w:r>
      <w:r w:rsidR="00D57545" w:rsidRPr="00C63DC6">
        <w:rPr>
          <w:bCs/>
          <w:iCs/>
          <w:sz w:val="28"/>
          <w:szCs w:val="28"/>
        </w:rPr>
        <w:t>lokomotīves</w:t>
      </w:r>
      <w:r w:rsidRPr="00C63DC6">
        <w:rPr>
          <w:bCs/>
          <w:iCs/>
          <w:sz w:val="28"/>
          <w:szCs w:val="28"/>
        </w:rPr>
        <w:t xml:space="preserve"> un ritošais sastāvs, kā arī citas ar transportu saistītas grupas kā Transporta iekārtas un </w:t>
      </w:r>
      <w:r w:rsidR="00D57545" w:rsidRPr="00C63DC6">
        <w:rPr>
          <w:bCs/>
          <w:iCs/>
          <w:sz w:val="28"/>
          <w:szCs w:val="28"/>
        </w:rPr>
        <w:t>palīg iekārtas</w:t>
      </w:r>
      <w:r w:rsidRPr="00C63DC6">
        <w:rPr>
          <w:bCs/>
          <w:iCs/>
          <w:sz w:val="28"/>
          <w:szCs w:val="28"/>
        </w:rPr>
        <w:t xml:space="preserve"> transportēšanai, transportlīdzekļu un ar tiem saist</w:t>
      </w:r>
      <w:r w:rsidR="006A2C70" w:rsidRPr="00C63DC6">
        <w:rPr>
          <w:bCs/>
          <w:iCs/>
          <w:sz w:val="28"/>
          <w:szCs w:val="28"/>
        </w:rPr>
        <w:t>ītā aprīkojuma remonts, apkope un saistītie pakalpojumi</w:t>
      </w:r>
      <w:r w:rsidR="00D57545" w:rsidRPr="00C63DC6">
        <w:rPr>
          <w:bCs/>
          <w:iCs/>
          <w:sz w:val="28"/>
          <w:szCs w:val="28"/>
        </w:rPr>
        <w:t xml:space="preserve">. Tāpat </w:t>
      </w:r>
      <w:r w:rsidR="006A2C70" w:rsidRPr="00C63DC6">
        <w:rPr>
          <w:bCs/>
          <w:iCs/>
          <w:sz w:val="28"/>
          <w:szCs w:val="28"/>
        </w:rPr>
        <w:t>ir veikti būvdarbu un notekūdeņu, atkritumu, tīrīšanas un vides pakalpojumi</w:t>
      </w:r>
      <w:r w:rsidR="00A76D42" w:rsidRPr="00C63DC6">
        <w:rPr>
          <w:bCs/>
          <w:iCs/>
          <w:sz w:val="28"/>
          <w:szCs w:val="28"/>
        </w:rPr>
        <w:t xml:space="preserve">. </w:t>
      </w:r>
    </w:p>
    <w:p w14:paraId="7745D410" w14:textId="286D9EB9" w:rsidR="009B508E" w:rsidRPr="00C63DC6" w:rsidRDefault="000B58F1" w:rsidP="0064174A">
      <w:pPr>
        <w:pStyle w:val="NoSpacing"/>
        <w:numPr>
          <w:ilvl w:val="1"/>
          <w:numId w:val="23"/>
        </w:numPr>
        <w:jc w:val="both"/>
        <w:rPr>
          <w:b/>
          <w:sz w:val="28"/>
          <w:szCs w:val="28"/>
        </w:rPr>
      </w:pPr>
      <w:r w:rsidRPr="00C63DC6">
        <w:rPr>
          <w:b/>
          <w:sz w:val="28"/>
          <w:szCs w:val="28"/>
        </w:rPr>
        <w:t xml:space="preserve">Pārskats par Elektronisko iepirkumu sistēmā </w:t>
      </w:r>
      <w:r w:rsidR="00A76D42" w:rsidRPr="00C63DC6">
        <w:rPr>
          <w:b/>
          <w:sz w:val="28"/>
          <w:szCs w:val="28"/>
        </w:rPr>
        <w:t xml:space="preserve">(EIS) </w:t>
      </w:r>
      <w:r w:rsidRPr="00C63DC6">
        <w:rPr>
          <w:b/>
          <w:sz w:val="28"/>
          <w:szCs w:val="28"/>
        </w:rPr>
        <w:t>veiktajiem zaļajiem publiskiem iepirkumiem</w:t>
      </w:r>
    </w:p>
    <w:p w14:paraId="4CE56DC3" w14:textId="4BF13053" w:rsidR="002E51AD" w:rsidRPr="00C63DC6" w:rsidRDefault="00156AB5" w:rsidP="005413F1">
      <w:pPr>
        <w:pStyle w:val="NoSpacing"/>
        <w:ind w:firstLine="720"/>
        <w:jc w:val="both"/>
        <w:rPr>
          <w:bCs/>
          <w:iCs/>
          <w:sz w:val="28"/>
          <w:szCs w:val="28"/>
        </w:rPr>
      </w:pPr>
      <w:r w:rsidRPr="00C63DC6">
        <w:rPr>
          <w:bCs/>
          <w:iCs/>
          <w:sz w:val="28"/>
          <w:szCs w:val="28"/>
        </w:rPr>
        <w:t xml:space="preserve">Paralēli PIL un SPSIL noteiktajai kārtībai valsts un pašvaldību iestādes veic iepirkumus </w:t>
      </w:r>
      <w:r w:rsidR="00710BEE" w:rsidRPr="00C63DC6">
        <w:rPr>
          <w:bCs/>
          <w:iCs/>
          <w:sz w:val="28"/>
          <w:szCs w:val="28"/>
        </w:rPr>
        <w:t>EIS</w:t>
      </w:r>
      <w:r w:rsidRPr="00C63DC6">
        <w:rPr>
          <w:bCs/>
          <w:iCs/>
          <w:sz w:val="28"/>
          <w:szCs w:val="28"/>
        </w:rPr>
        <w:t xml:space="preserve">. </w:t>
      </w:r>
      <w:r w:rsidR="00481677" w:rsidRPr="00C63DC6">
        <w:rPr>
          <w:bCs/>
          <w:iCs/>
          <w:sz w:val="28"/>
          <w:szCs w:val="28"/>
        </w:rPr>
        <w:t>EIS</w:t>
      </w:r>
      <w:r w:rsidR="002E51AD" w:rsidRPr="00C63DC6">
        <w:rPr>
          <w:bCs/>
          <w:iCs/>
          <w:sz w:val="28"/>
          <w:szCs w:val="28"/>
        </w:rPr>
        <w:t xml:space="preserve"> darbību no 2009.gada 1.jūnija nodrošina </w:t>
      </w:r>
      <w:r w:rsidR="00491EAF" w:rsidRPr="00C63DC6">
        <w:rPr>
          <w:bCs/>
          <w:iCs/>
          <w:sz w:val="28"/>
          <w:szCs w:val="28"/>
        </w:rPr>
        <w:t>VRAA</w:t>
      </w:r>
      <w:r w:rsidR="002E51AD" w:rsidRPr="00C63DC6">
        <w:rPr>
          <w:bCs/>
          <w:iCs/>
          <w:sz w:val="28"/>
          <w:szCs w:val="28"/>
        </w:rPr>
        <w:t xml:space="preserve"> saskaņā ar Ministru kabineta 2009.gada 1.aprīļa rīkojumu Nr.</w:t>
      </w:r>
      <w:r w:rsidRPr="00C63DC6">
        <w:rPr>
          <w:bCs/>
          <w:iCs/>
          <w:sz w:val="28"/>
          <w:szCs w:val="28"/>
        </w:rPr>
        <w:t xml:space="preserve">220 </w:t>
      </w:r>
      <w:r w:rsidR="007C62AC" w:rsidRPr="00C63DC6">
        <w:rPr>
          <w:bCs/>
          <w:iCs/>
          <w:sz w:val="28"/>
          <w:szCs w:val="28"/>
        </w:rPr>
        <w:t>“</w:t>
      </w:r>
      <w:r w:rsidR="002E51AD" w:rsidRPr="00C63DC6">
        <w:rPr>
          <w:bCs/>
          <w:iCs/>
          <w:sz w:val="28"/>
          <w:szCs w:val="28"/>
        </w:rPr>
        <w:t>Par Īpašu uzdevumu ministra elektroniskās pārvaldes liet</w:t>
      </w:r>
      <w:r w:rsidR="00FB6B3C" w:rsidRPr="00C63DC6">
        <w:rPr>
          <w:bCs/>
          <w:iCs/>
          <w:sz w:val="28"/>
          <w:szCs w:val="28"/>
        </w:rPr>
        <w:t>ās sekretariāta reorganizāciju</w:t>
      </w:r>
      <w:r w:rsidR="00DC7B83" w:rsidRPr="00C63DC6">
        <w:rPr>
          <w:bCs/>
          <w:iCs/>
          <w:sz w:val="28"/>
          <w:szCs w:val="28"/>
        </w:rPr>
        <w:t>”</w:t>
      </w:r>
      <w:r w:rsidR="00FB6B3C" w:rsidRPr="00C63DC6">
        <w:rPr>
          <w:bCs/>
          <w:iCs/>
          <w:sz w:val="28"/>
          <w:szCs w:val="28"/>
        </w:rPr>
        <w:t>. VRAA</w:t>
      </w:r>
      <w:r w:rsidR="00A266E2" w:rsidRPr="00C63DC6">
        <w:rPr>
          <w:bCs/>
          <w:iCs/>
          <w:sz w:val="28"/>
          <w:szCs w:val="28"/>
        </w:rPr>
        <w:t xml:space="preserve"> </w:t>
      </w:r>
      <w:r w:rsidR="002E51AD" w:rsidRPr="00C63DC6">
        <w:rPr>
          <w:bCs/>
          <w:iCs/>
          <w:sz w:val="28"/>
          <w:szCs w:val="28"/>
        </w:rPr>
        <w:t>rīko centralizētas publiskas iepirkumu procedūras, lai noslēgtu vispārīgās vie</w:t>
      </w:r>
      <w:r w:rsidR="00FB6B3C" w:rsidRPr="00C63DC6">
        <w:rPr>
          <w:bCs/>
          <w:iCs/>
          <w:sz w:val="28"/>
          <w:szCs w:val="28"/>
        </w:rPr>
        <w:t xml:space="preserve">nošanās starp vienu vai vairākiem pasūtītājiem (valsts iestādēm, pašvaldībām un pašvaldību iestādēm, kā arī uzņēmumiem, kur kapitāldaļu turētāji ir valsts iestādes vai pašvaldību iestādes; kā arī nodibinājumiem un pašpārvaldes iestādēm) </w:t>
      </w:r>
      <w:r w:rsidR="002E51AD" w:rsidRPr="00C63DC6">
        <w:rPr>
          <w:bCs/>
          <w:iCs/>
          <w:sz w:val="28"/>
          <w:szCs w:val="28"/>
        </w:rPr>
        <w:t xml:space="preserve">un vienu vai vairākiem piegādātājiem </w:t>
      </w:r>
      <w:r w:rsidRPr="00C63DC6">
        <w:rPr>
          <w:bCs/>
          <w:iCs/>
          <w:sz w:val="28"/>
          <w:szCs w:val="28"/>
        </w:rPr>
        <w:t>par darījumu veikšanu elektronisko iepirkumu procesā. Atbilstoši centralizēto iepirkumu procedūru rezultātiem EIS nodrošina piegādātājiem iespēju vienā vai</w:t>
      </w:r>
      <w:r w:rsidR="002E51AD" w:rsidRPr="00C63DC6">
        <w:rPr>
          <w:sz w:val="28"/>
          <w:szCs w:val="28"/>
        </w:rPr>
        <w:t xml:space="preserve"> </w:t>
      </w:r>
      <w:r w:rsidR="002E51AD" w:rsidRPr="00C63DC6">
        <w:rPr>
          <w:bCs/>
          <w:iCs/>
          <w:sz w:val="28"/>
          <w:szCs w:val="28"/>
        </w:rPr>
        <w:t>vairākos Latvijas Republikas piegādes reģionos piedāvāt preces EIS reģistrētajiem pircējiem par cenām, kas nepārsniedz attiecīgo centralizēto konkursu piedāvājumos norādīto. EIS paredz arī vairākus mehānismus, kuru mērķis ir nodrošināt arī šaura profila uzņēmumiem iespējas veiksmīgi piedāvāt savas preces un pakalpojumus, piemēram, iespēja EIS piedāvāt preces tikai kādā atsevišķā iepirkuma priekšmeta daļā</w:t>
      </w:r>
      <w:r w:rsidR="00393178" w:rsidRPr="00C63DC6">
        <w:rPr>
          <w:bCs/>
          <w:iCs/>
          <w:sz w:val="28"/>
          <w:szCs w:val="28"/>
        </w:rPr>
        <w:t>,</w:t>
      </w:r>
      <w:r w:rsidR="002E51AD" w:rsidRPr="00C63DC6">
        <w:rPr>
          <w:bCs/>
          <w:iCs/>
          <w:sz w:val="28"/>
          <w:szCs w:val="28"/>
        </w:rPr>
        <w:t xml:space="preserve"> vai tikai vienu preci vienā iepirkuma priekšmeta daļā.</w:t>
      </w:r>
      <w:r w:rsidR="00481677" w:rsidRPr="00C63DC6">
        <w:rPr>
          <w:bCs/>
          <w:iCs/>
          <w:sz w:val="28"/>
          <w:szCs w:val="28"/>
        </w:rPr>
        <w:t xml:space="preserve"> </w:t>
      </w:r>
    </w:p>
    <w:p w14:paraId="18B0A6BC" w14:textId="2DF4FC4C" w:rsidR="00FA00A7" w:rsidRPr="00C63DC6" w:rsidRDefault="00156AB5" w:rsidP="00035FBA">
      <w:pPr>
        <w:pStyle w:val="NoSpacing"/>
        <w:spacing w:after="240"/>
        <w:ind w:firstLine="720"/>
        <w:jc w:val="both"/>
        <w:rPr>
          <w:bCs/>
          <w:iCs/>
          <w:sz w:val="28"/>
          <w:szCs w:val="28"/>
        </w:rPr>
      </w:pPr>
      <w:r w:rsidRPr="00C63DC6">
        <w:rPr>
          <w:bCs/>
          <w:iCs/>
          <w:sz w:val="28"/>
          <w:szCs w:val="28"/>
        </w:rPr>
        <w:t>Lai gan EIS gūst arvien plašāku pielietojumu iepirkumos, vienlaikus jāatzīmē, ka EIS izmantošana, salīdzinot ar kopējo iepirkumu līgumcenas apjom</w:t>
      </w:r>
      <w:r w:rsidR="00CE1956" w:rsidRPr="00C63DC6">
        <w:rPr>
          <w:bCs/>
          <w:iCs/>
          <w:sz w:val="28"/>
          <w:szCs w:val="28"/>
        </w:rPr>
        <w:t xml:space="preserve">u, </w:t>
      </w:r>
      <w:r w:rsidR="00CE1956" w:rsidRPr="00C63DC6">
        <w:rPr>
          <w:bCs/>
          <w:iCs/>
          <w:sz w:val="28"/>
          <w:szCs w:val="28"/>
        </w:rPr>
        <w:lastRenderedPageBreak/>
        <w:t>vēl joprojām ir ļoti neliela un rādītājos procentuālā attiecīb</w:t>
      </w:r>
      <w:r w:rsidR="00A71108" w:rsidRPr="00C63DC6">
        <w:rPr>
          <w:bCs/>
          <w:iCs/>
          <w:sz w:val="28"/>
          <w:szCs w:val="28"/>
        </w:rPr>
        <w:t>ā</w:t>
      </w:r>
      <w:r w:rsidR="00CE1956" w:rsidRPr="00C63DC6">
        <w:rPr>
          <w:bCs/>
          <w:iCs/>
          <w:sz w:val="28"/>
          <w:szCs w:val="28"/>
        </w:rPr>
        <w:t xml:space="preserve"> pret PIL </w:t>
      </w:r>
      <w:r w:rsidR="00A72647" w:rsidRPr="00C63DC6">
        <w:rPr>
          <w:bCs/>
          <w:iCs/>
          <w:sz w:val="28"/>
          <w:szCs w:val="28"/>
        </w:rPr>
        <w:t xml:space="preserve">salīdzinoši ar iepriekšējiem gadiem </w:t>
      </w:r>
      <w:r w:rsidR="00CE1956" w:rsidRPr="00C63DC6">
        <w:rPr>
          <w:bCs/>
          <w:iCs/>
          <w:sz w:val="28"/>
          <w:szCs w:val="28"/>
        </w:rPr>
        <w:t xml:space="preserve">nav mainījusies. </w:t>
      </w:r>
      <w:r w:rsidR="00481677" w:rsidRPr="00C63DC6">
        <w:rPr>
          <w:bCs/>
          <w:iCs/>
          <w:sz w:val="28"/>
          <w:szCs w:val="28"/>
        </w:rPr>
        <w:t xml:space="preserve"> </w:t>
      </w:r>
      <w:r w:rsidR="0080142F" w:rsidRPr="00C63DC6">
        <w:rPr>
          <w:bCs/>
          <w:iCs/>
          <w:sz w:val="28"/>
          <w:szCs w:val="28"/>
        </w:rPr>
        <w:t xml:space="preserve">Salīdzinošie rādītāji parādīti </w:t>
      </w:r>
      <w:r w:rsidR="0064174A" w:rsidRPr="00C63DC6">
        <w:rPr>
          <w:bCs/>
          <w:iCs/>
          <w:sz w:val="28"/>
          <w:szCs w:val="28"/>
        </w:rPr>
        <w:t>6</w:t>
      </w:r>
      <w:r w:rsidR="00A635B6" w:rsidRPr="00C63DC6">
        <w:rPr>
          <w:bCs/>
          <w:iCs/>
          <w:sz w:val="28"/>
          <w:szCs w:val="28"/>
        </w:rPr>
        <w:t>.</w:t>
      </w:r>
      <w:r w:rsidR="00A72647" w:rsidRPr="00C63DC6">
        <w:rPr>
          <w:bCs/>
          <w:iCs/>
          <w:sz w:val="28"/>
          <w:szCs w:val="28"/>
        </w:rPr>
        <w:t xml:space="preserve"> A</w:t>
      </w:r>
      <w:r w:rsidR="00742FED" w:rsidRPr="00C63DC6">
        <w:rPr>
          <w:bCs/>
          <w:iCs/>
          <w:sz w:val="28"/>
          <w:szCs w:val="28"/>
        </w:rPr>
        <w:t>ttēlā</w:t>
      </w:r>
      <w:r w:rsidR="0080142F" w:rsidRPr="00C63DC6">
        <w:rPr>
          <w:bCs/>
          <w:iCs/>
          <w:sz w:val="28"/>
          <w:szCs w:val="28"/>
        </w:rPr>
        <w:t>.</w:t>
      </w:r>
      <w:r w:rsidR="00A70565" w:rsidRPr="00C63DC6">
        <w:rPr>
          <w:bCs/>
          <w:iCs/>
          <w:sz w:val="28"/>
          <w:szCs w:val="28"/>
        </w:rPr>
        <w:t xml:space="preserve"> </w:t>
      </w:r>
    </w:p>
    <w:p w14:paraId="4BF94C6B" w14:textId="4FFBD795" w:rsidR="002E51AD" w:rsidRPr="00C63DC6" w:rsidRDefault="00353FC9" w:rsidP="00353FC9">
      <w:pPr>
        <w:pStyle w:val="NoSpacing"/>
        <w:jc w:val="both"/>
        <w:outlineLvl w:val="0"/>
        <w:rPr>
          <w:noProof/>
        </w:rPr>
      </w:pPr>
      <w:r w:rsidRPr="00C63DC6">
        <w:rPr>
          <w:b/>
          <w:i/>
        </w:rPr>
        <w:t>6</w:t>
      </w:r>
      <w:r w:rsidR="007F3656" w:rsidRPr="00C63DC6">
        <w:rPr>
          <w:b/>
          <w:i/>
        </w:rPr>
        <w:t xml:space="preserve">. </w:t>
      </w:r>
      <w:r w:rsidR="0080142F" w:rsidRPr="00C63DC6">
        <w:rPr>
          <w:b/>
          <w:i/>
        </w:rPr>
        <w:t>Attēls</w:t>
      </w:r>
    </w:p>
    <w:p w14:paraId="35F581B5" w14:textId="6C950A95" w:rsidR="004E1645" w:rsidRPr="00C63DC6" w:rsidRDefault="007F3656" w:rsidP="00FA00A7">
      <w:pPr>
        <w:pStyle w:val="NoSpacing"/>
        <w:jc w:val="both"/>
        <w:outlineLvl w:val="0"/>
        <w:rPr>
          <w:b/>
          <w:i/>
          <w:noProof/>
        </w:rPr>
      </w:pPr>
      <w:r w:rsidRPr="00C63DC6">
        <w:rPr>
          <w:b/>
          <w:i/>
          <w:noProof/>
        </w:rPr>
        <w:t>Kopējās līgum</w:t>
      </w:r>
      <w:r w:rsidR="0064174A" w:rsidRPr="00C63DC6">
        <w:rPr>
          <w:b/>
          <w:i/>
          <w:noProof/>
        </w:rPr>
        <w:t xml:space="preserve">cenas EIS </w:t>
      </w:r>
      <w:r w:rsidR="004E1645" w:rsidRPr="00C63DC6">
        <w:rPr>
          <w:b/>
          <w:i/>
          <w:noProof/>
        </w:rPr>
        <w:t xml:space="preserve"> iepirkumiem EUR</w:t>
      </w:r>
      <w:r w:rsidR="0064174A" w:rsidRPr="00C63DC6">
        <w:rPr>
          <w:b/>
          <w:i/>
          <w:noProof/>
        </w:rPr>
        <w:t xml:space="preserve"> (</w:t>
      </w:r>
      <w:r w:rsidR="004E1645" w:rsidRPr="00C63DC6">
        <w:rPr>
          <w:b/>
          <w:i/>
          <w:noProof/>
        </w:rPr>
        <w:t>bez PVN)</w:t>
      </w:r>
    </w:p>
    <w:p w14:paraId="5C7C02B2" w14:textId="13320CB2" w:rsidR="00EB45EF" w:rsidRPr="00C63DC6" w:rsidRDefault="00EB45EF" w:rsidP="00FA00A7">
      <w:pPr>
        <w:pStyle w:val="NoSpacing"/>
        <w:jc w:val="both"/>
        <w:outlineLvl w:val="0"/>
        <w:rPr>
          <w:b/>
          <w:i/>
          <w:noProof/>
        </w:rPr>
      </w:pPr>
    </w:p>
    <w:p w14:paraId="1C8047A0" w14:textId="150D3BB3" w:rsidR="00EB45EF" w:rsidRPr="00C63DC6" w:rsidRDefault="00A72647" w:rsidP="00FA00A7">
      <w:pPr>
        <w:pStyle w:val="NoSpacing"/>
        <w:jc w:val="both"/>
        <w:outlineLvl w:val="0"/>
        <w:rPr>
          <w:b/>
          <w:i/>
          <w:noProof/>
        </w:rPr>
      </w:pPr>
      <w:r w:rsidRPr="00C63DC6">
        <w:rPr>
          <w:b/>
          <w:i/>
          <w:noProof/>
        </w:rPr>
        <w:t xml:space="preserve">                                  2018.g.                                                               2017.g.</w:t>
      </w:r>
    </w:p>
    <w:p w14:paraId="14CC96CB" w14:textId="4C8573C5" w:rsidR="00EB45EF" w:rsidRPr="00C63DC6" w:rsidRDefault="00EB45EF" w:rsidP="00FA00A7">
      <w:pPr>
        <w:pStyle w:val="NoSpacing"/>
        <w:jc w:val="both"/>
        <w:outlineLvl w:val="0"/>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460"/>
      </w:tblGrid>
      <w:tr w:rsidR="00A72647" w:rsidRPr="00C63DC6" w14:paraId="14B88FCB" w14:textId="77777777" w:rsidTr="00A72647">
        <w:trPr>
          <w:trHeight w:val="3833"/>
        </w:trPr>
        <w:tc>
          <w:tcPr>
            <w:tcW w:w="4530" w:type="dxa"/>
          </w:tcPr>
          <w:p w14:paraId="7CB932A8" w14:textId="4436C53B" w:rsidR="00A72647" w:rsidRPr="00C63DC6" w:rsidRDefault="00A72647" w:rsidP="00FA00A7">
            <w:pPr>
              <w:pStyle w:val="NoSpacing"/>
              <w:jc w:val="both"/>
              <w:outlineLvl w:val="0"/>
              <w:rPr>
                <w:b/>
                <w:noProof/>
              </w:rPr>
            </w:pPr>
            <w:r w:rsidRPr="00C63DC6">
              <w:rPr>
                <w:noProof/>
              </w:rPr>
              <w:drawing>
                <wp:inline distT="0" distB="0" distL="0" distR="0" wp14:anchorId="043947E5" wp14:editId="25F7A383">
                  <wp:extent cx="2790825" cy="20193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531" w:type="dxa"/>
          </w:tcPr>
          <w:p w14:paraId="67D941A7" w14:textId="7622904A" w:rsidR="00A72647" w:rsidRPr="00C63DC6" w:rsidRDefault="00A72647" w:rsidP="00FA00A7">
            <w:pPr>
              <w:pStyle w:val="NoSpacing"/>
              <w:jc w:val="both"/>
              <w:outlineLvl w:val="0"/>
              <w:rPr>
                <w:b/>
                <w:noProof/>
              </w:rPr>
            </w:pPr>
            <w:r w:rsidRPr="00C63DC6">
              <w:rPr>
                <w:noProof/>
              </w:rPr>
              <w:drawing>
                <wp:inline distT="0" distB="0" distL="0" distR="0" wp14:anchorId="2706704E" wp14:editId="20EC5731">
                  <wp:extent cx="2600325" cy="2019300"/>
                  <wp:effectExtent l="38100" t="0" r="285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4EBF366" w14:textId="77777777" w:rsidR="0080142F" w:rsidRPr="00C63DC6" w:rsidRDefault="00067534" w:rsidP="005413F1">
      <w:pPr>
        <w:pStyle w:val="NoSpacing"/>
        <w:jc w:val="both"/>
        <w:outlineLvl w:val="0"/>
        <w:rPr>
          <w:i/>
        </w:rPr>
      </w:pPr>
      <w:r w:rsidRPr="00C63DC6">
        <w:rPr>
          <w:i/>
        </w:rPr>
        <w:t xml:space="preserve">Avots: </w:t>
      </w:r>
      <w:r w:rsidR="00A266E2" w:rsidRPr="00C63DC6">
        <w:rPr>
          <w:i/>
        </w:rPr>
        <w:t>VRAA un IUB dati</w:t>
      </w:r>
    </w:p>
    <w:p w14:paraId="658371DD" w14:textId="77777777" w:rsidR="0064174A" w:rsidRPr="00C63DC6" w:rsidRDefault="007B7DA9" w:rsidP="0064174A">
      <w:pPr>
        <w:pStyle w:val="NoSpacing"/>
        <w:spacing w:before="120" w:after="240"/>
        <w:ind w:firstLine="720"/>
        <w:jc w:val="both"/>
        <w:rPr>
          <w:sz w:val="28"/>
          <w:szCs w:val="28"/>
        </w:rPr>
      </w:pPr>
      <w:r w:rsidRPr="00C63DC6">
        <w:rPr>
          <w:sz w:val="28"/>
          <w:szCs w:val="28"/>
        </w:rPr>
        <w:t>Lai gan absolūtos skaitļos arī ZPI iepirkumi EIS sistēmā ir pieauguši, bet vērtējot tos kā īpatsvaru salīdzinoši ar ZPI iepirkumiem PIL un SPSIL, kur arī ir bijis būtisks ZPI īpatsvara pieaugums, nav vērojam izmaiņas no iepriekšējiem gadiem</w:t>
      </w:r>
      <w:r w:rsidR="00AB5C3A" w:rsidRPr="00C63DC6">
        <w:rPr>
          <w:sz w:val="28"/>
          <w:szCs w:val="28"/>
        </w:rPr>
        <w:t>.</w:t>
      </w:r>
    </w:p>
    <w:p w14:paraId="3E9DA20B" w14:textId="7EB425A4" w:rsidR="007F3656" w:rsidRPr="00C63DC6" w:rsidRDefault="00353FC9" w:rsidP="0064174A">
      <w:pPr>
        <w:pStyle w:val="NoSpacing"/>
        <w:spacing w:before="120" w:after="240"/>
        <w:ind w:firstLine="720"/>
        <w:jc w:val="both"/>
        <w:rPr>
          <w:b/>
        </w:rPr>
      </w:pPr>
      <w:r w:rsidRPr="00C63DC6">
        <w:rPr>
          <w:b/>
          <w:i/>
        </w:rPr>
        <w:t>7</w:t>
      </w:r>
      <w:r w:rsidR="0064174A" w:rsidRPr="00C63DC6">
        <w:rPr>
          <w:b/>
          <w:i/>
        </w:rPr>
        <w:t xml:space="preserve">. </w:t>
      </w:r>
      <w:r w:rsidR="007165D8" w:rsidRPr="00C63DC6">
        <w:rPr>
          <w:b/>
          <w:i/>
        </w:rPr>
        <w:t xml:space="preserve">Attēls </w:t>
      </w:r>
    </w:p>
    <w:p w14:paraId="517AD5CC" w14:textId="388067E0" w:rsidR="00282463" w:rsidRPr="00C63DC6" w:rsidRDefault="00282463" w:rsidP="00282463">
      <w:pPr>
        <w:pStyle w:val="NoSpacing"/>
        <w:ind w:left="360"/>
        <w:jc w:val="both"/>
        <w:outlineLvl w:val="0"/>
        <w:rPr>
          <w:b/>
          <w:i/>
        </w:rPr>
      </w:pPr>
      <w:r w:rsidRPr="00C63DC6">
        <w:rPr>
          <w:b/>
          <w:i/>
        </w:rPr>
        <w:t>Kopējās līgumcenas 201</w:t>
      </w:r>
      <w:r w:rsidR="007B7DA9" w:rsidRPr="00C63DC6">
        <w:rPr>
          <w:b/>
          <w:i/>
        </w:rPr>
        <w:t>8</w:t>
      </w:r>
      <w:r w:rsidRPr="00C63DC6">
        <w:rPr>
          <w:b/>
          <w:i/>
        </w:rPr>
        <w:t>.g. ZPI iepirkumi EUR bez PVN</w:t>
      </w:r>
    </w:p>
    <w:p w14:paraId="44A0C142" w14:textId="0647FABD" w:rsidR="007F3656" w:rsidRPr="00C63DC6" w:rsidRDefault="00282463" w:rsidP="00282463">
      <w:pPr>
        <w:pStyle w:val="NoSpacing"/>
        <w:jc w:val="both"/>
        <w:outlineLvl w:val="0"/>
        <w:rPr>
          <w:b/>
        </w:rPr>
      </w:pPr>
      <w:r w:rsidRPr="00C63DC6">
        <w:rPr>
          <w:noProof/>
        </w:rPr>
        <w:t xml:space="preserve"> </w:t>
      </w:r>
      <w:r w:rsidRPr="00C63DC6">
        <w:rPr>
          <w:noProof/>
        </w:rPr>
        <w:drawing>
          <wp:inline distT="0" distB="0" distL="0" distR="0" wp14:anchorId="126ACC00" wp14:editId="6737CDF1">
            <wp:extent cx="5181600" cy="25146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22ECCC" w14:textId="77777777" w:rsidR="00613411" w:rsidRPr="00C63DC6" w:rsidRDefault="00067534" w:rsidP="005413F1">
      <w:pPr>
        <w:pStyle w:val="NoSpacing"/>
        <w:jc w:val="both"/>
        <w:outlineLvl w:val="0"/>
        <w:rPr>
          <w:i/>
        </w:rPr>
      </w:pPr>
      <w:r w:rsidRPr="00C63DC6">
        <w:rPr>
          <w:i/>
        </w:rPr>
        <w:t xml:space="preserve">Avots: </w:t>
      </w:r>
      <w:r w:rsidR="00613411" w:rsidRPr="00C63DC6">
        <w:rPr>
          <w:i/>
        </w:rPr>
        <w:t>VRAA un IUB dati</w:t>
      </w:r>
    </w:p>
    <w:p w14:paraId="64E3368F" w14:textId="6715ADE0" w:rsidR="00A4727B" w:rsidRPr="00C63DC6" w:rsidRDefault="00156AB5" w:rsidP="005413F1">
      <w:pPr>
        <w:spacing w:before="120" w:after="240"/>
        <w:ind w:firstLine="720"/>
        <w:jc w:val="both"/>
        <w:rPr>
          <w:sz w:val="28"/>
          <w:szCs w:val="28"/>
        </w:rPr>
      </w:pPr>
      <w:r w:rsidRPr="00C63DC6">
        <w:rPr>
          <w:sz w:val="28"/>
          <w:szCs w:val="28"/>
        </w:rPr>
        <w:lastRenderedPageBreak/>
        <w:t xml:space="preserve">Attiecība starp </w:t>
      </w:r>
      <w:r w:rsidR="006E2B10" w:rsidRPr="00C63DC6">
        <w:rPr>
          <w:sz w:val="28"/>
          <w:szCs w:val="28"/>
        </w:rPr>
        <w:t>ZPI</w:t>
      </w:r>
      <w:r w:rsidRPr="00C63DC6">
        <w:rPr>
          <w:sz w:val="28"/>
          <w:szCs w:val="28"/>
        </w:rPr>
        <w:t xml:space="preserve"> un kopējo</w:t>
      </w:r>
      <w:r w:rsidR="0064174A" w:rsidRPr="00C63DC6">
        <w:rPr>
          <w:sz w:val="28"/>
          <w:szCs w:val="28"/>
        </w:rPr>
        <w:t xml:space="preserve"> iepirkumu skaitu EIS parādīta 8. A</w:t>
      </w:r>
      <w:r w:rsidR="00B32A71" w:rsidRPr="00C63DC6">
        <w:rPr>
          <w:sz w:val="28"/>
          <w:szCs w:val="28"/>
        </w:rPr>
        <w:t xml:space="preserve">ttēlā, kas </w:t>
      </w:r>
      <w:r w:rsidR="00C7518B" w:rsidRPr="00C63DC6">
        <w:rPr>
          <w:sz w:val="28"/>
          <w:szCs w:val="28"/>
        </w:rPr>
        <w:t xml:space="preserve">liecina par </w:t>
      </w:r>
      <w:r w:rsidR="00D33364" w:rsidRPr="00C63DC6">
        <w:rPr>
          <w:sz w:val="28"/>
          <w:szCs w:val="28"/>
        </w:rPr>
        <w:t>ZPI pirkumu EIS sistēmā īpatsvara samazinājumu</w:t>
      </w:r>
      <w:r w:rsidR="007A0159" w:rsidRPr="00C63DC6">
        <w:rPr>
          <w:sz w:val="28"/>
          <w:szCs w:val="28"/>
        </w:rPr>
        <w:t xml:space="preserve"> sal</w:t>
      </w:r>
      <w:r w:rsidR="00C7518B" w:rsidRPr="00C63DC6">
        <w:rPr>
          <w:sz w:val="28"/>
          <w:szCs w:val="28"/>
        </w:rPr>
        <w:t>īdzi</w:t>
      </w:r>
      <w:r w:rsidR="007A0159" w:rsidRPr="00C63DC6">
        <w:rPr>
          <w:sz w:val="28"/>
          <w:szCs w:val="28"/>
        </w:rPr>
        <w:t>nājumā ar iepriekšējiem gadiem (2017</w:t>
      </w:r>
      <w:r w:rsidR="0064174A" w:rsidRPr="00C63DC6">
        <w:rPr>
          <w:sz w:val="28"/>
          <w:szCs w:val="28"/>
        </w:rPr>
        <w:t>.g.</w:t>
      </w:r>
      <w:r w:rsidR="007A0159" w:rsidRPr="00C63DC6">
        <w:rPr>
          <w:sz w:val="28"/>
          <w:szCs w:val="28"/>
        </w:rPr>
        <w:t xml:space="preserve"> 22</w:t>
      </w:r>
      <w:r w:rsidR="00B32A71" w:rsidRPr="00C63DC6">
        <w:rPr>
          <w:sz w:val="28"/>
          <w:szCs w:val="28"/>
        </w:rPr>
        <w:t>%)</w:t>
      </w:r>
      <w:r w:rsidR="00F201CC" w:rsidRPr="00C63DC6">
        <w:rPr>
          <w:sz w:val="28"/>
          <w:szCs w:val="28"/>
        </w:rPr>
        <w:t>.</w:t>
      </w:r>
    </w:p>
    <w:p w14:paraId="7BB0EDBA" w14:textId="2121543A" w:rsidR="00FA00A7" w:rsidRPr="00C63DC6" w:rsidRDefault="00353FC9" w:rsidP="00353FC9">
      <w:pPr>
        <w:jc w:val="both"/>
        <w:rPr>
          <w:b/>
          <w:i/>
        </w:rPr>
      </w:pPr>
      <w:r w:rsidRPr="00C63DC6">
        <w:rPr>
          <w:b/>
          <w:i/>
        </w:rPr>
        <w:t>8</w:t>
      </w:r>
      <w:r w:rsidR="002539C0" w:rsidRPr="00C63DC6">
        <w:rPr>
          <w:b/>
          <w:i/>
        </w:rPr>
        <w:t>.</w:t>
      </w:r>
      <w:r w:rsidR="007F3656" w:rsidRPr="00C63DC6">
        <w:rPr>
          <w:b/>
          <w:i/>
        </w:rPr>
        <w:t xml:space="preserve">Attēls </w:t>
      </w:r>
    </w:p>
    <w:p w14:paraId="4D9CFA58" w14:textId="2B1EC625" w:rsidR="007F3656" w:rsidRPr="00C63DC6" w:rsidRDefault="007F3656" w:rsidP="00035FBA">
      <w:pPr>
        <w:spacing w:after="240"/>
        <w:jc w:val="both"/>
        <w:rPr>
          <w:b/>
          <w:i/>
        </w:rPr>
      </w:pPr>
      <w:r w:rsidRPr="00C63DC6">
        <w:rPr>
          <w:b/>
          <w:i/>
        </w:rPr>
        <w:t>ZPI attiecība pret kopējiem veiktiem pirkumiem EIS sistēmā</w:t>
      </w:r>
    </w:p>
    <w:p w14:paraId="1A3CF2E3" w14:textId="77777777" w:rsidR="007F3656" w:rsidRPr="00C63DC6" w:rsidRDefault="007F3656" w:rsidP="005413F1">
      <w:pPr>
        <w:spacing w:before="120" w:after="240"/>
        <w:jc w:val="both"/>
        <w:rPr>
          <w:b/>
          <w:i/>
        </w:rPr>
      </w:pPr>
      <w:r w:rsidRPr="00C63DC6">
        <w:rPr>
          <w:noProof/>
        </w:rPr>
        <w:drawing>
          <wp:inline distT="0" distB="0" distL="0" distR="0" wp14:anchorId="16851E74" wp14:editId="21BD882B">
            <wp:extent cx="4419600" cy="2447925"/>
            <wp:effectExtent l="0" t="0" r="3810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3EBE0A" w14:textId="5449DADC" w:rsidR="00613411" w:rsidRPr="00C63DC6" w:rsidRDefault="00067534" w:rsidP="00AB5C3A">
      <w:pPr>
        <w:pStyle w:val="NoSpacing"/>
        <w:spacing w:after="240"/>
        <w:jc w:val="both"/>
        <w:outlineLvl w:val="0"/>
        <w:rPr>
          <w:i/>
        </w:rPr>
      </w:pPr>
      <w:r w:rsidRPr="00C63DC6">
        <w:rPr>
          <w:i/>
        </w:rPr>
        <w:t xml:space="preserve">Avots: </w:t>
      </w:r>
      <w:r w:rsidR="00613411" w:rsidRPr="00C63DC6">
        <w:rPr>
          <w:i/>
        </w:rPr>
        <w:t>VRAA dati</w:t>
      </w:r>
      <w:r w:rsidRPr="00C63DC6">
        <w:rPr>
          <w:i/>
        </w:rPr>
        <w:t xml:space="preserve"> </w:t>
      </w:r>
    </w:p>
    <w:p w14:paraId="37388845" w14:textId="455C5A93" w:rsidR="002919FD" w:rsidRPr="00C63DC6" w:rsidRDefault="00B32A71" w:rsidP="002919FD">
      <w:pPr>
        <w:ind w:firstLine="720"/>
        <w:jc w:val="both"/>
        <w:rPr>
          <w:sz w:val="28"/>
          <w:szCs w:val="28"/>
        </w:rPr>
      </w:pPr>
      <w:r w:rsidRPr="00C63DC6">
        <w:rPr>
          <w:sz w:val="28"/>
          <w:szCs w:val="28"/>
        </w:rPr>
        <w:t>Vienla</w:t>
      </w:r>
      <w:r w:rsidR="005A7604" w:rsidRPr="00C63DC6">
        <w:rPr>
          <w:sz w:val="28"/>
          <w:szCs w:val="28"/>
        </w:rPr>
        <w:t>i</w:t>
      </w:r>
      <w:r w:rsidRPr="00C63DC6">
        <w:rPr>
          <w:sz w:val="28"/>
          <w:szCs w:val="28"/>
        </w:rPr>
        <w:t xml:space="preserve">cīgi ir </w:t>
      </w:r>
      <w:r w:rsidR="007A2C66" w:rsidRPr="00C63DC6">
        <w:rPr>
          <w:sz w:val="28"/>
          <w:szCs w:val="28"/>
        </w:rPr>
        <w:t>jāatzīmē</w:t>
      </w:r>
      <w:r w:rsidR="00156AB5" w:rsidRPr="00C63DC6">
        <w:rPr>
          <w:sz w:val="28"/>
          <w:szCs w:val="28"/>
        </w:rPr>
        <w:t>, ka prasību kopums EIS zaļajos katalogos iekļautajām precēm ir augstāks, nekā izvirzītajiem vides aizsardzības kritērijiem iepirkumos PIL un SPSIL ietvaros.</w:t>
      </w:r>
      <w:r w:rsidR="00D57545" w:rsidRPr="00C63DC6">
        <w:rPr>
          <w:sz w:val="28"/>
          <w:szCs w:val="28"/>
        </w:rPr>
        <w:t xml:space="preserve"> </w:t>
      </w:r>
      <w:r w:rsidR="00C30D60" w:rsidRPr="00C63DC6">
        <w:rPr>
          <w:sz w:val="28"/>
          <w:szCs w:val="28"/>
        </w:rPr>
        <w:t xml:space="preserve">Piemēram EKOdatortehnikas katalogā ir ietverta prasība  atbilstībai EPEAT standartam, kas nosaka augstākas prasības nekā </w:t>
      </w:r>
      <w:r w:rsidR="00C30D60" w:rsidRPr="00C63DC6">
        <w:rPr>
          <w:i/>
          <w:sz w:val="28"/>
          <w:szCs w:val="28"/>
        </w:rPr>
        <w:t>Energy Star</w:t>
      </w:r>
      <w:r w:rsidR="00C30D60" w:rsidRPr="00C63DC6">
        <w:rPr>
          <w:sz w:val="28"/>
          <w:szCs w:val="28"/>
        </w:rPr>
        <w:t>.</w:t>
      </w:r>
      <w:r w:rsidR="00156AB5" w:rsidRPr="00C63DC6">
        <w:rPr>
          <w:sz w:val="28"/>
          <w:szCs w:val="28"/>
        </w:rPr>
        <w:t xml:space="preserve"> Pārskats par EIS iepirktajām precēm, kas atbilst ZPI, </w:t>
      </w:r>
      <w:r w:rsidR="0064174A" w:rsidRPr="00C63DC6">
        <w:rPr>
          <w:sz w:val="28"/>
          <w:szCs w:val="28"/>
        </w:rPr>
        <w:t>ir parādīts 7</w:t>
      </w:r>
      <w:r w:rsidR="00156AB5" w:rsidRPr="00C63DC6">
        <w:rPr>
          <w:sz w:val="28"/>
          <w:szCs w:val="28"/>
        </w:rPr>
        <w:t xml:space="preserve">. </w:t>
      </w:r>
      <w:r w:rsidR="000E3414" w:rsidRPr="00C63DC6">
        <w:rPr>
          <w:sz w:val="28"/>
          <w:szCs w:val="28"/>
        </w:rPr>
        <w:t>t</w:t>
      </w:r>
      <w:r w:rsidR="00156AB5" w:rsidRPr="00C63DC6">
        <w:rPr>
          <w:sz w:val="28"/>
          <w:szCs w:val="28"/>
        </w:rPr>
        <w:t>abulā</w:t>
      </w:r>
      <w:r w:rsidR="000E3414" w:rsidRPr="00C63DC6">
        <w:rPr>
          <w:sz w:val="28"/>
          <w:szCs w:val="28"/>
        </w:rPr>
        <w:t xml:space="preserve"> un </w:t>
      </w:r>
      <w:r w:rsidR="0064174A" w:rsidRPr="00C63DC6">
        <w:rPr>
          <w:sz w:val="28"/>
          <w:szCs w:val="28"/>
        </w:rPr>
        <w:t>9</w:t>
      </w:r>
      <w:r w:rsidR="000E3414" w:rsidRPr="00C63DC6">
        <w:rPr>
          <w:sz w:val="28"/>
          <w:szCs w:val="28"/>
        </w:rPr>
        <w:t>. attēlā</w:t>
      </w:r>
      <w:r w:rsidR="00156AB5" w:rsidRPr="00C63DC6">
        <w:rPr>
          <w:sz w:val="28"/>
          <w:szCs w:val="28"/>
        </w:rPr>
        <w:t xml:space="preserve">. </w:t>
      </w:r>
      <w:r w:rsidR="00725FFC" w:rsidRPr="00C63DC6">
        <w:rPr>
          <w:sz w:val="28"/>
          <w:szCs w:val="28"/>
        </w:rPr>
        <w:t>Līdzīgi kā PIL kontekstā</w:t>
      </w:r>
      <w:r w:rsidR="00A71F6D" w:rsidRPr="00C63DC6">
        <w:rPr>
          <w:sz w:val="28"/>
          <w:szCs w:val="28"/>
        </w:rPr>
        <w:t>,</w:t>
      </w:r>
      <w:r w:rsidR="00725FFC" w:rsidRPr="00C63DC6">
        <w:rPr>
          <w:sz w:val="28"/>
          <w:szCs w:val="28"/>
        </w:rPr>
        <w:t xml:space="preserve"> pārskatā analizētas tās preču grupas, kuras plānots noteikt kā obligātas</w:t>
      </w:r>
      <w:r w:rsidR="00A71F6D" w:rsidRPr="00C63DC6">
        <w:rPr>
          <w:sz w:val="28"/>
          <w:szCs w:val="28"/>
        </w:rPr>
        <w:t>.</w:t>
      </w:r>
      <w:r w:rsidR="00166EA3" w:rsidRPr="00C63DC6">
        <w:rPr>
          <w:sz w:val="28"/>
          <w:szCs w:val="28"/>
        </w:rPr>
        <w:t xml:space="preserve"> </w:t>
      </w:r>
      <w:r w:rsidR="00AF27CE" w:rsidRPr="00C63DC6">
        <w:rPr>
          <w:sz w:val="28"/>
          <w:szCs w:val="28"/>
        </w:rPr>
        <w:t xml:space="preserve">Papildus preču </w:t>
      </w:r>
      <w:r w:rsidR="00E747BD" w:rsidRPr="00C63DC6">
        <w:rPr>
          <w:sz w:val="28"/>
          <w:szCs w:val="28"/>
        </w:rPr>
        <w:t>grupām, kurām saskaņā ar esošo likumdošanu ZPI ir jāpiemēro obligāti</w:t>
      </w:r>
      <w:r w:rsidR="002F4886" w:rsidRPr="00C63DC6">
        <w:rPr>
          <w:sz w:val="28"/>
          <w:szCs w:val="28"/>
        </w:rPr>
        <w:t>,</w:t>
      </w:r>
      <w:r w:rsidR="00AF27CE" w:rsidRPr="00C63DC6">
        <w:rPr>
          <w:sz w:val="28"/>
          <w:szCs w:val="28"/>
        </w:rPr>
        <w:t xml:space="preserve"> EIS ZPI ietvaros tiek iepirkts, piemēram, tualetes papīrs, papīra dvieļi, salvetes</w:t>
      </w:r>
      <w:r w:rsidR="009D374D" w:rsidRPr="00C63DC6">
        <w:rPr>
          <w:sz w:val="28"/>
          <w:szCs w:val="28"/>
        </w:rPr>
        <w:t>, kas</w:t>
      </w:r>
      <w:r w:rsidR="00E747BD" w:rsidRPr="00C63DC6">
        <w:rPr>
          <w:sz w:val="28"/>
          <w:szCs w:val="28"/>
        </w:rPr>
        <w:t xml:space="preserve"> </w:t>
      </w:r>
      <w:r w:rsidR="009D374D" w:rsidRPr="00C63DC6">
        <w:rPr>
          <w:sz w:val="28"/>
          <w:szCs w:val="28"/>
        </w:rPr>
        <w:t>i</w:t>
      </w:r>
      <w:r w:rsidR="00E747BD" w:rsidRPr="00C63DC6">
        <w:rPr>
          <w:sz w:val="28"/>
          <w:szCs w:val="28"/>
        </w:rPr>
        <w:t>ekļauts grupā</w:t>
      </w:r>
      <w:r w:rsidR="009D374D" w:rsidRPr="00C63DC6">
        <w:rPr>
          <w:sz w:val="28"/>
          <w:szCs w:val="28"/>
        </w:rPr>
        <w:t xml:space="preserve"> -</w:t>
      </w:r>
      <w:r w:rsidR="00E747BD" w:rsidRPr="00C63DC6">
        <w:rPr>
          <w:sz w:val="28"/>
          <w:szCs w:val="28"/>
        </w:rPr>
        <w:t xml:space="preserve"> saimniecības preces un </w:t>
      </w:r>
      <w:r w:rsidR="007A2C66" w:rsidRPr="00C63DC6">
        <w:rPr>
          <w:sz w:val="28"/>
          <w:szCs w:val="28"/>
        </w:rPr>
        <w:t>tīrīšanas</w:t>
      </w:r>
      <w:r w:rsidR="00E747BD" w:rsidRPr="00C63DC6">
        <w:rPr>
          <w:sz w:val="28"/>
          <w:szCs w:val="28"/>
        </w:rPr>
        <w:t xml:space="preserve"> līdzekļi. </w:t>
      </w:r>
    </w:p>
    <w:p w14:paraId="4B572958" w14:textId="763BE3EF" w:rsidR="000E3414" w:rsidRPr="00C63DC6" w:rsidRDefault="00D13D33" w:rsidP="00353FC9">
      <w:pPr>
        <w:spacing w:before="120"/>
        <w:jc w:val="both"/>
        <w:outlineLvl w:val="0"/>
        <w:rPr>
          <w:b/>
          <w:i/>
        </w:rPr>
      </w:pPr>
      <w:r w:rsidRPr="00C63DC6">
        <w:rPr>
          <w:b/>
          <w:i/>
        </w:rPr>
        <w:t>10</w:t>
      </w:r>
      <w:r w:rsidR="000E3414" w:rsidRPr="00C63DC6">
        <w:rPr>
          <w:b/>
          <w:i/>
        </w:rPr>
        <w:t>. Tabula</w:t>
      </w:r>
    </w:p>
    <w:p w14:paraId="134FC498" w14:textId="1243CF0E" w:rsidR="00C30D60" w:rsidRPr="00C63DC6" w:rsidRDefault="00010984" w:rsidP="005413F1">
      <w:pPr>
        <w:jc w:val="both"/>
        <w:outlineLvl w:val="0"/>
        <w:rPr>
          <w:b/>
          <w:i/>
        </w:rPr>
      </w:pPr>
      <w:r w:rsidRPr="00C63DC6">
        <w:rPr>
          <w:b/>
          <w:i/>
        </w:rPr>
        <w:t>ZPI iepirkumi EIS sistēmā 2018. g. Preču grupas un līgumcenas</w:t>
      </w:r>
    </w:p>
    <w:tbl>
      <w:tblPr>
        <w:tblW w:w="8818" w:type="dxa"/>
        <w:tblLook w:val="04A0" w:firstRow="1" w:lastRow="0" w:firstColumn="1" w:lastColumn="0" w:noHBand="0" w:noVBand="1"/>
      </w:tblPr>
      <w:tblGrid>
        <w:gridCol w:w="5098"/>
        <w:gridCol w:w="3720"/>
      </w:tblGrid>
      <w:tr w:rsidR="000E3414" w:rsidRPr="00C63DC6" w14:paraId="13832358" w14:textId="77777777" w:rsidTr="00D13D33">
        <w:trPr>
          <w:trHeight w:val="630"/>
        </w:trPr>
        <w:tc>
          <w:tcPr>
            <w:tcW w:w="509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9DEDF08" w14:textId="77777777" w:rsidR="000E3414" w:rsidRPr="00C63DC6" w:rsidRDefault="000E3414" w:rsidP="005413F1">
            <w:pPr>
              <w:jc w:val="both"/>
              <w:rPr>
                <w:b/>
                <w:bCs/>
              </w:rPr>
            </w:pPr>
            <w:r w:rsidRPr="00C63DC6">
              <w:rPr>
                <w:b/>
                <w:bCs/>
              </w:rPr>
              <w:t>Preču grupas</w:t>
            </w:r>
          </w:p>
        </w:tc>
        <w:tc>
          <w:tcPr>
            <w:tcW w:w="372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61F22B4" w14:textId="77777777" w:rsidR="000E3414" w:rsidRPr="00C63DC6" w:rsidRDefault="000E3414" w:rsidP="005413F1">
            <w:pPr>
              <w:jc w:val="both"/>
              <w:rPr>
                <w:b/>
                <w:bCs/>
              </w:rPr>
            </w:pPr>
            <w:r w:rsidRPr="00C63DC6">
              <w:rPr>
                <w:b/>
                <w:bCs/>
              </w:rPr>
              <w:t xml:space="preserve">Kopējā līgumcena EUR (bez PVN) </w:t>
            </w:r>
          </w:p>
        </w:tc>
      </w:tr>
      <w:tr w:rsidR="00C30D60" w:rsidRPr="00C63DC6" w14:paraId="3472DCDD" w14:textId="77777777" w:rsidTr="00413088">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B349A" w14:textId="594E4118" w:rsidR="00C30D60" w:rsidRPr="00C63DC6" w:rsidRDefault="00C30D60" w:rsidP="005413F1">
            <w:pPr>
              <w:jc w:val="both"/>
              <w:rPr>
                <w:b/>
                <w:bCs/>
                <w:color w:val="000000"/>
              </w:rPr>
            </w:pPr>
            <w:r w:rsidRPr="00C63DC6">
              <w:rPr>
                <w:b/>
                <w:bCs/>
                <w:color w:val="000000"/>
              </w:rPr>
              <w:t>Asmeņserveri un datu glabātuves</w:t>
            </w:r>
          </w:p>
        </w:tc>
        <w:tc>
          <w:tcPr>
            <w:tcW w:w="3720" w:type="dxa"/>
            <w:tcBorders>
              <w:top w:val="single" w:sz="4" w:space="0" w:color="auto"/>
              <w:left w:val="nil"/>
              <w:bottom w:val="single" w:sz="4" w:space="0" w:color="auto"/>
              <w:right w:val="single" w:sz="4" w:space="0" w:color="auto"/>
            </w:tcBorders>
            <w:shd w:val="clear" w:color="auto" w:fill="auto"/>
            <w:noWrap/>
            <w:vAlign w:val="bottom"/>
          </w:tcPr>
          <w:p w14:paraId="0FEDE4E5" w14:textId="4B128BD1" w:rsidR="00C30D60" w:rsidRPr="00C63DC6" w:rsidRDefault="00C30D60" w:rsidP="005413F1">
            <w:pPr>
              <w:jc w:val="both"/>
              <w:rPr>
                <w:color w:val="000000"/>
              </w:rPr>
            </w:pPr>
            <w:r w:rsidRPr="00C63DC6">
              <w:t>2</w:t>
            </w:r>
            <w:r w:rsidR="00010984" w:rsidRPr="00C63DC6">
              <w:t xml:space="preserve"> </w:t>
            </w:r>
            <w:r w:rsidRPr="00C63DC6">
              <w:t>113</w:t>
            </w:r>
            <w:r w:rsidR="00010984" w:rsidRPr="00C63DC6">
              <w:t xml:space="preserve"> </w:t>
            </w:r>
            <w:r w:rsidRPr="00C63DC6">
              <w:t>831</w:t>
            </w:r>
          </w:p>
        </w:tc>
      </w:tr>
      <w:tr w:rsidR="000E3414" w:rsidRPr="00C63DC6" w14:paraId="0B5ADAFE" w14:textId="77777777" w:rsidTr="00413088">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F932E" w14:textId="77777777" w:rsidR="000E3414" w:rsidRPr="00C63DC6" w:rsidRDefault="000E3414" w:rsidP="005413F1">
            <w:pPr>
              <w:jc w:val="both"/>
              <w:rPr>
                <w:b/>
                <w:bCs/>
                <w:color w:val="000000"/>
              </w:rPr>
            </w:pPr>
            <w:r w:rsidRPr="00C63DC6">
              <w:rPr>
                <w:b/>
                <w:bCs/>
                <w:color w:val="000000"/>
              </w:rPr>
              <w:t>Datortehnika</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14:paraId="09EE05A2" w14:textId="60BD27C0" w:rsidR="000E3414" w:rsidRPr="00C63DC6" w:rsidRDefault="00C30D60" w:rsidP="005413F1">
            <w:pPr>
              <w:jc w:val="both"/>
              <w:rPr>
                <w:color w:val="000000"/>
              </w:rPr>
            </w:pPr>
            <w:r w:rsidRPr="00C63DC6">
              <w:rPr>
                <w:color w:val="000000"/>
              </w:rPr>
              <w:t>5</w:t>
            </w:r>
            <w:r w:rsidR="00010984" w:rsidRPr="00C63DC6">
              <w:rPr>
                <w:color w:val="000000"/>
              </w:rPr>
              <w:t xml:space="preserve"> </w:t>
            </w:r>
            <w:r w:rsidRPr="00C63DC6">
              <w:rPr>
                <w:color w:val="000000"/>
              </w:rPr>
              <w:t>817</w:t>
            </w:r>
            <w:r w:rsidR="00010984" w:rsidRPr="00C63DC6">
              <w:rPr>
                <w:color w:val="000000"/>
              </w:rPr>
              <w:t xml:space="preserve"> </w:t>
            </w:r>
            <w:r w:rsidRPr="00C63DC6">
              <w:rPr>
                <w:color w:val="000000"/>
              </w:rPr>
              <w:t>495</w:t>
            </w:r>
          </w:p>
        </w:tc>
      </w:tr>
      <w:tr w:rsidR="00C30D60" w:rsidRPr="00C63DC6" w14:paraId="4A8ACFFC" w14:textId="77777777" w:rsidTr="00413088">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726B2CFB" w14:textId="782D4774" w:rsidR="00C30D60" w:rsidRPr="00C63DC6" w:rsidRDefault="00C30D60" w:rsidP="00C30D60">
            <w:pPr>
              <w:jc w:val="both"/>
              <w:rPr>
                <w:b/>
                <w:bCs/>
                <w:color w:val="000000"/>
              </w:rPr>
            </w:pPr>
            <w:r w:rsidRPr="00C63DC6">
              <w:rPr>
                <w:b/>
                <w:bCs/>
                <w:color w:val="000000"/>
              </w:rPr>
              <w:t>EKO datortehnika</w:t>
            </w:r>
          </w:p>
        </w:tc>
        <w:tc>
          <w:tcPr>
            <w:tcW w:w="3720" w:type="dxa"/>
            <w:tcBorders>
              <w:top w:val="nil"/>
              <w:left w:val="nil"/>
              <w:bottom w:val="single" w:sz="4" w:space="0" w:color="auto"/>
              <w:right w:val="single" w:sz="4" w:space="0" w:color="auto"/>
            </w:tcBorders>
            <w:shd w:val="clear" w:color="auto" w:fill="auto"/>
            <w:noWrap/>
            <w:vAlign w:val="bottom"/>
          </w:tcPr>
          <w:p w14:paraId="14A9A0CF" w14:textId="5E7AA2DD" w:rsidR="00C30D60" w:rsidRPr="00C63DC6" w:rsidRDefault="00C30D60" w:rsidP="00C30D60">
            <w:pPr>
              <w:jc w:val="both"/>
            </w:pPr>
            <w:r w:rsidRPr="00C63DC6">
              <w:t>4</w:t>
            </w:r>
            <w:r w:rsidR="00010984" w:rsidRPr="00C63DC6">
              <w:t xml:space="preserve"> </w:t>
            </w:r>
            <w:r w:rsidRPr="00C63DC6">
              <w:t>109</w:t>
            </w:r>
            <w:r w:rsidR="00010984" w:rsidRPr="00C63DC6">
              <w:t xml:space="preserve"> </w:t>
            </w:r>
            <w:r w:rsidRPr="00C63DC6">
              <w:t>197</w:t>
            </w:r>
          </w:p>
        </w:tc>
      </w:tr>
      <w:tr w:rsidR="000E3414" w:rsidRPr="00C63DC6" w14:paraId="35564E9F" w14:textId="77777777" w:rsidTr="00413088">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78FEC29" w14:textId="77777777" w:rsidR="000E3414" w:rsidRPr="00C63DC6" w:rsidRDefault="007E695D" w:rsidP="005413F1">
            <w:pPr>
              <w:jc w:val="both"/>
              <w:rPr>
                <w:b/>
                <w:bCs/>
                <w:color w:val="000000"/>
              </w:rPr>
            </w:pPr>
            <w:r w:rsidRPr="00C63DC6">
              <w:rPr>
                <w:b/>
                <w:bCs/>
                <w:color w:val="000000"/>
              </w:rPr>
              <w:t>Drukas iekārtas</w:t>
            </w:r>
          </w:p>
        </w:tc>
        <w:tc>
          <w:tcPr>
            <w:tcW w:w="3720" w:type="dxa"/>
            <w:tcBorders>
              <w:top w:val="nil"/>
              <w:left w:val="nil"/>
              <w:bottom w:val="single" w:sz="4" w:space="0" w:color="auto"/>
              <w:right w:val="single" w:sz="4" w:space="0" w:color="auto"/>
            </w:tcBorders>
            <w:shd w:val="clear" w:color="auto" w:fill="auto"/>
            <w:noWrap/>
            <w:vAlign w:val="bottom"/>
            <w:hideMark/>
          </w:tcPr>
          <w:p w14:paraId="2763A8FA" w14:textId="67B67669" w:rsidR="000E3414" w:rsidRPr="00C63DC6" w:rsidRDefault="00C30D60" w:rsidP="00C30D60">
            <w:pPr>
              <w:jc w:val="both"/>
              <w:rPr>
                <w:color w:val="000000"/>
              </w:rPr>
            </w:pPr>
            <w:r w:rsidRPr="00C63DC6">
              <w:t>1</w:t>
            </w:r>
            <w:r w:rsidR="00010984" w:rsidRPr="00C63DC6">
              <w:t xml:space="preserve"> </w:t>
            </w:r>
            <w:r w:rsidRPr="00C63DC6">
              <w:t>164</w:t>
            </w:r>
            <w:r w:rsidR="00010984" w:rsidRPr="00C63DC6">
              <w:t xml:space="preserve"> </w:t>
            </w:r>
            <w:r w:rsidRPr="00C63DC6">
              <w:t>680</w:t>
            </w:r>
          </w:p>
        </w:tc>
      </w:tr>
      <w:tr w:rsidR="000E3414" w:rsidRPr="00C63DC6" w14:paraId="1B7A03BC" w14:textId="77777777" w:rsidTr="00413088">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B12EE65" w14:textId="16F3D5A4" w:rsidR="000E3414" w:rsidRPr="00C63DC6" w:rsidRDefault="00C30D60" w:rsidP="00D33364">
            <w:pPr>
              <w:rPr>
                <w:b/>
                <w:bCs/>
                <w:color w:val="000000"/>
              </w:rPr>
            </w:pPr>
            <w:r w:rsidRPr="00C63DC6">
              <w:rPr>
                <w:b/>
                <w:bCs/>
                <w:color w:val="000000"/>
              </w:rPr>
              <w:t>Kancelejas preces un biroja papīrs</w:t>
            </w:r>
          </w:p>
        </w:tc>
        <w:tc>
          <w:tcPr>
            <w:tcW w:w="3720" w:type="dxa"/>
            <w:tcBorders>
              <w:top w:val="nil"/>
              <w:left w:val="nil"/>
              <w:bottom w:val="single" w:sz="4" w:space="0" w:color="auto"/>
              <w:right w:val="single" w:sz="4" w:space="0" w:color="auto"/>
            </w:tcBorders>
            <w:shd w:val="clear" w:color="auto" w:fill="auto"/>
            <w:noWrap/>
            <w:hideMark/>
          </w:tcPr>
          <w:p w14:paraId="30508138" w14:textId="6246C2DE" w:rsidR="000E3414" w:rsidRPr="00C63DC6" w:rsidRDefault="00C30D60" w:rsidP="00C30D60">
            <w:pPr>
              <w:jc w:val="both"/>
              <w:rPr>
                <w:color w:val="000000"/>
              </w:rPr>
            </w:pPr>
            <w:r w:rsidRPr="00C63DC6">
              <w:t>1</w:t>
            </w:r>
            <w:r w:rsidR="00010984" w:rsidRPr="00C63DC6">
              <w:t xml:space="preserve"> </w:t>
            </w:r>
            <w:r w:rsidRPr="00C63DC6">
              <w:t>450</w:t>
            </w:r>
            <w:r w:rsidR="00010984" w:rsidRPr="00C63DC6">
              <w:t xml:space="preserve"> </w:t>
            </w:r>
            <w:r w:rsidRPr="00C63DC6">
              <w:t>190</w:t>
            </w:r>
          </w:p>
        </w:tc>
      </w:tr>
      <w:tr w:rsidR="000E3414" w:rsidRPr="00C63DC6" w14:paraId="16285989" w14:textId="77777777" w:rsidTr="00D13D33">
        <w:trPr>
          <w:trHeight w:val="324"/>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AAD16A5" w14:textId="4D74C3E4" w:rsidR="000E3414" w:rsidRPr="00C63DC6" w:rsidRDefault="00E747BD" w:rsidP="005413F1">
            <w:pPr>
              <w:jc w:val="both"/>
              <w:rPr>
                <w:b/>
                <w:bCs/>
                <w:color w:val="000000"/>
              </w:rPr>
            </w:pPr>
            <w:r w:rsidRPr="00C63DC6">
              <w:rPr>
                <w:b/>
                <w:bCs/>
                <w:color w:val="000000"/>
              </w:rPr>
              <w:t xml:space="preserve">Saimniecības preces un </w:t>
            </w:r>
            <w:r w:rsidR="007A2C66" w:rsidRPr="00C63DC6">
              <w:rPr>
                <w:b/>
                <w:bCs/>
                <w:color w:val="000000"/>
              </w:rPr>
              <w:t>tīrīšanas</w:t>
            </w:r>
            <w:r w:rsidRPr="00C63DC6">
              <w:rPr>
                <w:b/>
                <w:bCs/>
                <w:color w:val="000000"/>
              </w:rPr>
              <w:t xml:space="preserve"> līdzekļi</w:t>
            </w:r>
            <w:r w:rsidR="000E3414" w:rsidRPr="00C63DC6">
              <w:rPr>
                <w:b/>
                <w:bCs/>
                <w:color w:val="000000"/>
              </w:rPr>
              <w:t xml:space="preserve"> </w:t>
            </w:r>
          </w:p>
        </w:tc>
        <w:tc>
          <w:tcPr>
            <w:tcW w:w="3720" w:type="dxa"/>
            <w:tcBorders>
              <w:top w:val="nil"/>
              <w:left w:val="nil"/>
              <w:bottom w:val="single" w:sz="4" w:space="0" w:color="auto"/>
              <w:right w:val="single" w:sz="4" w:space="0" w:color="auto"/>
            </w:tcBorders>
            <w:shd w:val="clear" w:color="auto" w:fill="auto"/>
            <w:noWrap/>
            <w:vAlign w:val="center"/>
            <w:hideMark/>
          </w:tcPr>
          <w:p w14:paraId="5D4AB5AB" w14:textId="7D7AC743" w:rsidR="000E3414" w:rsidRPr="00C63DC6" w:rsidRDefault="00C30D60" w:rsidP="00010984">
            <w:pPr>
              <w:rPr>
                <w:color w:val="000000"/>
              </w:rPr>
            </w:pPr>
            <w:r w:rsidRPr="00C63DC6">
              <w:t>1</w:t>
            </w:r>
            <w:r w:rsidR="00010984" w:rsidRPr="00C63DC6">
              <w:t xml:space="preserve"> </w:t>
            </w:r>
            <w:r w:rsidRPr="00C63DC6">
              <w:t>419</w:t>
            </w:r>
            <w:r w:rsidR="00010984" w:rsidRPr="00C63DC6">
              <w:t xml:space="preserve"> </w:t>
            </w:r>
            <w:r w:rsidRPr="00C63DC6">
              <w:t>965</w:t>
            </w:r>
          </w:p>
        </w:tc>
      </w:tr>
      <w:tr w:rsidR="000E3414" w:rsidRPr="00C63DC6" w14:paraId="15686523" w14:textId="77777777" w:rsidTr="00D13D33">
        <w:trPr>
          <w:trHeight w:val="271"/>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F8C47" w14:textId="77777777" w:rsidR="000E3414" w:rsidRPr="00C63DC6" w:rsidRDefault="000E3414" w:rsidP="005413F1">
            <w:pPr>
              <w:jc w:val="both"/>
              <w:rPr>
                <w:b/>
                <w:bCs/>
                <w:color w:val="000000"/>
              </w:rPr>
            </w:pPr>
            <w:r w:rsidRPr="00C63DC6">
              <w:rPr>
                <w:b/>
                <w:bCs/>
                <w:color w:val="000000"/>
              </w:rPr>
              <w:t xml:space="preserve">Pārtika </w:t>
            </w:r>
            <w:r w:rsidR="00E747BD" w:rsidRPr="00C63DC6">
              <w:rPr>
                <w:b/>
                <w:bCs/>
                <w:color w:val="000000"/>
              </w:rPr>
              <w:t>preces</w:t>
            </w:r>
          </w:p>
        </w:tc>
        <w:tc>
          <w:tcPr>
            <w:tcW w:w="3720" w:type="dxa"/>
            <w:tcBorders>
              <w:top w:val="single" w:sz="4" w:space="0" w:color="auto"/>
              <w:left w:val="nil"/>
              <w:bottom w:val="single" w:sz="4" w:space="0" w:color="auto"/>
              <w:right w:val="single" w:sz="4" w:space="0" w:color="auto"/>
            </w:tcBorders>
            <w:shd w:val="clear" w:color="auto" w:fill="auto"/>
            <w:noWrap/>
            <w:hideMark/>
          </w:tcPr>
          <w:p w14:paraId="7AB53969" w14:textId="6A3B47C1" w:rsidR="000E3414" w:rsidRPr="00C63DC6" w:rsidRDefault="00C30D60" w:rsidP="005413F1">
            <w:pPr>
              <w:jc w:val="both"/>
              <w:rPr>
                <w:color w:val="000000"/>
              </w:rPr>
            </w:pPr>
            <w:r w:rsidRPr="00C63DC6">
              <w:t>13</w:t>
            </w:r>
            <w:r w:rsidR="00010984" w:rsidRPr="00C63DC6">
              <w:t xml:space="preserve"> </w:t>
            </w:r>
            <w:r w:rsidRPr="00C63DC6">
              <w:t>705</w:t>
            </w:r>
          </w:p>
        </w:tc>
      </w:tr>
      <w:tr w:rsidR="00D13D33" w:rsidRPr="00C63DC6" w14:paraId="4AE14581" w14:textId="77777777" w:rsidTr="00D13D33">
        <w:trPr>
          <w:trHeight w:val="271"/>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35808" w14:textId="0257130E" w:rsidR="00D13D33" w:rsidRPr="00C63DC6" w:rsidRDefault="00D13D33" w:rsidP="005413F1">
            <w:pPr>
              <w:jc w:val="both"/>
              <w:rPr>
                <w:b/>
                <w:bCs/>
                <w:color w:val="000000"/>
              </w:rPr>
            </w:pPr>
            <w:r w:rsidRPr="00C63DC6">
              <w:rPr>
                <w:b/>
                <w:bCs/>
                <w:color w:val="000000"/>
              </w:rPr>
              <w:t>KOPĀ ZPI</w:t>
            </w:r>
          </w:p>
        </w:tc>
        <w:tc>
          <w:tcPr>
            <w:tcW w:w="3720" w:type="dxa"/>
            <w:tcBorders>
              <w:top w:val="single" w:sz="4" w:space="0" w:color="auto"/>
              <w:left w:val="nil"/>
              <w:bottom w:val="single" w:sz="4" w:space="0" w:color="auto"/>
              <w:right w:val="single" w:sz="4" w:space="0" w:color="auto"/>
            </w:tcBorders>
            <w:shd w:val="clear" w:color="auto" w:fill="auto"/>
            <w:noWrap/>
          </w:tcPr>
          <w:p w14:paraId="35D51707" w14:textId="2040E01B" w:rsidR="00D13D33" w:rsidRPr="00C63DC6" w:rsidRDefault="007605CB" w:rsidP="007605CB">
            <w:pPr>
              <w:jc w:val="both"/>
            </w:pPr>
            <w:r w:rsidRPr="00C63DC6">
              <w:t>16 089 064</w:t>
            </w:r>
          </w:p>
        </w:tc>
      </w:tr>
    </w:tbl>
    <w:p w14:paraId="60FCAA15" w14:textId="77777777" w:rsidR="00B867CB" w:rsidRPr="00C63DC6" w:rsidRDefault="00E747BD" w:rsidP="005413F1">
      <w:pPr>
        <w:pStyle w:val="NoSpacing"/>
        <w:jc w:val="both"/>
        <w:rPr>
          <w:i/>
          <w:color w:val="262626"/>
        </w:rPr>
      </w:pPr>
      <w:r w:rsidRPr="00C63DC6">
        <w:rPr>
          <w:i/>
          <w:color w:val="262626"/>
        </w:rPr>
        <w:t xml:space="preserve"> </w:t>
      </w:r>
      <w:r w:rsidR="00067534" w:rsidRPr="00C63DC6">
        <w:rPr>
          <w:i/>
        </w:rPr>
        <w:t xml:space="preserve">Avots: </w:t>
      </w:r>
      <w:r w:rsidR="000E3414" w:rsidRPr="00C63DC6">
        <w:rPr>
          <w:i/>
        </w:rPr>
        <w:t>VRAA dati</w:t>
      </w:r>
    </w:p>
    <w:p w14:paraId="5888E949" w14:textId="694170C7" w:rsidR="00E22C6B" w:rsidRPr="00C63DC6" w:rsidRDefault="00353FC9" w:rsidP="00353FC9">
      <w:pPr>
        <w:spacing w:before="240"/>
        <w:jc w:val="both"/>
        <w:outlineLvl w:val="0"/>
        <w:rPr>
          <w:b/>
          <w:i/>
          <w:noProof/>
        </w:rPr>
      </w:pPr>
      <w:r w:rsidRPr="00C63DC6">
        <w:rPr>
          <w:b/>
          <w:i/>
          <w:noProof/>
        </w:rPr>
        <w:lastRenderedPageBreak/>
        <w:t>9</w:t>
      </w:r>
      <w:r w:rsidR="00C30D60" w:rsidRPr="00C63DC6">
        <w:rPr>
          <w:b/>
          <w:i/>
          <w:noProof/>
        </w:rPr>
        <w:t>.</w:t>
      </w:r>
      <w:r w:rsidR="00A726A5" w:rsidRPr="00C63DC6">
        <w:rPr>
          <w:b/>
          <w:i/>
          <w:noProof/>
        </w:rPr>
        <w:t>Attēls</w:t>
      </w:r>
      <w:r w:rsidR="002B0917" w:rsidRPr="00C63DC6">
        <w:rPr>
          <w:b/>
          <w:i/>
          <w:noProof/>
        </w:rPr>
        <w:t xml:space="preserve"> </w:t>
      </w:r>
    </w:p>
    <w:p w14:paraId="176A8637" w14:textId="66208AE7" w:rsidR="00E22C6B" w:rsidRPr="00C63DC6" w:rsidRDefault="002919FD" w:rsidP="00FA00A7">
      <w:pPr>
        <w:jc w:val="both"/>
        <w:outlineLvl w:val="0"/>
        <w:rPr>
          <w:b/>
          <w:i/>
          <w:color w:val="262626"/>
        </w:rPr>
      </w:pPr>
      <w:r w:rsidRPr="00C63DC6">
        <w:rPr>
          <w:b/>
          <w:i/>
          <w:color w:val="262626"/>
        </w:rPr>
        <w:t>ZPI iepirkumi EIS sistēmā 2018. g P</w:t>
      </w:r>
      <w:r w:rsidR="00E22C6B" w:rsidRPr="00C63DC6">
        <w:rPr>
          <w:b/>
          <w:i/>
          <w:color w:val="262626"/>
        </w:rPr>
        <w:t>reču</w:t>
      </w:r>
      <w:r w:rsidRPr="00C63DC6">
        <w:rPr>
          <w:b/>
          <w:i/>
          <w:color w:val="262626"/>
        </w:rPr>
        <w:t xml:space="preserve"> grupu</w:t>
      </w:r>
      <w:r w:rsidR="00E22C6B" w:rsidRPr="00C63DC6">
        <w:rPr>
          <w:b/>
          <w:i/>
          <w:color w:val="262626"/>
        </w:rPr>
        <w:t xml:space="preserve"> īpatsvars </w:t>
      </w:r>
    </w:p>
    <w:p w14:paraId="71EB3B61" w14:textId="23A17EB9" w:rsidR="00BB37EF" w:rsidRPr="00C63DC6" w:rsidRDefault="002919FD" w:rsidP="00FA00A7">
      <w:pPr>
        <w:jc w:val="both"/>
        <w:outlineLvl w:val="0"/>
        <w:rPr>
          <w:b/>
          <w:i/>
          <w:color w:val="262626"/>
        </w:rPr>
      </w:pPr>
      <w:r w:rsidRPr="00C63DC6">
        <w:rPr>
          <w:noProof/>
        </w:rPr>
        <w:drawing>
          <wp:inline distT="0" distB="0" distL="0" distR="0" wp14:anchorId="0587402C" wp14:editId="73E23875">
            <wp:extent cx="5695950" cy="31051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00D663" w14:textId="6A2C08F1" w:rsidR="00D6436A" w:rsidRPr="00C63DC6" w:rsidRDefault="00D6436A" w:rsidP="00A726A5">
      <w:pPr>
        <w:spacing w:before="240"/>
        <w:jc w:val="both"/>
        <w:rPr>
          <w:i/>
        </w:rPr>
      </w:pPr>
      <w:r w:rsidRPr="00C63DC6">
        <w:rPr>
          <w:noProof/>
        </w:rPr>
        <w:t xml:space="preserve"> </w:t>
      </w:r>
      <w:r w:rsidRPr="00C63DC6">
        <w:rPr>
          <w:i/>
        </w:rPr>
        <w:t>Avots: VRAA dati</w:t>
      </w:r>
    </w:p>
    <w:p w14:paraId="20CF1ABF" w14:textId="3D41FEE9" w:rsidR="002919FD" w:rsidRPr="00C63DC6" w:rsidRDefault="002919FD" w:rsidP="007605CB">
      <w:pPr>
        <w:spacing w:before="240" w:after="240"/>
        <w:ind w:firstLine="644"/>
        <w:jc w:val="both"/>
        <w:rPr>
          <w:sz w:val="28"/>
          <w:szCs w:val="28"/>
        </w:rPr>
      </w:pPr>
      <w:r w:rsidRPr="00C63DC6">
        <w:rPr>
          <w:sz w:val="28"/>
          <w:szCs w:val="28"/>
        </w:rPr>
        <w:t xml:space="preserve">Salīdzinoši ar 2017. gadu 2018. gadā ZPI preču katalogu īpatsvaru attiecība kopumā nav mainījusies, nedaudz palielinājies Saimniecības preču un </w:t>
      </w:r>
      <w:r w:rsidR="00D57545" w:rsidRPr="00C63DC6">
        <w:rPr>
          <w:sz w:val="28"/>
          <w:szCs w:val="28"/>
        </w:rPr>
        <w:t>tīrīšanas</w:t>
      </w:r>
      <w:r w:rsidRPr="00C63DC6">
        <w:rPr>
          <w:sz w:val="28"/>
          <w:szCs w:val="28"/>
        </w:rPr>
        <w:t xml:space="preserve"> līdzekļu īpatsvars. Papildus ir nācis klāt asmeņserveru un datu glabātuvju katalogs. Datu glab</w:t>
      </w:r>
      <w:r w:rsidR="007605CB" w:rsidRPr="00C63DC6">
        <w:rPr>
          <w:sz w:val="28"/>
          <w:szCs w:val="28"/>
        </w:rPr>
        <w:t>ātuves kā jaunu preču grupu</w:t>
      </w:r>
      <w:r w:rsidRPr="00C63DC6">
        <w:rPr>
          <w:sz w:val="28"/>
          <w:szCs w:val="28"/>
        </w:rPr>
        <w:t xml:space="preserve"> </w:t>
      </w:r>
      <w:r w:rsidR="007605CB" w:rsidRPr="00C63DC6">
        <w:rPr>
          <w:sz w:val="28"/>
          <w:szCs w:val="28"/>
        </w:rPr>
        <w:t>plānots i</w:t>
      </w:r>
      <w:r w:rsidRPr="00C63DC6">
        <w:rPr>
          <w:sz w:val="28"/>
          <w:szCs w:val="28"/>
        </w:rPr>
        <w:t>etvert arī M</w:t>
      </w:r>
      <w:r w:rsidR="007605CB" w:rsidRPr="00C63DC6">
        <w:rPr>
          <w:sz w:val="28"/>
          <w:szCs w:val="28"/>
        </w:rPr>
        <w:t xml:space="preserve">K noteikumu pārskatā un </w:t>
      </w:r>
      <w:r w:rsidRPr="00C63DC6">
        <w:rPr>
          <w:sz w:val="28"/>
          <w:szCs w:val="28"/>
        </w:rPr>
        <w:t>to 1. pielikumā.</w:t>
      </w:r>
    </w:p>
    <w:p w14:paraId="302D9418" w14:textId="19444BE1" w:rsidR="009B508E" w:rsidRPr="00C63DC6" w:rsidRDefault="00910385" w:rsidP="00A21D0F">
      <w:pPr>
        <w:pStyle w:val="ListParagraph"/>
        <w:numPr>
          <w:ilvl w:val="0"/>
          <w:numId w:val="23"/>
        </w:numPr>
        <w:jc w:val="both"/>
        <w:rPr>
          <w:b/>
          <w:sz w:val="28"/>
          <w:szCs w:val="28"/>
        </w:rPr>
      </w:pPr>
      <w:r w:rsidRPr="00C63DC6">
        <w:rPr>
          <w:b/>
          <w:sz w:val="28"/>
          <w:szCs w:val="28"/>
        </w:rPr>
        <w:t>Secinājumi un priekšlikumi turpmākai rīcībai</w:t>
      </w:r>
    </w:p>
    <w:p w14:paraId="54C310DA" w14:textId="6533F918" w:rsidR="003B21A8" w:rsidRPr="0097332A" w:rsidRDefault="003B21A8" w:rsidP="007605CB">
      <w:pPr>
        <w:ind w:firstLine="644"/>
        <w:jc w:val="both"/>
        <w:rPr>
          <w:sz w:val="28"/>
          <w:szCs w:val="28"/>
        </w:rPr>
      </w:pPr>
      <w:r w:rsidRPr="00C63DC6">
        <w:rPr>
          <w:sz w:val="28"/>
          <w:szCs w:val="28"/>
        </w:rPr>
        <w:t>Izvērtējot 2018. gada zaļā iepirkuma izpildes rādītājus, var secināt, ka tā īpatsvars finansiālā izteiksmē ir būtiski pieaudzis</w:t>
      </w:r>
      <w:r w:rsidR="007605CB" w:rsidRPr="00C63DC6">
        <w:rPr>
          <w:sz w:val="28"/>
          <w:szCs w:val="28"/>
        </w:rPr>
        <w:t xml:space="preserve"> no 11, 8%  sasniedzot 18,4%</w:t>
      </w:r>
      <w:r w:rsidRPr="00C63DC6">
        <w:rPr>
          <w:sz w:val="28"/>
          <w:szCs w:val="28"/>
        </w:rPr>
        <w:t>. Liela ietekme uz īpatsvara pieaugumu ir būvdarbu iepirkumiem, kuru īpatsvars līdz ar ES fondu projektu īstenošanu ir pieaudzis par 11%, kas, ņemot vērā šādu būvprojektu finansiālo ietilpību atstāj nozīmīgu ietekmi uz kopējiem īpatsvara rādītājiem. Šis faktors ir jāņem vērā, prognozējot ZPI īpatsvara dinamiku nākotnē</w:t>
      </w:r>
      <w:r w:rsidR="00482A48" w:rsidRPr="00C63DC6">
        <w:rPr>
          <w:sz w:val="28"/>
          <w:szCs w:val="28"/>
        </w:rPr>
        <w:t>, ka ES fondu finansētu investīciju projektu īstenošanas periodi ietekmē ZPI īpatsvara pieaugumu un izrietoši līdz ar finanšu perioda noslēgumu, tā samazinājumu.</w:t>
      </w:r>
      <w:r w:rsidR="007605CB" w:rsidRPr="00C63DC6">
        <w:rPr>
          <w:sz w:val="28"/>
          <w:szCs w:val="28"/>
        </w:rPr>
        <w:t xml:space="preserve"> Līdz ar to prognozējams, ka turpmāko divu gadu laikā pieaugot  ES fondu projektu īstenošanas intensitātei, ZPI īpatsvars finansiālā izteiksmē </w:t>
      </w:r>
      <w:r w:rsidR="007605CB" w:rsidRPr="0097332A">
        <w:rPr>
          <w:sz w:val="28"/>
          <w:szCs w:val="28"/>
        </w:rPr>
        <w:t xml:space="preserve">varētu palielināties. </w:t>
      </w:r>
    </w:p>
    <w:p w14:paraId="529CA66F" w14:textId="77777777" w:rsidR="009651F7" w:rsidRPr="0097332A" w:rsidRDefault="00EC3CBA" w:rsidP="007605CB">
      <w:pPr>
        <w:ind w:firstLine="644"/>
        <w:jc w:val="both"/>
        <w:rPr>
          <w:sz w:val="28"/>
          <w:szCs w:val="28"/>
        </w:rPr>
      </w:pPr>
      <w:r w:rsidRPr="0097332A">
        <w:rPr>
          <w:sz w:val="28"/>
          <w:szCs w:val="28"/>
        </w:rPr>
        <w:t>Ņemot vērā šo ciklisko ES fondu projektu ietekmi uz ZPI īpatsvaru</w:t>
      </w:r>
      <w:r w:rsidR="005518AA" w:rsidRPr="0097332A">
        <w:rPr>
          <w:sz w:val="28"/>
          <w:szCs w:val="28"/>
        </w:rPr>
        <w:t>, VARAM apsver</w:t>
      </w:r>
      <w:r w:rsidRPr="0097332A">
        <w:rPr>
          <w:sz w:val="28"/>
          <w:szCs w:val="28"/>
        </w:rPr>
        <w:t xml:space="preserve"> turpmāk kvantitatīvos mērķus izvirzīt, ņemot par pamatu tās preču un pakalpojumu grupas, kas saskaņā ar MK noteikumiem ir noteiktas </w:t>
      </w:r>
      <w:r w:rsidR="009651F7" w:rsidRPr="0097332A">
        <w:rPr>
          <w:sz w:val="28"/>
          <w:szCs w:val="28"/>
        </w:rPr>
        <w:t>obligāti.</w:t>
      </w:r>
      <w:r w:rsidR="0063029B" w:rsidRPr="0097332A">
        <w:rPr>
          <w:sz w:val="28"/>
          <w:szCs w:val="28"/>
        </w:rPr>
        <w:t xml:space="preserve"> </w:t>
      </w:r>
      <w:r w:rsidR="009651F7" w:rsidRPr="0097332A">
        <w:rPr>
          <w:sz w:val="28"/>
          <w:szCs w:val="28"/>
        </w:rPr>
        <w:t>Ņemot vērā, ka 2018. gads bija pirmais pilnais MK noteikumu darbības gads, nepieciešams ilgstošāks periods, lai varētu izvērtēt ietekmes un  izvirzīt kvantitatīvi sasniedzamos rādītājus.</w:t>
      </w:r>
    </w:p>
    <w:p w14:paraId="3D895FE5" w14:textId="2CEAFB38" w:rsidR="00EC3CBA" w:rsidRPr="0097332A" w:rsidRDefault="009651F7" w:rsidP="007605CB">
      <w:pPr>
        <w:ind w:firstLine="644"/>
        <w:jc w:val="both"/>
        <w:rPr>
          <w:sz w:val="28"/>
          <w:szCs w:val="28"/>
        </w:rPr>
      </w:pPr>
      <w:r w:rsidRPr="0097332A">
        <w:rPr>
          <w:sz w:val="28"/>
          <w:szCs w:val="28"/>
        </w:rPr>
        <w:lastRenderedPageBreak/>
        <w:t xml:space="preserve">Tādejādi līdz 2020 gadam paredzam </w:t>
      </w:r>
      <w:r w:rsidR="0063029B" w:rsidRPr="0097332A">
        <w:rPr>
          <w:sz w:val="28"/>
          <w:szCs w:val="28"/>
        </w:rPr>
        <w:t xml:space="preserve">iespēju </w:t>
      </w:r>
      <w:r w:rsidRPr="0097332A">
        <w:rPr>
          <w:sz w:val="28"/>
          <w:szCs w:val="28"/>
        </w:rPr>
        <w:t xml:space="preserve">obligāti piemērojamām preču un pakalpojumu grupām sasniegt ZPI īpatsvaru </w:t>
      </w:r>
      <w:r w:rsidR="0063029B" w:rsidRPr="0097332A">
        <w:rPr>
          <w:sz w:val="28"/>
          <w:szCs w:val="28"/>
        </w:rPr>
        <w:t xml:space="preserve">80% </w:t>
      </w:r>
      <w:r w:rsidRPr="0097332A">
        <w:rPr>
          <w:sz w:val="28"/>
          <w:szCs w:val="28"/>
        </w:rPr>
        <w:t>apmērā (finansiālā izteiksmē). Veicot MK noteikumu pārskatu un papildinot obligāti piemērojamās preču un pakalpojumu grupas, tiek veicināta vides aizsardzības prasību iekļaušana iepirkumos.</w:t>
      </w:r>
    </w:p>
    <w:p w14:paraId="5AD6BE78" w14:textId="1C85F5AF" w:rsidR="00215256" w:rsidRPr="0097332A" w:rsidRDefault="003E37C9" w:rsidP="00215256">
      <w:pPr>
        <w:ind w:firstLine="644"/>
        <w:jc w:val="both"/>
        <w:rPr>
          <w:sz w:val="28"/>
          <w:szCs w:val="28"/>
        </w:rPr>
      </w:pPr>
      <w:r w:rsidRPr="0097332A">
        <w:rPr>
          <w:sz w:val="28"/>
          <w:szCs w:val="28"/>
        </w:rPr>
        <w:t xml:space="preserve">Ilustrācijai </w:t>
      </w:r>
      <w:r w:rsidR="004C1710" w:rsidRPr="0097332A">
        <w:rPr>
          <w:sz w:val="28"/>
          <w:szCs w:val="28"/>
        </w:rPr>
        <w:t xml:space="preserve">10. attēlā ir parādītas trīs gadu ZPI īpatsvara pieauguma tendences tajās preču un pakalpojumu grupās, kurās </w:t>
      </w:r>
      <w:r w:rsidR="00215256" w:rsidRPr="0097332A">
        <w:rPr>
          <w:sz w:val="28"/>
          <w:szCs w:val="28"/>
        </w:rPr>
        <w:t xml:space="preserve"> ar MK noteikumiem ir noteikt</w:t>
      </w:r>
      <w:r w:rsidR="004C1710" w:rsidRPr="0097332A">
        <w:rPr>
          <w:sz w:val="28"/>
          <w:szCs w:val="28"/>
        </w:rPr>
        <w:t>s obligāt</w:t>
      </w:r>
      <w:r w:rsidR="00215256" w:rsidRPr="0097332A">
        <w:rPr>
          <w:sz w:val="28"/>
          <w:szCs w:val="28"/>
        </w:rPr>
        <w:t>i piemērojams ZPI (biroja papīrs, drukas iekārtas, datortehnika un IKT infrastruktūra, pārtikas preces, ēdināšanas pakalpojumi, tīrīšanas līdzekļi un pakalpojumi, iekštelpu apgaismojums, ielu apgaismojums)</w:t>
      </w:r>
      <w:r w:rsidRPr="0097332A">
        <w:rPr>
          <w:sz w:val="28"/>
          <w:szCs w:val="28"/>
        </w:rPr>
        <w:t xml:space="preserve">. Īpatsvara kritums 2017. gadā saistāms ar MK noteikumu spēkā stāšanos tikai gada vidū, </w:t>
      </w:r>
      <w:r w:rsidR="005518AA" w:rsidRPr="0097332A">
        <w:rPr>
          <w:sz w:val="28"/>
          <w:szCs w:val="28"/>
        </w:rPr>
        <w:t>detalizētāk tas ir aprakstīts ziņ</w:t>
      </w:r>
      <w:r w:rsidRPr="0097332A">
        <w:rPr>
          <w:sz w:val="28"/>
          <w:szCs w:val="28"/>
        </w:rPr>
        <w:t>ojumā par 2017. gadu.</w:t>
      </w:r>
    </w:p>
    <w:p w14:paraId="3F2A9598" w14:textId="77777777" w:rsidR="0063029B" w:rsidRPr="0097332A" w:rsidRDefault="0063029B" w:rsidP="007605CB">
      <w:pPr>
        <w:ind w:firstLine="644"/>
        <w:jc w:val="both"/>
        <w:rPr>
          <w:sz w:val="28"/>
          <w:szCs w:val="28"/>
        </w:rPr>
      </w:pPr>
    </w:p>
    <w:p w14:paraId="06107FBE" w14:textId="77777777" w:rsidR="00EC3CBA" w:rsidRPr="0097332A" w:rsidRDefault="00EC3CBA" w:rsidP="00EC3CBA">
      <w:pPr>
        <w:spacing w:before="240"/>
        <w:jc w:val="both"/>
        <w:outlineLvl w:val="0"/>
        <w:rPr>
          <w:b/>
          <w:i/>
          <w:noProof/>
        </w:rPr>
      </w:pPr>
      <w:r w:rsidRPr="0097332A">
        <w:rPr>
          <w:b/>
          <w:i/>
          <w:noProof/>
        </w:rPr>
        <w:t xml:space="preserve">10.Attēls </w:t>
      </w:r>
    </w:p>
    <w:p w14:paraId="42015C2A" w14:textId="31D7F317" w:rsidR="00EC3CBA" w:rsidRPr="00C63DC6" w:rsidRDefault="00EC3CBA" w:rsidP="00EC3CBA">
      <w:pPr>
        <w:jc w:val="both"/>
        <w:outlineLvl w:val="0"/>
        <w:rPr>
          <w:b/>
          <w:i/>
          <w:color w:val="262626"/>
        </w:rPr>
      </w:pPr>
      <w:r w:rsidRPr="0097332A">
        <w:rPr>
          <w:b/>
          <w:i/>
          <w:color w:val="262626"/>
        </w:rPr>
        <w:t>ZPI īpatsvars</w:t>
      </w:r>
      <w:r w:rsidR="000520D7" w:rsidRPr="0097332A">
        <w:rPr>
          <w:b/>
          <w:i/>
          <w:color w:val="262626"/>
        </w:rPr>
        <w:t xml:space="preserve"> 2016.-2018.g. p</w:t>
      </w:r>
      <w:r w:rsidRPr="0097332A">
        <w:rPr>
          <w:b/>
          <w:i/>
          <w:color w:val="262626"/>
        </w:rPr>
        <w:t>reču un pakalpojumu grupās, kur ZPI piemērojams obligāti</w:t>
      </w:r>
      <w:r w:rsidR="000520D7" w:rsidRPr="0097332A">
        <w:rPr>
          <w:b/>
          <w:i/>
          <w:color w:val="262626"/>
        </w:rPr>
        <w:t xml:space="preserve"> (MK noteikumi 1. pielikums)</w:t>
      </w:r>
    </w:p>
    <w:p w14:paraId="49397D51" w14:textId="77777777" w:rsidR="00EC3CBA" w:rsidRDefault="00EC3CBA" w:rsidP="00EC3CBA">
      <w:pPr>
        <w:ind w:firstLine="644"/>
        <w:jc w:val="both"/>
        <w:rPr>
          <w:sz w:val="28"/>
          <w:szCs w:val="28"/>
        </w:rPr>
      </w:pPr>
    </w:p>
    <w:p w14:paraId="571F37BF" w14:textId="77777777" w:rsidR="00EC3CBA" w:rsidRDefault="00EC3CBA" w:rsidP="007605CB">
      <w:pPr>
        <w:ind w:firstLine="644"/>
        <w:jc w:val="both"/>
        <w:rPr>
          <w:sz w:val="28"/>
          <w:szCs w:val="28"/>
        </w:rPr>
      </w:pPr>
    </w:p>
    <w:p w14:paraId="3975CC0C" w14:textId="2229AF8A" w:rsidR="00EC3CBA" w:rsidRDefault="00EC3CBA" w:rsidP="007605CB">
      <w:pPr>
        <w:ind w:firstLine="644"/>
        <w:jc w:val="both"/>
        <w:rPr>
          <w:sz w:val="28"/>
          <w:szCs w:val="28"/>
        </w:rPr>
      </w:pPr>
      <w:bookmarkStart w:id="0" w:name="_GoBack"/>
      <w:r>
        <w:rPr>
          <w:noProof/>
        </w:rPr>
        <w:drawing>
          <wp:inline distT="0" distB="0" distL="0" distR="0" wp14:anchorId="34400432" wp14:editId="393CD09E">
            <wp:extent cx="5286375" cy="39052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0"/>
    </w:p>
    <w:p w14:paraId="3C8F5EF1" w14:textId="77777777" w:rsidR="00EC3CBA" w:rsidRPr="00C63DC6" w:rsidRDefault="00EC3CBA" w:rsidP="007605CB">
      <w:pPr>
        <w:ind w:firstLine="644"/>
        <w:jc w:val="both"/>
        <w:rPr>
          <w:sz w:val="28"/>
          <w:szCs w:val="28"/>
        </w:rPr>
      </w:pPr>
    </w:p>
    <w:p w14:paraId="29CAC0AA" w14:textId="66AAFBFA" w:rsidR="00482A48" w:rsidRPr="00C63DC6" w:rsidRDefault="003E37C9" w:rsidP="007605CB">
      <w:pPr>
        <w:ind w:firstLine="644"/>
        <w:jc w:val="both"/>
        <w:rPr>
          <w:sz w:val="28"/>
          <w:szCs w:val="28"/>
        </w:rPr>
      </w:pPr>
      <w:r>
        <w:rPr>
          <w:sz w:val="28"/>
          <w:szCs w:val="28"/>
        </w:rPr>
        <w:t xml:space="preserve">VARAM ir izvērtējis arī </w:t>
      </w:r>
      <w:r w:rsidR="00482A48" w:rsidRPr="00C63DC6">
        <w:rPr>
          <w:sz w:val="28"/>
          <w:szCs w:val="28"/>
        </w:rPr>
        <w:t>veikto ZPI iepirkuma procedūru skaita izmaiņas, ta</w:t>
      </w:r>
      <w:r w:rsidR="00C63DC6" w:rsidRPr="00C63DC6">
        <w:rPr>
          <w:sz w:val="28"/>
          <w:szCs w:val="28"/>
        </w:rPr>
        <w:t xml:space="preserve">s katru gadu konsekventi pieaug 2018. gadā sasniedzot 11, 4%. </w:t>
      </w:r>
      <w:r w:rsidR="00482A48" w:rsidRPr="00C63DC6">
        <w:rPr>
          <w:sz w:val="28"/>
          <w:szCs w:val="28"/>
        </w:rPr>
        <w:t xml:space="preserve"> </w:t>
      </w:r>
      <w:r w:rsidR="00C63DC6" w:rsidRPr="00C63DC6">
        <w:rPr>
          <w:sz w:val="28"/>
          <w:szCs w:val="28"/>
        </w:rPr>
        <w:t>T</w:t>
      </w:r>
      <w:r w:rsidR="00482A48" w:rsidRPr="00C63DC6">
        <w:rPr>
          <w:sz w:val="28"/>
          <w:szCs w:val="28"/>
        </w:rPr>
        <w:t>as liecina, ka ZPI piemērošana publiskajā sektorā ieņem</w:t>
      </w:r>
      <w:r w:rsidR="007605CB" w:rsidRPr="00C63DC6">
        <w:rPr>
          <w:sz w:val="28"/>
          <w:szCs w:val="28"/>
        </w:rPr>
        <w:t xml:space="preserve"> arvien</w:t>
      </w:r>
      <w:r w:rsidR="00C63DC6" w:rsidRPr="00C63DC6">
        <w:rPr>
          <w:sz w:val="28"/>
          <w:szCs w:val="28"/>
        </w:rPr>
        <w:t xml:space="preserve"> nozīmīgāku lomu. Šādu secinājumu ļauj izdarīt arvien pieaugošais pieprasījums </w:t>
      </w:r>
      <w:r w:rsidR="00482A48" w:rsidRPr="00C63DC6">
        <w:rPr>
          <w:sz w:val="28"/>
          <w:szCs w:val="28"/>
        </w:rPr>
        <w:t>pēc skaidrojoš</w:t>
      </w:r>
      <w:r w:rsidR="00C63DC6" w:rsidRPr="00C63DC6">
        <w:rPr>
          <w:sz w:val="28"/>
          <w:szCs w:val="28"/>
        </w:rPr>
        <w:t>iem</w:t>
      </w:r>
      <w:r w:rsidR="00482A48" w:rsidRPr="00C63DC6">
        <w:rPr>
          <w:sz w:val="28"/>
          <w:szCs w:val="28"/>
        </w:rPr>
        <w:t xml:space="preserve"> seminār</w:t>
      </w:r>
      <w:r w:rsidR="00C63DC6" w:rsidRPr="00C63DC6">
        <w:rPr>
          <w:sz w:val="28"/>
          <w:szCs w:val="28"/>
        </w:rPr>
        <w:t>iem, konsultācijām u</w:t>
      </w:r>
      <w:r w:rsidR="00482A48" w:rsidRPr="00C63DC6">
        <w:rPr>
          <w:sz w:val="28"/>
          <w:szCs w:val="28"/>
        </w:rPr>
        <w:t xml:space="preserve">n ministrijas organizēto semināru apmeklējuma. </w:t>
      </w:r>
    </w:p>
    <w:p w14:paraId="48A19B25" w14:textId="36F8D049" w:rsidR="00482A48" w:rsidRPr="00C63DC6" w:rsidRDefault="00482A48" w:rsidP="000D6DDF">
      <w:pPr>
        <w:ind w:firstLine="644"/>
        <w:jc w:val="both"/>
        <w:rPr>
          <w:sz w:val="28"/>
          <w:szCs w:val="28"/>
        </w:rPr>
      </w:pPr>
      <w:r w:rsidRPr="00C63DC6">
        <w:rPr>
          <w:sz w:val="28"/>
          <w:szCs w:val="28"/>
        </w:rPr>
        <w:lastRenderedPageBreak/>
        <w:t>Ņemot vērā semināros un individuālajās konsultācijās uzdotos jautājumus un konstatētās neskaidrības</w:t>
      </w:r>
      <w:r w:rsidR="007605CB" w:rsidRPr="00C63DC6">
        <w:rPr>
          <w:sz w:val="28"/>
          <w:szCs w:val="28"/>
        </w:rPr>
        <w:t>,</w:t>
      </w:r>
      <w:r w:rsidRPr="00C63DC6">
        <w:rPr>
          <w:sz w:val="28"/>
          <w:szCs w:val="28"/>
        </w:rPr>
        <w:t xml:space="preserve"> 2019. gadā </w:t>
      </w:r>
      <w:r w:rsidR="007605CB" w:rsidRPr="00C63DC6">
        <w:rPr>
          <w:sz w:val="28"/>
          <w:szCs w:val="28"/>
        </w:rPr>
        <w:t xml:space="preserve">uzsākts pārskatīt </w:t>
      </w:r>
      <w:r w:rsidRPr="00C63DC6">
        <w:rPr>
          <w:sz w:val="28"/>
          <w:szCs w:val="28"/>
        </w:rPr>
        <w:t>MK noteikumu</w:t>
      </w:r>
      <w:r w:rsidR="007605CB" w:rsidRPr="00C63DC6">
        <w:rPr>
          <w:sz w:val="28"/>
          <w:szCs w:val="28"/>
        </w:rPr>
        <w:t>s</w:t>
      </w:r>
      <w:r w:rsidRPr="00C63DC6">
        <w:rPr>
          <w:sz w:val="28"/>
          <w:szCs w:val="28"/>
        </w:rPr>
        <w:t>, lai precizētu preču, pakalpojumu un b</w:t>
      </w:r>
      <w:r w:rsidR="000D138E" w:rsidRPr="00C63DC6">
        <w:rPr>
          <w:sz w:val="28"/>
          <w:szCs w:val="28"/>
        </w:rPr>
        <w:t>ūvdarb</w:t>
      </w:r>
      <w:r w:rsidRPr="00C63DC6">
        <w:rPr>
          <w:sz w:val="28"/>
          <w:szCs w:val="28"/>
        </w:rPr>
        <w:t xml:space="preserve">u tehnisko specifikāciju prasības un vērtēšanas kritērijus, </w:t>
      </w:r>
      <w:r w:rsidR="007605CB" w:rsidRPr="00C63DC6">
        <w:rPr>
          <w:sz w:val="28"/>
          <w:szCs w:val="28"/>
        </w:rPr>
        <w:t>kas</w:t>
      </w:r>
      <w:r w:rsidRPr="00C63DC6">
        <w:rPr>
          <w:sz w:val="28"/>
          <w:szCs w:val="28"/>
        </w:rPr>
        <w:t xml:space="preserve"> atvieglotu to piemērošanu valsts un pašvaldību iepirkumos. Vienlaicīgi, līdz ar pieejamākām jaunajām tehnoloģijām un pilnveidotām Eiropas Komisijas vadlīnijām </w:t>
      </w:r>
      <w:r w:rsidR="00D57545" w:rsidRPr="00C63DC6">
        <w:rPr>
          <w:sz w:val="28"/>
          <w:szCs w:val="28"/>
        </w:rPr>
        <w:t>zaļajam</w:t>
      </w:r>
      <w:r w:rsidRPr="00C63DC6">
        <w:rPr>
          <w:sz w:val="28"/>
          <w:szCs w:val="28"/>
        </w:rPr>
        <w:t xml:space="preserve"> iepirkumam</w:t>
      </w:r>
      <w:r w:rsidR="007605CB" w:rsidRPr="00C63DC6">
        <w:rPr>
          <w:sz w:val="28"/>
          <w:szCs w:val="28"/>
        </w:rPr>
        <w:t>,</w:t>
      </w:r>
      <w:r w:rsidR="000D138E" w:rsidRPr="00C63DC6">
        <w:rPr>
          <w:sz w:val="28"/>
          <w:szCs w:val="28"/>
        </w:rPr>
        <w:t xml:space="preserve"> ir jāveic pilnveidojumi noteikumu pielikumos izvirzītajās prasībās, lai ņemtu vērā arī tehnoloģisko progresu.</w:t>
      </w:r>
    </w:p>
    <w:p w14:paraId="106E3FBA" w14:textId="1948E686" w:rsidR="000D138E" w:rsidRPr="00C63DC6" w:rsidRDefault="000D138E" w:rsidP="000D6DDF">
      <w:pPr>
        <w:ind w:firstLine="644"/>
        <w:jc w:val="both"/>
        <w:rPr>
          <w:sz w:val="28"/>
          <w:szCs w:val="28"/>
        </w:rPr>
      </w:pPr>
      <w:r w:rsidRPr="00C63DC6">
        <w:rPr>
          <w:sz w:val="28"/>
          <w:szCs w:val="28"/>
        </w:rPr>
        <w:t>Lai nodrošinātu Aprites ekonomikas principu piemērošanu un VARAM īstenotā projekta “Metodiskais atbalsts zaļā iepirkuma piemērošanai” rekomendāciju nolietoto riepu pārstrādes un pārstrādes galaproduktu  izmantošanas veicināšanai, plānots precizēt prasības un kritērijus ceļu būves un satiksmes zīmju būvdarbu grup</w:t>
      </w:r>
      <w:r w:rsidR="008500EB" w:rsidRPr="00C63DC6">
        <w:rPr>
          <w:sz w:val="28"/>
          <w:szCs w:val="28"/>
        </w:rPr>
        <w:t xml:space="preserve">ā. Papildus plānots </w:t>
      </w:r>
      <w:r w:rsidR="00C63DC6" w:rsidRPr="00C63DC6">
        <w:rPr>
          <w:sz w:val="28"/>
          <w:szCs w:val="28"/>
        </w:rPr>
        <w:t>papildināt MK noteikumus ar</w:t>
      </w:r>
      <w:r w:rsidRPr="00C63DC6">
        <w:rPr>
          <w:sz w:val="28"/>
          <w:szCs w:val="28"/>
        </w:rPr>
        <w:t xml:space="preserve"> jaunu preču un pakalpojumu grupu “Sporta laukumu un bērnu spēļu </w:t>
      </w:r>
      <w:r w:rsidR="008500EB" w:rsidRPr="00C63DC6">
        <w:rPr>
          <w:sz w:val="28"/>
          <w:szCs w:val="28"/>
        </w:rPr>
        <w:t>laukumu segumi”, kur uzsvars tiks likts uz nolietoto riepu</w:t>
      </w:r>
      <w:r w:rsidRPr="00C63DC6">
        <w:rPr>
          <w:sz w:val="28"/>
          <w:szCs w:val="28"/>
        </w:rPr>
        <w:t xml:space="preserve"> </w:t>
      </w:r>
      <w:r w:rsidR="008500EB" w:rsidRPr="00C63DC6">
        <w:rPr>
          <w:sz w:val="28"/>
          <w:szCs w:val="28"/>
        </w:rPr>
        <w:t xml:space="preserve">pārstrādes produktu izmantošanu. </w:t>
      </w:r>
    </w:p>
    <w:p w14:paraId="4FD0E151" w14:textId="4059130A" w:rsidR="008500EB" w:rsidRDefault="00C63DC6" w:rsidP="000D6DDF">
      <w:pPr>
        <w:ind w:firstLine="644"/>
        <w:jc w:val="both"/>
        <w:rPr>
          <w:sz w:val="28"/>
          <w:szCs w:val="28"/>
        </w:rPr>
      </w:pPr>
      <w:r w:rsidRPr="00C63DC6">
        <w:rPr>
          <w:sz w:val="28"/>
          <w:szCs w:val="28"/>
        </w:rPr>
        <w:t>MK n</w:t>
      </w:r>
      <w:r w:rsidR="008500EB" w:rsidRPr="00C63DC6">
        <w:rPr>
          <w:sz w:val="28"/>
          <w:szCs w:val="28"/>
        </w:rPr>
        <w:t xml:space="preserve">oteikumu pārskats tiek veikts ciešā sadarbībā ar nozares </w:t>
      </w:r>
      <w:r w:rsidR="00D57545" w:rsidRPr="00C63DC6">
        <w:rPr>
          <w:sz w:val="28"/>
          <w:szCs w:val="28"/>
        </w:rPr>
        <w:t>uzņēmumiem</w:t>
      </w:r>
      <w:r w:rsidR="008500EB" w:rsidRPr="00C63DC6">
        <w:rPr>
          <w:sz w:val="28"/>
          <w:szCs w:val="28"/>
        </w:rPr>
        <w:t xml:space="preserve">, nevalstisko sektoru, lai nodrošinātu prasību un kritēriju atbilstību esošai tirgus situācijai un veicinātu apkārtējai videi draudzīgu, vietējo preču noietu un pakalpojumu tirgus attīstību. Ņemot vērā veicamo darbu apjomu un lai atvēlētu pietiekamu laiku konsultācijām, plānot pārskatīto noteikumu projektu iesniegt Ministru kabinetā </w:t>
      </w:r>
      <w:r w:rsidR="00D57545" w:rsidRPr="00C63DC6">
        <w:rPr>
          <w:sz w:val="28"/>
          <w:szCs w:val="28"/>
        </w:rPr>
        <w:t>apstiprināšanai</w:t>
      </w:r>
      <w:r w:rsidR="008500EB" w:rsidRPr="00C63DC6">
        <w:rPr>
          <w:sz w:val="28"/>
          <w:szCs w:val="28"/>
        </w:rPr>
        <w:t xml:space="preserve"> 2020</w:t>
      </w:r>
      <w:r w:rsidR="00EC3CBA">
        <w:rPr>
          <w:sz w:val="28"/>
          <w:szCs w:val="28"/>
        </w:rPr>
        <w:t>.</w:t>
      </w:r>
      <w:r w:rsidR="008500EB" w:rsidRPr="00C63DC6">
        <w:rPr>
          <w:sz w:val="28"/>
          <w:szCs w:val="28"/>
        </w:rPr>
        <w:t xml:space="preserve"> gada pirmajā pusē. </w:t>
      </w:r>
    </w:p>
    <w:p w14:paraId="2275AB61" w14:textId="5DB63290" w:rsidR="00EC3CBA" w:rsidRDefault="00EC3CBA" w:rsidP="000D6DDF">
      <w:pPr>
        <w:ind w:firstLine="644"/>
        <w:jc w:val="both"/>
        <w:rPr>
          <w:sz w:val="28"/>
          <w:szCs w:val="28"/>
        </w:rPr>
      </w:pPr>
    </w:p>
    <w:p w14:paraId="2BD39828" w14:textId="77777777" w:rsidR="007C62AC" w:rsidRPr="00C63DC6" w:rsidRDefault="007C62AC" w:rsidP="00FA00A7">
      <w:pPr>
        <w:pStyle w:val="NoSpacing1"/>
        <w:ind w:firstLine="720"/>
        <w:jc w:val="both"/>
        <w:outlineLvl w:val="0"/>
        <w:rPr>
          <w:sz w:val="28"/>
          <w:szCs w:val="28"/>
          <w:highlight w:val="yellow"/>
        </w:rPr>
      </w:pPr>
    </w:p>
    <w:p w14:paraId="6F80F099" w14:textId="77777777" w:rsidR="00340B7D" w:rsidRPr="00C63DC6" w:rsidRDefault="00340B7D" w:rsidP="005413F1">
      <w:pPr>
        <w:ind w:firstLine="720"/>
        <w:jc w:val="both"/>
        <w:rPr>
          <w:sz w:val="28"/>
          <w:szCs w:val="28"/>
        </w:rPr>
      </w:pPr>
      <w:r w:rsidRPr="00C63DC6">
        <w:rPr>
          <w:sz w:val="28"/>
          <w:szCs w:val="28"/>
        </w:rPr>
        <w:t>Vides aizsardzības un</w:t>
      </w:r>
    </w:p>
    <w:p w14:paraId="19A5DF35" w14:textId="7F96D6FB" w:rsidR="008500EB" w:rsidRPr="00C63DC6" w:rsidRDefault="00340B7D" w:rsidP="008500EB">
      <w:pPr>
        <w:ind w:firstLine="720"/>
        <w:jc w:val="both"/>
        <w:rPr>
          <w:sz w:val="28"/>
          <w:szCs w:val="28"/>
        </w:rPr>
      </w:pPr>
      <w:r w:rsidRPr="00C63DC6">
        <w:rPr>
          <w:sz w:val="28"/>
          <w:szCs w:val="28"/>
        </w:rPr>
        <w:t xml:space="preserve">reģionālās attīstības ministrs                                </w:t>
      </w:r>
      <w:r w:rsidR="008500EB" w:rsidRPr="00C63DC6">
        <w:rPr>
          <w:sz w:val="28"/>
          <w:szCs w:val="28"/>
        </w:rPr>
        <w:t>J. Pūce</w:t>
      </w:r>
    </w:p>
    <w:p w14:paraId="546AAF39" w14:textId="77777777" w:rsidR="007C62AC" w:rsidRPr="00C63DC6" w:rsidRDefault="007C62AC" w:rsidP="005413F1">
      <w:pPr>
        <w:jc w:val="both"/>
      </w:pPr>
    </w:p>
    <w:p w14:paraId="2D6A2EF4" w14:textId="434950E1" w:rsidR="00240096" w:rsidRPr="00C63DC6" w:rsidRDefault="00340B7D" w:rsidP="005413F1">
      <w:pPr>
        <w:jc w:val="both"/>
        <w:rPr>
          <w:sz w:val="16"/>
          <w:szCs w:val="16"/>
          <w:shd w:val="clear" w:color="auto" w:fill="FFFFFF"/>
        </w:rPr>
      </w:pPr>
      <w:r w:rsidRPr="00C63DC6">
        <w:rPr>
          <w:sz w:val="16"/>
          <w:szCs w:val="16"/>
        </w:rPr>
        <w:t>U.</w:t>
      </w:r>
      <w:r w:rsidR="00A90C19">
        <w:rPr>
          <w:sz w:val="16"/>
          <w:szCs w:val="16"/>
        </w:rPr>
        <w:t xml:space="preserve"> </w:t>
      </w:r>
      <w:r w:rsidRPr="00C63DC6">
        <w:rPr>
          <w:sz w:val="16"/>
          <w:szCs w:val="16"/>
        </w:rPr>
        <w:t>Zanders,</w:t>
      </w:r>
      <w:r w:rsidRPr="00C63DC6">
        <w:rPr>
          <w:sz w:val="16"/>
          <w:szCs w:val="16"/>
          <w:shd w:val="clear" w:color="auto" w:fill="FFFFFF"/>
        </w:rPr>
        <w:t xml:space="preserve"> </w:t>
      </w:r>
    </w:p>
    <w:p w14:paraId="5D9810D1" w14:textId="77777777" w:rsidR="00240096" w:rsidRPr="00C63DC6" w:rsidRDefault="00340B7D" w:rsidP="00A21D0F">
      <w:pPr>
        <w:jc w:val="both"/>
        <w:rPr>
          <w:sz w:val="16"/>
          <w:szCs w:val="16"/>
          <w:shd w:val="clear" w:color="auto" w:fill="FFFFFF"/>
        </w:rPr>
      </w:pPr>
      <w:r w:rsidRPr="00C63DC6">
        <w:rPr>
          <w:sz w:val="16"/>
          <w:szCs w:val="16"/>
          <w:shd w:val="clear" w:color="auto" w:fill="FFFFFF"/>
        </w:rPr>
        <w:t>Tālr. 67026590,</w:t>
      </w:r>
    </w:p>
    <w:p w14:paraId="3D89694D" w14:textId="3702762F" w:rsidR="00F04636" w:rsidRPr="00C63DC6" w:rsidRDefault="0097332A" w:rsidP="005413F1">
      <w:pPr>
        <w:jc w:val="both"/>
        <w:rPr>
          <w:sz w:val="28"/>
          <w:szCs w:val="28"/>
        </w:rPr>
      </w:pPr>
      <w:hyperlink r:id="rId19" w:history="1">
        <w:r w:rsidR="00240096" w:rsidRPr="00C63DC6">
          <w:rPr>
            <w:rStyle w:val="Hyperlink"/>
            <w:sz w:val="16"/>
            <w:szCs w:val="16"/>
            <w:shd w:val="clear" w:color="auto" w:fill="FFFFFF"/>
          </w:rPr>
          <w:t>ugis.zanders@varam.gov.lv</w:t>
        </w:r>
      </w:hyperlink>
      <w:r w:rsidR="00240096" w:rsidRPr="00C63DC6">
        <w:rPr>
          <w:sz w:val="16"/>
          <w:szCs w:val="16"/>
          <w:shd w:val="clear" w:color="auto" w:fill="FFFFFF"/>
        </w:rPr>
        <w:t xml:space="preserve"> </w:t>
      </w:r>
    </w:p>
    <w:sectPr w:rsidR="00F04636" w:rsidRPr="00C63DC6" w:rsidSect="00C20120">
      <w:headerReference w:type="default" r:id="rId20"/>
      <w:footerReference w:type="default" r:id="rId21"/>
      <w:headerReference w:type="first" r:id="rId22"/>
      <w:footerReference w:type="first" r:id="rId23"/>
      <w:pgSz w:w="11906" w:h="16838"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0110A" w14:textId="77777777" w:rsidR="00EC3CBA" w:rsidRDefault="00EC3CBA" w:rsidP="006C4037">
      <w:r>
        <w:separator/>
      </w:r>
    </w:p>
  </w:endnote>
  <w:endnote w:type="continuationSeparator" w:id="0">
    <w:p w14:paraId="5D2AD02F" w14:textId="77777777" w:rsidR="00EC3CBA" w:rsidRDefault="00EC3CBA" w:rsidP="006C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317285"/>
      <w:docPartObj>
        <w:docPartGallery w:val="Page Numbers (Bottom of Page)"/>
        <w:docPartUnique/>
      </w:docPartObj>
    </w:sdtPr>
    <w:sdtEndPr/>
    <w:sdtContent>
      <w:p w14:paraId="2B6E1BCB" w14:textId="73949AC6" w:rsidR="00EC3CBA" w:rsidRPr="00D93C71" w:rsidRDefault="00EC3CBA" w:rsidP="00C20120">
        <w:pPr>
          <w:pStyle w:val="Footer"/>
          <w:jc w:val="both"/>
        </w:pPr>
        <w:r w:rsidRPr="00D93C71">
          <w:t>VARAMZino_</w:t>
        </w:r>
        <w:r>
          <w:t>2304</w:t>
        </w:r>
        <w:r w:rsidRPr="00D93C71">
          <w:t>201</w:t>
        </w:r>
        <w:r>
          <w:t>9</w:t>
        </w:r>
        <w:r w:rsidRPr="00D93C71">
          <w:t xml:space="preserve">; Informatīvais </w:t>
        </w:r>
        <w:r>
          <w:t xml:space="preserve">ziņojums “Par </w:t>
        </w:r>
        <w:r w:rsidRPr="00D93C71">
          <w:t>zaļā iepirkuma īstenošanas valsts pārvaldē gaitu 201</w:t>
        </w:r>
        <w:r>
          <w:t>8</w:t>
        </w:r>
        <w:r w:rsidRPr="00D93C71">
          <w:t>. gadā”</w:t>
        </w:r>
      </w:p>
    </w:sdtContent>
  </w:sdt>
  <w:p w14:paraId="3A2D16D5" w14:textId="77777777" w:rsidR="00EC3CBA" w:rsidRDefault="00EC3CBA" w:rsidP="00671526">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679218"/>
      <w:docPartObj>
        <w:docPartGallery w:val="Page Numbers (Bottom of Page)"/>
        <w:docPartUnique/>
      </w:docPartObj>
    </w:sdtPr>
    <w:sdtEndPr/>
    <w:sdtContent>
      <w:p w14:paraId="526C7875" w14:textId="77777777" w:rsidR="00EC3CBA" w:rsidRDefault="00EC3CBA" w:rsidP="00671526">
        <w:pPr>
          <w:pStyle w:val="Footer"/>
          <w:jc w:val="both"/>
        </w:pPr>
        <w:r>
          <w:t xml:space="preserve">VARAMZino_DDMM2018; Informatīvais ziņojums </w:t>
        </w:r>
        <w:r>
          <w:rPr>
            <w:sz w:val="28"/>
            <w:szCs w:val="28"/>
          </w:rPr>
          <w:t>„</w:t>
        </w:r>
        <w:r>
          <w:t>Par Zaļā iepirkuma īstenošanu valsts pārvaldē</w:t>
        </w:r>
        <w:r w:rsidRPr="005643C0">
          <w:rPr>
            <w:sz w:val="28"/>
            <w:szCs w:val="28"/>
          </w:rPr>
          <w:t>”</w:t>
        </w:r>
      </w:p>
    </w:sdtContent>
  </w:sdt>
  <w:p w14:paraId="2655FBFE" w14:textId="77777777" w:rsidR="00EC3CBA" w:rsidRDefault="00EC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C9900" w14:textId="77777777" w:rsidR="00EC3CBA" w:rsidRDefault="00EC3CBA" w:rsidP="006C4037">
      <w:r>
        <w:separator/>
      </w:r>
    </w:p>
  </w:footnote>
  <w:footnote w:type="continuationSeparator" w:id="0">
    <w:p w14:paraId="2F03E82C" w14:textId="77777777" w:rsidR="00EC3CBA" w:rsidRDefault="00EC3CBA" w:rsidP="006C4037">
      <w:r>
        <w:continuationSeparator/>
      </w:r>
    </w:p>
  </w:footnote>
  <w:footnote w:id="1">
    <w:p w14:paraId="2606748E" w14:textId="4AB52471" w:rsidR="00EC3CBA" w:rsidRDefault="00EC3CBA">
      <w:pPr>
        <w:pStyle w:val="FootnoteText"/>
      </w:pPr>
      <w:r>
        <w:rPr>
          <w:rStyle w:val="FootnoteReference"/>
        </w:rPr>
        <w:footnoteRef/>
      </w:r>
      <w:r>
        <w:t xml:space="preserve"> </w:t>
      </w:r>
      <w:hyperlink r:id="rId1" w:history="1">
        <w:r>
          <w:rPr>
            <w:rStyle w:val="Hyperlink"/>
          </w:rPr>
          <w:t>https://www.lvm.lv/biznesa-partneriem/iepirkumi/liguma-pielikumi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983263"/>
      <w:docPartObj>
        <w:docPartGallery w:val="Page Numbers (Top of Page)"/>
        <w:docPartUnique/>
      </w:docPartObj>
    </w:sdtPr>
    <w:sdtEndPr>
      <w:rPr>
        <w:noProof/>
      </w:rPr>
    </w:sdtEndPr>
    <w:sdtContent>
      <w:p w14:paraId="35D20C08" w14:textId="77777777" w:rsidR="00EC3CBA" w:rsidRDefault="00EC3CBA">
        <w:pPr>
          <w:pStyle w:val="Header"/>
          <w:jc w:val="center"/>
        </w:pPr>
        <w:r>
          <w:fldChar w:fldCharType="begin"/>
        </w:r>
        <w:r>
          <w:instrText xml:space="preserve"> PAGE   \* MERGEFORMAT </w:instrText>
        </w:r>
        <w:r>
          <w:fldChar w:fldCharType="separate"/>
        </w:r>
        <w:r w:rsidR="0097332A">
          <w:rPr>
            <w:noProof/>
          </w:rPr>
          <w:t>10</w:t>
        </w:r>
        <w:r>
          <w:rPr>
            <w:noProof/>
          </w:rPr>
          <w:fldChar w:fldCharType="end"/>
        </w:r>
      </w:p>
    </w:sdtContent>
  </w:sdt>
  <w:p w14:paraId="56246B84" w14:textId="77777777" w:rsidR="00EC3CBA" w:rsidRDefault="00EC3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6DD5F" w14:textId="77777777" w:rsidR="00EC3CBA" w:rsidRDefault="00EC3CBA">
    <w:pPr>
      <w:pStyle w:val="Header"/>
      <w:jc w:val="center"/>
    </w:pPr>
  </w:p>
  <w:p w14:paraId="13B738B1" w14:textId="77777777" w:rsidR="00EC3CBA" w:rsidRDefault="00EC3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DBD"/>
    <w:multiLevelType w:val="hybridMultilevel"/>
    <w:tmpl w:val="83A28434"/>
    <w:lvl w:ilvl="0" w:tplc="BEA2EE46">
      <w:start w:val="1"/>
      <w:numFmt w:val="decimal"/>
      <w:lvlText w:val="%1."/>
      <w:lvlJc w:val="left"/>
      <w:pPr>
        <w:ind w:left="1128" w:hanging="360"/>
      </w:pPr>
      <w:rPr>
        <w:rFonts w:hint="default"/>
        <w:b w:val="0"/>
      </w:rPr>
    </w:lvl>
    <w:lvl w:ilvl="1" w:tplc="04260019" w:tentative="1">
      <w:start w:val="1"/>
      <w:numFmt w:val="lowerLetter"/>
      <w:lvlText w:val="%2."/>
      <w:lvlJc w:val="left"/>
      <w:pPr>
        <w:ind w:left="1848" w:hanging="360"/>
      </w:pPr>
    </w:lvl>
    <w:lvl w:ilvl="2" w:tplc="0426001B" w:tentative="1">
      <w:start w:val="1"/>
      <w:numFmt w:val="lowerRoman"/>
      <w:lvlText w:val="%3."/>
      <w:lvlJc w:val="right"/>
      <w:pPr>
        <w:ind w:left="2568" w:hanging="180"/>
      </w:pPr>
    </w:lvl>
    <w:lvl w:ilvl="3" w:tplc="0426000F" w:tentative="1">
      <w:start w:val="1"/>
      <w:numFmt w:val="decimal"/>
      <w:lvlText w:val="%4."/>
      <w:lvlJc w:val="left"/>
      <w:pPr>
        <w:ind w:left="3288" w:hanging="360"/>
      </w:pPr>
    </w:lvl>
    <w:lvl w:ilvl="4" w:tplc="04260019" w:tentative="1">
      <w:start w:val="1"/>
      <w:numFmt w:val="lowerLetter"/>
      <w:lvlText w:val="%5."/>
      <w:lvlJc w:val="left"/>
      <w:pPr>
        <w:ind w:left="4008" w:hanging="360"/>
      </w:pPr>
    </w:lvl>
    <w:lvl w:ilvl="5" w:tplc="0426001B" w:tentative="1">
      <w:start w:val="1"/>
      <w:numFmt w:val="lowerRoman"/>
      <w:lvlText w:val="%6."/>
      <w:lvlJc w:val="right"/>
      <w:pPr>
        <w:ind w:left="4728" w:hanging="180"/>
      </w:pPr>
    </w:lvl>
    <w:lvl w:ilvl="6" w:tplc="0426000F" w:tentative="1">
      <w:start w:val="1"/>
      <w:numFmt w:val="decimal"/>
      <w:lvlText w:val="%7."/>
      <w:lvlJc w:val="left"/>
      <w:pPr>
        <w:ind w:left="5448" w:hanging="360"/>
      </w:pPr>
    </w:lvl>
    <w:lvl w:ilvl="7" w:tplc="04260019" w:tentative="1">
      <w:start w:val="1"/>
      <w:numFmt w:val="lowerLetter"/>
      <w:lvlText w:val="%8."/>
      <w:lvlJc w:val="left"/>
      <w:pPr>
        <w:ind w:left="6168" w:hanging="360"/>
      </w:pPr>
    </w:lvl>
    <w:lvl w:ilvl="8" w:tplc="0426001B" w:tentative="1">
      <w:start w:val="1"/>
      <w:numFmt w:val="lowerRoman"/>
      <w:lvlText w:val="%9."/>
      <w:lvlJc w:val="right"/>
      <w:pPr>
        <w:ind w:left="6888" w:hanging="180"/>
      </w:pPr>
    </w:lvl>
  </w:abstractNum>
  <w:abstractNum w:abstractNumId="1" w15:restartNumberingAfterBreak="0">
    <w:nsid w:val="0D825C35"/>
    <w:multiLevelType w:val="hybridMultilevel"/>
    <w:tmpl w:val="0EE829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06106"/>
    <w:multiLevelType w:val="hybridMultilevel"/>
    <w:tmpl w:val="FE521D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7391329"/>
    <w:multiLevelType w:val="hybridMultilevel"/>
    <w:tmpl w:val="7224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6DB7"/>
    <w:multiLevelType w:val="multilevel"/>
    <w:tmpl w:val="F8022D6C"/>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2998665B"/>
    <w:multiLevelType w:val="hybridMultilevel"/>
    <w:tmpl w:val="FA2894B6"/>
    <w:lvl w:ilvl="0" w:tplc="0426000F">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2FB32DD4"/>
    <w:multiLevelType w:val="hybridMultilevel"/>
    <w:tmpl w:val="AB4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A5633"/>
    <w:multiLevelType w:val="multilevel"/>
    <w:tmpl w:val="871235FE"/>
    <w:lvl w:ilvl="0">
      <w:start w:val="1"/>
      <w:numFmt w:val="decimal"/>
      <w:lvlText w:val="%1."/>
      <w:lvlJc w:val="left"/>
      <w:pPr>
        <w:ind w:left="2859" w:hanging="360"/>
      </w:pPr>
      <w:rPr>
        <w:rFonts w:hint="default"/>
      </w:rPr>
    </w:lvl>
    <w:lvl w:ilvl="1">
      <w:start w:val="1"/>
      <w:numFmt w:val="decimal"/>
      <w:isLgl/>
      <w:lvlText w:val="%1.%2."/>
      <w:lvlJc w:val="left"/>
      <w:pPr>
        <w:ind w:left="3939" w:hanging="720"/>
      </w:pPr>
      <w:rPr>
        <w:rFonts w:hint="default"/>
        <w:b/>
        <w:color w:val="auto"/>
      </w:rPr>
    </w:lvl>
    <w:lvl w:ilvl="2">
      <w:start w:val="1"/>
      <w:numFmt w:val="decimal"/>
      <w:isLgl/>
      <w:lvlText w:val="%1.%2.%3."/>
      <w:lvlJc w:val="left"/>
      <w:pPr>
        <w:ind w:left="3939" w:hanging="720"/>
      </w:pPr>
      <w:rPr>
        <w:rFonts w:hint="default"/>
        <w:b/>
        <w:color w:val="auto"/>
      </w:rPr>
    </w:lvl>
    <w:lvl w:ilvl="3">
      <w:start w:val="1"/>
      <w:numFmt w:val="decimal"/>
      <w:isLgl/>
      <w:lvlText w:val="%1.%2.%3.%4."/>
      <w:lvlJc w:val="left"/>
      <w:pPr>
        <w:ind w:left="4299" w:hanging="1080"/>
      </w:pPr>
      <w:rPr>
        <w:rFonts w:hint="default"/>
        <w:b/>
        <w:color w:val="auto"/>
      </w:rPr>
    </w:lvl>
    <w:lvl w:ilvl="4">
      <w:start w:val="1"/>
      <w:numFmt w:val="decimal"/>
      <w:isLgl/>
      <w:lvlText w:val="%1.%2.%3.%4.%5."/>
      <w:lvlJc w:val="left"/>
      <w:pPr>
        <w:ind w:left="4299" w:hanging="1080"/>
      </w:pPr>
      <w:rPr>
        <w:rFonts w:hint="default"/>
        <w:b/>
        <w:color w:val="auto"/>
      </w:rPr>
    </w:lvl>
    <w:lvl w:ilvl="5">
      <w:start w:val="1"/>
      <w:numFmt w:val="decimal"/>
      <w:isLgl/>
      <w:lvlText w:val="%1.%2.%3.%4.%5.%6."/>
      <w:lvlJc w:val="left"/>
      <w:pPr>
        <w:ind w:left="4659" w:hanging="1440"/>
      </w:pPr>
      <w:rPr>
        <w:rFonts w:hint="default"/>
        <w:b/>
        <w:color w:val="auto"/>
      </w:rPr>
    </w:lvl>
    <w:lvl w:ilvl="6">
      <w:start w:val="1"/>
      <w:numFmt w:val="decimal"/>
      <w:isLgl/>
      <w:lvlText w:val="%1.%2.%3.%4.%5.%6.%7."/>
      <w:lvlJc w:val="left"/>
      <w:pPr>
        <w:ind w:left="5019" w:hanging="1800"/>
      </w:pPr>
      <w:rPr>
        <w:rFonts w:hint="default"/>
        <w:b/>
        <w:color w:val="auto"/>
      </w:rPr>
    </w:lvl>
    <w:lvl w:ilvl="7">
      <w:start w:val="1"/>
      <w:numFmt w:val="decimal"/>
      <w:isLgl/>
      <w:lvlText w:val="%1.%2.%3.%4.%5.%6.%7.%8."/>
      <w:lvlJc w:val="left"/>
      <w:pPr>
        <w:ind w:left="5019" w:hanging="1800"/>
      </w:pPr>
      <w:rPr>
        <w:rFonts w:hint="default"/>
        <w:b/>
        <w:color w:val="auto"/>
      </w:rPr>
    </w:lvl>
    <w:lvl w:ilvl="8">
      <w:start w:val="1"/>
      <w:numFmt w:val="decimal"/>
      <w:isLgl/>
      <w:lvlText w:val="%1.%2.%3.%4.%5.%6.%7.%8.%9."/>
      <w:lvlJc w:val="left"/>
      <w:pPr>
        <w:ind w:left="5379" w:hanging="2160"/>
      </w:pPr>
      <w:rPr>
        <w:rFonts w:hint="default"/>
        <w:b/>
        <w:color w:val="auto"/>
      </w:rPr>
    </w:lvl>
  </w:abstractNum>
  <w:abstractNum w:abstractNumId="8" w15:restartNumberingAfterBreak="0">
    <w:nsid w:val="39083765"/>
    <w:multiLevelType w:val="hybridMultilevel"/>
    <w:tmpl w:val="94BA17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B5912DF"/>
    <w:multiLevelType w:val="multilevel"/>
    <w:tmpl w:val="35C0931E"/>
    <w:lvl w:ilvl="0">
      <w:start w:val="1"/>
      <w:numFmt w:val="decimal"/>
      <w:lvlText w:val="%1."/>
      <w:lvlJc w:val="left"/>
      <w:pPr>
        <w:ind w:left="644" w:hanging="360"/>
      </w:pPr>
      <w:rPr>
        <w:rFonts w:hint="default"/>
      </w:rPr>
    </w:lvl>
    <w:lvl w:ilvl="1">
      <w:start w:val="1"/>
      <w:numFmt w:val="decimal"/>
      <w:isLgl/>
      <w:lvlText w:val="%1.%2."/>
      <w:lvlJc w:val="left"/>
      <w:pPr>
        <w:ind w:left="2160" w:hanging="720"/>
      </w:pPr>
      <w:rPr>
        <w:rFonts w:hint="default"/>
        <w:b/>
        <w:color w:val="auto"/>
      </w:rPr>
    </w:lvl>
    <w:lvl w:ilvl="2">
      <w:start w:val="1"/>
      <w:numFmt w:val="decimal"/>
      <w:isLgl/>
      <w:lvlText w:val="%1.%2.%3."/>
      <w:lvlJc w:val="left"/>
      <w:pPr>
        <w:ind w:left="3240" w:hanging="720"/>
      </w:pPr>
      <w:rPr>
        <w:rFonts w:hint="default"/>
        <w:b/>
        <w:color w:val="auto"/>
      </w:rPr>
    </w:lvl>
    <w:lvl w:ilvl="3">
      <w:start w:val="1"/>
      <w:numFmt w:val="decimal"/>
      <w:isLgl/>
      <w:lvlText w:val="%1.%2.%3.%4."/>
      <w:lvlJc w:val="left"/>
      <w:pPr>
        <w:ind w:left="4680" w:hanging="1080"/>
      </w:pPr>
      <w:rPr>
        <w:rFonts w:hint="default"/>
        <w:b/>
        <w:color w:val="auto"/>
      </w:rPr>
    </w:lvl>
    <w:lvl w:ilvl="4">
      <w:start w:val="1"/>
      <w:numFmt w:val="decimal"/>
      <w:isLgl/>
      <w:lvlText w:val="%1.%2.%3.%4.%5."/>
      <w:lvlJc w:val="left"/>
      <w:pPr>
        <w:ind w:left="5760" w:hanging="1080"/>
      </w:pPr>
      <w:rPr>
        <w:rFonts w:hint="default"/>
        <w:b/>
        <w:color w:val="auto"/>
      </w:rPr>
    </w:lvl>
    <w:lvl w:ilvl="5">
      <w:start w:val="1"/>
      <w:numFmt w:val="decimal"/>
      <w:isLgl/>
      <w:lvlText w:val="%1.%2.%3.%4.%5.%6."/>
      <w:lvlJc w:val="left"/>
      <w:pPr>
        <w:ind w:left="7200" w:hanging="1440"/>
      </w:pPr>
      <w:rPr>
        <w:rFonts w:hint="default"/>
        <w:b/>
        <w:color w:val="auto"/>
      </w:rPr>
    </w:lvl>
    <w:lvl w:ilvl="6">
      <w:start w:val="1"/>
      <w:numFmt w:val="decimal"/>
      <w:isLgl/>
      <w:lvlText w:val="%1.%2.%3.%4.%5.%6.%7."/>
      <w:lvlJc w:val="left"/>
      <w:pPr>
        <w:ind w:left="8640" w:hanging="1800"/>
      </w:pPr>
      <w:rPr>
        <w:rFonts w:hint="default"/>
        <w:b/>
        <w:color w:val="auto"/>
      </w:rPr>
    </w:lvl>
    <w:lvl w:ilvl="7">
      <w:start w:val="1"/>
      <w:numFmt w:val="decimal"/>
      <w:isLgl/>
      <w:lvlText w:val="%1.%2.%3.%4.%5.%6.%7.%8."/>
      <w:lvlJc w:val="left"/>
      <w:pPr>
        <w:ind w:left="9720" w:hanging="1800"/>
      </w:pPr>
      <w:rPr>
        <w:rFonts w:hint="default"/>
        <w:b/>
        <w:color w:val="auto"/>
      </w:rPr>
    </w:lvl>
    <w:lvl w:ilvl="8">
      <w:start w:val="1"/>
      <w:numFmt w:val="decimal"/>
      <w:isLgl/>
      <w:lvlText w:val="%1.%2.%3.%4.%5.%6.%7.%8.%9."/>
      <w:lvlJc w:val="left"/>
      <w:pPr>
        <w:ind w:left="11160" w:hanging="2160"/>
      </w:pPr>
      <w:rPr>
        <w:rFonts w:hint="default"/>
        <w:b/>
        <w:color w:val="auto"/>
      </w:rPr>
    </w:lvl>
  </w:abstractNum>
  <w:abstractNum w:abstractNumId="10" w15:restartNumberingAfterBreak="0">
    <w:nsid w:val="3C6658DE"/>
    <w:multiLevelType w:val="hybridMultilevel"/>
    <w:tmpl w:val="0EE829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C2194B"/>
    <w:multiLevelType w:val="hybridMultilevel"/>
    <w:tmpl w:val="232A82DA"/>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94670C"/>
    <w:multiLevelType w:val="hybridMultilevel"/>
    <w:tmpl w:val="F47E30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1F92E62"/>
    <w:multiLevelType w:val="hybridMultilevel"/>
    <w:tmpl w:val="30C4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C722D"/>
    <w:multiLevelType w:val="multilevel"/>
    <w:tmpl w:val="F8022D6C"/>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4748657A"/>
    <w:multiLevelType w:val="hybridMultilevel"/>
    <w:tmpl w:val="AF167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EF54008"/>
    <w:multiLevelType w:val="hybridMultilevel"/>
    <w:tmpl w:val="5104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86373"/>
    <w:multiLevelType w:val="hybridMultilevel"/>
    <w:tmpl w:val="38E29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027AD3"/>
    <w:multiLevelType w:val="multilevel"/>
    <w:tmpl w:val="AA4E23B0"/>
    <w:lvl w:ilvl="0">
      <w:start w:val="4"/>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15:restartNumberingAfterBreak="0">
    <w:nsid w:val="58492237"/>
    <w:multiLevelType w:val="hybridMultilevel"/>
    <w:tmpl w:val="0F9E7E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F40A5A"/>
    <w:multiLevelType w:val="hybridMultilevel"/>
    <w:tmpl w:val="73643FD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70EF4E28"/>
    <w:multiLevelType w:val="multilevel"/>
    <w:tmpl w:val="3B36E56E"/>
    <w:lvl w:ilvl="0">
      <w:start w:val="4"/>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76CD6234"/>
    <w:multiLevelType w:val="multilevel"/>
    <w:tmpl w:val="6C7C290A"/>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3" w15:restartNumberingAfterBreak="0">
    <w:nsid w:val="76DA4BD4"/>
    <w:multiLevelType w:val="hybridMultilevel"/>
    <w:tmpl w:val="0C9298D8"/>
    <w:lvl w:ilvl="0" w:tplc="42B23B44">
      <w:start w:val="789"/>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C686938"/>
    <w:multiLevelType w:val="hybridMultilevel"/>
    <w:tmpl w:val="D36C5AF2"/>
    <w:lvl w:ilvl="0" w:tplc="C52CD578">
      <w:start w:val="1"/>
      <w:numFmt w:val="decimal"/>
      <w:lvlText w:val="%1."/>
      <w:lvlJc w:val="left"/>
      <w:pPr>
        <w:ind w:left="106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EFF5D7A"/>
    <w:multiLevelType w:val="hybridMultilevel"/>
    <w:tmpl w:val="CE68EB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5"/>
  </w:num>
  <w:num w:numId="2">
    <w:abstractNumId w:val="6"/>
  </w:num>
  <w:num w:numId="3">
    <w:abstractNumId w:val="13"/>
  </w:num>
  <w:num w:numId="4">
    <w:abstractNumId w:val="15"/>
  </w:num>
  <w:num w:numId="5">
    <w:abstractNumId w:val="10"/>
  </w:num>
  <w:num w:numId="6">
    <w:abstractNumId w:val="7"/>
  </w:num>
  <w:num w:numId="7">
    <w:abstractNumId w:val="16"/>
  </w:num>
  <w:num w:numId="8">
    <w:abstractNumId w:val="3"/>
  </w:num>
  <w:num w:numId="9">
    <w:abstractNumId w:val="5"/>
  </w:num>
  <w:num w:numId="10">
    <w:abstractNumId w:val="11"/>
  </w:num>
  <w:num w:numId="11">
    <w:abstractNumId w:val="14"/>
  </w:num>
  <w:num w:numId="12">
    <w:abstractNumId w:val="4"/>
  </w:num>
  <w:num w:numId="13">
    <w:abstractNumId w:val="21"/>
  </w:num>
  <w:num w:numId="14">
    <w:abstractNumId w:val="1"/>
  </w:num>
  <w:num w:numId="15">
    <w:abstractNumId w:val="20"/>
  </w:num>
  <w:num w:numId="16">
    <w:abstractNumId w:val="18"/>
  </w:num>
  <w:num w:numId="17">
    <w:abstractNumId w:val="19"/>
  </w:num>
  <w:num w:numId="18">
    <w:abstractNumId w:val="23"/>
  </w:num>
  <w:num w:numId="19">
    <w:abstractNumId w:val="24"/>
  </w:num>
  <w:num w:numId="20">
    <w:abstractNumId w:val="12"/>
  </w:num>
  <w:num w:numId="21">
    <w:abstractNumId w:val="8"/>
  </w:num>
  <w:num w:numId="22">
    <w:abstractNumId w:val="22"/>
  </w:num>
  <w:num w:numId="23">
    <w:abstractNumId w:val="9"/>
  </w:num>
  <w:num w:numId="24">
    <w:abstractNumId w:val="0"/>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08"/>
    <w:rsid w:val="000010C2"/>
    <w:rsid w:val="0000611E"/>
    <w:rsid w:val="00010984"/>
    <w:rsid w:val="000115DC"/>
    <w:rsid w:val="00020194"/>
    <w:rsid w:val="0002110B"/>
    <w:rsid w:val="000228F1"/>
    <w:rsid w:val="00027CB5"/>
    <w:rsid w:val="000350EB"/>
    <w:rsid w:val="00035FBA"/>
    <w:rsid w:val="00040F29"/>
    <w:rsid w:val="0004325B"/>
    <w:rsid w:val="0004375A"/>
    <w:rsid w:val="000468A0"/>
    <w:rsid w:val="00047581"/>
    <w:rsid w:val="0005012C"/>
    <w:rsid w:val="000520D7"/>
    <w:rsid w:val="00052463"/>
    <w:rsid w:val="000545A4"/>
    <w:rsid w:val="00063C96"/>
    <w:rsid w:val="000668A8"/>
    <w:rsid w:val="00067534"/>
    <w:rsid w:val="000706DD"/>
    <w:rsid w:val="00070D49"/>
    <w:rsid w:val="00071A94"/>
    <w:rsid w:val="00076C66"/>
    <w:rsid w:val="00077168"/>
    <w:rsid w:val="00087A7F"/>
    <w:rsid w:val="00097073"/>
    <w:rsid w:val="000A04B6"/>
    <w:rsid w:val="000B2B1F"/>
    <w:rsid w:val="000B58F1"/>
    <w:rsid w:val="000C1A5D"/>
    <w:rsid w:val="000D003B"/>
    <w:rsid w:val="000D05A4"/>
    <w:rsid w:val="000D0D7F"/>
    <w:rsid w:val="000D138E"/>
    <w:rsid w:val="000D6DDF"/>
    <w:rsid w:val="000D7167"/>
    <w:rsid w:val="000E0A88"/>
    <w:rsid w:val="000E0CBF"/>
    <w:rsid w:val="000E3414"/>
    <w:rsid w:val="000E615E"/>
    <w:rsid w:val="000F3334"/>
    <w:rsid w:val="000F3A0C"/>
    <w:rsid w:val="00100516"/>
    <w:rsid w:val="00100E68"/>
    <w:rsid w:val="00101EA6"/>
    <w:rsid w:val="00111464"/>
    <w:rsid w:val="00113832"/>
    <w:rsid w:val="001148C4"/>
    <w:rsid w:val="001148E7"/>
    <w:rsid w:val="00114C25"/>
    <w:rsid w:val="00115683"/>
    <w:rsid w:val="001167C5"/>
    <w:rsid w:val="001219A2"/>
    <w:rsid w:val="00121A08"/>
    <w:rsid w:val="00133B3C"/>
    <w:rsid w:val="001435ED"/>
    <w:rsid w:val="001503C1"/>
    <w:rsid w:val="00153EAC"/>
    <w:rsid w:val="00156AB5"/>
    <w:rsid w:val="00160B9A"/>
    <w:rsid w:val="00166EA3"/>
    <w:rsid w:val="001674E8"/>
    <w:rsid w:val="001730DA"/>
    <w:rsid w:val="0017569A"/>
    <w:rsid w:val="001775A1"/>
    <w:rsid w:val="00180B7B"/>
    <w:rsid w:val="001817AE"/>
    <w:rsid w:val="00195F47"/>
    <w:rsid w:val="001C6C8B"/>
    <w:rsid w:val="001D1A32"/>
    <w:rsid w:val="001F289A"/>
    <w:rsid w:val="00206AF7"/>
    <w:rsid w:val="00215256"/>
    <w:rsid w:val="0021606D"/>
    <w:rsid w:val="002178C9"/>
    <w:rsid w:val="00224875"/>
    <w:rsid w:val="0022593C"/>
    <w:rsid w:val="0022656E"/>
    <w:rsid w:val="00235EC4"/>
    <w:rsid w:val="00240096"/>
    <w:rsid w:val="0025162E"/>
    <w:rsid w:val="002539C0"/>
    <w:rsid w:val="00255063"/>
    <w:rsid w:val="002622D8"/>
    <w:rsid w:val="00266B0F"/>
    <w:rsid w:val="00270BE3"/>
    <w:rsid w:val="002714F4"/>
    <w:rsid w:val="00274048"/>
    <w:rsid w:val="00282463"/>
    <w:rsid w:val="00286B7D"/>
    <w:rsid w:val="00290891"/>
    <w:rsid w:val="002919FD"/>
    <w:rsid w:val="00291D3F"/>
    <w:rsid w:val="00293619"/>
    <w:rsid w:val="002A0781"/>
    <w:rsid w:val="002A20E7"/>
    <w:rsid w:val="002A4994"/>
    <w:rsid w:val="002A6B2D"/>
    <w:rsid w:val="002A7FF6"/>
    <w:rsid w:val="002B0917"/>
    <w:rsid w:val="002B1D66"/>
    <w:rsid w:val="002B50C6"/>
    <w:rsid w:val="002B5B6F"/>
    <w:rsid w:val="002C27BA"/>
    <w:rsid w:val="002C5B20"/>
    <w:rsid w:val="002D4F1B"/>
    <w:rsid w:val="002D71C8"/>
    <w:rsid w:val="002E2FCB"/>
    <w:rsid w:val="002E51AD"/>
    <w:rsid w:val="002F12D4"/>
    <w:rsid w:val="002F2749"/>
    <w:rsid w:val="002F421D"/>
    <w:rsid w:val="002F4315"/>
    <w:rsid w:val="002F4886"/>
    <w:rsid w:val="002F7E02"/>
    <w:rsid w:val="00311D82"/>
    <w:rsid w:val="003157E8"/>
    <w:rsid w:val="00323659"/>
    <w:rsid w:val="003323DF"/>
    <w:rsid w:val="00333DB4"/>
    <w:rsid w:val="00335862"/>
    <w:rsid w:val="00335A34"/>
    <w:rsid w:val="00337FA2"/>
    <w:rsid w:val="00340B7D"/>
    <w:rsid w:val="00345189"/>
    <w:rsid w:val="0034589C"/>
    <w:rsid w:val="00350888"/>
    <w:rsid w:val="00351D94"/>
    <w:rsid w:val="00353FC9"/>
    <w:rsid w:val="00360947"/>
    <w:rsid w:val="00363871"/>
    <w:rsid w:val="00363F6B"/>
    <w:rsid w:val="003650DB"/>
    <w:rsid w:val="00367414"/>
    <w:rsid w:val="003705D7"/>
    <w:rsid w:val="00380B51"/>
    <w:rsid w:val="003832AB"/>
    <w:rsid w:val="00383830"/>
    <w:rsid w:val="003845E8"/>
    <w:rsid w:val="00384901"/>
    <w:rsid w:val="0038593A"/>
    <w:rsid w:val="00392485"/>
    <w:rsid w:val="00393178"/>
    <w:rsid w:val="00395BFA"/>
    <w:rsid w:val="003A0CFF"/>
    <w:rsid w:val="003A38C9"/>
    <w:rsid w:val="003B099F"/>
    <w:rsid w:val="003B21A8"/>
    <w:rsid w:val="003B2308"/>
    <w:rsid w:val="003B319F"/>
    <w:rsid w:val="003B32AF"/>
    <w:rsid w:val="003B4B59"/>
    <w:rsid w:val="003C4AEB"/>
    <w:rsid w:val="003D1229"/>
    <w:rsid w:val="003D4CCE"/>
    <w:rsid w:val="003E34ED"/>
    <w:rsid w:val="003E37C9"/>
    <w:rsid w:val="003E562F"/>
    <w:rsid w:val="003E59B8"/>
    <w:rsid w:val="003E6ED3"/>
    <w:rsid w:val="003E7DF5"/>
    <w:rsid w:val="003F46A7"/>
    <w:rsid w:val="003F568A"/>
    <w:rsid w:val="00403D7A"/>
    <w:rsid w:val="004047F7"/>
    <w:rsid w:val="00404A57"/>
    <w:rsid w:val="00411A52"/>
    <w:rsid w:val="00413088"/>
    <w:rsid w:val="00422214"/>
    <w:rsid w:val="00431A0E"/>
    <w:rsid w:val="00441AEA"/>
    <w:rsid w:val="0044338E"/>
    <w:rsid w:val="00443869"/>
    <w:rsid w:val="00445224"/>
    <w:rsid w:val="00450099"/>
    <w:rsid w:val="004502F6"/>
    <w:rsid w:val="00452A89"/>
    <w:rsid w:val="004542D7"/>
    <w:rsid w:val="004702AE"/>
    <w:rsid w:val="004728BD"/>
    <w:rsid w:val="00477D8F"/>
    <w:rsid w:val="00481677"/>
    <w:rsid w:val="00482099"/>
    <w:rsid w:val="00482A48"/>
    <w:rsid w:val="00491EAF"/>
    <w:rsid w:val="004A12E5"/>
    <w:rsid w:val="004B1E60"/>
    <w:rsid w:val="004B2884"/>
    <w:rsid w:val="004B3B1E"/>
    <w:rsid w:val="004C1710"/>
    <w:rsid w:val="004C31E5"/>
    <w:rsid w:val="004D6660"/>
    <w:rsid w:val="004D6DEE"/>
    <w:rsid w:val="004E0C95"/>
    <w:rsid w:val="004E1645"/>
    <w:rsid w:val="004E4BC6"/>
    <w:rsid w:val="004E5489"/>
    <w:rsid w:val="004F1E0E"/>
    <w:rsid w:val="004F3AB9"/>
    <w:rsid w:val="004F778B"/>
    <w:rsid w:val="00501D68"/>
    <w:rsid w:val="00501FCA"/>
    <w:rsid w:val="005076F4"/>
    <w:rsid w:val="00507F0E"/>
    <w:rsid w:val="00510504"/>
    <w:rsid w:val="00511A39"/>
    <w:rsid w:val="00515AD8"/>
    <w:rsid w:val="005162AB"/>
    <w:rsid w:val="00521BB9"/>
    <w:rsid w:val="00522CC2"/>
    <w:rsid w:val="0052669D"/>
    <w:rsid w:val="00526E65"/>
    <w:rsid w:val="005354A9"/>
    <w:rsid w:val="005376B2"/>
    <w:rsid w:val="005413F1"/>
    <w:rsid w:val="0054608D"/>
    <w:rsid w:val="00546512"/>
    <w:rsid w:val="005518AA"/>
    <w:rsid w:val="00551AF7"/>
    <w:rsid w:val="00555A1B"/>
    <w:rsid w:val="0055606C"/>
    <w:rsid w:val="00560F78"/>
    <w:rsid w:val="0056236B"/>
    <w:rsid w:val="00576FD5"/>
    <w:rsid w:val="00581C99"/>
    <w:rsid w:val="005847EF"/>
    <w:rsid w:val="00584CA2"/>
    <w:rsid w:val="00585832"/>
    <w:rsid w:val="00591798"/>
    <w:rsid w:val="005925AD"/>
    <w:rsid w:val="00593881"/>
    <w:rsid w:val="00593DB7"/>
    <w:rsid w:val="00594493"/>
    <w:rsid w:val="00596940"/>
    <w:rsid w:val="005A274B"/>
    <w:rsid w:val="005A677A"/>
    <w:rsid w:val="005A7604"/>
    <w:rsid w:val="005B533F"/>
    <w:rsid w:val="005B7A42"/>
    <w:rsid w:val="005D22D2"/>
    <w:rsid w:val="005D2F2E"/>
    <w:rsid w:val="005D5F2D"/>
    <w:rsid w:val="005D6527"/>
    <w:rsid w:val="005F0117"/>
    <w:rsid w:val="005F2C52"/>
    <w:rsid w:val="00610ADB"/>
    <w:rsid w:val="00611788"/>
    <w:rsid w:val="00613411"/>
    <w:rsid w:val="006151A3"/>
    <w:rsid w:val="006151F9"/>
    <w:rsid w:val="0061692D"/>
    <w:rsid w:val="0062140A"/>
    <w:rsid w:val="00625A86"/>
    <w:rsid w:val="0063029B"/>
    <w:rsid w:val="0064174A"/>
    <w:rsid w:val="00641B88"/>
    <w:rsid w:val="00650D86"/>
    <w:rsid w:val="00654A27"/>
    <w:rsid w:val="00655287"/>
    <w:rsid w:val="00656EBD"/>
    <w:rsid w:val="0066468C"/>
    <w:rsid w:val="006674E5"/>
    <w:rsid w:val="00671526"/>
    <w:rsid w:val="00673A0F"/>
    <w:rsid w:val="00681154"/>
    <w:rsid w:val="00681C72"/>
    <w:rsid w:val="0068397B"/>
    <w:rsid w:val="0069110D"/>
    <w:rsid w:val="00692474"/>
    <w:rsid w:val="006929BB"/>
    <w:rsid w:val="006A2C70"/>
    <w:rsid w:val="006A45CB"/>
    <w:rsid w:val="006A4F69"/>
    <w:rsid w:val="006A6EE7"/>
    <w:rsid w:val="006A7AF9"/>
    <w:rsid w:val="006B18CA"/>
    <w:rsid w:val="006B6E7F"/>
    <w:rsid w:val="006B74CC"/>
    <w:rsid w:val="006C4037"/>
    <w:rsid w:val="006C589C"/>
    <w:rsid w:val="006C6BC3"/>
    <w:rsid w:val="006D6074"/>
    <w:rsid w:val="006E20F5"/>
    <w:rsid w:val="006E2B10"/>
    <w:rsid w:val="006E327F"/>
    <w:rsid w:val="006F1F22"/>
    <w:rsid w:val="006F7535"/>
    <w:rsid w:val="007001DE"/>
    <w:rsid w:val="0070744F"/>
    <w:rsid w:val="00710BEE"/>
    <w:rsid w:val="00712E30"/>
    <w:rsid w:val="0071388D"/>
    <w:rsid w:val="007165D8"/>
    <w:rsid w:val="00716C7F"/>
    <w:rsid w:val="00721429"/>
    <w:rsid w:val="00723CF5"/>
    <w:rsid w:val="00725FFC"/>
    <w:rsid w:val="007278C8"/>
    <w:rsid w:val="00730E1F"/>
    <w:rsid w:val="00731B91"/>
    <w:rsid w:val="00736437"/>
    <w:rsid w:val="00736C48"/>
    <w:rsid w:val="00740CFB"/>
    <w:rsid w:val="00741947"/>
    <w:rsid w:val="00742FED"/>
    <w:rsid w:val="00747030"/>
    <w:rsid w:val="00747346"/>
    <w:rsid w:val="0075413B"/>
    <w:rsid w:val="00754862"/>
    <w:rsid w:val="007605CB"/>
    <w:rsid w:val="007714D7"/>
    <w:rsid w:val="0078039C"/>
    <w:rsid w:val="007871B9"/>
    <w:rsid w:val="007926CC"/>
    <w:rsid w:val="007A0159"/>
    <w:rsid w:val="007A1070"/>
    <w:rsid w:val="007A273E"/>
    <w:rsid w:val="007A2C66"/>
    <w:rsid w:val="007A33A3"/>
    <w:rsid w:val="007A5AC6"/>
    <w:rsid w:val="007B4665"/>
    <w:rsid w:val="007B7DA9"/>
    <w:rsid w:val="007C16B1"/>
    <w:rsid w:val="007C62AC"/>
    <w:rsid w:val="007C6363"/>
    <w:rsid w:val="007D2808"/>
    <w:rsid w:val="007E17A6"/>
    <w:rsid w:val="007E2548"/>
    <w:rsid w:val="007E695D"/>
    <w:rsid w:val="007F3656"/>
    <w:rsid w:val="007F3746"/>
    <w:rsid w:val="007F3FC6"/>
    <w:rsid w:val="007F444D"/>
    <w:rsid w:val="007F4450"/>
    <w:rsid w:val="0080142F"/>
    <w:rsid w:val="00805398"/>
    <w:rsid w:val="00816424"/>
    <w:rsid w:val="0082228B"/>
    <w:rsid w:val="008263CD"/>
    <w:rsid w:val="008314EE"/>
    <w:rsid w:val="00837258"/>
    <w:rsid w:val="00843618"/>
    <w:rsid w:val="00844FB1"/>
    <w:rsid w:val="008500EB"/>
    <w:rsid w:val="00855736"/>
    <w:rsid w:val="00855E30"/>
    <w:rsid w:val="00861237"/>
    <w:rsid w:val="00866118"/>
    <w:rsid w:val="0087623D"/>
    <w:rsid w:val="00876755"/>
    <w:rsid w:val="00876F5E"/>
    <w:rsid w:val="008805FE"/>
    <w:rsid w:val="0088343E"/>
    <w:rsid w:val="00885BDD"/>
    <w:rsid w:val="00892766"/>
    <w:rsid w:val="008933FC"/>
    <w:rsid w:val="008A4714"/>
    <w:rsid w:val="008A4799"/>
    <w:rsid w:val="008A7E51"/>
    <w:rsid w:val="008B09B6"/>
    <w:rsid w:val="008B21A1"/>
    <w:rsid w:val="008B2B9B"/>
    <w:rsid w:val="008D0CBE"/>
    <w:rsid w:val="008D225F"/>
    <w:rsid w:val="008D3E4B"/>
    <w:rsid w:val="008E2BE5"/>
    <w:rsid w:val="008F6DEE"/>
    <w:rsid w:val="00900282"/>
    <w:rsid w:val="00910385"/>
    <w:rsid w:val="00914A12"/>
    <w:rsid w:val="009154CE"/>
    <w:rsid w:val="00920445"/>
    <w:rsid w:val="00927A8F"/>
    <w:rsid w:val="0093236D"/>
    <w:rsid w:val="0093701B"/>
    <w:rsid w:val="00942D95"/>
    <w:rsid w:val="00951473"/>
    <w:rsid w:val="0095290F"/>
    <w:rsid w:val="00953DFB"/>
    <w:rsid w:val="009651F7"/>
    <w:rsid w:val="009653D6"/>
    <w:rsid w:val="0097332A"/>
    <w:rsid w:val="009746B8"/>
    <w:rsid w:val="0097565B"/>
    <w:rsid w:val="00975AC4"/>
    <w:rsid w:val="00990EC0"/>
    <w:rsid w:val="00996291"/>
    <w:rsid w:val="00996CB4"/>
    <w:rsid w:val="00997728"/>
    <w:rsid w:val="009A580E"/>
    <w:rsid w:val="009A590A"/>
    <w:rsid w:val="009A63B4"/>
    <w:rsid w:val="009B508E"/>
    <w:rsid w:val="009B7E05"/>
    <w:rsid w:val="009C0D30"/>
    <w:rsid w:val="009C338E"/>
    <w:rsid w:val="009D34FD"/>
    <w:rsid w:val="009D374D"/>
    <w:rsid w:val="009D4C83"/>
    <w:rsid w:val="009E08E3"/>
    <w:rsid w:val="009E6CB9"/>
    <w:rsid w:val="009F517A"/>
    <w:rsid w:val="009F5ACF"/>
    <w:rsid w:val="00A00A31"/>
    <w:rsid w:val="00A02B4C"/>
    <w:rsid w:val="00A06F91"/>
    <w:rsid w:val="00A11D44"/>
    <w:rsid w:val="00A13692"/>
    <w:rsid w:val="00A21D0F"/>
    <w:rsid w:val="00A266E2"/>
    <w:rsid w:val="00A300BA"/>
    <w:rsid w:val="00A4076B"/>
    <w:rsid w:val="00A4727B"/>
    <w:rsid w:val="00A6264F"/>
    <w:rsid w:val="00A635B6"/>
    <w:rsid w:val="00A6639F"/>
    <w:rsid w:val="00A676EA"/>
    <w:rsid w:val="00A67F92"/>
    <w:rsid w:val="00A70565"/>
    <w:rsid w:val="00A71108"/>
    <w:rsid w:val="00A71F6D"/>
    <w:rsid w:val="00A72647"/>
    <w:rsid w:val="00A726A5"/>
    <w:rsid w:val="00A754CB"/>
    <w:rsid w:val="00A76D42"/>
    <w:rsid w:val="00A843B3"/>
    <w:rsid w:val="00A90C19"/>
    <w:rsid w:val="00AB26D9"/>
    <w:rsid w:val="00AB561E"/>
    <w:rsid w:val="00AB5C3A"/>
    <w:rsid w:val="00AB5CED"/>
    <w:rsid w:val="00AB5E1D"/>
    <w:rsid w:val="00AB6F98"/>
    <w:rsid w:val="00AC46BD"/>
    <w:rsid w:val="00AD18AF"/>
    <w:rsid w:val="00AD5617"/>
    <w:rsid w:val="00AE2B9C"/>
    <w:rsid w:val="00AE781E"/>
    <w:rsid w:val="00AF0C60"/>
    <w:rsid w:val="00AF250F"/>
    <w:rsid w:val="00AF27CE"/>
    <w:rsid w:val="00B04FFE"/>
    <w:rsid w:val="00B079B7"/>
    <w:rsid w:val="00B15E38"/>
    <w:rsid w:val="00B32A71"/>
    <w:rsid w:val="00B44155"/>
    <w:rsid w:val="00B46865"/>
    <w:rsid w:val="00B505AE"/>
    <w:rsid w:val="00B5138A"/>
    <w:rsid w:val="00B526E2"/>
    <w:rsid w:val="00B543FB"/>
    <w:rsid w:val="00B67E31"/>
    <w:rsid w:val="00B706CB"/>
    <w:rsid w:val="00B71165"/>
    <w:rsid w:val="00B76224"/>
    <w:rsid w:val="00B77BB9"/>
    <w:rsid w:val="00B8412E"/>
    <w:rsid w:val="00B85D74"/>
    <w:rsid w:val="00B867CB"/>
    <w:rsid w:val="00B87275"/>
    <w:rsid w:val="00B901C5"/>
    <w:rsid w:val="00B925DF"/>
    <w:rsid w:val="00B925FD"/>
    <w:rsid w:val="00BA10AF"/>
    <w:rsid w:val="00BA2365"/>
    <w:rsid w:val="00BA26C9"/>
    <w:rsid w:val="00BA2B78"/>
    <w:rsid w:val="00BA2BCE"/>
    <w:rsid w:val="00BA5B41"/>
    <w:rsid w:val="00BA7EA8"/>
    <w:rsid w:val="00BB2B30"/>
    <w:rsid w:val="00BB343B"/>
    <w:rsid w:val="00BB37EF"/>
    <w:rsid w:val="00BB631D"/>
    <w:rsid w:val="00BB6CB6"/>
    <w:rsid w:val="00BC3819"/>
    <w:rsid w:val="00BC594D"/>
    <w:rsid w:val="00BC6B1B"/>
    <w:rsid w:val="00BD1583"/>
    <w:rsid w:val="00BD2C02"/>
    <w:rsid w:val="00BD2DFF"/>
    <w:rsid w:val="00BE6E00"/>
    <w:rsid w:val="00BE70E9"/>
    <w:rsid w:val="00BF0632"/>
    <w:rsid w:val="00C00F52"/>
    <w:rsid w:val="00C1048E"/>
    <w:rsid w:val="00C20120"/>
    <w:rsid w:val="00C2190F"/>
    <w:rsid w:val="00C26433"/>
    <w:rsid w:val="00C30D60"/>
    <w:rsid w:val="00C3414E"/>
    <w:rsid w:val="00C400F1"/>
    <w:rsid w:val="00C47932"/>
    <w:rsid w:val="00C5163B"/>
    <w:rsid w:val="00C52572"/>
    <w:rsid w:val="00C52851"/>
    <w:rsid w:val="00C5450F"/>
    <w:rsid w:val="00C54958"/>
    <w:rsid w:val="00C55301"/>
    <w:rsid w:val="00C557B4"/>
    <w:rsid w:val="00C6306E"/>
    <w:rsid w:val="00C63DC6"/>
    <w:rsid w:val="00C64A8D"/>
    <w:rsid w:val="00C655B7"/>
    <w:rsid w:val="00C7518B"/>
    <w:rsid w:val="00C81535"/>
    <w:rsid w:val="00C83B9B"/>
    <w:rsid w:val="00C853AF"/>
    <w:rsid w:val="00C91294"/>
    <w:rsid w:val="00C939A1"/>
    <w:rsid w:val="00C967BC"/>
    <w:rsid w:val="00CA232F"/>
    <w:rsid w:val="00CA4173"/>
    <w:rsid w:val="00CA45B5"/>
    <w:rsid w:val="00CA61E0"/>
    <w:rsid w:val="00CB1257"/>
    <w:rsid w:val="00CB3F47"/>
    <w:rsid w:val="00CC1E50"/>
    <w:rsid w:val="00CD38C5"/>
    <w:rsid w:val="00CD559E"/>
    <w:rsid w:val="00CE0272"/>
    <w:rsid w:val="00CE1956"/>
    <w:rsid w:val="00CE39D3"/>
    <w:rsid w:val="00CE5BAB"/>
    <w:rsid w:val="00CF3F58"/>
    <w:rsid w:val="00D018F1"/>
    <w:rsid w:val="00D06FB8"/>
    <w:rsid w:val="00D07174"/>
    <w:rsid w:val="00D10F2C"/>
    <w:rsid w:val="00D113E9"/>
    <w:rsid w:val="00D118AC"/>
    <w:rsid w:val="00D13D33"/>
    <w:rsid w:val="00D15684"/>
    <w:rsid w:val="00D2364A"/>
    <w:rsid w:val="00D2498F"/>
    <w:rsid w:val="00D26CEF"/>
    <w:rsid w:val="00D33364"/>
    <w:rsid w:val="00D36E4D"/>
    <w:rsid w:val="00D37AFA"/>
    <w:rsid w:val="00D41A47"/>
    <w:rsid w:val="00D43C9C"/>
    <w:rsid w:val="00D50C7A"/>
    <w:rsid w:val="00D51503"/>
    <w:rsid w:val="00D51677"/>
    <w:rsid w:val="00D5219F"/>
    <w:rsid w:val="00D572BA"/>
    <w:rsid w:val="00D57545"/>
    <w:rsid w:val="00D6436A"/>
    <w:rsid w:val="00D64B65"/>
    <w:rsid w:val="00D71F8B"/>
    <w:rsid w:val="00D80D21"/>
    <w:rsid w:val="00D80FB3"/>
    <w:rsid w:val="00D82255"/>
    <w:rsid w:val="00D85D0A"/>
    <w:rsid w:val="00D93C71"/>
    <w:rsid w:val="00D951E6"/>
    <w:rsid w:val="00D967B1"/>
    <w:rsid w:val="00D970C9"/>
    <w:rsid w:val="00DA0642"/>
    <w:rsid w:val="00DA26A9"/>
    <w:rsid w:val="00DB5F5F"/>
    <w:rsid w:val="00DB6E34"/>
    <w:rsid w:val="00DB7DF1"/>
    <w:rsid w:val="00DC04B5"/>
    <w:rsid w:val="00DC465A"/>
    <w:rsid w:val="00DC7B83"/>
    <w:rsid w:val="00DD12FF"/>
    <w:rsid w:val="00DE4AB2"/>
    <w:rsid w:val="00DE5D61"/>
    <w:rsid w:val="00DF2FC9"/>
    <w:rsid w:val="00DF6648"/>
    <w:rsid w:val="00DF6776"/>
    <w:rsid w:val="00E04044"/>
    <w:rsid w:val="00E07374"/>
    <w:rsid w:val="00E135AE"/>
    <w:rsid w:val="00E13A66"/>
    <w:rsid w:val="00E1422B"/>
    <w:rsid w:val="00E22C6B"/>
    <w:rsid w:val="00E325AB"/>
    <w:rsid w:val="00E35F38"/>
    <w:rsid w:val="00E426EF"/>
    <w:rsid w:val="00E4293F"/>
    <w:rsid w:val="00E44F38"/>
    <w:rsid w:val="00E472E7"/>
    <w:rsid w:val="00E51169"/>
    <w:rsid w:val="00E55288"/>
    <w:rsid w:val="00E55DCF"/>
    <w:rsid w:val="00E5609C"/>
    <w:rsid w:val="00E67F15"/>
    <w:rsid w:val="00E747BD"/>
    <w:rsid w:val="00E74AA0"/>
    <w:rsid w:val="00E8452C"/>
    <w:rsid w:val="00E8509A"/>
    <w:rsid w:val="00E862A4"/>
    <w:rsid w:val="00E9435B"/>
    <w:rsid w:val="00E951D5"/>
    <w:rsid w:val="00EB45EF"/>
    <w:rsid w:val="00EC2394"/>
    <w:rsid w:val="00EC3CBA"/>
    <w:rsid w:val="00ED0BE0"/>
    <w:rsid w:val="00ED2614"/>
    <w:rsid w:val="00EE494A"/>
    <w:rsid w:val="00EE4EE9"/>
    <w:rsid w:val="00EE525E"/>
    <w:rsid w:val="00EF36F2"/>
    <w:rsid w:val="00EF4FD1"/>
    <w:rsid w:val="00EF520A"/>
    <w:rsid w:val="00EF6812"/>
    <w:rsid w:val="00F0112C"/>
    <w:rsid w:val="00F02539"/>
    <w:rsid w:val="00F04636"/>
    <w:rsid w:val="00F074AB"/>
    <w:rsid w:val="00F077FD"/>
    <w:rsid w:val="00F16D73"/>
    <w:rsid w:val="00F201CC"/>
    <w:rsid w:val="00F23CC0"/>
    <w:rsid w:val="00F2469F"/>
    <w:rsid w:val="00F425E9"/>
    <w:rsid w:val="00F436B8"/>
    <w:rsid w:val="00F5489C"/>
    <w:rsid w:val="00F65BEF"/>
    <w:rsid w:val="00F66923"/>
    <w:rsid w:val="00F67852"/>
    <w:rsid w:val="00F6795C"/>
    <w:rsid w:val="00F70347"/>
    <w:rsid w:val="00F71757"/>
    <w:rsid w:val="00F72454"/>
    <w:rsid w:val="00F7503C"/>
    <w:rsid w:val="00F91DA1"/>
    <w:rsid w:val="00F92392"/>
    <w:rsid w:val="00FA00A7"/>
    <w:rsid w:val="00FA5992"/>
    <w:rsid w:val="00FA688F"/>
    <w:rsid w:val="00FA6A70"/>
    <w:rsid w:val="00FB0AD8"/>
    <w:rsid w:val="00FB15EC"/>
    <w:rsid w:val="00FB6B3C"/>
    <w:rsid w:val="00FC1259"/>
    <w:rsid w:val="00FC5F55"/>
    <w:rsid w:val="00FC61FF"/>
    <w:rsid w:val="00FC6BE2"/>
    <w:rsid w:val="00FC7EE3"/>
    <w:rsid w:val="00FD6862"/>
    <w:rsid w:val="00FF1948"/>
    <w:rsid w:val="00FF3B82"/>
    <w:rsid w:val="00FF56AB"/>
    <w:rsid w:val="00FF5CB5"/>
    <w:rsid w:val="00FF7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E65AA3"/>
  <w15:docId w15:val="{68FFB5EE-7934-446E-BABF-96D79B7A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9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C4037"/>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6C4037"/>
    <w:rPr>
      <w:color w:val="0000FF"/>
      <w:u w:val="single"/>
    </w:rPr>
  </w:style>
  <w:style w:type="paragraph" w:styleId="FootnoteText">
    <w:name w:val="footnote text"/>
    <w:aliases w:val="Footnote,Fußnote,Char, Char,Footnote Text Char1,Vēres teksts Char Char Char Char Char Char Char Char Char Char Char Char1,Char Char Char Char Char Char Char Char Char Char Char Char Char Char Char Char Char Char Char1,-E Fußnotentext,f"/>
    <w:basedOn w:val="Normal"/>
    <w:link w:val="FootnoteTextChar"/>
    <w:uiPriority w:val="99"/>
    <w:unhideWhenUsed/>
    <w:rsid w:val="006C4037"/>
    <w:rPr>
      <w:sz w:val="20"/>
      <w:szCs w:val="20"/>
    </w:rPr>
  </w:style>
  <w:style w:type="character" w:customStyle="1" w:styleId="FootnoteTextChar">
    <w:name w:val="Footnote Text Char"/>
    <w:aliases w:val="Footnote Char,Fußnote Char,Char Char, Char Char,Footnote Text Char1 Char,Vēres teksts Char Char Char Char Char Char Char Char Char Char Char Char1 Char,-E Fußnotentext Char,f Char"/>
    <w:basedOn w:val="DefaultParagraphFont"/>
    <w:link w:val="FootnoteText"/>
    <w:uiPriority w:val="99"/>
    <w:rsid w:val="006C4037"/>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C4037"/>
    <w:rPr>
      <w:vertAlign w:val="superscript"/>
    </w:rPr>
  </w:style>
  <w:style w:type="paragraph" w:styleId="ListParagraph">
    <w:name w:val="List Paragraph"/>
    <w:aliases w:val="H&amp;P List Paragraph,2"/>
    <w:basedOn w:val="Normal"/>
    <w:link w:val="ListParagraphChar"/>
    <w:uiPriority w:val="34"/>
    <w:qFormat/>
    <w:rsid w:val="00E5609C"/>
    <w:pPr>
      <w:ind w:left="720"/>
      <w:contextualSpacing/>
    </w:pPr>
  </w:style>
  <w:style w:type="paragraph" w:customStyle="1" w:styleId="Default">
    <w:name w:val="Default"/>
    <w:rsid w:val="000F3A0C"/>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customStyle="1" w:styleId="ListParagraphChar">
    <w:name w:val="List Paragraph Char"/>
    <w:aliases w:val="H&amp;P List Paragraph Char,2 Char"/>
    <w:link w:val="ListParagraph"/>
    <w:locked/>
    <w:rsid w:val="000F3A0C"/>
    <w:rPr>
      <w:rFonts w:ascii="Times New Roman" w:eastAsia="Times New Roman" w:hAnsi="Times New Roman" w:cs="Times New Roman"/>
      <w:sz w:val="24"/>
      <w:szCs w:val="24"/>
      <w:lang w:eastAsia="lv-LV"/>
    </w:rPr>
  </w:style>
  <w:style w:type="paragraph" w:customStyle="1" w:styleId="naisc">
    <w:name w:val="naisc"/>
    <w:basedOn w:val="Normal"/>
    <w:uiPriority w:val="99"/>
    <w:rsid w:val="000F3A0C"/>
    <w:pPr>
      <w:spacing w:before="75" w:after="75"/>
      <w:jc w:val="center"/>
    </w:pPr>
  </w:style>
  <w:style w:type="paragraph" w:customStyle="1" w:styleId="Text1">
    <w:name w:val="Text 1"/>
    <w:basedOn w:val="Normal"/>
    <w:rsid w:val="00EF4FD1"/>
    <w:pPr>
      <w:spacing w:before="120" w:after="120"/>
      <w:ind w:left="850"/>
      <w:jc w:val="both"/>
    </w:pPr>
    <w:rPr>
      <w:lang w:eastAsia="de-DE"/>
    </w:rPr>
  </w:style>
  <w:style w:type="paragraph" w:customStyle="1" w:styleId="Prliminairetitre">
    <w:name w:val="Préliminaire titre"/>
    <w:basedOn w:val="Normal"/>
    <w:next w:val="Normal"/>
    <w:rsid w:val="00EF4FD1"/>
    <w:pPr>
      <w:spacing w:before="360" w:after="360"/>
      <w:jc w:val="center"/>
    </w:pPr>
    <w:rPr>
      <w:b/>
      <w:lang w:eastAsia="de-DE"/>
    </w:rPr>
  </w:style>
  <w:style w:type="paragraph" w:styleId="NormalWeb">
    <w:name w:val="Normal (Web)"/>
    <w:basedOn w:val="Normal"/>
    <w:uiPriority w:val="99"/>
    <w:unhideWhenUsed/>
    <w:rsid w:val="00EF4FD1"/>
    <w:pPr>
      <w:spacing w:before="100" w:beforeAutospacing="1" w:after="100" w:afterAutospacing="1"/>
    </w:pPr>
    <w:rPr>
      <w:rFonts w:ascii="Times" w:eastAsiaTheme="minorEastAsia" w:hAnsi="Times"/>
      <w:sz w:val="20"/>
      <w:szCs w:val="20"/>
      <w:lang w:val="en-US" w:eastAsia="en-US"/>
    </w:rPr>
  </w:style>
  <w:style w:type="character" w:customStyle="1" w:styleId="apple-converted-space">
    <w:name w:val="apple-converted-space"/>
    <w:basedOn w:val="DefaultParagraphFont"/>
    <w:rsid w:val="00C400F1"/>
  </w:style>
  <w:style w:type="character" w:styleId="Strong">
    <w:name w:val="Strong"/>
    <w:basedOn w:val="DefaultParagraphFont"/>
    <w:uiPriority w:val="22"/>
    <w:qFormat/>
    <w:rsid w:val="00C400F1"/>
    <w:rPr>
      <w:b/>
      <w:bCs/>
    </w:rPr>
  </w:style>
  <w:style w:type="paragraph" w:styleId="BalloonText">
    <w:name w:val="Balloon Text"/>
    <w:basedOn w:val="Normal"/>
    <w:link w:val="BalloonTextChar"/>
    <w:uiPriority w:val="99"/>
    <w:semiHidden/>
    <w:unhideWhenUsed/>
    <w:rsid w:val="00040F29"/>
    <w:rPr>
      <w:rFonts w:ascii="Tahoma" w:hAnsi="Tahoma" w:cs="Tahoma"/>
      <w:sz w:val="16"/>
      <w:szCs w:val="16"/>
    </w:rPr>
  </w:style>
  <w:style w:type="character" w:customStyle="1" w:styleId="BalloonTextChar">
    <w:name w:val="Balloon Text Char"/>
    <w:basedOn w:val="DefaultParagraphFont"/>
    <w:link w:val="BalloonText"/>
    <w:uiPriority w:val="99"/>
    <w:semiHidden/>
    <w:rsid w:val="00040F29"/>
    <w:rPr>
      <w:rFonts w:ascii="Tahoma" w:eastAsia="Times New Roman" w:hAnsi="Tahoma" w:cs="Tahoma"/>
      <w:sz w:val="16"/>
      <w:szCs w:val="16"/>
      <w:lang w:eastAsia="lv-LV"/>
    </w:rPr>
  </w:style>
  <w:style w:type="paragraph" w:styleId="Header">
    <w:name w:val="header"/>
    <w:basedOn w:val="Normal"/>
    <w:link w:val="HeaderChar"/>
    <w:uiPriority w:val="99"/>
    <w:unhideWhenUsed/>
    <w:rsid w:val="00077168"/>
    <w:pPr>
      <w:tabs>
        <w:tab w:val="center" w:pos="4153"/>
        <w:tab w:val="right" w:pos="8306"/>
      </w:tabs>
    </w:pPr>
  </w:style>
  <w:style w:type="character" w:customStyle="1" w:styleId="HeaderChar">
    <w:name w:val="Header Char"/>
    <w:basedOn w:val="DefaultParagraphFont"/>
    <w:link w:val="Header"/>
    <w:uiPriority w:val="99"/>
    <w:rsid w:val="000771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77168"/>
    <w:pPr>
      <w:tabs>
        <w:tab w:val="center" w:pos="4153"/>
        <w:tab w:val="right" w:pos="8306"/>
      </w:tabs>
    </w:pPr>
  </w:style>
  <w:style w:type="character" w:customStyle="1" w:styleId="FooterChar">
    <w:name w:val="Footer Char"/>
    <w:basedOn w:val="DefaultParagraphFont"/>
    <w:link w:val="Footer"/>
    <w:uiPriority w:val="99"/>
    <w:rsid w:val="00077168"/>
    <w:rPr>
      <w:rFonts w:ascii="Times New Roman" w:eastAsia="Times New Roman" w:hAnsi="Times New Roman" w:cs="Times New Roman"/>
      <w:sz w:val="24"/>
      <w:szCs w:val="24"/>
      <w:lang w:eastAsia="lv-LV"/>
    </w:rPr>
  </w:style>
  <w:style w:type="paragraph" w:styleId="NoSpacing">
    <w:name w:val="No Spacing"/>
    <w:uiPriority w:val="1"/>
    <w:qFormat/>
    <w:rsid w:val="0048167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nhideWhenUsed/>
    <w:rsid w:val="0004325B"/>
    <w:rPr>
      <w:sz w:val="16"/>
      <w:szCs w:val="16"/>
    </w:rPr>
  </w:style>
  <w:style w:type="paragraph" w:styleId="CommentText">
    <w:name w:val="annotation text"/>
    <w:basedOn w:val="Normal"/>
    <w:link w:val="CommentTextChar"/>
    <w:unhideWhenUsed/>
    <w:rsid w:val="0004325B"/>
    <w:pPr>
      <w:spacing w:after="160"/>
    </w:pPr>
    <w:rPr>
      <w:rFonts w:ascii="Calibri" w:eastAsia="Calibri" w:hAnsi="Calibri"/>
      <w:sz w:val="20"/>
      <w:szCs w:val="20"/>
      <w:lang w:val="en-US" w:eastAsia="ja-JP"/>
    </w:rPr>
  </w:style>
  <w:style w:type="character" w:customStyle="1" w:styleId="CommentTextChar">
    <w:name w:val="Comment Text Char"/>
    <w:basedOn w:val="DefaultParagraphFont"/>
    <w:link w:val="CommentText"/>
    <w:rsid w:val="0004325B"/>
    <w:rPr>
      <w:rFonts w:ascii="Calibri" w:eastAsia="Calibri" w:hAnsi="Calibri" w:cs="Times New Roman"/>
      <w:sz w:val="20"/>
      <w:szCs w:val="20"/>
      <w:lang w:val="en-US" w:eastAsia="ja-JP"/>
    </w:rPr>
  </w:style>
  <w:style w:type="table" w:styleId="TableGrid">
    <w:name w:val="Table Grid"/>
    <w:basedOn w:val="TableNormal"/>
    <w:uiPriority w:val="39"/>
    <w:rsid w:val="00C5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3178"/>
    <w:pPr>
      <w:spacing w:after="0"/>
    </w:pPr>
    <w:rPr>
      <w:rFonts w:ascii="Times New Roman" w:eastAsia="Times New Roman" w:hAnsi="Times New Roman"/>
      <w:b/>
      <w:bCs/>
      <w:lang w:val="lv-LV" w:eastAsia="lv-LV"/>
    </w:rPr>
  </w:style>
  <w:style w:type="character" w:customStyle="1" w:styleId="CommentSubjectChar">
    <w:name w:val="Comment Subject Char"/>
    <w:basedOn w:val="CommentTextChar"/>
    <w:link w:val="CommentSubject"/>
    <w:uiPriority w:val="99"/>
    <w:semiHidden/>
    <w:rsid w:val="00393178"/>
    <w:rPr>
      <w:rFonts w:ascii="Times New Roman" w:eastAsia="Times New Roman" w:hAnsi="Times New Roman" w:cs="Times New Roman"/>
      <w:b/>
      <w:bCs/>
      <w:sz w:val="20"/>
      <w:szCs w:val="20"/>
      <w:lang w:val="en-US" w:eastAsia="lv-LV"/>
    </w:rPr>
  </w:style>
  <w:style w:type="paragraph" w:customStyle="1" w:styleId="CharCharCharChar">
    <w:name w:val="Char Char Char Char"/>
    <w:aliases w:val="Char2"/>
    <w:basedOn w:val="Normal"/>
    <w:next w:val="Normal"/>
    <w:link w:val="FootnoteReference"/>
    <w:uiPriority w:val="99"/>
    <w:rsid w:val="00B925DF"/>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DocumentMap">
    <w:name w:val="Document Map"/>
    <w:basedOn w:val="Normal"/>
    <w:link w:val="DocumentMapChar"/>
    <w:uiPriority w:val="99"/>
    <w:semiHidden/>
    <w:unhideWhenUsed/>
    <w:rsid w:val="00E472E7"/>
    <w:rPr>
      <w:rFonts w:ascii="Tahoma" w:hAnsi="Tahoma" w:cs="Tahoma"/>
      <w:sz w:val="16"/>
      <w:szCs w:val="16"/>
    </w:rPr>
  </w:style>
  <w:style w:type="character" w:customStyle="1" w:styleId="DocumentMapChar">
    <w:name w:val="Document Map Char"/>
    <w:basedOn w:val="DefaultParagraphFont"/>
    <w:link w:val="DocumentMap"/>
    <w:uiPriority w:val="99"/>
    <w:semiHidden/>
    <w:rsid w:val="00E472E7"/>
    <w:rPr>
      <w:rFonts w:ascii="Tahoma" w:eastAsia="Times New Roman" w:hAnsi="Tahoma" w:cs="Tahoma"/>
      <w:sz w:val="16"/>
      <w:szCs w:val="16"/>
      <w:lang w:eastAsia="lv-LV"/>
    </w:rPr>
  </w:style>
  <w:style w:type="paragraph" w:customStyle="1" w:styleId="naiskr">
    <w:name w:val="naiskr"/>
    <w:basedOn w:val="Normal"/>
    <w:uiPriority w:val="99"/>
    <w:rsid w:val="00671526"/>
    <w:pPr>
      <w:spacing w:before="75" w:after="75"/>
    </w:pPr>
  </w:style>
  <w:style w:type="character" w:styleId="FollowedHyperlink">
    <w:name w:val="FollowedHyperlink"/>
    <w:basedOn w:val="DefaultParagraphFont"/>
    <w:uiPriority w:val="99"/>
    <w:semiHidden/>
    <w:unhideWhenUsed/>
    <w:rsid w:val="00D64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885">
      <w:bodyDiv w:val="1"/>
      <w:marLeft w:val="0"/>
      <w:marRight w:val="0"/>
      <w:marTop w:val="0"/>
      <w:marBottom w:val="0"/>
      <w:divBdr>
        <w:top w:val="none" w:sz="0" w:space="0" w:color="auto"/>
        <w:left w:val="none" w:sz="0" w:space="0" w:color="auto"/>
        <w:bottom w:val="none" w:sz="0" w:space="0" w:color="auto"/>
        <w:right w:val="none" w:sz="0" w:space="0" w:color="auto"/>
      </w:divBdr>
    </w:div>
    <w:div w:id="89283135">
      <w:bodyDiv w:val="1"/>
      <w:marLeft w:val="0"/>
      <w:marRight w:val="0"/>
      <w:marTop w:val="0"/>
      <w:marBottom w:val="0"/>
      <w:divBdr>
        <w:top w:val="none" w:sz="0" w:space="0" w:color="auto"/>
        <w:left w:val="none" w:sz="0" w:space="0" w:color="auto"/>
        <w:bottom w:val="none" w:sz="0" w:space="0" w:color="auto"/>
        <w:right w:val="none" w:sz="0" w:space="0" w:color="auto"/>
      </w:divBdr>
    </w:div>
    <w:div w:id="90317594">
      <w:bodyDiv w:val="1"/>
      <w:marLeft w:val="0"/>
      <w:marRight w:val="0"/>
      <w:marTop w:val="0"/>
      <w:marBottom w:val="0"/>
      <w:divBdr>
        <w:top w:val="none" w:sz="0" w:space="0" w:color="auto"/>
        <w:left w:val="none" w:sz="0" w:space="0" w:color="auto"/>
        <w:bottom w:val="none" w:sz="0" w:space="0" w:color="auto"/>
        <w:right w:val="none" w:sz="0" w:space="0" w:color="auto"/>
      </w:divBdr>
    </w:div>
    <w:div w:id="92556118">
      <w:bodyDiv w:val="1"/>
      <w:marLeft w:val="0"/>
      <w:marRight w:val="0"/>
      <w:marTop w:val="0"/>
      <w:marBottom w:val="0"/>
      <w:divBdr>
        <w:top w:val="none" w:sz="0" w:space="0" w:color="auto"/>
        <w:left w:val="none" w:sz="0" w:space="0" w:color="auto"/>
        <w:bottom w:val="none" w:sz="0" w:space="0" w:color="auto"/>
        <w:right w:val="none" w:sz="0" w:space="0" w:color="auto"/>
      </w:divBdr>
    </w:div>
    <w:div w:id="120341589">
      <w:bodyDiv w:val="1"/>
      <w:marLeft w:val="0"/>
      <w:marRight w:val="0"/>
      <w:marTop w:val="0"/>
      <w:marBottom w:val="0"/>
      <w:divBdr>
        <w:top w:val="none" w:sz="0" w:space="0" w:color="auto"/>
        <w:left w:val="none" w:sz="0" w:space="0" w:color="auto"/>
        <w:bottom w:val="none" w:sz="0" w:space="0" w:color="auto"/>
        <w:right w:val="none" w:sz="0" w:space="0" w:color="auto"/>
      </w:divBdr>
    </w:div>
    <w:div w:id="151482315">
      <w:bodyDiv w:val="1"/>
      <w:marLeft w:val="0"/>
      <w:marRight w:val="0"/>
      <w:marTop w:val="0"/>
      <w:marBottom w:val="0"/>
      <w:divBdr>
        <w:top w:val="none" w:sz="0" w:space="0" w:color="auto"/>
        <w:left w:val="none" w:sz="0" w:space="0" w:color="auto"/>
        <w:bottom w:val="none" w:sz="0" w:space="0" w:color="auto"/>
        <w:right w:val="none" w:sz="0" w:space="0" w:color="auto"/>
      </w:divBdr>
    </w:div>
    <w:div w:id="230190436">
      <w:bodyDiv w:val="1"/>
      <w:marLeft w:val="0"/>
      <w:marRight w:val="0"/>
      <w:marTop w:val="0"/>
      <w:marBottom w:val="0"/>
      <w:divBdr>
        <w:top w:val="none" w:sz="0" w:space="0" w:color="auto"/>
        <w:left w:val="none" w:sz="0" w:space="0" w:color="auto"/>
        <w:bottom w:val="none" w:sz="0" w:space="0" w:color="auto"/>
        <w:right w:val="none" w:sz="0" w:space="0" w:color="auto"/>
      </w:divBdr>
    </w:div>
    <w:div w:id="236013532">
      <w:bodyDiv w:val="1"/>
      <w:marLeft w:val="0"/>
      <w:marRight w:val="0"/>
      <w:marTop w:val="0"/>
      <w:marBottom w:val="0"/>
      <w:divBdr>
        <w:top w:val="none" w:sz="0" w:space="0" w:color="auto"/>
        <w:left w:val="none" w:sz="0" w:space="0" w:color="auto"/>
        <w:bottom w:val="none" w:sz="0" w:space="0" w:color="auto"/>
        <w:right w:val="none" w:sz="0" w:space="0" w:color="auto"/>
      </w:divBdr>
    </w:div>
    <w:div w:id="350568259">
      <w:bodyDiv w:val="1"/>
      <w:marLeft w:val="0"/>
      <w:marRight w:val="0"/>
      <w:marTop w:val="0"/>
      <w:marBottom w:val="0"/>
      <w:divBdr>
        <w:top w:val="none" w:sz="0" w:space="0" w:color="auto"/>
        <w:left w:val="none" w:sz="0" w:space="0" w:color="auto"/>
        <w:bottom w:val="none" w:sz="0" w:space="0" w:color="auto"/>
        <w:right w:val="none" w:sz="0" w:space="0" w:color="auto"/>
      </w:divBdr>
    </w:div>
    <w:div w:id="371805877">
      <w:bodyDiv w:val="1"/>
      <w:marLeft w:val="0"/>
      <w:marRight w:val="0"/>
      <w:marTop w:val="0"/>
      <w:marBottom w:val="0"/>
      <w:divBdr>
        <w:top w:val="none" w:sz="0" w:space="0" w:color="auto"/>
        <w:left w:val="none" w:sz="0" w:space="0" w:color="auto"/>
        <w:bottom w:val="none" w:sz="0" w:space="0" w:color="auto"/>
        <w:right w:val="none" w:sz="0" w:space="0" w:color="auto"/>
      </w:divBdr>
    </w:div>
    <w:div w:id="393892263">
      <w:bodyDiv w:val="1"/>
      <w:marLeft w:val="0"/>
      <w:marRight w:val="0"/>
      <w:marTop w:val="0"/>
      <w:marBottom w:val="0"/>
      <w:divBdr>
        <w:top w:val="none" w:sz="0" w:space="0" w:color="auto"/>
        <w:left w:val="none" w:sz="0" w:space="0" w:color="auto"/>
        <w:bottom w:val="none" w:sz="0" w:space="0" w:color="auto"/>
        <w:right w:val="none" w:sz="0" w:space="0" w:color="auto"/>
      </w:divBdr>
    </w:div>
    <w:div w:id="497305891">
      <w:bodyDiv w:val="1"/>
      <w:marLeft w:val="0"/>
      <w:marRight w:val="0"/>
      <w:marTop w:val="0"/>
      <w:marBottom w:val="0"/>
      <w:divBdr>
        <w:top w:val="none" w:sz="0" w:space="0" w:color="auto"/>
        <w:left w:val="none" w:sz="0" w:space="0" w:color="auto"/>
        <w:bottom w:val="none" w:sz="0" w:space="0" w:color="auto"/>
        <w:right w:val="none" w:sz="0" w:space="0" w:color="auto"/>
      </w:divBdr>
    </w:div>
    <w:div w:id="528840906">
      <w:bodyDiv w:val="1"/>
      <w:marLeft w:val="0"/>
      <w:marRight w:val="0"/>
      <w:marTop w:val="0"/>
      <w:marBottom w:val="0"/>
      <w:divBdr>
        <w:top w:val="none" w:sz="0" w:space="0" w:color="auto"/>
        <w:left w:val="none" w:sz="0" w:space="0" w:color="auto"/>
        <w:bottom w:val="none" w:sz="0" w:space="0" w:color="auto"/>
        <w:right w:val="none" w:sz="0" w:space="0" w:color="auto"/>
      </w:divBdr>
    </w:div>
    <w:div w:id="583271173">
      <w:bodyDiv w:val="1"/>
      <w:marLeft w:val="0"/>
      <w:marRight w:val="0"/>
      <w:marTop w:val="0"/>
      <w:marBottom w:val="0"/>
      <w:divBdr>
        <w:top w:val="none" w:sz="0" w:space="0" w:color="auto"/>
        <w:left w:val="none" w:sz="0" w:space="0" w:color="auto"/>
        <w:bottom w:val="none" w:sz="0" w:space="0" w:color="auto"/>
        <w:right w:val="none" w:sz="0" w:space="0" w:color="auto"/>
      </w:divBdr>
    </w:div>
    <w:div w:id="614020575">
      <w:bodyDiv w:val="1"/>
      <w:marLeft w:val="0"/>
      <w:marRight w:val="0"/>
      <w:marTop w:val="0"/>
      <w:marBottom w:val="0"/>
      <w:divBdr>
        <w:top w:val="none" w:sz="0" w:space="0" w:color="auto"/>
        <w:left w:val="none" w:sz="0" w:space="0" w:color="auto"/>
        <w:bottom w:val="none" w:sz="0" w:space="0" w:color="auto"/>
        <w:right w:val="none" w:sz="0" w:space="0" w:color="auto"/>
      </w:divBdr>
    </w:div>
    <w:div w:id="623659126">
      <w:bodyDiv w:val="1"/>
      <w:marLeft w:val="0"/>
      <w:marRight w:val="0"/>
      <w:marTop w:val="0"/>
      <w:marBottom w:val="0"/>
      <w:divBdr>
        <w:top w:val="none" w:sz="0" w:space="0" w:color="auto"/>
        <w:left w:val="none" w:sz="0" w:space="0" w:color="auto"/>
        <w:bottom w:val="none" w:sz="0" w:space="0" w:color="auto"/>
        <w:right w:val="none" w:sz="0" w:space="0" w:color="auto"/>
      </w:divBdr>
    </w:div>
    <w:div w:id="631057485">
      <w:bodyDiv w:val="1"/>
      <w:marLeft w:val="0"/>
      <w:marRight w:val="0"/>
      <w:marTop w:val="0"/>
      <w:marBottom w:val="0"/>
      <w:divBdr>
        <w:top w:val="none" w:sz="0" w:space="0" w:color="auto"/>
        <w:left w:val="none" w:sz="0" w:space="0" w:color="auto"/>
        <w:bottom w:val="none" w:sz="0" w:space="0" w:color="auto"/>
        <w:right w:val="none" w:sz="0" w:space="0" w:color="auto"/>
      </w:divBdr>
    </w:div>
    <w:div w:id="645545421">
      <w:bodyDiv w:val="1"/>
      <w:marLeft w:val="0"/>
      <w:marRight w:val="0"/>
      <w:marTop w:val="0"/>
      <w:marBottom w:val="0"/>
      <w:divBdr>
        <w:top w:val="none" w:sz="0" w:space="0" w:color="auto"/>
        <w:left w:val="none" w:sz="0" w:space="0" w:color="auto"/>
        <w:bottom w:val="none" w:sz="0" w:space="0" w:color="auto"/>
        <w:right w:val="none" w:sz="0" w:space="0" w:color="auto"/>
      </w:divBdr>
    </w:div>
    <w:div w:id="693926143">
      <w:bodyDiv w:val="1"/>
      <w:marLeft w:val="0"/>
      <w:marRight w:val="0"/>
      <w:marTop w:val="0"/>
      <w:marBottom w:val="0"/>
      <w:divBdr>
        <w:top w:val="none" w:sz="0" w:space="0" w:color="auto"/>
        <w:left w:val="none" w:sz="0" w:space="0" w:color="auto"/>
        <w:bottom w:val="none" w:sz="0" w:space="0" w:color="auto"/>
        <w:right w:val="none" w:sz="0" w:space="0" w:color="auto"/>
      </w:divBdr>
    </w:div>
    <w:div w:id="753018178">
      <w:bodyDiv w:val="1"/>
      <w:marLeft w:val="0"/>
      <w:marRight w:val="0"/>
      <w:marTop w:val="0"/>
      <w:marBottom w:val="0"/>
      <w:divBdr>
        <w:top w:val="none" w:sz="0" w:space="0" w:color="auto"/>
        <w:left w:val="none" w:sz="0" w:space="0" w:color="auto"/>
        <w:bottom w:val="none" w:sz="0" w:space="0" w:color="auto"/>
        <w:right w:val="none" w:sz="0" w:space="0" w:color="auto"/>
      </w:divBdr>
    </w:div>
    <w:div w:id="853302973">
      <w:bodyDiv w:val="1"/>
      <w:marLeft w:val="0"/>
      <w:marRight w:val="0"/>
      <w:marTop w:val="0"/>
      <w:marBottom w:val="0"/>
      <w:divBdr>
        <w:top w:val="none" w:sz="0" w:space="0" w:color="auto"/>
        <w:left w:val="none" w:sz="0" w:space="0" w:color="auto"/>
        <w:bottom w:val="none" w:sz="0" w:space="0" w:color="auto"/>
        <w:right w:val="none" w:sz="0" w:space="0" w:color="auto"/>
      </w:divBdr>
    </w:div>
    <w:div w:id="935940275">
      <w:bodyDiv w:val="1"/>
      <w:marLeft w:val="0"/>
      <w:marRight w:val="0"/>
      <w:marTop w:val="0"/>
      <w:marBottom w:val="0"/>
      <w:divBdr>
        <w:top w:val="none" w:sz="0" w:space="0" w:color="auto"/>
        <w:left w:val="none" w:sz="0" w:space="0" w:color="auto"/>
        <w:bottom w:val="none" w:sz="0" w:space="0" w:color="auto"/>
        <w:right w:val="none" w:sz="0" w:space="0" w:color="auto"/>
      </w:divBdr>
    </w:div>
    <w:div w:id="937175829">
      <w:bodyDiv w:val="1"/>
      <w:marLeft w:val="0"/>
      <w:marRight w:val="0"/>
      <w:marTop w:val="0"/>
      <w:marBottom w:val="0"/>
      <w:divBdr>
        <w:top w:val="none" w:sz="0" w:space="0" w:color="auto"/>
        <w:left w:val="none" w:sz="0" w:space="0" w:color="auto"/>
        <w:bottom w:val="none" w:sz="0" w:space="0" w:color="auto"/>
        <w:right w:val="none" w:sz="0" w:space="0" w:color="auto"/>
      </w:divBdr>
    </w:div>
    <w:div w:id="945842730">
      <w:bodyDiv w:val="1"/>
      <w:marLeft w:val="0"/>
      <w:marRight w:val="0"/>
      <w:marTop w:val="0"/>
      <w:marBottom w:val="0"/>
      <w:divBdr>
        <w:top w:val="none" w:sz="0" w:space="0" w:color="auto"/>
        <w:left w:val="none" w:sz="0" w:space="0" w:color="auto"/>
        <w:bottom w:val="none" w:sz="0" w:space="0" w:color="auto"/>
        <w:right w:val="none" w:sz="0" w:space="0" w:color="auto"/>
      </w:divBdr>
    </w:div>
    <w:div w:id="1009408523">
      <w:bodyDiv w:val="1"/>
      <w:marLeft w:val="0"/>
      <w:marRight w:val="0"/>
      <w:marTop w:val="0"/>
      <w:marBottom w:val="0"/>
      <w:divBdr>
        <w:top w:val="none" w:sz="0" w:space="0" w:color="auto"/>
        <w:left w:val="none" w:sz="0" w:space="0" w:color="auto"/>
        <w:bottom w:val="none" w:sz="0" w:space="0" w:color="auto"/>
        <w:right w:val="none" w:sz="0" w:space="0" w:color="auto"/>
      </w:divBdr>
    </w:div>
    <w:div w:id="1047948171">
      <w:bodyDiv w:val="1"/>
      <w:marLeft w:val="0"/>
      <w:marRight w:val="0"/>
      <w:marTop w:val="0"/>
      <w:marBottom w:val="0"/>
      <w:divBdr>
        <w:top w:val="none" w:sz="0" w:space="0" w:color="auto"/>
        <w:left w:val="none" w:sz="0" w:space="0" w:color="auto"/>
        <w:bottom w:val="none" w:sz="0" w:space="0" w:color="auto"/>
        <w:right w:val="none" w:sz="0" w:space="0" w:color="auto"/>
      </w:divBdr>
    </w:div>
    <w:div w:id="1092631118">
      <w:bodyDiv w:val="1"/>
      <w:marLeft w:val="0"/>
      <w:marRight w:val="0"/>
      <w:marTop w:val="0"/>
      <w:marBottom w:val="0"/>
      <w:divBdr>
        <w:top w:val="none" w:sz="0" w:space="0" w:color="auto"/>
        <w:left w:val="none" w:sz="0" w:space="0" w:color="auto"/>
        <w:bottom w:val="none" w:sz="0" w:space="0" w:color="auto"/>
        <w:right w:val="none" w:sz="0" w:space="0" w:color="auto"/>
      </w:divBdr>
    </w:div>
    <w:div w:id="1133862804">
      <w:bodyDiv w:val="1"/>
      <w:marLeft w:val="0"/>
      <w:marRight w:val="0"/>
      <w:marTop w:val="0"/>
      <w:marBottom w:val="0"/>
      <w:divBdr>
        <w:top w:val="none" w:sz="0" w:space="0" w:color="auto"/>
        <w:left w:val="none" w:sz="0" w:space="0" w:color="auto"/>
        <w:bottom w:val="none" w:sz="0" w:space="0" w:color="auto"/>
        <w:right w:val="none" w:sz="0" w:space="0" w:color="auto"/>
      </w:divBdr>
    </w:div>
    <w:div w:id="1144815470">
      <w:bodyDiv w:val="1"/>
      <w:marLeft w:val="0"/>
      <w:marRight w:val="0"/>
      <w:marTop w:val="0"/>
      <w:marBottom w:val="0"/>
      <w:divBdr>
        <w:top w:val="none" w:sz="0" w:space="0" w:color="auto"/>
        <w:left w:val="none" w:sz="0" w:space="0" w:color="auto"/>
        <w:bottom w:val="none" w:sz="0" w:space="0" w:color="auto"/>
        <w:right w:val="none" w:sz="0" w:space="0" w:color="auto"/>
      </w:divBdr>
    </w:div>
    <w:div w:id="1179005938">
      <w:bodyDiv w:val="1"/>
      <w:marLeft w:val="0"/>
      <w:marRight w:val="0"/>
      <w:marTop w:val="0"/>
      <w:marBottom w:val="0"/>
      <w:divBdr>
        <w:top w:val="none" w:sz="0" w:space="0" w:color="auto"/>
        <w:left w:val="none" w:sz="0" w:space="0" w:color="auto"/>
        <w:bottom w:val="none" w:sz="0" w:space="0" w:color="auto"/>
        <w:right w:val="none" w:sz="0" w:space="0" w:color="auto"/>
      </w:divBdr>
    </w:div>
    <w:div w:id="1238514724">
      <w:bodyDiv w:val="1"/>
      <w:marLeft w:val="0"/>
      <w:marRight w:val="0"/>
      <w:marTop w:val="0"/>
      <w:marBottom w:val="0"/>
      <w:divBdr>
        <w:top w:val="none" w:sz="0" w:space="0" w:color="auto"/>
        <w:left w:val="none" w:sz="0" w:space="0" w:color="auto"/>
        <w:bottom w:val="none" w:sz="0" w:space="0" w:color="auto"/>
        <w:right w:val="none" w:sz="0" w:space="0" w:color="auto"/>
      </w:divBdr>
    </w:div>
    <w:div w:id="1259798569">
      <w:bodyDiv w:val="1"/>
      <w:marLeft w:val="0"/>
      <w:marRight w:val="0"/>
      <w:marTop w:val="0"/>
      <w:marBottom w:val="0"/>
      <w:divBdr>
        <w:top w:val="none" w:sz="0" w:space="0" w:color="auto"/>
        <w:left w:val="none" w:sz="0" w:space="0" w:color="auto"/>
        <w:bottom w:val="none" w:sz="0" w:space="0" w:color="auto"/>
        <w:right w:val="none" w:sz="0" w:space="0" w:color="auto"/>
      </w:divBdr>
    </w:div>
    <w:div w:id="1316498028">
      <w:bodyDiv w:val="1"/>
      <w:marLeft w:val="0"/>
      <w:marRight w:val="0"/>
      <w:marTop w:val="0"/>
      <w:marBottom w:val="0"/>
      <w:divBdr>
        <w:top w:val="none" w:sz="0" w:space="0" w:color="auto"/>
        <w:left w:val="none" w:sz="0" w:space="0" w:color="auto"/>
        <w:bottom w:val="none" w:sz="0" w:space="0" w:color="auto"/>
        <w:right w:val="none" w:sz="0" w:space="0" w:color="auto"/>
      </w:divBdr>
    </w:div>
    <w:div w:id="1333413336">
      <w:bodyDiv w:val="1"/>
      <w:marLeft w:val="0"/>
      <w:marRight w:val="0"/>
      <w:marTop w:val="0"/>
      <w:marBottom w:val="0"/>
      <w:divBdr>
        <w:top w:val="none" w:sz="0" w:space="0" w:color="auto"/>
        <w:left w:val="none" w:sz="0" w:space="0" w:color="auto"/>
        <w:bottom w:val="none" w:sz="0" w:space="0" w:color="auto"/>
        <w:right w:val="none" w:sz="0" w:space="0" w:color="auto"/>
      </w:divBdr>
    </w:div>
    <w:div w:id="1363824638">
      <w:bodyDiv w:val="1"/>
      <w:marLeft w:val="0"/>
      <w:marRight w:val="0"/>
      <w:marTop w:val="0"/>
      <w:marBottom w:val="0"/>
      <w:divBdr>
        <w:top w:val="none" w:sz="0" w:space="0" w:color="auto"/>
        <w:left w:val="none" w:sz="0" w:space="0" w:color="auto"/>
        <w:bottom w:val="none" w:sz="0" w:space="0" w:color="auto"/>
        <w:right w:val="none" w:sz="0" w:space="0" w:color="auto"/>
      </w:divBdr>
    </w:div>
    <w:div w:id="1376855629">
      <w:bodyDiv w:val="1"/>
      <w:marLeft w:val="0"/>
      <w:marRight w:val="0"/>
      <w:marTop w:val="0"/>
      <w:marBottom w:val="0"/>
      <w:divBdr>
        <w:top w:val="none" w:sz="0" w:space="0" w:color="auto"/>
        <w:left w:val="none" w:sz="0" w:space="0" w:color="auto"/>
        <w:bottom w:val="none" w:sz="0" w:space="0" w:color="auto"/>
        <w:right w:val="none" w:sz="0" w:space="0" w:color="auto"/>
      </w:divBdr>
    </w:div>
    <w:div w:id="1415398362">
      <w:bodyDiv w:val="1"/>
      <w:marLeft w:val="0"/>
      <w:marRight w:val="0"/>
      <w:marTop w:val="0"/>
      <w:marBottom w:val="0"/>
      <w:divBdr>
        <w:top w:val="none" w:sz="0" w:space="0" w:color="auto"/>
        <w:left w:val="none" w:sz="0" w:space="0" w:color="auto"/>
        <w:bottom w:val="none" w:sz="0" w:space="0" w:color="auto"/>
        <w:right w:val="none" w:sz="0" w:space="0" w:color="auto"/>
      </w:divBdr>
    </w:div>
    <w:div w:id="1500000430">
      <w:bodyDiv w:val="1"/>
      <w:marLeft w:val="0"/>
      <w:marRight w:val="0"/>
      <w:marTop w:val="0"/>
      <w:marBottom w:val="0"/>
      <w:divBdr>
        <w:top w:val="none" w:sz="0" w:space="0" w:color="auto"/>
        <w:left w:val="none" w:sz="0" w:space="0" w:color="auto"/>
        <w:bottom w:val="none" w:sz="0" w:space="0" w:color="auto"/>
        <w:right w:val="none" w:sz="0" w:space="0" w:color="auto"/>
      </w:divBdr>
    </w:div>
    <w:div w:id="1523321617">
      <w:bodyDiv w:val="1"/>
      <w:marLeft w:val="0"/>
      <w:marRight w:val="0"/>
      <w:marTop w:val="0"/>
      <w:marBottom w:val="0"/>
      <w:divBdr>
        <w:top w:val="none" w:sz="0" w:space="0" w:color="auto"/>
        <w:left w:val="none" w:sz="0" w:space="0" w:color="auto"/>
        <w:bottom w:val="none" w:sz="0" w:space="0" w:color="auto"/>
        <w:right w:val="none" w:sz="0" w:space="0" w:color="auto"/>
      </w:divBdr>
    </w:div>
    <w:div w:id="1643382658">
      <w:bodyDiv w:val="1"/>
      <w:marLeft w:val="0"/>
      <w:marRight w:val="0"/>
      <w:marTop w:val="0"/>
      <w:marBottom w:val="0"/>
      <w:divBdr>
        <w:top w:val="none" w:sz="0" w:space="0" w:color="auto"/>
        <w:left w:val="none" w:sz="0" w:space="0" w:color="auto"/>
        <w:bottom w:val="none" w:sz="0" w:space="0" w:color="auto"/>
        <w:right w:val="none" w:sz="0" w:space="0" w:color="auto"/>
      </w:divBdr>
    </w:div>
    <w:div w:id="1679118108">
      <w:bodyDiv w:val="1"/>
      <w:marLeft w:val="0"/>
      <w:marRight w:val="0"/>
      <w:marTop w:val="0"/>
      <w:marBottom w:val="0"/>
      <w:divBdr>
        <w:top w:val="none" w:sz="0" w:space="0" w:color="auto"/>
        <w:left w:val="none" w:sz="0" w:space="0" w:color="auto"/>
        <w:bottom w:val="none" w:sz="0" w:space="0" w:color="auto"/>
        <w:right w:val="none" w:sz="0" w:space="0" w:color="auto"/>
      </w:divBdr>
    </w:div>
    <w:div w:id="1690451454">
      <w:bodyDiv w:val="1"/>
      <w:marLeft w:val="0"/>
      <w:marRight w:val="0"/>
      <w:marTop w:val="0"/>
      <w:marBottom w:val="0"/>
      <w:divBdr>
        <w:top w:val="none" w:sz="0" w:space="0" w:color="auto"/>
        <w:left w:val="none" w:sz="0" w:space="0" w:color="auto"/>
        <w:bottom w:val="none" w:sz="0" w:space="0" w:color="auto"/>
        <w:right w:val="none" w:sz="0" w:space="0" w:color="auto"/>
      </w:divBdr>
    </w:div>
    <w:div w:id="1738432238">
      <w:bodyDiv w:val="1"/>
      <w:marLeft w:val="0"/>
      <w:marRight w:val="0"/>
      <w:marTop w:val="0"/>
      <w:marBottom w:val="0"/>
      <w:divBdr>
        <w:top w:val="none" w:sz="0" w:space="0" w:color="auto"/>
        <w:left w:val="none" w:sz="0" w:space="0" w:color="auto"/>
        <w:bottom w:val="none" w:sz="0" w:space="0" w:color="auto"/>
        <w:right w:val="none" w:sz="0" w:space="0" w:color="auto"/>
      </w:divBdr>
    </w:div>
    <w:div w:id="1767774606">
      <w:bodyDiv w:val="1"/>
      <w:marLeft w:val="0"/>
      <w:marRight w:val="0"/>
      <w:marTop w:val="0"/>
      <w:marBottom w:val="0"/>
      <w:divBdr>
        <w:top w:val="none" w:sz="0" w:space="0" w:color="auto"/>
        <w:left w:val="none" w:sz="0" w:space="0" w:color="auto"/>
        <w:bottom w:val="none" w:sz="0" w:space="0" w:color="auto"/>
        <w:right w:val="none" w:sz="0" w:space="0" w:color="auto"/>
      </w:divBdr>
    </w:div>
    <w:div w:id="1777552889">
      <w:bodyDiv w:val="1"/>
      <w:marLeft w:val="0"/>
      <w:marRight w:val="0"/>
      <w:marTop w:val="0"/>
      <w:marBottom w:val="0"/>
      <w:divBdr>
        <w:top w:val="none" w:sz="0" w:space="0" w:color="auto"/>
        <w:left w:val="none" w:sz="0" w:space="0" w:color="auto"/>
        <w:bottom w:val="none" w:sz="0" w:space="0" w:color="auto"/>
        <w:right w:val="none" w:sz="0" w:space="0" w:color="auto"/>
      </w:divBdr>
    </w:div>
    <w:div w:id="1798181879">
      <w:bodyDiv w:val="1"/>
      <w:marLeft w:val="0"/>
      <w:marRight w:val="0"/>
      <w:marTop w:val="0"/>
      <w:marBottom w:val="0"/>
      <w:divBdr>
        <w:top w:val="none" w:sz="0" w:space="0" w:color="auto"/>
        <w:left w:val="none" w:sz="0" w:space="0" w:color="auto"/>
        <w:bottom w:val="none" w:sz="0" w:space="0" w:color="auto"/>
        <w:right w:val="none" w:sz="0" w:space="0" w:color="auto"/>
      </w:divBdr>
    </w:div>
    <w:div w:id="1975255530">
      <w:bodyDiv w:val="1"/>
      <w:marLeft w:val="0"/>
      <w:marRight w:val="0"/>
      <w:marTop w:val="0"/>
      <w:marBottom w:val="0"/>
      <w:divBdr>
        <w:top w:val="none" w:sz="0" w:space="0" w:color="auto"/>
        <w:left w:val="none" w:sz="0" w:space="0" w:color="auto"/>
        <w:bottom w:val="none" w:sz="0" w:space="0" w:color="auto"/>
        <w:right w:val="none" w:sz="0" w:space="0" w:color="auto"/>
      </w:divBdr>
    </w:div>
    <w:div w:id="1978417220">
      <w:bodyDiv w:val="1"/>
      <w:marLeft w:val="0"/>
      <w:marRight w:val="0"/>
      <w:marTop w:val="0"/>
      <w:marBottom w:val="0"/>
      <w:divBdr>
        <w:top w:val="none" w:sz="0" w:space="0" w:color="auto"/>
        <w:left w:val="none" w:sz="0" w:space="0" w:color="auto"/>
        <w:bottom w:val="none" w:sz="0" w:space="0" w:color="auto"/>
        <w:right w:val="none" w:sz="0" w:space="0" w:color="auto"/>
      </w:divBdr>
    </w:div>
    <w:div w:id="1981379403">
      <w:bodyDiv w:val="1"/>
      <w:marLeft w:val="0"/>
      <w:marRight w:val="0"/>
      <w:marTop w:val="0"/>
      <w:marBottom w:val="0"/>
      <w:divBdr>
        <w:top w:val="none" w:sz="0" w:space="0" w:color="auto"/>
        <w:left w:val="none" w:sz="0" w:space="0" w:color="auto"/>
        <w:bottom w:val="none" w:sz="0" w:space="0" w:color="auto"/>
        <w:right w:val="none" w:sz="0" w:space="0" w:color="auto"/>
      </w:divBdr>
    </w:div>
    <w:div w:id="2013336535">
      <w:bodyDiv w:val="1"/>
      <w:marLeft w:val="0"/>
      <w:marRight w:val="0"/>
      <w:marTop w:val="0"/>
      <w:marBottom w:val="0"/>
      <w:divBdr>
        <w:top w:val="none" w:sz="0" w:space="0" w:color="auto"/>
        <w:left w:val="none" w:sz="0" w:space="0" w:color="auto"/>
        <w:bottom w:val="none" w:sz="0" w:space="0" w:color="auto"/>
        <w:right w:val="none" w:sz="0" w:space="0" w:color="auto"/>
      </w:divBdr>
    </w:div>
    <w:div w:id="2083483917">
      <w:bodyDiv w:val="1"/>
      <w:marLeft w:val="0"/>
      <w:marRight w:val="0"/>
      <w:marTop w:val="0"/>
      <w:marBottom w:val="0"/>
      <w:divBdr>
        <w:top w:val="none" w:sz="0" w:space="0" w:color="auto"/>
        <w:left w:val="none" w:sz="0" w:space="0" w:color="auto"/>
        <w:bottom w:val="none" w:sz="0" w:space="0" w:color="auto"/>
        <w:right w:val="none" w:sz="0" w:space="0" w:color="auto"/>
      </w:divBdr>
    </w:div>
    <w:div w:id="2100251413">
      <w:bodyDiv w:val="1"/>
      <w:marLeft w:val="0"/>
      <w:marRight w:val="0"/>
      <w:marTop w:val="0"/>
      <w:marBottom w:val="0"/>
      <w:divBdr>
        <w:top w:val="none" w:sz="0" w:space="0" w:color="auto"/>
        <w:left w:val="none" w:sz="0" w:space="0" w:color="auto"/>
        <w:bottom w:val="none" w:sz="0" w:space="0" w:color="auto"/>
        <w:right w:val="none" w:sz="0" w:space="0" w:color="auto"/>
      </w:divBdr>
    </w:div>
    <w:div w:id="21453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hyperlink" Target="mailto:ugis.zanders@varam.gov.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vm.lv/biznesa-partneriem/iepirkumi/liguma-pielikum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rv-file\serveris\Departamenti%20un%20nodalas\KD\Strategijas%20un%20ilgtspejigas%20attistibas%20nodala\ZPI\Infozin_ZPI_2017\Kop&#275;jie%20r&#257;d&#299;t&#257;j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3.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rv-file\serveris\Departamenti%20un%20nodalas\KD\Strategijas%20un%20ilgtspejigas%20attistibas%20nodala\ZPI\Infozi&#326;ojums2018\Copy%20of%20VARAM_zalais_iepirkums_2018_procenti.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1.xml"/><Relationship Id="rId4"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2.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1"/>
          <c:order val="0"/>
          <c:tx>
            <c:strRef>
              <c:f>milj!$C$5</c:f>
              <c:strCache>
                <c:ptCount val="1"/>
                <c:pt idx="0">
                  <c:v>publisko iepirkumu kopējā līgumcena, milj. EUR, bez PVN</c:v>
                </c:pt>
              </c:strCache>
            </c:strRef>
          </c:tx>
          <c:spPr>
            <a:gradFill rotWithShape="1">
              <a:gsLst>
                <a:gs pos="0">
                  <a:schemeClr val="accent3">
                    <a:shade val="70000"/>
                    <a:shade val="51000"/>
                    <a:satMod val="130000"/>
                  </a:schemeClr>
                </a:gs>
                <a:gs pos="80000">
                  <a:schemeClr val="accent3">
                    <a:shade val="70000"/>
                    <a:shade val="93000"/>
                    <a:satMod val="130000"/>
                  </a:schemeClr>
                </a:gs>
                <a:gs pos="100000">
                  <a:schemeClr val="accent3">
                    <a:shade val="7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layout>
                <c:manualLayout>
                  <c:x val="1.341767299214107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8752156411730873E-2"/>
                  <c:y val="1.894986264863568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milj!$A$6:$A$15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milj!$C$6:$C$15</c:f>
              <c:numCache>
                <c:formatCode>[$€-426]\ #\ ##0</c:formatCode>
                <c:ptCount val="10"/>
                <c:pt idx="0">
                  <c:v>2049.0776944923477</c:v>
                </c:pt>
                <c:pt idx="1">
                  <c:v>2983.9044740781214</c:v>
                </c:pt>
                <c:pt idx="2">
                  <c:v>3138.8552142560375</c:v>
                </c:pt>
                <c:pt idx="3">
                  <c:v>2560.7423975959159</c:v>
                </c:pt>
                <c:pt idx="4">
                  <c:v>2084.6494897581688</c:v>
                </c:pt>
                <c:pt idx="5">
                  <c:v>1834.9</c:v>
                </c:pt>
                <c:pt idx="6">
                  <c:v>1868.2349999999999</c:v>
                </c:pt>
                <c:pt idx="7" formatCode="&quot;€&quot;\ #\ ##0">
                  <c:v>2531</c:v>
                </c:pt>
                <c:pt idx="8" formatCode="&quot;€&quot;\ #\ ##0">
                  <c:v>2293</c:v>
                </c:pt>
                <c:pt idx="9" formatCode="&quot;€&quot;\ #\ ##0">
                  <c:v>2973</c:v>
                </c:pt>
              </c:numCache>
            </c:numRef>
          </c:val>
        </c:ser>
        <c:ser>
          <c:idx val="3"/>
          <c:order val="1"/>
          <c:tx>
            <c:strRef>
              <c:f>milj!$E$5</c:f>
              <c:strCache>
                <c:ptCount val="1"/>
                <c:pt idx="0">
                  <c:v>ZPI kopējā līgumcena, milj. EUR, bez PVN</c:v>
                </c:pt>
              </c:strCache>
            </c:strRef>
          </c:tx>
          <c:spPr>
            <a:gradFill rotWithShape="1">
              <a:gsLst>
                <a:gs pos="0">
                  <a:schemeClr val="accent3">
                    <a:tint val="90000"/>
                    <a:shade val="51000"/>
                    <a:satMod val="130000"/>
                  </a:schemeClr>
                </a:gs>
                <a:gs pos="80000">
                  <a:schemeClr val="accent3">
                    <a:tint val="90000"/>
                    <a:shade val="93000"/>
                    <a:satMod val="130000"/>
                  </a:schemeClr>
                </a:gs>
                <a:gs pos="100000">
                  <a:schemeClr val="accent3">
                    <a:tint val="9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3228971447469979E-2"/>
                  <c:y val="3.92584514721918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318379850297348E-2"/>
                  <c:y val="2.3884113722425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102850316630087E-3"/>
                  <c:y val="3.1279151780036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511318843385124E-3"/>
                  <c:y val="2.56004259009608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4022042106074429E-3"/>
                  <c:y val="2.63452310751904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0607099887391646E-2"/>
                  <c:y val="2.34948604992657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3417596862382414E-2"/>
                  <c:y val="3.52422907488986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5225666122892797E-2"/>
                  <c:y val="1.76211453744492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7400761283306143E-2"/>
                  <c:y val="1.76211453744493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3229031526034775E-2"/>
                  <c:y val="2.78571345982633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milj!$A$6:$A$15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milj!$E$6:$E$15</c:f>
              <c:numCache>
                <c:formatCode>[$€-426]\ #\ ##0.0</c:formatCode>
                <c:ptCount val="10"/>
                <c:pt idx="0">
                  <c:v>8.1530554749261537</c:v>
                </c:pt>
                <c:pt idx="1">
                  <c:v>72.281887980148085</c:v>
                </c:pt>
                <c:pt idx="2">
                  <c:v>394.84692745061216</c:v>
                </c:pt>
                <c:pt idx="3">
                  <c:v>491.17534903045515</c:v>
                </c:pt>
                <c:pt idx="4">
                  <c:v>147.83638112475171</c:v>
                </c:pt>
                <c:pt idx="5">
                  <c:v>208.5</c:v>
                </c:pt>
                <c:pt idx="6" formatCode="[$€-426]\ #\ ##0">
                  <c:v>354.815</c:v>
                </c:pt>
                <c:pt idx="7" formatCode="&quot;€&quot;\ #\ ##0">
                  <c:v>364</c:v>
                </c:pt>
                <c:pt idx="8" formatCode="&quot;€&quot;\ #\ ##0">
                  <c:v>271</c:v>
                </c:pt>
                <c:pt idx="9" formatCode="&quot;€&quot;\ #\ ##0">
                  <c:v>544</c:v>
                </c:pt>
              </c:numCache>
            </c:numRef>
          </c:val>
        </c:ser>
        <c:ser>
          <c:idx val="4"/>
          <c:order val="2"/>
          <c:tx>
            <c:strRef>
              <c:f>milj!$F$5</c:f>
              <c:strCache>
                <c:ptCount val="1"/>
                <c:pt idx="0">
                  <c:v>ZPI īpatsvars, %</c:v>
                </c:pt>
              </c:strCache>
            </c:strRef>
          </c:tx>
          <c:spPr>
            <a:gradFill rotWithShape="1">
              <a:gsLst>
                <a:gs pos="0">
                  <a:schemeClr val="accent3">
                    <a:tint val="70000"/>
                    <a:shade val="51000"/>
                    <a:satMod val="130000"/>
                  </a:schemeClr>
                </a:gs>
                <a:gs pos="80000">
                  <a:schemeClr val="accent3">
                    <a:tint val="70000"/>
                    <a:shade val="93000"/>
                    <a:satMod val="130000"/>
                  </a:schemeClr>
                </a:gs>
                <a:gs pos="100000">
                  <a:schemeClr val="accent3">
                    <a:tint val="7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milj!$A$6:$A$15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milj!$F$6:$F$11</c:f>
            </c:numRef>
          </c:val>
        </c:ser>
        <c:dLbls>
          <c:showLegendKey val="0"/>
          <c:showVal val="0"/>
          <c:showCatName val="0"/>
          <c:showSerName val="0"/>
          <c:showPercent val="0"/>
          <c:showBubbleSize val="0"/>
        </c:dLbls>
        <c:gapWidth val="150"/>
        <c:axId val="353160968"/>
        <c:axId val="353161360"/>
      </c:barChart>
      <c:lineChart>
        <c:grouping val="standard"/>
        <c:varyColors val="0"/>
        <c:ser>
          <c:idx val="5"/>
          <c:order val="3"/>
          <c:tx>
            <c:strRef>
              <c:f>milj!$G$5</c:f>
              <c:strCache>
                <c:ptCount val="1"/>
                <c:pt idx="0">
                  <c:v>ZPI īpatsvars, %</c:v>
                </c:pt>
              </c:strCache>
            </c:strRef>
          </c:tx>
          <c:spPr>
            <a:ln w="34925" cap="rnd">
              <a:solidFill>
                <a:schemeClr val="accent3">
                  <a:tint val="50000"/>
                </a:schemeClr>
              </a:solidFill>
              <a:round/>
            </a:ln>
            <a:effectLst>
              <a:outerShdw blurRad="40000" dist="23000" dir="5400000" rotWithShape="0">
                <a:srgbClr val="000000">
                  <a:alpha val="35000"/>
                </a:srgbClr>
              </a:outerShdw>
            </a:effectLst>
          </c:spPr>
          <c:marker>
            <c:symbol val="circle"/>
            <c:size val="6"/>
            <c:spPr>
              <a:gradFill rotWithShape="1">
                <a:gsLst>
                  <a:gs pos="0">
                    <a:schemeClr val="accent3">
                      <a:tint val="50000"/>
                      <a:shade val="51000"/>
                      <a:satMod val="130000"/>
                    </a:schemeClr>
                  </a:gs>
                  <a:gs pos="80000">
                    <a:schemeClr val="accent3">
                      <a:tint val="50000"/>
                      <a:shade val="93000"/>
                      <a:satMod val="130000"/>
                    </a:schemeClr>
                  </a:gs>
                  <a:gs pos="100000">
                    <a:schemeClr val="accent3">
                      <a:tint val="50000"/>
                      <a:shade val="94000"/>
                      <a:satMod val="135000"/>
                    </a:schemeClr>
                  </a:gs>
                </a:gsLst>
                <a:lin ang="16200000" scaled="0"/>
              </a:gradFill>
              <a:ln w="9525">
                <a:solidFill>
                  <a:schemeClr val="accent3">
                    <a:tint val="50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1.1024135849250511E-2"/>
                  <c:y val="-8.02016488027102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582758517338677E-2"/>
                  <c:y val="-7.863933307895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841864587481215E-2"/>
                  <c:y val="-4.7162694971498609E-2"/>
                </c:manualLayout>
              </c:layout>
              <c:showLegendKey val="0"/>
              <c:showVal val="1"/>
              <c:showCatName val="0"/>
              <c:showSerName val="0"/>
              <c:showPercent val="0"/>
              <c:showBubbleSize val="0"/>
              <c:extLst>
                <c:ext xmlns:c15="http://schemas.microsoft.com/office/drawing/2012/chart" uri="{CE6537A1-D6FC-4f65-9D91-7224C49458BB}">
                  <c15:layout>
                    <c:manualLayout>
                      <c:w val="6.9059271343121259E-2"/>
                      <c:h val="9.0132389838935331E-2"/>
                    </c:manualLayout>
                  </c15:layout>
                </c:ext>
              </c:extLst>
            </c:dLbl>
            <c:dLbl>
              <c:idx val="3"/>
              <c:layout>
                <c:manualLayout>
                  <c:x val="-1.8913609781800095E-2"/>
                  <c:y val="-3.9963592337217392E-2"/>
                </c:manualLayout>
              </c:layout>
              <c:tx>
                <c:rich>
                  <a:bodyPr/>
                  <a:lstStyle/>
                  <a:p>
                    <a:r>
                      <a:rPr lang="en-US" b="1"/>
                      <a:t>19,2%</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433800022048286E-2"/>
                  <c:y val="-5.23446019629225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9843457171204937E-2"/>
                  <c:y val="-5.23446019629226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8691390838850467E-2"/>
                  <c:y val="-4.2262427120274088E-2"/>
                </c:manualLayout>
              </c:layout>
              <c:tx>
                <c:rich>
                  <a:bodyPr/>
                  <a:lstStyle/>
                  <a:p>
                    <a:r>
                      <a:rPr lang="en-US" b="1"/>
                      <a:t>19,0%</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8448859695646934E-2"/>
                  <c:y val="-3.4191260443589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5433800022048447E-2"/>
                  <c:y val="-8.28789531079608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9843457171204937E-2"/>
                  <c:y val="-4.79825517993456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milj!$A$6:$A$14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milj!$G$6:$G$15</c:f>
              <c:numCache>
                <c:formatCode>0.0%</c:formatCode>
                <c:ptCount val="10"/>
                <c:pt idx="0">
                  <c:v>3.9788903548364698E-3</c:v>
                </c:pt>
                <c:pt idx="1">
                  <c:v>2.4223928281913113E-2</c:v>
                </c:pt>
                <c:pt idx="2">
                  <c:v>0.1257932910244787</c:v>
                </c:pt>
                <c:pt idx="3">
                  <c:v>0.19180974606878923</c:v>
                </c:pt>
                <c:pt idx="4">
                  <c:v>7.0916660978772778E-2</c:v>
                </c:pt>
                <c:pt idx="5">
                  <c:v>0.11363017058150307</c:v>
                </c:pt>
                <c:pt idx="6">
                  <c:v>0.18991989765741463</c:v>
                </c:pt>
                <c:pt idx="7">
                  <c:v>0.14381667325167918</c:v>
                </c:pt>
                <c:pt idx="8">
                  <c:v>0.11818578281726995</c:v>
                </c:pt>
                <c:pt idx="9">
                  <c:v>0.183</c:v>
                </c:pt>
              </c:numCache>
            </c:numRef>
          </c:val>
          <c:smooth val="0"/>
        </c:ser>
        <c:dLbls>
          <c:showLegendKey val="0"/>
          <c:showVal val="0"/>
          <c:showCatName val="0"/>
          <c:showSerName val="0"/>
          <c:showPercent val="0"/>
          <c:showBubbleSize val="0"/>
        </c:dLbls>
        <c:marker val="1"/>
        <c:smooth val="0"/>
        <c:axId val="224897016"/>
        <c:axId val="353161752"/>
      </c:lineChart>
      <c:catAx>
        <c:axId val="353160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53161360"/>
        <c:crossesAt val="0"/>
        <c:auto val="1"/>
        <c:lblAlgn val="ctr"/>
        <c:lblOffset val="100"/>
        <c:noMultiLvlLbl val="0"/>
      </c:catAx>
      <c:valAx>
        <c:axId val="353161360"/>
        <c:scaling>
          <c:orientation val="minMax"/>
          <c:max val="35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milj. EUR</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numFmt formatCode="[$€-426]\ #\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53160968"/>
        <c:crosses val="autoZero"/>
        <c:crossBetween val="between"/>
      </c:valAx>
      <c:valAx>
        <c:axId val="353161752"/>
        <c:scaling>
          <c:orientation val="minMax"/>
          <c:max val="0.5"/>
          <c:min val="0"/>
        </c:scaling>
        <c:delete val="0"/>
        <c:axPos val="r"/>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ZPI īpatsvars</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4897016"/>
        <c:crosses val="max"/>
        <c:crossBetween val="between"/>
      </c:valAx>
      <c:catAx>
        <c:axId val="224897016"/>
        <c:scaling>
          <c:orientation val="minMax"/>
        </c:scaling>
        <c:delete val="1"/>
        <c:axPos val="b"/>
        <c:numFmt formatCode="General" sourceLinked="1"/>
        <c:majorTickMark val="none"/>
        <c:minorTickMark val="none"/>
        <c:tickLblPos val="none"/>
        <c:crossAx val="35316175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38578205833301"/>
          <c:y val="0.1248778990345505"/>
          <c:w val="0.80912849266925113"/>
          <c:h val="0.76973737931881325"/>
        </c:manualLayout>
      </c:layout>
      <c:pie3DChart>
        <c:varyColors val="1"/>
        <c:ser>
          <c:idx val="0"/>
          <c:order val="0"/>
          <c:dPt>
            <c:idx val="0"/>
            <c:bubble3D val="0"/>
            <c:spPr>
              <a:solidFill>
                <a:schemeClr val="accent6">
                  <a:shade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6">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shade val="8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6">
                  <a:tint val="8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6">
                  <a:tint val="4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2915675148783573"/>
                  <c:y val="0.153950668447145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26546003016591252"/>
                  <c:y val="-0.1468788060950463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23328305681246861"/>
                  <c:y val="-0.2056303285330650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17887112773110719"/>
                  <c:y val="2.125630001771247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4.0401167911932642E-2"/>
                  <c:y val="2.157848689966384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6.696038413258544E-2"/>
                  <c:y val="2.0610920567444225E-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5.6785917092561047E-2"/>
                  <c:y val="2.175868367331274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Pārtikas preces 0,08%</a:t>
                    </a:r>
                    <a:r>
                      <a:rPr lang="en-US" baseline="0">
                        <a:latin typeface="Times New Roman" panose="02020603050405020304" pitchFamily="18" charset="0"/>
                        <a:cs typeface="Times New Roman" panose="02020603050405020304" pitchFamily="18" charset="0"/>
                      </a:rPr>
                      <a:t>
</a:t>
                    </a:r>
                    <a:endParaRPr lang="en-US">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[Visi_Opertime_2018_ZPI.xlsx]PaKatalogiem!$A$18:$A$24</c:f>
              <c:strCache>
                <c:ptCount val="7"/>
                <c:pt idx="0">
                  <c:v>Asmeņserveri un datu glabātuves</c:v>
                </c:pt>
                <c:pt idx="1">
                  <c:v>Datortehnika</c:v>
                </c:pt>
                <c:pt idx="2">
                  <c:v>EKO datortehnika</c:v>
                </c:pt>
                <c:pt idx="3">
                  <c:v>Drukas iekārtas</c:v>
                </c:pt>
                <c:pt idx="4">
                  <c:v>Kancelejas preces un biroja papīrs</c:v>
                </c:pt>
                <c:pt idx="5">
                  <c:v>Saimniecības preces un tīrīšanas līdzekļi </c:v>
                </c:pt>
                <c:pt idx="6">
                  <c:v>Pārtika preces</c:v>
                </c:pt>
              </c:strCache>
            </c:strRef>
          </c:cat>
          <c:val>
            <c:numRef>
              <c:f>[Visi_Opertime_2018_ZPI.xlsx]PaKatalogiem!$B$18:$B$24</c:f>
              <c:numCache>
                <c:formatCode>#,##0</c:formatCode>
                <c:ptCount val="7"/>
                <c:pt idx="0">
                  <c:v>2113831</c:v>
                </c:pt>
                <c:pt idx="1">
                  <c:v>5817495</c:v>
                </c:pt>
                <c:pt idx="2">
                  <c:v>4109197</c:v>
                </c:pt>
                <c:pt idx="3">
                  <c:v>1164680</c:v>
                </c:pt>
                <c:pt idx="4">
                  <c:v>1450190</c:v>
                </c:pt>
                <c:pt idx="5">
                  <c:v>1419965</c:v>
                </c:pt>
                <c:pt idx="6">
                  <c:v>13705</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11270182136324"/>
          <c:y val="4.7229791099000905E-2"/>
          <c:w val="0.78467075913031537"/>
          <c:h val="0.74916489662225461"/>
        </c:manualLayout>
      </c:layout>
      <c:barChart>
        <c:barDir val="col"/>
        <c:grouping val="clustered"/>
        <c:varyColors val="0"/>
        <c:ser>
          <c:idx val="1"/>
          <c:order val="0"/>
          <c:tx>
            <c:strRef>
              <c:f>milj!$C$5</c:f>
              <c:strCache>
                <c:ptCount val="1"/>
                <c:pt idx="0">
                  <c:v> Iepirkumu kopējā līgumcena obligātajās ZPI grupās, milj. EUR, bez PVN</c:v>
                </c:pt>
              </c:strCache>
            </c:strRef>
          </c:tx>
          <c:spPr>
            <a:solidFill>
              <a:schemeClr val="accent3">
                <a:lumMod val="50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prst="angle"/>
            </a:sp3d>
          </c:spPr>
          <c:invertIfNegative val="0"/>
          <c:dLbls>
            <c:dLbl>
              <c:idx val="4"/>
              <c:layout>
                <c:manualLayout>
                  <c:x val="1.3417672992141078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8752156411730873E-2"/>
                  <c:y val="1.89498626486356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milj!$A$6:$A$8</c:f>
              <c:numCache>
                <c:formatCode>General</c:formatCode>
                <c:ptCount val="3"/>
                <c:pt idx="0">
                  <c:v>2016</c:v>
                </c:pt>
                <c:pt idx="1">
                  <c:v>2017</c:v>
                </c:pt>
                <c:pt idx="2">
                  <c:v>2018</c:v>
                </c:pt>
              </c:numCache>
            </c:numRef>
          </c:cat>
          <c:val>
            <c:numRef>
              <c:f>milj!$C$6:$C$8</c:f>
              <c:numCache>
                <c:formatCode>"€"\ #\ ##0</c:formatCode>
                <c:ptCount val="3"/>
                <c:pt idx="0">
                  <c:v>144</c:v>
                </c:pt>
                <c:pt idx="1">
                  <c:v>203</c:v>
                </c:pt>
                <c:pt idx="2">
                  <c:v>179</c:v>
                </c:pt>
              </c:numCache>
            </c:numRef>
          </c:val>
        </c:ser>
        <c:ser>
          <c:idx val="3"/>
          <c:order val="1"/>
          <c:tx>
            <c:strRef>
              <c:f>milj!$E$5</c:f>
              <c:strCache>
                <c:ptCount val="1"/>
                <c:pt idx="0">
                  <c:v>ZPI kopējā līgumcena obligātajās ZPI grupās, milj. EUR, bez PVN</c:v>
                </c:pt>
              </c:strCache>
            </c:strRef>
          </c:tx>
          <c:spPr>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prst="angle"/>
            </a:sp3d>
          </c:spPr>
          <c:invertIfNegative val="0"/>
          <c:dLbls>
            <c:dLbl>
              <c:idx val="1"/>
              <c:layout>
                <c:manualLayout>
                  <c:x val="2.8752156411730873E-2"/>
                  <c:y val="1.51601288610954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334483419589803E-2"/>
                  <c:y val="-3.79003221527382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084914701936051E-2"/>
                  <c:y val="3.790032215273829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251293847038527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251293847038527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41767299214107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milj!$A$6:$A$8</c:f>
              <c:numCache>
                <c:formatCode>General</c:formatCode>
                <c:ptCount val="3"/>
                <c:pt idx="0">
                  <c:v>2016</c:v>
                </c:pt>
                <c:pt idx="1">
                  <c:v>2017</c:v>
                </c:pt>
                <c:pt idx="2">
                  <c:v>2018</c:v>
                </c:pt>
              </c:numCache>
            </c:numRef>
          </c:cat>
          <c:val>
            <c:numRef>
              <c:f>milj!$E$6:$E$8</c:f>
              <c:numCache>
                <c:formatCode>"€"\ #\ ##0</c:formatCode>
                <c:ptCount val="3"/>
                <c:pt idx="0">
                  <c:v>83</c:v>
                </c:pt>
                <c:pt idx="1">
                  <c:v>94</c:v>
                </c:pt>
                <c:pt idx="2">
                  <c:v>133</c:v>
                </c:pt>
              </c:numCache>
            </c:numRef>
          </c:val>
        </c:ser>
        <c:ser>
          <c:idx val="4"/>
          <c:order val="2"/>
          <c:tx>
            <c:strRef>
              <c:f>milj!$F$5</c:f>
              <c:strCache>
                <c:ptCount val="1"/>
                <c:pt idx="0">
                  <c:v>ZPI īpatsvars, %</c:v>
                </c:pt>
              </c:strCache>
            </c:strRef>
          </c:tx>
          <c:spPr>
            <a:gradFill rotWithShape="1">
              <a:gsLst>
                <a:gs pos="0">
                  <a:schemeClr val="accent3">
                    <a:tint val="70000"/>
                    <a:shade val="51000"/>
                    <a:satMod val="130000"/>
                  </a:schemeClr>
                </a:gs>
                <a:gs pos="80000">
                  <a:schemeClr val="accent3">
                    <a:tint val="70000"/>
                    <a:shade val="93000"/>
                    <a:satMod val="130000"/>
                  </a:schemeClr>
                </a:gs>
                <a:gs pos="100000">
                  <a:schemeClr val="accent3">
                    <a:tint val="7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milj!$A$6:$A$8</c:f>
              <c:numCache>
                <c:formatCode>General</c:formatCode>
                <c:ptCount val="3"/>
                <c:pt idx="0">
                  <c:v>2016</c:v>
                </c:pt>
                <c:pt idx="1">
                  <c:v>2017</c:v>
                </c:pt>
                <c:pt idx="2">
                  <c:v>2018</c:v>
                </c:pt>
              </c:numCache>
            </c:numRef>
          </c:cat>
          <c:val>
            <c:numRef>
              <c:f>milj!#REF!</c:f>
              <c:numCache>
                <c:formatCode>General</c:formatCode>
                <c:ptCount val="1"/>
                <c:pt idx="0">
                  <c:v>1</c:v>
                </c:pt>
              </c:numCache>
            </c:numRef>
          </c:val>
        </c:ser>
        <c:dLbls>
          <c:showLegendKey val="0"/>
          <c:showVal val="0"/>
          <c:showCatName val="0"/>
          <c:showSerName val="0"/>
          <c:showPercent val="0"/>
          <c:showBubbleSize val="0"/>
        </c:dLbls>
        <c:gapWidth val="150"/>
        <c:axId val="144665704"/>
        <c:axId val="144663352"/>
      </c:barChart>
      <c:lineChart>
        <c:grouping val="standard"/>
        <c:varyColors val="0"/>
        <c:ser>
          <c:idx val="5"/>
          <c:order val="3"/>
          <c:tx>
            <c:strRef>
              <c:f>milj!$G$5</c:f>
              <c:strCache>
                <c:ptCount val="1"/>
                <c:pt idx="0">
                  <c:v>ZPI īpatsvars, %</c:v>
                </c:pt>
              </c:strCache>
            </c:strRef>
          </c:tx>
          <c:spPr>
            <a:ln w="34925" cap="rnd">
              <a:solidFill>
                <a:schemeClr val="accent3">
                  <a:tint val="50000"/>
                </a:schemeClr>
              </a:solidFill>
              <a:round/>
            </a:ln>
            <a:effectLst>
              <a:glow rad="139700">
                <a:schemeClr val="accent3">
                  <a:satMod val="175000"/>
                  <a:alpha val="40000"/>
                </a:schemeClr>
              </a:glow>
            </a:effectLst>
          </c:spPr>
          <c:marker>
            <c:symbol val="circle"/>
            <c:size val="6"/>
            <c:spPr>
              <a:solidFill>
                <a:srgbClr val="00B050"/>
              </a:solidFill>
              <a:ln w="9525">
                <a:solidFill>
                  <a:schemeClr val="accent3">
                    <a:tint val="50000"/>
                  </a:schemeClr>
                </a:solidFill>
                <a:round/>
              </a:ln>
              <a:effectLst>
                <a:glow rad="139700">
                  <a:schemeClr val="accent3">
                    <a:satMod val="175000"/>
                    <a:alpha val="40000"/>
                  </a:schemeClr>
                </a:glow>
              </a:effectLst>
              <a:scene3d>
                <a:camera prst="orthographicFront">
                  <a:rot lat="0" lon="0" rev="0"/>
                </a:camera>
                <a:lightRig rig="threePt" dir="t">
                  <a:rot lat="0" lon="0" rev="1200000"/>
                </a:lightRig>
              </a:scene3d>
              <a:sp3d>
                <a:bevelT w="63500" h="25400"/>
              </a:sp3d>
            </c:spPr>
          </c:marker>
          <c:dLbls>
            <c:dLbl>
              <c:idx val="1"/>
              <c:layout>
                <c:manualLayout>
                  <c:x val="-2.8752156411730873E-2"/>
                  <c:y val="-4.927041879855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89546351084813E-3"/>
                  <c:y val="-3.9963669391462307E-2"/>
                </c:manualLayout>
              </c:layout>
              <c:tx>
                <c:rich>
                  <a:bodyPr/>
                  <a:lstStyle/>
                  <a:p>
                    <a:r>
                      <a:rPr lang="en-US" b="1"/>
                      <a:t>19,2%</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7.6672417097949077E-3"/>
                  <c:y val="-3.7900322152738301E-2"/>
                </c:manualLayout>
              </c:layout>
              <c:tx>
                <c:rich>
                  <a:bodyPr/>
                  <a:lstStyle/>
                  <a:p>
                    <a:r>
                      <a:rPr lang="en-US" b="1"/>
                      <a:t>19,0%</a:t>
                    </a:r>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1.1834319526627219E-2"/>
                  <c:y val="3.99636693914623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milj!$A$6:$A$7</c:f>
              <c:numCache>
                <c:formatCode>General</c:formatCode>
                <c:ptCount val="2"/>
                <c:pt idx="0">
                  <c:v>2016</c:v>
                </c:pt>
                <c:pt idx="1">
                  <c:v>2017</c:v>
                </c:pt>
              </c:numCache>
            </c:numRef>
          </c:cat>
          <c:val>
            <c:numRef>
              <c:f>milj!$G$6:$G$8</c:f>
              <c:numCache>
                <c:formatCode>0.0%</c:formatCode>
                <c:ptCount val="3"/>
                <c:pt idx="0">
                  <c:v>0.57638888888888884</c:v>
                </c:pt>
                <c:pt idx="1">
                  <c:v>0.46305418719211822</c:v>
                </c:pt>
                <c:pt idx="2">
                  <c:v>0.74301675977653636</c:v>
                </c:pt>
              </c:numCache>
            </c:numRef>
          </c:val>
          <c:smooth val="0"/>
        </c:ser>
        <c:dLbls>
          <c:showLegendKey val="0"/>
          <c:showVal val="0"/>
          <c:showCatName val="0"/>
          <c:showSerName val="0"/>
          <c:showPercent val="0"/>
          <c:showBubbleSize val="0"/>
        </c:dLbls>
        <c:marker val="1"/>
        <c:smooth val="0"/>
        <c:axId val="354247824"/>
        <c:axId val="225002368"/>
      </c:lineChart>
      <c:catAx>
        <c:axId val="144665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crossAx val="144663352"/>
        <c:crossesAt val="0"/>
        <c:auto val="1"/>
        <c:lblAlgn val="ctr"/>
        <c:lblOffset val="100"/>
        <c:noMultiLvlLbl val="0"/>
      </c:catAx>
      <c:valAx>
        <c:axId val="144663352"/>
        <c:scaling>
          <c:orientation val="minMax"/>
          <c:max val="3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rPr>
                  <a:t>milj. EUR</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numFmt formatCode="&quot;€&quot;\ #\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crossAx val="144665704"/>
        <c:crosses val="autoZero"/>
        <c:crossBetween val="between"/>
      </c:valAx>
      <c:valAx>
        <c:axId val="225002368"/>
        <c:scaling>
          <c:orientation val="minMax"/>
          <c:max val="1"/>
          <c:min val="0"/>
        </c:scaling>
        <c:delete val="0"/>
        <c:axPos val="r"/>
        <c:title>
          <c:tx>
            <c:rich>
              <a:bodyPr rot="-54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US">
                    <a:solidFill>
                      <a:schemeClr val="tx1">
                        <a:lumMod val="95000"/>
                        <a:lumOff val="5000"/>
                      </a:schemeClr>
                    </a:solidFill>
                  </a:rPr>
                  <a:t>ZPI īpatsvars</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crossAx val="354247824"/>
        <c:crosses val="max"/>
        <c:crossBetween val="between"/>
      </c:valAx>
      <c:catAx>
        <c:axId val="354247824"/>
        <c:scaling>
          <c:orientation val="minMax"/>
        </c:scaling>
        <c:delete val="1"/>
        <c:axPos val="b"/>
        <c:numFmt formatCode="General" sourceLinked="1"/>
        <c:majorTickMark val="none"/>
        <c:minorTickMark val="none"/>
        <c:tickLblPos val="none"/>
        <c:crossAx val="225002368"/>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legendEntry>
      <c:legendEntry>
        <c:idx val="2"/>
        <c:delete val="1"/>
      </c:legendEntry>
      <c:legendEntry>
        <c:idx val="3"/>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legendEntry>
      <c:layout>
        <c:manualLayout>
          <c:xMode val="edge"/>
          <c:yMode val="edge"/>
          <c:x val="9.0463215258855589E-2"/>
          <c:y val="0.83005545283693993"/>
          <c:w val="0.77839415849585569"/>
          <c:h val="0.1674698019695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milj!$C$5</c:f>
              <c:strCache>
                <c:ptCount val="1"/>
                <c:pt idx="0">
                  <c:v>publisko iepirkumu kopējais skaits  </c:v>
                </c:pt>
              </c:strCache>
            </c:strRef>
          </c:tx>
          <c:spPr>
            <a:solidFill>
              <a:srgbClr val="9BBB59">
                <a:lumMod val="50000"/>
              </a:srgbClr>
            </a:solidFill>
            <a:ln>
              <a:solidFill>
                <a:schemeClr val="accent3">
                  <a:lumMod val="75000"/>
                </a:schemeClr>
              </a:solidFill>
            </a:ln>
            <a:scene3d>
              <a:camera prst="orthographicFront"/>
              <a:lightRig rig="balanced" dir="t">
                <a:rot lat="0" lon="0" rev="8700000"/>
              </a:lightRig>
            </a:scene3d>
            <a:sp3d>
              <a:bevelT w="190500" h="381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milj!$A$6:$A$14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milj!$C$6:$C$14</c:f>
              <c:numCache>
                <c:formatCode>0</c:formatCode>
                <c:ptCount val="9"/>
                <c:pt idx="0">
                  <c:v>12221</c:v>
                </c:pt>
                <c:pt idx="1">
                  <c:v>14001</c:v>
                </c:pt>
                <c:pt idx="2">
                  <c:v>13772</c:v>
                </c:pt>
                <c:pt idx="3">
                  <c:v>13869</c:v>
                </c:pt>
                <c:pt idx="4">
                  <c:v>15092</c:v>
                </c:pt>
                <c:pt idx="5">
                  <c:v>15436</c:v>
                </c:pt>
                <c:pt idx="6">
                  <c:v>15453</c:v>
                </c:pt>
                <c:pt idx="7">
                  <c:v>12327</c:v>
                </c:pt>
                <c:pt idx="8">
                  <c:v>12025</c:v>
                </c:pt>
              </c:numCache>
            </c:numRef>
          </c:val>
        </c:ser>
        <c:ser>
          <c:idx val="3"/>
          <c:order val="1"/>
          <c:tx>
            <c:strRef>
              <c:f>milj!$E$5</c:f>
              <c:strCache>
                <c:ptCount val="1"/>
                <c:pt idx="0">
                  <c:v>ZPI kopējais skaits </c:v>
                </c:pt>
              </c:strCache>
            </c:strRef>
          </c:tx>
          <c:spPr>
            <a:solidFill>
              <a:srgbClr val="9BBB59">
                <a:lumMod val="60000"/>
                <a:lumOff val="40000"/>
              </a:srgbClr>
            </a:solidFill>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milj!$A$6:$A$14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milj!$E$6:$E$14</c:f>
              <c:numCache>
                <c:formatCode>0</c:formatCode>
                <c:ptCount val="9"/>
                <c:pt idx="0">
                  <c:v>478</c:v>
                </c:pt>
                <c:pt idx="1">
                  <c:v>734</c:v>
                </c:pt>
                <c:pt idx="2">
                  <c:v>648</c:v>
                </c:pt>
                <c:pt idx="3">
                  <c:v>547</c:v>
                </c:pt>
                <c:pt idx="4">
                  <c:v>654</c:v>
                </c:pt>
                <c:pt idx="5">
                  <c:v>877</c:v>
                </c:pt>
                <c:pt idx="6">
                  <c:v>913</c:v>
                </c:pt>
                <c:pt idx="7">
                  <c:v>872</c:v>
                </c:pt>
                <c:pt idx="8">
                  <c:v>1370</c:v>
                </c:pt>
              </c:numCache>
            </c:numRef>
          </c:val>
        </c:ser>
        <c:ser>
          <c:idx val="4"/>
          <c:order val="2"/>
          <c:tx>
            <c:strRef>
              <c:f>milj!$F$5</c:f>
              <c:strCache>
                <c:ptCount val="1"/>
                <c:pt idx="0">
                  <c:v>ZPI īpatsvars,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milj!$A$6:$A$14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milj!$F$6:$F$10</c:f>
            </c:numRef>
          </c:val>
        </c:ser>
        <c:dLbls>
          <c:showLegendKey val="0"/>
          <c:showVal val="1"/>
          <c:showCatName val="0"/>
          <c:showSerName val="0"/>
          <c:showPercent val="0"/>
          <c:showBubbleSize val="0"/>
        </c:dLbls>
        <c:gapWidth val="150"/>
        <c:axId val="224898192"/>
        <c:axId val="224897800"/>
      </c:barChart>
      <c:lineChart>
        <c:grouping val="standard"/>
        <c:varyColors val="0"/>
        <c:ser>
          <c:idx val="5"/>
          <c:order val="3"/>
          <c:tx>
            <c:strRef>
              <c:f>milj!$G$5</c:f>
              <c:strCache>
                <c:ptCount val="1"/>
                <c:pt idx="0">
                  <c:v>ZPI īpatsvars, %</c:v>
                </c:pt>
              </c:strCache>
            </c:strRef>
          </c:tx>
          <c:spPr>
            <a:ln w="22225">
              <a:solidFill>
                <a:schemeClr val="accent3">
                  <a:lumMod val="60000"/>
                  <a:lumOff val="40000"/>
                </a:schemeClr>
              </a:solidFill>
            </a:ln>
            <a:effectLst>
              <a:glow rad="139700">
                <a:schemeClr val="accent3">
                  <a:satMod val="175000"/>
                  <a:alpha val="40000"/>
                </a:schemeClr>
              </a:glow>
            </a:effectLst>
          </c:spPr>
          <c:marker>
            <c:spPr>
              <a:solidFill>
                <a:schemeClr val="accent3">
                  <a:lumMod val="60000"/>
                  <a:lumOff val="40000"/>
                </a:schemeClr>
              </a:solidFill>
              <a:ln>
                <a:solidFill>
                  <a:schemeClr val="accent3">
                    <a:lumMod val="60000"/>
                    <a:lumOff val="40000"/>
                  </a:schemeClr>
                </a:solidFill>
              </a:ln>
              <a:effectLst>
                <a:glow rad="139700">
                  <a:schemeClr val="accent3">
                    <a:satMod val="175000"/>
                    <a:alpha val="40000"/>
                  </a:schemeClr>
                </a:glow>
              </a:effectLst>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milj!$A$6:$A$12</c:f>
              <c:numCache>
                <c:formatCode>General</c:formatCode>
                <c:ptCount val="7"/>
                <c:pt idx="0">
                  <c:v>2010</c:v>
                </c:pt>
                <c:pt idx="1">
                  <c:v>2011</c:v>
                </c:pt>
                <c:pt idx="2">
                  <c:v>2012</c:v>
                </c:pt>
                <c:pt idx="3">
                  <c:v>2013</c:v>
                </c:pt>
                <c:pt idx="4">
                  <c:v>2014</c:v>
                </c:pt>
                <c:pt idx="5">
                  <c:v>2015</c:v>
                </c:pt>
                <c:pt idx="6">
                  <c:v>2016</c:v>
                </c:pt>
              </c:numCache>
            </c:numRef>
          </c:cat>
          <c:val>
            <c:numRef>
              <c:f>milj!$G$6:$G$14</c:f>
              <c:numCache>
                <c:formatCode>0.0%</c:formatCode>
                <c:ptCount val="9"/>
                <c:pt idx="0">
                  <c:v>3.911300220931184E-2</c:v>
                </c:pt>
                <c:pt idx="1">
                  <c:v>5.2424826798085848E-2</c:v>
                </c:pt>
                <c:pt idx="2">
                  <c:v>4.7051989544002325E-2</c:v>
                </c:pt>
                <c:pt idx="3">
                  <c:v>3.9440478765592327E-2</c:v>
                </c:pt>
                <c:pt idx="4">
                  <c:v>4.333421680360456E-2</c:v>
                </c:pt>
                <c:pt idx="5">
                  <c:v>5.681523710805908E-2</c:v>
                </c:pt>
                <c:pt idx="6">
                  <c:v>5.9082378826117908E-2</c:v>
                </c:pt>
                <c:pt idx="7">
                  <c:v>7.0739028149590336E-2</c:v>
                </c:pt>
                <c:pt idx="8">
                  <c:v>0.11392931392931394</c:v>
                </c:pt>
              </c:numCache>
            </c:numRef>
          </c:val>
          <c:smooth val="0"/>
        </c:ser>
        <c:dLbls>
          <c:showLegendKey val="0"/>
          <c:showVal val="1"/>
          <c:showCatName val="0"/>
          <c:showSerName val="0"/>
          <c:showPercent val="0"/>
          <c:showBubbleSize val="0"/>
        </c:dLbls>
        <c:marker val="1"/>
        <c:smooth val="0"/>
        <c:axId val="224899368"/>
        <c:axId val="224898976"/>
      </c:lineChart>
      <c:catAx>
        <c:axId val="224898192"/>
        <c:scaling>
          <c:orientation val="minMax"/>
        </c:scaling>
        <c:delete val="0"/>
        <c:axPos val="b"/>
        <c:numFmt formatCode="General" sourceLinked="1"/>
        <c:majorTickMark val="out"/>
        <c:minorTickMark val="none"/>
        <c:tickLblPos val="nextTo"/>
        <c:crossAx val="224897800"/>
        <c:crossesAt val="0"/>
        <c:auto val="1"/>
        <c:lblAlgn val="ctr"/>
        <c:lblOffset val="100"/>
        <c:noMultiLvlLbl val="0"/>
      </c:catAx>
      <c:valAx>
        <c:axId val="224897800"/>
        <c:scaling>
          <c:orientation val="minMax"/>
          <c:min val="0"/>
        </c:scaling>
        <c:delete val="0"/>
        <c:axPos val="l"/>
        <c:majorGridlines/>
        <c:title>
          <c:tx>
            <c:rich>
              <a:bodyPr rot="-5400000" vert="horz"/>
              <a:lstStyle/>
              <a:p>
                <a:pPr>
                  <a:defRPr/>
                </a:pPr>
                <a:r>
                  <a:rPr lang="lv-LV"/>
                  <a:t>S</a:t>
                </a:r>
                <a:r>
                  <a:rPr lang="en-US"/>
                  <a:t>ka</a:t>
                </a:r>
                <a:r>
                  <a:rPr lang="lv-LV"/>
                  <a:t>its</a:t>
                </a:r>
                <a:endParaRPr lang="en-US"/>
              </a:p>
            </c:rich>
          </c:tx>
          <c:layout/>
          <c:overlay val="0"/>
        </c:title>
        <c:numFmt formatCode="0" sourceLinked="1"/>
        <c:majorTickMark val="out"/>
        <c:minorTickMark val="none"/>
        <c:tickLblPos val="nextTo"/>
        <c:crossAx val="224898192"/>
        <c:crosses val="autoZero"/>
        <c:crossBetween val="between"/>
      </c:valAx>
      <c:valAx>
        <c:axId val="224898976"/>
        <c:scaling>
          <c:orientation val="minMax"/>
          <c:max val="0.30000000000000032"/>
          <c:min val="0"/>
        </c:scaling>
        <c:delete val="0"/>
        <c:axPos val="r"/>
        <c:title>
          <c:tx>
            <c:rich>
              <a:bodyPr rot="-5400000" vert="horz"/>
              <a:lstStyle/>
              <a:p>
                <a:pPr>
                  <a:defRPr/>
                </a:pPr>
                <a:r>
                  <a:rPr lang="en-US"/>
                  <a:t>ZPI īpatsvars</a:t>
                </a:r>
              </a:p>
            </c:rich>
          </c:tx>
          <c:layout/>
          <c:overlay val="0"/>
        </c:title>
        <c:numFmt formatCode="0.0%" sourceLinked="1"/>
        <c:majorTickMark val="out"/>
        <c:minorTickMark val="none"/>
        <c:tickLblPos val="nextTo"/>
        <c:crossAx val="224899368"/>
        <c:crosses val="max"/>
        <c:crossBetween val="between"/>
      </c:valAx>
      <c:catAx>
        <c:axId val="224899368"/>
        <c:scaling>
          <c:orientation val="minMax"/>
        </c:scaling>
        <c:delete val="1"/>
        <c:axPos val="b"/>
        <c:numFmt formatCode="General" sourceLinked="1"/>
        <c:majorTickMark val="out"/>
        <c:minorTickMark val="none"/>
        <c:tickLblPos val="none"/>
        <c:crossAx val="224898976"/>
        <c:crosses val="autoZero"/>
        <c:auto val="1"/>
        <c:lblAlgn val="ctr"/>
        <c:lblOffset val="100"/>
        <c:noMultiLvlLbl val="0"/>
      </c:catAx>
    </c:plotArea>
    <c:legend>
      <c:legendPos val="b"/>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00262467191601"/>
          <c:y val="6.4829779489242678E-2"/>
          <c:w val="0.89899737532808388"/>
          <c:h val="0.79166476604217573"/>
        </c:manualLayout>
      </c:layout>
      <c:lineChart>
        <c:grouping val="standard"/>
        <c:varyColors val="0"/>
        <c:ser>
          <c:idx val="0"/>
          <c:order val="0"/>
          <c:tx>
            <c:strRef>
              <c:f>'[Chart in Microsoft Word]Sheet2'!$A$48</c:f>
              <c:strCache>
                <c:ptCount val="1"/>
                <c:pt idx="0">
                  <c:v>Būvdarbi ZPI īpatsvars</c:v>
                </c:pt>
              </c:strCache>
            </c:strRef>
          </c:tx>
          <c:spPr>
            <a:ln w="34925" cap="rnd">
              <a:solidFill>
                <a:schemeClr val="accent6">
                  <a:lumMod val="20000"/>
                  <a:lumOff val="80000"/>
                </a:schemeClr>
              </a:solidFill>
              <a:round/>
            </a:ln>
            <a:effectLst>
              <a:glow rad="63500">
                <a:schemeClr val="accent6">
                  <a:satMod val="175000"/>
                  <a:alpha val="40000"/>
                </a:schemeClr>
              </a:glow>
            </a:effectLst>
          </c:spPr>
          <c:marker>
            <c:symbol val="none"/>
          </c:marker>
          <c:dLbls>
            <c:dLbl>
              <c:idx val="3"/>
              <c:layout>
                <c:manualLayout>
                  <c:x val="-3.5231205855367231E-3"/>
                  <c:y val="-3.0651340996168583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'[Chart in Microsoft Word]Sheet2'!$B$47:$E$47</c:f>
              <c:numCache>
                <c:formatCode>General</c:formatCode>
                <c:ptCount val="4"/>
                <c:pt idx="0">
                  <c:v>2015</c:v>
                </c:pt>
                <c:pt idx="1">
                  <c:v>2016</c:v>
                </c:pt>
                <c:pt idx="2">
                  <c:v>2017</c:v>
                </c:pt>
                <c:pt idx="3">
                  <c:v>2018</c:v>
                </c:pt>
              </c:numCache>
            </c:numRef>
          </c:cat>
          <c:val>
            <c:numRef>
              <c:f>'[Chart in Microsoft Word]Sheet2'!$B$48:$E$48</c:f>
              <c:numCache>
                <c:formatCode>#\ ##0.0</c:formatCode>
                <c:ptCount val="4"/>
                <c:pt idx="0" formatCode="General">
                  <c:v>11.2</c:v>
                </c:pt>
                <c:pt idx="1">
                  <c:v>12.5</c:v>
                </c:pt>
                <c:pt idx="2">
                  <c:v>10.1</c:v>
                </c:pt>
                <c:pt idx="3" formatCode="#,##0.00">
                  <c:v>21.16</c:v>
                </c:pt>
              </c:numCache>
            </c:numRef>
          </c:val>
          <c:smooth val="0"/>
        </c:ser>
        <c:ser>
          <c:idx val="1"/>
          <c:order val="1"/>
          <c:tx>
            <c:strRef>
              <c:f>'[Chart in Microsoft Word]Sheet2'!$A$49</c:f>
              <c:strCache>
                <c:ptCount val="1"/>
                <c:pt idx="0">
                  <c:v>Piegādes ZPI īpatsvars</c:v>
                </c:pt>
              </c:strCache>
            </c:strRef>
          </c:tx>
          <c:spPr>
            <a:ln w="34925" cap="rnd">
              <a:solidFill>
                <a:srgbClr val="92D050"/>
              </a:solidFill>
              <a:round/>
            </a:ln>
            <a:effectLst>
              <a:glow rad="63500">
                <a:schemeClr val="accent6">
                  <a:satMod val="175000"/>
                  <a:alpha val="40000"/>
                </a:schemeClr>
              </a:glow>
            </a:effectLst>
          </c:spPr>
          <c:marker>
            <c:symbol val="none"/>
          </c:marker>
          <c:dLbls>
            <c:dLbl>
              <c:idx val="3"/>
              <c:layout>
                <c:manualLayout>
                  <c:x val="-1.2195207306403773E-2"/>
                  <c:y val="9.1954022988505191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'[Chart in Microsoft Word]Sheet2'!$B$47:$E$47</c:f>
              <c:numCache>
                <c:formatCode>General</c:formatCode>
                <c:ptCount val="4"/>
                <c:pt idx="0">
                  <c:v>2015</c:v>
                </c:pt>
                <c:pt idx="1">
                  <c:v>2016</c:v>
                </c:pt>
                <c:pt idx="2">
                  <c:v>2017</c:v>
                </c:pt>
                <c:pt idx="3">
                  <c:v>2018</c:v>
                </c:pt>
              </c:numCache>
            </c:numRef>
          </c:cat>
          <c:val>
            <c:numRef>
              <c:f>'[Chart in Microsoft Word]Sheet2'!$B$49:$E$49</c:f>
              <c:numCache>
                <c:formatCode>General</c:formatCode>
                <c:ptCount val="4"/>
                <c:pt idx="0" formatCode="0.0">
                  <c:v>14.9</c:v>
                </c:pt>
                <c:pt idx="1">
                  <c:v>10.5</c:v>
                </c:pt>
                <c:pt idx="2">
                  <c:v>19.399999999999999</c:v>
                </c:pt>
                <c:pt idx="3">
                  <c:v>13.44</c:v>
                </c:pt>
              </c:numCache>
            </c:numRef>
          </c:val>
          <c:smooth val="0"/>
        </c:ser>
        <c:ser>
          <c:idx val="2"/>
          <c:order val="2"/>
          <c:tx>
            <c:strRef>
              <c:f>'[Chart in Microsoft Word]Sheet2'!$A$50</c:f>
              <c:strCache>
                <c:ptCount val="1"/>
                <c:pt idx="0">
                  <c:v>Pakalpojumu ZPI īpatsvars</c:v>
                </c:pt>
              </c:strCache>
            </c:strRef>
          </c:tx>
          <c:spPr>
            <a:ln w="34925" cap="rnd">
              <a:solidFill>
                <a:schemeClr val="accent6">
                  <a:lumMod val="50000"/>
                </a:schemeClr>
              </a:solidFill>
              <a:round/>
            </a:ln>
            <a:effectLst>
              <a:glow rad="63500">
                <a:schemeClr val="accent6">
                  <a:satMod val="175000"/>
                  <a:alpha val="40000"/>
                </a:schemeClr>
              </a:glow>
            </a:effectLst>
          </c:spPr>
          <c:marker>
            <c:symbol val="none"/>
          </c:marker>
          <c:dLbls>
            <c:dLbl>
              <c:idx val="3"/>
              <c:layout>
                <c:manualLayout>
                  <c:x val="-7.8591639459701691E-3"/>
                  <c:y val="-6.1302681992337167E-3"/>
                </c:manualLayout>
              </c:layout>
              <c:tx>
                <c:rich>
                  <a:bodyPr/>
                  <a:lstStyle/>
                  <a:p>
                    <a:r>
                      <a:rPr lang="en-US"/>
                      <a:t>18,35</a:t>
                    </a:r>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'[Chart in Microsoft Word]Sheet2'!$B$47:$E$47</c:f>
              <c:numCache>
                <c:formatCode>General</c:formatCode>
                <c:ptCount val="4"/>
                <c:pt idx="0">
                  <c:v>2015</c:v>
                </c:pt>
                <c:pt idx="1">
                  <c:v>2016</c:v>
                </c:pt>
                <c:pt idx="2">
                  <c:v>2017</c:v>
                </c:pt>
                <c:pt idx="3">
                  <c:v>2018</c:v>
                </c:pt>
              </c:numCache>
            </c:numRef>
          </c:cat>
          <c:val>
            <c:numRef>
              <c:f>'[Chart in Microsoft Word]Sheet2'!$B$50:$E$50</c:f>
              <c:numCache>
                <c:formatCode>General</c:formatCode>
                <c:ptCount val="4"/>
                <c:pt idx="0">
                  <c:v>28.1</c:v>
                </c:pt>
                <c:pt idx="1">
                  <c:v>14.1</c:v>
                </c:pt>
                <c:pt idx="2">
                  <c:v>8.4</c:v>
                </c:pt>
                <c:pt idx="3">
                  <c:v>18.347000000000001</c:v>
                </c:pt>
              </c:numCache>
            </c:numRef>
          </c:val>
          <c:smooth val="0"/>
        </c:ser>
        <c:dLbls>
          <c:dLblPos val="ctr"/>
          <c:showLegendKey val="0"/>
          <c:showVal val="1"/>
          <c:showCatName val="0"/>
          <c:showSerName val="0"/>
          <c:showPercent val="0"/>
          <c:showBubbleSize val="0"/>
        </c:dLbls>
        <c:smooth val="0"/>
        <c:axId val="225598608"/>
        <c:axId val="225599392"/>
      </c:lineChart>
      <c:catAx>
        <c:axId val="225598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25599392"/>
        <c:crosses val="autoZero"/>
        <c:auto val="1"/>
        <c:lblAlgn val="ctr"/>
        <c:lblOffset val="100"/>
        <c:noMultiLvlLbl val="0"/>
      </c:catAx>
      <c:valAx>
        <c:axId val="22559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25598608"/>
        <c:crosses val="autoZero"/>
        <c:crossBetween val="between"/>
      </c:valAx>
      <c:spPr>
        <a:noFill/>
        <a:ln>
          <a:noFill/>
        </a:ln>
        <a:effectLst/>
      </c:spPr>
    </c:plotArea>
    <c:legend>
      <c:legendPos val="b"/>
      <c:layout>
        <c:manualLayout>
          <c:xMode val="edge"/>
          <c:yMode val="edge"/>
          <c:x val="0.11663575386410031"/>
          <c:y val="0.92255082793549892"/>
          <c:w val="0.84708731408573923"/>
          <c:h val="7.744918092135035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Times New Roman" panose="02020603050405020304" pitchFamily="18" charset="0"/>
                <a:ea typeface="+mn-ea"/>
                <a:cs typeface="+mn-cs"/>
              </a:defRPr>
            </a:pPr>
            <a:r>
              <a:rPr lang="lv-LV" baseline="0">
                <a:solidFill>
                  <a:schemeClr val="tx1"/>
                </a:solidFill>
                <a:latin typeface="Times New Roman" panose="02020603050405020304" pitchFamily="18" charset="0"/>
              </a:rPr>
              <a:t>  </a:t>
            </a:r>
          </a:p>
        </c:rich>
      </c:tx>
      <c:layout>
        <c:manualLayout>
          <c:xMode val="edge"/>
          <c:yMode val="edge"/>
          <c:x val="3.0809328599982873E-2"/>
          <c:y val="1.4629557156110029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Times New Roman" panose="02020603050405020304" pitchFamily="18" charset="0"/>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131518409948334E-2"/>
          <c:y val="0.14334805710261828"/>
          <c:w val="0.84412298318806278"/>
          <c:h val="0.77806765640363063"/>
        </c:manualLayout>
      </c:layout>
      <c:pie3DChart>
        <c:varyColors val="1"/>
        <c:ser>
          <c:idx val="0"/>
          <c:order val="0"/>
          <c:dPt>
            <c:idx val="0"/>
            <c:bubble3D val="0"/>
            <c:spPr>
              <a:solidFill>
                <a:schemeClr val="accent6">
                  <a:shade val="3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6">
                  <a:shade val="4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shade val="54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6">
                  <a:shade val="6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6">
                  <a:shade val="71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hade val="79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6">
                  <a:shade val="8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6">
                  <a:shade val="9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6">
                  <a:tint val="9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9"/>
            <c:bubble3D val="0"/>
            <c:spPr>
              <a:solidFill>
                <a:schemeClr val="accent6">
                  <a:tint val="8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0"/>
            <c:bubble3D val="0"/>
            <c:spPr>
              <a:solidFill>
                <a:schemeClr val="accent6">
                  <a:tint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1"/>
            <c:bubble3D val="0"/>
            <c:spPr>
              <a:solidFill>
                <a:schemeClr val="accent6">
                  <a:tint val="7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2"/>
            <c:bubble3D val="0"/>
            <c:spPr>
              <a:solidFill>
                <a:schemeClr val="accent6">
                  <a:tint val="6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3"/>
            <c:bubble3D val="0"/>
            <c:spPr>
              <a:solidFill>
                <a:schemeClr val="accent6">
                  <a:tint val="5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4"/>
            <c:bubble3D val="0"/>
            <c:spPr>
              <a:solidFill>
                <a:schemeClr val="accent6">
                  <a:tint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5"/>
            <c:bubble3D val="0"/>
            <c:spPr>
              <a:solidFill>
                <a:schemeClr val="accent6">
                  <a:tint val="39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7621683428185339"/>
                  <c:y val="1.4463658611373064E-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52215015202307635"/>
                      <c:h val="0.15062454077883908"/>
                    </c:manualLayout>
                  </c15:layout>
                </c:ext>
              </c:extLst>
            </c:dLbl>
            <c:dLbl>
              <c:idx val="1"/>
              <c:layout>
                <c:manualLayout>
                  <c:x val="8.0056997825766835E-2"/>
                  <c:y val="6.25524307624662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8315289796696205"/>
                  <c:y val="5.736663060394456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1.6168556099701281E-16"/>
                  <c:y val="-0.1568370715024258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1.8456875183431656E-4"/>
                  <c:y val="0.2402966227421424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57480332285197022"/>
                      <c:h val="0.17743930008748904"/>
                    </c:manualLayout>
                  </c15:layout>
                </c:ext>
              </c:extLst>
            </c:dLbl>
            <c:dLbl>
              <c:idx val="5"/>
              <c:layout>
                <c:manualLayout>
                  <c:x val="0.1659751218103834"/>
                  <c:y val="-0.2765215330583829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5.0471076942153886E-2"/>
                  <c:y val="2.379169067281224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4.485551904437142E-2"/>
                  <c:y val="-3.11174060559503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8"/>
              <c:layout>
                <c:manualLayout>
                  <c:x val="-4.7450256836707692E-3"/>
                  <c:y val="-1.52691397594404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8392228517345183"/>
                      <c:h val="0.11530100013295712"/>
                    </c:manualLayout>
                  </c15:layout>
                </c:ext>
              </c:extLst>
            </c:dLbl>
            <c:dLbl>
              <c:idx val="9"/>
              <c:layout>
                <c:manualLayout>
                  <c:x val="-2.0965794422386427E-3"/>
                  <c:y val="8.797582517304348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10"/>
              <c:layout>
                <c:manualLayout>
                  <c:x val="-0.15157896411979158"/>
                  <c:y val="4.127966976264189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11"/>
              <c:layout>
                <c:manualLayout>
                  <c:x val="-8.4210535622106439E-2"/>
                  <c:y val="-1.444788441692468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9.3550942787782046E-2"/>
                      <c:h val="5.6573787409700725E-2"/>
                    </c:manualLayout>
                  </c15:layout>
                </c:ext>
              </c:extLst>
            </c:dLbl>
            <c:dLbl>
              <c:idx val="12"/>
              <c:layout>
                <c:manualLayout>
                  <c:x val="9.3333343647834632E-2"/>
                  <c:y val="8.651045125383420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3122808467778252"/>
                      <c:h val="8.9977688531905395E-2"/>
                    </c:manualLayout>
                  </c15:layout>
                </c:ext>
              </c:extLst>
            </c:dLbl>
            <c:dLbl>
              <c:idx val="1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dLbl>
            <c:dLbl>
              <c:idx val="14"/>
              <c:layout>
                <c:manualLayout>
                  <c:x val="-5.3333339227334103E-2"/>
                  <c:y val="-3.391343150379295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15"/>
              <c:layout>
                <c:manualLayout>
                  <c:x val="5.7543866008439297E-2"/>
                  <c:y val="6.068719321731370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Sheet2!$A$1:$A$9</c:f>
              <c:strCache>
                <c:ptCount val="9"/>
                <c:pt idx="0">
                  <c:v>Datortehnika un informācijas un komunikācijas tehnoloģiju (IKT) infrastruktūra</c:v>
                </c:pt>
                <c:pt idx="1">
                  <c:v>Pārtikas produkti</c:v>
                </c:pt>
                <c:pt idx="2">
                  <c:v>Ēdināšanas pakalpojumi</c:v>
                </c:pt>
                <c:pt idx="3">
                  <c:v>Tīrīšanas pakalpojumi </c:v>
                </c:pt>
                <c:pt idx="4">
                  <c:v>Inženiertehniskās projektēšana,mēbeles, Medicīnas EEI, Biroja papīrs, tehnika, ieštelpu, ārtelpu apgaismojums, tīrīšans līdzekļi, dārzkopības pakalpojumi</c:v>
                </c:pt>
                <c:pt idx="5">
                  <c:v>Būvdarbi</c:v>
                </c:pt>
                <c:pt idx="6">
                  <c:v>Elektrība</c:v>
                </c:pt>
                <c:pt idx="7">
                  <c:v>Mehāniskie transportlīdzekļi</c:v>
                </c:pt>
                <c:pt idx="8">
                  <c:v>Mežsaimniecība</c:v>
                </c:pt>
              </c:strCache>
            </c:strRef>
          </c:cat>
          <c:val>
            <c:numRef>
              <c:f>Sheet2!$B$1:$B$9</c:f>
              <c:numCache>
                <c:formatCode>#,##0</c:formatCode>
                <c:ptCount val="9"/>
                <c:pt idx="0">
                  <c:v>3443217</c:v>
                </c:pt>
                <c:pt idx="1">
                  <c:v>33459169</c:v>
                </c:pt>
                <c:pt idx="2">
                  <c:v>83188029</c:v>
                </c:pt>
                <c:pt idx="3">
                  <c:v>11023310</c:v>
                </c:pt>
                <c:pt idx="4">
                  <c:v>4532927</c:v>
                </c:pt>
                <c:pt idx="5">
                  <c:v>234055174</c:v>
                </c:pt>
                <c:pt idx="6">
                  <c:v>3428610</c:v>
                </c:pt>
                <c:pt idx="7">
                  <c:v>30399959</c:v>
                </c:pt>
                <c:pt idx="8">
                  <c:v>18261649</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611039255876169E-2"/>
          <c:y val="8.5604831396908401E-2"/>
          <c:w val="0.96548427754595567"/>
          <c:h val="0.75738993960064294"/>
        </c:manualLayout>
      </c:layout>
      <c:barChart>
        <c:barDir val="col"/>
        <c:grouping val="clustered"/>
        <c:varyColors val="0"/>
        <c:ser>
          <c:idx val="0"/>
          <c:order val="0"/>
          <c:tx>
            <c:strRef>
              <c:f>Sheet1!$E$8:$E$9</c:f>
              <c:strCache>
                <c:ptCount val="2"/>
                <c:pt idx="0">
                  <c:v>ZPI īpatsvars</c:v>
                </c:pt>
                <c:pt idx="1">
                  <c:v>2015</c:v>
                </c:pt>
              </c:strCache>
            </c:strRef>
          </c:tx>
          <c:spPr>
            <a:solidFill>
              <a:schemeClr val="accent6">
                <a:shade val="58000"/>
              </a:schemeClr>
            </a:solidFill>
            <a:ln>
              <a:noFill/>
            </a:ln>
            <a:effectLst/>
          </c:spPr>
          <c:invertIfNegative val="0"/>
          <c:cat>
            <c:strRef>
              <c:f>Sheet1!$D$10:$D$25</c:f>
              <c:strCache>
                <c:ptCount val="16"/>
                <c:pt idx="0">
                  <c:v>Biroja papīrs un biroja tehnika</c:v>
                </c:pt>
                <c:pt idx="1">
                  <c:v>Datortehnika, IKT </c:v>
                </c:pt>
                <c:pt idx="2">
                  <c:v>Pārtikas preces</c:v>
                </c:pt>
                <c:pt idx="3">
                  <c:v>Ēdināšanas pakalpojumi</c:v>
                </c:pt>
                <c:pt idx="4">
                  <c:v>Tīrīšanas līdzekļi</c:v>
                </c:pt>
                <c:pt idx="5">
                  <c:v>Tīrīšanas pakalpojumi</c:v>
                </c:pt>
                <c:pt idx="6">
                  <c:v>Iekštelpu apgaismojums</c:v>
                </c:pt>
                <c:pt idx="7">
                  <c:v>Ielu apgaismojums un satiksmes signāli</c:v>
                </c:pt>
                <c:pt idx="8">
                  <c:v>Būvdarbi </c:v>
                </c:pt>
                <c:pt idx="9">
                  <c:v>Dārzkopības pakalpojumi</c:v>
                </c:pt>
                <c:pt idx="10">
                  <c:v>Elektroenerģija</c:v>
                </c:pt>
                <c:pt idx="11">
                  <c:v>Mēbeles</c:v>
                </c:pt>
                <c:pt idx="12">
                  <c:v>Transportlīdzekļi</c:v>
                </c:pt>
                <c:pt idx="13">
                  <c:v>Veselības aprūpes iekārtas</c:v>
                </c:pt>
                <c:pt idx="14">
                  <c:v>Inženiertehniskā projektēšana</c:v>
                </c:pt>
                <c:pt idx="15">
                  <c:v>Mežsaimniecības pakalpojumi</c:v>
                </c:pt>
              </c:strCache>
            </c:strRef>
          </c:cat>
          <c:val>
            <c:numRef>
              <c:f>Sheet1!$E$10:$E$25</c:f>
              <c:numCache>
                <c:formatCode>General</c:formatCode>
                <c:ptCount val="16"/>
                <c:pt idx="0">
                  <c:v>0</c:v>
                </c:pt>
                <c:pt idx="1">
                  <c:v>1.18</c:v>
                </c:pt>
                <c:pt idx="2">
                  <c:v>73.099999999999994</c:v>
                </c:pt>
                <c:pt idx="3">
                  <c:v>77.7</c:v>
                </c:pt>
                <c:pt idx="4">
                  <c:v>3.2</c:v>
                </c:pt>
                <c:pt idx="5">
                  <c:v>25.5</c:v>
                </c:pt>
                <c:pt idx="6">
                  <c:v>4.8600000000000003</c:v>
                </c:pt>
                <c:pt idx="7">
                  <c:v>0</c:v>
                </c:pt>
                <c:pt idx="8">
                  <c:v>11.23</c:v>
                </c:pt>
                <c:pt idx="9">
                  <c:v>0</c:v>
                </c:pt>
                <c:pt idx="10">
                  <c:v>0</c:v>
                </c:pt>
                <c:pt idx="11">
                  <c:v>0</c:v>
                </c:pt>
                <c:pt idx="12">
                  <c:v>78.8</c:v>
                </c:pt>
                <c:pt idx="13">
                  <c:v>0</c:v>
                </c:pt>
                <c:pt idx="14">
                  <c:v>2.0099999999999998</c:v>
                </c:pt>
                <c:pt idx="15">
                  <c:v>37.299999999999997</c:v>
                </c:pt>
              </c:numCache>
            </c:numRef>
          </c:val>
        </c:ser>
        <c:ser>
          <c:idx val="1"/>
          <c:order val="1"/>
          <c:tx>
            <c:strRef>
              <c:f>Sheet1!$F$8:$F$9</c:f>
              <c:strCache>
                <c:ptCount val="2"/>
                <c:pt idx="0">
                  <c:v>ZPI īpatsvars 2016</c:v>
                </c:pt>
              </c:strCache>
            </c:strRef>
          </c:tx>
          <c:spPr>
            <a:solidFill>
              <a:schemeClr val="accent6">
                <a:shade val="86000"/>
              </a:schemeClr>
            </a:solidFill>
            <a:ln>
              <a:noFill/>
            </a:ln>
            <a:effectLst/>
          </c:spPr>
          <c:invertIfNegative val="0"/>
          <c:cat>
            <c:strRef>
              <c:f>Sheet1!$D$10:$D$25</c:f>
              <c:strCache>
                <c:ptCount val="16"/>
                <c:pt idx="0">
                  <c:v>Biroja papīrs un biroja tehnika</c:v>
                </c:pt>
                <c:pt idx="1">
                  <c:v>Datortehnika, IKT </c:v>
                </c:pt>
                <c:pt idx="2">
                  <c:v>Pārtikas preces</c:v>
                </c:pt>
                <c:pt idx="3">
                  <c:v>Ēdināšanas pakalpojumi</c:v>
                </c:pt>
                <c:pt idx="4">
                  <c:v>Tīrīšanas līdzekļi</c:v>
                </c:pt>
                <c:pt idx="5">
                  <c:v>Tīrīšanas pakalpojumi</c:v>
                </c:pt>
                <c:pt idx="6">
                  <c:v>Iekštelpu apgaismojums</c:v>
                </c:pt>
                <c:pt idx="7">
                  <c:v>Ielu apgaismojums un satiksmes signāli</c:v>
                </c:pt>
                <c:pt idx="8">
                  <c:v>Būvdarbi </c:v>
                </c:pt>
                <c:pt idx="9">
                  <c:v>Dārzkopības pakalpojumi</c:v>
                </c:pt>
                <c:pt idx="10">
                  <c:v>Elektroenerģija</c:v>
                </c:pt>
                <c:pt idx="11">
                  <c:v>Mēbeles</c:v>
                </c:pt>
                <c:pt idx="12">
                  <c:v>Transportlīdzekļi</c:v>
                </c:pt>
                <c:pt idx="13">
                  <c:v>Veselības aprūpes iekārtas</c:v>
                </c:pt>
                <c:pt idx="14">
                  <c:v>Inženiertehniskā projektēšana</c:v>
                </c:pt>
                <c:pt idx="15">
                  <c:v>Mežsaimniecības pakalpojumi</c:v>
                </c:pt>
              </c:strCache>
            </c:strRef>
          </c:cat>
          <c:val>
            <c:numRef>
              <c:f>Sheet1!$F$10:$F$25</c:f>
              <c:numCache>
                <c:formatCode>General</c:formatCode>
                <c:ptCount val="16"/>
                <c:pt idx="0">
                  <c:v>0.09</c:v>
                </c:pt>
                <c:pt idx="1">
                  <c:v>0.4</c:v>
                </c:pt>
                <c:pt idx="2">
                  <c:v>85</c:v>
                </c:pt>
                <c:pt idx="3">
                  <c:v>86</c:v>
                </c:pt>
                <c:pt idx="4">
                  <c:v>48</c:v>
                </c:pt>
                <c:pt idx="5">
                  <c:v>1</c:v>
                </c:pt>
                <c:pt idx="6">
                  <c:v>1</c:v>
                </c:pt>
                <c:pt idx="7">
                  <c:v>3</c:v>
                </c:pt>
                <c:pt idx="8">
                  <c:v>13</c:v>
                </c:pt>
                <c:pt idx="9">
                  <c:v>4</c:v>
                </c:pt>
                <c:pt idx="10">
                  <c:v>3</c:v>
                </c:pt>
                <c:pt idx="11">
                  <c:v>7.0000000000000007E-2</c:v>
                </c:pt>
                <c:pt idx="12">
                  <c:v>72</c:v>
                </c:pt>
                <c:pt idx="13">
                  <c:v>0.1</c:v>
                </c:pt>
                <c:pt idx="14">
                  <c:v>29</c:v>
                </c:pt>
                <c:pt idx="15">
                  <c:v>50</c:v>
                </c:pt>
              </c:numCache>
            </c:numRef>
          </c:val>
        </c:ser>
        <c:ser>
          <c:idx val="2"/>
          <c:order val="2"/>
          <c:tx>
            <c:strRef>
              <c:f>Sheet1!$G$8:$G$9</c:f>
              <c:strCache>
                <c:ptCount val="2"/>
                <c:pt idx="0">
                  <c:v>ZPI īpatsvars</c:v>
                </c:pt>
                <c:pt idx="1">
                  <c:v>2017</c:v>
                </c:pt>
              </c:strCache>
            </c:strRef>
          </c:tx>
          <c:spPr>
            <a:solidFill>
              <a:schemeClr val="accent6">
                <a:tint val="86000"/>
              </a:schemeClr>
            </a:solidFill>
            <a:ln>
              <a:noFill/>
            </a:ln>
            <a:effectLst/>
          </c:spPr>
          <c:invertIfNegative val="0"/>
          <c:cat>
            <c:strRef>
              <c:f>Sheet1!$D$10:$D$25</c:f>
              <c:strCache>
                <c:ptCount val="16"/>
                <c:pt idx="0">
                  <c:v>Biroja papīrs un biroja tehnika</c:v>
                </c:pt>
                <c:pt idx="1">
                  <c:v>Datortehnika, IKT </c:v>
                </c:pt>
                <c:pt idx="2">
                  <c:v>Pārtikas preces</c:v>
                </c:pt>
                <c:pt idx="3">
                  <c:v>Ēdināšanas pakalpojumi</c:v>
                </c:pt>
                <c:pt idx="4">
                  <c:v>Tīrīšanas līdzekļi</c:v>
                </c:pt>
                <c:pt idx="5">
                  <c:v>Tīrīšanas pakalpojumi</c:v>
                </c:pt>
                <c:pt idx="6">
                  <c:v>Iekštelpu apgaismojums</c:v>
                </c:pt>
                <c:pt idx="7">
                  <c:v>Ielu apgaismojums un satiksmes signāli</c:v>
                </c:pt>
                <c:pt idx="8">
                  <c:v>Būvdarbi </c:v>
                </c:pt>
                <c:pt idx="9">
                  <c:v>Dārzkopības pakalpojumi</c:v>
                </c:pt>
                <c:pt idx="10">
                  <c:v>Elektroenerģija</c:v>
                </c:pt>
                <c:pt idx="11">
                  <c:v>Mēbeles</c:v>
                </c:pt>
                <c:pt idx="12">
                  <c:v>Transportlīdzekļi</c:v>
                </c:pt>
                <c:pt idx="13">
                  <c:v>Veselības aprūpes iekārtas</c:v>
                </c:pt>
                <c:pt idx="14">
                  <c:v>Inženiertehniskā projektēšana</c:v>
                </c:pt>
                <c:pt idx="15">
                  <c:v>Mežsaimniecības pakalpojumi</c:v>
                </c:pt>
              </c:strCache>
            </c:strRef>
          </c:cat>
          <c:val>
            <c:numRef>
              <c:f>Sheet1!$G$10:$G$25</c:f>
              <c:numCache>
                <c:formatCode>General</c:formatCode>
                <c:ptCount val="16"/>
                <c:pt idx="0">
                  <c:v>20</c:v>
                </c:pt>
                <c:pt idx="1">
                  <c:v>57</c:v>
                </c:pt>
                <c:pt idx="2">
                  <c:v>54</c:v>
                </c:pt>
                <c:pt idx="3">
                  <c:v>79</c:v>
                </c:pt>
                <c:pt idx="4">
                  <c:v>3</c:v>
                </c:pt>
                <c:pt idx="5">
                  <c:v>20</c:v>
                </c:pt>
                <c:pt idx="6">
                  <c:v>2</c:v>
                </c:pt>
                <c:pt idx="7">
                  <c:v>13</c:v>
                </c:pt>
                <c:pt idx="8">
                  <c:v>10</c:v>
                </c:pt>
                <c:pt idx="9">
                  <c:v>26</c:v>
                </c:pt>
                <c:pt idx="10">
                  <c:v>4</c:v>
                </c:pt>
                <c:pt idx="11">
                  <c:v>1</c:v>
                </c:pt>
                <c:pt idx="12">
                  <c:v>89</c:v>
                </c:pt>
                <c:pt idx="13">
                  <c:v>0.05</c:v>
                </c:pt>
                <c:pt idx="14">
                  <c:v>6</c:v>
                </c:pt>
                <c:pt idx="15">
                  <c:v>74</c:v>
                </c:pt>
              </c:numCache>
            </c:numRef>
          </c:val>
        </c:ser>
        <c:ser>
          <c:idx val="3"/>
          <c:order val="3"/>
          <c:tx>
            <c:strRef>
              <c:f>Sheet1!$H$8:$H$9</c:f>
              <c:strCache>
                <c:ptCount val="2"/>
                <c:pt idx="0">
                  <c:v>ZPI īpatsvars</c:v>
                </c:pt>
                <c:pt idx="1">
                  <c:v>2018</c:v>
                </c:pt>
              </c:strCache>
            </c:strRef>
          </c:tx>
          <c:spPr>
            <a:solidFill>
              <a:schemeClr val="accent6">
                <a:tint val="58000"/>
              </a:schemeClr>
            </a:solidFill>
            <a:ln>
              <a:noFill/>
            </a:ln>
            <a:effectLst/>
          </c:spPr>
          <c:invertIfNegative val="0"/>
          <c:cat>
            <c:strRef>
              <c:f>Sheet1!$D$10:$D$25</c:f>
              <c:strCache>
                <c:ptCount val="16"/>
                <c:pt idx="0">
                  <c:v>Biroja papīrs un biroja tehnika</c:v>
                </c:pt>
                <c:pt idx="1">
                  <c:v>Datortehnika, IKT </c:v>
                </c:pt>
                <c:pt idx="2">
                  <c:v>Pārtikas preces</c:v>
                </c:pt>
                <c:pt idx="3">
                  <c:v>Ēdināšanas pakalpojumi</c:v>
                </c:pt>
                <c:pt idx="4">
                  <c:v>Tīrīšanas līdzekļi</c:v>
                </c:pt>
                <c:pt idx="5">
                  <c:v>Tīrīšanas pakalpojumi</c:v>
                </c:pt>
                <c:pt idx="6">
                  <c:v>Iekštelpu apgaismojums</c:v>
                </c:pt>
                <c:pt idx="7">
                  <c:v>Ielu apgaismojums un satiksmes signāli</c:v>
                </c:pt>
                <c:pt idx="8">
                  <c:v>Būvdarbi </c:v>
                </c:pt>
                <c:pt idx="9">
                  <c:v>Dārzkopības pakalpojumi</c:v>
                </c:pt>
                <c:pt idx="10">
                  <c:v>Elektroenerģija</c:v>
                </c:pt>
                <c:pt idx="11">
                  <c:v>Mēbeles</c:v>
                </c:pt>
                <c:pt idx="12">
                  <c:v>Transportlīdzekļi</c:v>
                </c:pt>
                <c:pt idx="13">
                  <c:v>Veselības aprūpes iekārtas</c:v>
                </c:pt>
                <c:pt idx="14">
                  <c:v>Inženiertehniskā projektēšana</c:v>
                </c:pt>
                <c:pt idx="15">
                  <c:v>Mežsaimniecības pakalpojumi</c:v>
                </c:pt>
              </c:strCache>
            </c:strRef>
          </c:cat>
          <c:val>
            <c:numRef>
              <c:f>Sheet1!$H$10:$H$25</c:f>
              <c:numCache>
                <c:formatCode>General</c:formatCode>
                <c:ptCount val="16"/>
                <c:pt idx="0">
                  <c:v>1</c:v>
                </c:pt>
                <c:pt idx="1">
                  <c:v>52</c:v>
                </c:pt>
                <c:pt idx="2">
                  <c:v>89</c:v>
                </c:pt>
                <c:pt idx="3">
                  <c:v>99</c:v>
                </c:pt>
                <c:pt idx="4">
                  <c:v>24</c:v>
                </c:pt>
                <c:pt idx="5">
                  <c:v>47</c:v>
                </c:pt>
                <c:pt idx="6">
                  <c:v>7</c:v>
                </c:pt>
                <c:pt idx="7">
                  <c:v>66</c:v>
                </c:pt>
                <c:pt idx="8">
                  <c:v>21</c:v>
                </c:pt>
                <c:pt idx="9">
                  <c:v>13</c:v>
                </c:pt>
                <c:pt idx="10">
                  <c:v>8</c:v>
                </c:pt>
                <c:pt idx="11">
                  <c:v>9</c:v>
                </c:pt>
                <c:pt idx="12">
                  <c:v>81</c:v>
                </c:pt>
                <c:pt idx="13">
                  <c:v>0</c:v>
                </c:pt>
                <c:pt idx="14">
                  <c:v>4</c:v>
                </c:pt>
                <c:pt idx="15">
                  <c:v>77</c:v>
                </c:pt>
              </c:numCache>
            </c:numRef>
          </c:val>
        </c:ser>
        <c:dLbls>
          <c:showLegendKey val="0"/>
          <c:showVal val="0"/>
          <c:showCatName val="0"/>
          <c:showSerName val="0"/>
          <c:showPercent val="0"/>
          <c:showBubbleSize val="0"/>
        </c:dLbls>
        <c:gapWidth val="182"/>
        <c:axId val="143672832"/>
        <c:axId val="143672048"/>
      </c:barChart>
      <c:catAx>
        <c:axId val="14367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43672048"/>
        <c:crosses val="autoZero"/>
        <c:auto val="1"/>
        <c:lblAlgn val="ctr"/>
        <c:lblOffset val="100"/>
        <c:noMultiLvlLbl val="0"/>
      </c:catAx>
      <c:valAx>
        <c:axId val="14367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43672832"/>
        <c:crosses val="autoZero"/>
        <c:crossBetween val="between"/>
      </c:valAx>
      <c:spPr>
        <a:noFill/>
        <a:ln>
          <a:noFill/>
        </a:ln>
        <a:effectLst/>
      </c:spPr>
    </c:plotArea>
    <c:legend>
      <c:legendPos val="b"/>
      <c:layout>
        <c:manualLayout>
          <c:xMode val="edge"/>
          <c:yMode val="edge"/>
          <c:x val="0.10071101381316423"/>
          <c:y val="0.92467071387068978"/>
          <c:w val="0.8977950846211471"/>
          <c:h val="7.532936602285282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21959259358791755"/>
                  <c:y val="3.4252463725053237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524D33AB-F8D2-4206-8138-4A29AB7B1EB4}" type="CATEGORYNAME">
                      <a:rPr lang="en-US"/>
                      <a:pPr>
                        <a:defRPr>
                          <a:solidFill>
                            <a:schemeClr val="tx1"/>
                          </a:solidFill>
                          <a:latin typeface="Times New Roman" panose="02020603050405020304" pitchFamily="18" charset="0"/>
                          <a:cs typeface="Times New Roman" panose="02020603050405020304" pitchFamily="18" charset="0"/>
                        </a:defRPr>
                      </a:pPr>
                      <a:t>[CATEGORY NAME]</a:t>
                    </a:fld>
                    <a:r>
                      <a:rPr lang="en-US"/>
                      <a:t> 77 milj</a:t>
                    </a:r>
                    <a:r>
                      <a:rPr lang="en-US" baseline="0"/>
                      <a:t>
</a:t>
                    </a:r>
                    <a:fld id="{D954A4A8-7147-46E7-893D-CE218F3411B6}" type="PERCENTAGE">
                      <a:rPr lang="en-US" baseline="0"/>
                      <a:pPr>
                        <a:defRPr>
                          <a:solidFill>
                            <a:schemeClr val="tx1"/>
                          </a:solidFill>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37987148158204365"/>
                      <c:h val="0.19656092988376453"/>
                    </c:manualLayout>
                  </c15:layout>
                  <c15:dlblFieldTable/>
                  <c15:showDataLabelsRange val="0"/>
                </c:ext>
              </c:extLst>
            </c:dLbl>
            <c:dLbl>
              <c:idx val="1"/>
              <c:layout>
                <c:manualLayout>
                  <c:x val="-9.3103448275862172E-2"/>
                  <c:y val="6.0847394075740427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AEE5DB03-CBAF-4FA8-A3C3-9432E5DE37F9}" type="CATEGORYNAME">
                      <a:rPr lang="en-US"/>
                      <a:pPr>
                        <a:defRPr>
                          <a:solidFill>
                            <a:schemeClr val="tx1"/>
                          </a:solidFill>
                          <a:latin typeface="Times New Roman" panose="02020603050405020304" pitchFamily="18" charset="0"/>
                          <a:cs typeface="Times New Roman" panose="02020603050405020304" pitchFamily="18" charset="0"/>
                        </a:defRPr>
                      </a:pPr>
                      <a:t>[CATEGORY NAME]</a:t>
                    </a:fld>
                    <a:r>
                      <a:rPr lang="en-US"/>
                      <a:t> 431 milj</a:t>
                    </a:r>
                    <a:r>
                      <a:rPr lang="en-US" baseline="0"/>
                      <a:t>
</a:t>
                    </a:r>
                    <a:fld id="{E6794FDE-C3FB-4599-AC8E-164BBE3BFA50}" type="PERCENTAGE">
                      <a:rPr lang="en-US" baseline="0"/>
                      <a:pPr>
                        <a:defRPr>
                          <a:solidFill>
                            <a:schemeClr val="tx1"/>
                          </a:solidFill>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1530649832564033"/>
                  <c:y val="-0.3817462817147856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2A0F0B0B-807D-4959-B552-18055E1B6BD9}" type="CATEGORYNAME">
                      <a:rPr lang="en-US"/>
                      <a:pPr>
                        <a:defRPr>
                          <a:solidFill>
                            <a:schemeClr val="tx1"/>
                          </a:solidFill>
                          <a:latin typeface="Times New Roman" panose="02020603050405020304" pitchFamily="18" charset="0"/>
                          <a:cs typeface="Times New Roman" panose="02020603050405020304" pitchFamily="18" charset="0"/>
                        </a:defRPr>
                      </a:pPr>
                      <a:t>[CATEGORY NAME]</a:t>
                    </a:fld>
                    <a:r>
                      <a:rPr lang="en-US"/>
                      <a:t> 2977 milj</a:t>
                    </a:r>
                    <a:r>
                      <a:rPr lang="en-US" baseline="0"/>
                      <a:t>
</a:t>
                    </a:r>
                    <a:fld id="{00A0B639-0B0D-4159-A056-DEE50E01D464}" type="PERCENTAGE">
                      <a:rPr lang="en-US" baseline="0"/>
                      <a:pPr>
                        <a:defRPr>
                          <a:solidFill>
                            <a:schemeClr val="tx1"/>
                          </a:solidFill>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in Microsoft Word]Sheet1'!$A$11:$A$13</c:f>
              <c:strCache>
                <c:ptCount val="3"/>
                <c:pt idx="0">
                  <c:v>EIS</c:v>
                </c:pt>
                <c:pt idx="1">
                  <c:v>SPSIL</c:v>
                </c:pt>
                <c:pt idx="2">
                  <c:v>PIL</c:v>
                </c:pt>
              </c:strCache>
            </c:strRef>
          </c:cat>
          <c:val>
            <c:numRef>
              <c:f>'[Chart in Microsoft Word]Sheet1'!$B$11:$B$13</c:f>
              <c:numCache>
                <c:formatCode>General</c:formatCode>
                <c:ptCount val="3"/>
                <c:pt idx="0">
                  <c:v>77</c:v>
                </c:pt>
                <c:pt idx="1">
                  <c:v>431</c:v>
                </c:pt>
                <c:pt idx="2" formatCode="#,##0">
                  <c:v>2977</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34278215223097E-2"/>
          <c:y val="0.13004614149258739"/>
          <c:w val="0.93888888888888888"/>
          <c:h val="0.6714577865266842"/>
        </c:manualLayout>
      </c:layout>
      <c:pie3DChart>
        <c:varyColors val="1"/>
        <c:ser>
          <c:idx val="0"/>
          <c:order val="0"/>
          <c:dPt>
            <c:idx val="0"/>
            <c:bubble3D val="0"/>
            <c:spPr>
              <a:solidFill>
                <a:srgbClr val="9BBB59">
                  <a:lumMod val="60000"/>
                  <a:lumOff val="40000"/>
                </a:srgb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rgbClr val="5B864A"/>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28814194225721784"/>
                  <c:y val="2.3969606538908662E-7"/>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EIS 57 milj </a:t>
                    </a:r>
                    <a:fld id="{25D5BC84-A6D8-4560-9D1D-1DCF9471008A}" type="PERCENTAGE">
                      <a:rPr lang="en-US" baseline="0"/>
                      <a:pPr>
                        <a:defRPr>
                          <a:solidFill>
                            <a:schemeClr val="tx1"/>
                          </a:solidFill>
                          <a:latin typeface="Times New Roman" panose="02020603050405020304" pitchFamily="18" charset="0"/>
                          <a:cs typeface="Times New Roman" panose="02020603050405020304" pitchFamily="18" charset="0"/>
                        </a:defRPr>
                      </a:pPr>
                      <a:t>[PERCENTAGE]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33259590551181101"/>
                      <c:h val="0.22929661189611569"/>
                    </c:manualLayout>
                  </c15:layout>
                  <c15:dlblFieldTable/>
                  <c15:showDataLabelsRange val="0"/>
                </c:ext>
              </c:extLst>
            </c:dLbl>
            <c:dLbl>
              <c:idx val="1"/>
              <c:layout>
                <c:manualLayout>
                  <c:x val="-5.0258477690288843E-2"/>
                  <c:y val="-2.4278814463260585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SPSIL </a:t>
                    </a:r>
                  </a:p>
                  <a:p>
                    <a:pPr>
                      <a:defRPr>
                        <a:solidFill>
                          <a:schemeClr val="tx1"/>
                        </a:solidFill>
                        <a:latin typeface="Times New Roman" panose="02020603050405020304" pitchFamily="18" charset="0"/>
                        <a:cs typeface="Times New Roman" panose="02020603050405020304" pitchFamily="18" charset="0"/>
                      </a:defRPr>
                    </a:pPr>
                    <a:r>
                      <a:rPr lang="en-US"/>
                      <a:t>238 milj</a:t>
                    </a:r>
                    <a:r>
                      <a:rPr lang="en-US" baseline="0"/>
                      <a:t>
</a:t>
                    </a:r>
                    <a:fld id="{67A5505B-5D51-4465-85BA-917F38978307}" type="PERCENTAGE">
                      <a:rPr lang="en-US" baseline="0"/>
                      <a:pPr>
                        <a:defRPr>
                          <a:solidFill>
                            <a:schemeClr val="tx1"/>
                          </a:solidFill>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7704944881889759"/>
                      <c:h val="0.24961948249619481"/>
                    </c:manualLayout>
                  </c15:layout>
                  <c15:dlblFieldTable/>
                  <c15:showDataLabelsRange val="0"/>
                </c:ext>
              </c:extLst>
            </c:dLbl>
            <c:dLbl>
              <c:idx val="2"/>
              <c:layout>
                <c:manualLayout>
                  <c:x val="0.22405539733065283"/>
                  <c:y val="-0.4202092546650847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PIL 2297 milj</a:t>
                    </a:r>
                    <a:r>
                      <a:rPr lang="en-US" baseline="0"/>
                      <a:t>
</a:t>
                    </a:r>
                    <a:fld id="{E833AAD3-0622-4D71-9A07-AD4F20856DF8}" type="PERCENTAGE">
                      <a:rPr lang="en-US" baseline="0"/>
                      <a:pPr>
                        <a:defRPr>
                          <a:solidFill>
                            <a:schemeClr val="tx1"/>
                          </a:solidFill>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Sheet1!$A$11:$A$13</c:f>
              <c:strCache>
                <c:ptCount val="3"/>
                <c:pt idx="0">
                  <c:v>EIS</c:v>
                </c:pt>
                <c:pt idx="1">
                  <c:v>SPSIL</c:v>
                </c:pt>
                <c:pt idx="2">
                  <c:v>PIL</c:v>
                </c:pt>
              </c:strCache>
            </c:strRef>
          </c:cat>
          <c:val>
            <c:numRef>
              <c:f>Sheet1!$B$11:$B$13</c:f>
              <c:numCache>
                <c:formatCode>General</c:formatCode>
                <c:ptCount val="3"/>
                <c:pt idx="0">
                  <c:v>77</c:v>
                </c:pt>
                <c:pt idx="1">
                  <c:v>431</c:v>
                </c:pt>
                <c:pt idx="2" formatCode="#,##0">
                  <c:v>2977</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5.2777777777777778E-2"/>
                  <c:y val="4.6296296296296294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A72BA09F-679E-4589-BE76-EAE3C419EB93}" type="CATEGORYNAME">
                      <a:rPr lang="en-US"/>
                      <a:pPr>
                        <a:defRPr>
                          <a:solidFill>
                            <a:schemeClr val="tx1"/>
                          </a:solidFill>
                          <a:latin typeface="Times New Roman" panose="02020603050405020304" pitchFamily="18" charset="0"/>
                          <a:cs typeface="Times New Roman" panose="02020603050405020304" pitchFamily="18" charset="0"/>
                        </a:defRPr>
                      </a:pPr>
                      <a:t>[CATEGORY NAME]</a:t>
                    </a:fld>
                    <a:r>
                      <a:rPr lang="en-US" baseline="0"/>
                      <a:t>
 16 milj </a:t>
                    </a:r>
                    <a:fld id="{87DBC8BD-2CAA-470A-A6AC-51F80B5DD96E}" type="PERCENTAGE">
                      <a:rPr lang="en-US" baseline="0"/>
                      <a:pPr>
                        <a:defRPr>
                          <a:solidFill>
                            <a:schemeClr val="tx1"/>
                          </a:solidFill>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0.14166666666666677"/>
                  <c:y val="9.259259259259258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2EC4A18E-75D6-42D4-BCE5-D7DFDC7D68EA}" type="CATEGORYNAME">
                      <a:rPr lang="en-US"/>
                      <a:pPr>
                        <a:defRPr>
                          <a:solidFill>
                            <a:schemeClr val="tx1"/>
                          </a:solidFill>
                          <a:latin typeface="Times New Roman" panose="02020603050405020304" pitchFamily="18" charset="0"/>
                          <a:cs typeface="Times New Roman" panose="02020603050405020304" pitchFamily="18" charset="0"/>
                        </a:defRPr>
                      </a:pPr>
                      <a:t>[CATEGORY NAME]</a:t>
                    </a:fld>
                    <a:r>
                      <a:rPr lang="en-US" baseline="0"/>
                      <a:t>
107 milj </a:t>
                    </a:r>
                    <a:fld id="{32A6C059-E401-4903-B847-CD126534D8CF}" type="PERCENTAGE">
                      <a:rPr lang="en-US" baseline="0"/>
                      <a:pPr>
                        <a:defRPr>
                          <a:solidFill>
                            <a:schemeClr val="tx1"/>
                          </a:solidFill>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19166666666666668"/>
                  <c:y val="-0.3240740740740741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fld id="{5DBDD5A5-025F-495C-A549-4CD1F236AF26}" type="CATEGORYNAME">
                      <a:rPr lang="en-US"/>
                      <a:pPr>
                        <a:defRPr>
                          <a:solidFill>
                            <a:schemeClr val="tx1"/>
                          </a:solidFill>
                          <a:latin typeface="Times New Roman" panose="02020603050405020304" pitchFamily="18" charset="0"/>
                          <a:cs typeface="Times New Roman" panose="02020603050405020304" pitchFamily="18" charset="0"/>
                        </a:defRPr>
                      </a:pPr>
                      <a:t>[CATEGORY NAME]</a:t>
                    </a:fld>
                    <a:r>
                      <a:rPr lang="en-US"/>
                      <a:t> 544 milj</a:t>
                    </a:r>
                    <a:r>
                      <a:rPr lang="en-US" baseline="0"/>
                      <a:t>
</a:t>
                    </a:r>
                    <a:fld id="{6FA83397-F5B6-4886-996A-0F67C22C6835}" type="PERCENTAGE">
                      <a:rPr lang="en-US" baseline="0"/>
                      <a:pPr>
                        <a:defRPr>
                          <a:solidFill>
                            <a:schemeClr val="tx1"/>
                          </a:solidFill>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2 in Microsoft Word]Sheet1'!$A$11:$A$13</c:f>
              <c:strCache>
                <c:ptCount val="3"/>
                <c:pt idx="0">
                  <c:v>EIS</c:v>
                </c:pt>
                <c:pt idx="1">
                  <c:v>SPSIL</c:v>
                </c:pt>
                <c:pt idx="2">
                  <c:v>PIL</c:v>
                </c:pt>
              </c:strCache>
            </c:strRef>
          </c:cat>
          <c:val>
            <c:numRef>
              <c:f>'[Chart 2 in Microsoft Word]Sheet1'!$B$11:$B$13</c:f>
              <c:numCache>
                <c:formatCode>General</c:formatCode>
                <c:ptCount val="3"/>
                <c:pt idx="0">
                  <c:v>16</c:v>
                </c:pt>
                <c:pt idx="1">
                  <c:v>107</c:v>
                </c:pt>
                <c:pt idx="2">
                  <c:v>544</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371206698336262"/>
          <c:y val="0.10894852097426277"/>
          <c:w val="0.81439404785145664"/>
          <c:h val="0.78984439408785923"/>
        </c:manualLayout>
      </c:layout>
      <c:pie3DChart>
        <c:varyColors val="1"/>
        <c:ser>
          <c:idx val="0"/>
          <c:order val="0"/>
          <c:dPt>
            <c:idx val="0"/>
            <c:bubble3D val="0"/>
            <c:spPr>
              <a:solidFill>
                <a:schemeClr val="accent6">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6">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7.5000000000000108E-2"/>
                  <c:y val="0.111111111111111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2.5000000000000001E-2"/>
                  <c:y val="-0.393518518518518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Sheet1!$A$11:$A$12</c:f>
              <c:strCache>
                <c:ptCount val="2"/>
                <c:pt idx="0">
                  <c:v>EIS ZPI</c:v>
                </c:pt>
                <c:pt idx="1">
                  <c:v>EIS kopā</c:v>
                </c:pt>
              </c:strCache>
            </c:strRef>
          </c:cat>
          <c:val>
            <c:numRef>
              <c:f>Sheet1!$B$11:$B$12</c:f>
              <c:numCache>
                <c:formatCode>General</c:formatCode>
                <c:ptCount val="2"/>
                <c:pt idx="0">
                  <c:v>16</c:v>
                </c:pt>
                <c:pt idx="1">
                  <c:v>77</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withinLinear" id="19">
  <a:schemeClr val="accent6"/>
</cs:colorStyle>
</file>

<file path=word/charts/colors6.xml><?xml version="1.0" encoding="utf-8"?>
<cs:colorStyle xmlns:cs="http://schemas.microsoft.com/office/drawing/2012/chartStyle" xmlns:a="http://schemas.openxmlformats.org/drawingml/2006/main" meth="withinLinear" id="19">
  <a:schemeClr val="accent6"/>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colors8.xml><?xml version="1.0" encoding="utf-8"?>
<cs:colorStyle xmlns:cs="http://schemas.microsoft.com/office/drawing/2012/chartStyle" xmlns:a="http://schemas.openxmlformats.org/drawingml/2006/main" meth="withinLinear" id="19">
  <a:schemeClr val="accent6"/>
</cs:colorStyle>
</file>

<file path=word/charts/colors9.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0.03448</cdr:x>
      <cdr:y>0.33369</cdr:y>
    </cdr:from>
    <cdr:to>
      <cdr:x>0.0893</cdr:x>
      <cdr:y>0.49132</cdr:y>
    </cdr:to>
    <cdr:sp macro="" textlink="">
      <cdr:nvSpPr>
        <cdr:cNvPr id="2" name="TextBox 1"/>
        <cdr:cNvSpPr txBox="1"/>
      </cdr:nvSpPr>
      <cdr:spPr>
        <a:xfrm xmlns:a="http://schemas.openxmlformats.org/drawingml/2006/main" rot="16200000">
          <a:off x="131067" y="1021909"/>
          <a:ext cx="450828" cy="3157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200">
              <a:latin typeface="Times New Roman" panose="02020603050405020304" pitchFamily="18" charset="0"/>
              <a:cs typeface="Times New Roman" panose="02020603050405020304" pitchFamily="18" charset="0"/>
            </a:rPr>
            <a:t>Īpatsvars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8FC7B-0D7C-4435-A0B5-3894F172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16558</Words>
  <Characters>9439</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Par zaļā iepirkuma īstenošanas valsts pārvaldē gaitu 2018. gadā</vt:lpstr>
    </vt:vector>
  </TitlesOfParts>
  <Company/>
  <LinksUpToDate>false</LinksUpToDate>
  <CharactersWithSpaces>25946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zaļā iepirkuma īstenošanas valsts pārvaldē gaitu 2018. gadā</dc:title>
  <dc:subject>informatīvais ziņojums</dc:subject>
  <dc:creator>Uģis Zanders</dc:creator>
  <cp:lastModifiedBy>Uģis Zanders</cp:lastModifiedBy>
  <cp:revision>11</cp:revision>
  <cp:lastPrinted>2019-04-09T06:02:00Z</cp:lastPrinted>
  <dcterms:created xsi:type="dcterms:W3CDTF">2019-04-23T13:11:00Z</dcterms:created>
  <dcterms:modified xsi:type="dcterms:W3CDTF">2019-04-26T08:02:00Z</dcterms:modified>
  <cp:contentStatus/>
</cp:coreProperties>
</file>