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0" w:rsidRPr="00590625" w:rsidRDefault="00455B55" w:rsidP="00596C61">
      <w:pPr>
        <w:pStyle w:val="Bezatstarpm"/>
        <w:jc w:val="center"/>
        <w:rPr>
          <w:rFonts w:ascii="Times New Roman" w:hAnsi="Times New Roman"/>
          <w:b/>
          <w:sz w:val="28"/>
          <w:szCs w:val="28"/>
          <w:lang w:eastAsia="lv-LV"/>
        </w:rPr>
      </w:pPr>
      <w:r w:rsidRPr="00590625">
        <w:rPr>
          <w:rFonts w:ascii="Times New Roman" w:hAnsi="Times New Roman"/>
          <w:b/>
          <w:sz w:val="28"/>
          <w:szCs w:val="28"/>
          <w:lang w:eastAsia="lv-LV"/>
        </w:rPr>
        <w:t xml:space="preserve">Likumprojekta „Grozījumi Sēklu un šķirņu aprites likumā” sākotnējās ietekmes novērtējuma ziņojums (anotācija) </w:t>
      </w:r>
    </w:p>
    <w:p w:rsidR="006044BD" w:rsidRDefault="006044BD" w:rsidP="006845F7">
      <w:pPr>
        <w:pStyle w:val="Bezatstarpm"/>
        <w:rPr>
          <w:rFonts w:ascii="Times New Roman" w:hAnsi="Times New Roman"/>
          <w:b/>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56"/>
        <w:gridCol w:w="5157"/>
      </w:tblGrid>
      <w:tr w:rsidR="006044BD" w:rsidRPr="00375C8B" w:rsidTr="00486BD9">
        <w:trPr>
          <w:cantSplit/>
        </w:trPr>
        <w:tc>
          <w:tcPr>
            <w:tcW w:w="9213" w:type="dxa"/>
            <w:gridSpan w:val="2"/>
            <w:shd w:val="clear" w:color="auto" w:fill="FFFFFF"/>
            <w:vAlign w:val="center"/>
            <w:hideMark/>
          </w:tcPr>
          <w:p w:rsidR="006044BD" w:rsidRPr="00375C8B" w:rsidRDefault="006044BD" w:rsidP="00486BD9">
            <w:pPr>
              <w:pStyle w:val="Bezatstarpm"/>
              <w:jc w:val="center"/>
              <w:rPr>
                <w:rFonts w:ascii="Times New Roman" w:hAnsi="Times New Roman"/>
                <w:b/>
                <w:sz w:val="24"/>
                <w:szCs w:val="24"/>
              </w:rPr>
            </w:pPr>
            <w:r w:rsidRPr="00375C8B">
              <w:rPr>
                <w:rFonts w:ascii="Times New Roman" w:hAnsi="Times New Roman"/>
                <w:b/>
                <w:sz w:val="24"/>
                <w:szCs w:val="24"/>
              </w:rPr>
              <w:t>Tiesību akta projekta anotācijas kopsavilkums</w:t>
            </w:r>
          </w:p>
        </w:tc>
      </w:tr>
      <w:tr w:rsidR="006044BD" w:rsidRPr="007B0B60" w:rsidTr="00486BD9">
        <w:trPr>
          <w:cantSplit/>
        </w:trPr>
        <w:tc>
          <w:tcPr>
            <w:tcW w:w="4111" w:type="dxa"/>
            <w:shd w:val="clear" w:color="auto" w:fill="FFFFFF"/>
            <w:hideMark/>
          </w:tcPr>
          <w:p w:rsidR="006044BD" w:rsidRPr="007B0B60" w:rsidRDefault="006044BD" w:rsidP="00486BD9">
            <w:pPr>
              <w:pStyle w:val="Bezatstarpm"/>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102" w:type="dxa"/>
            <w:shd w:val="clear" w:color="auto" w:fill="FFFFFF"/>
            <w:hideMark/>
          </w:tcPr>
          <w:p w:rsidR="006044BD" w:rsidRPr="007B0B60" w:rsidRDefault="00313C09" w:rsidP="00313C09">
            <w:pPr>
              <w:pStyle w:val="Bezatstarpm"/>
              <w:jc w:val="both"/>
              <w:rPr>
                <w:rFonts w:ascii="Times New Roman" w:hAnsi="Times New Roman"/>
                <w:i/>
                <w:sz w:val="24"/>
                <w:szCs w:val="24"/>
              </w:rPr>
            </w:pPr>
            <w:r w:rsidRPr="00785124">
              <w:rPr>
                <w:rFonts w:ascii="Times New Roman" w:hAnsi="Times New Roman"/>
                <w:iCs/>
                <w:sz w:val="24"/>
                <w:szCs w:val="24"/>
              </w:rPr>
              <w:t xml:space="preserve">Likumprojekta mērķis, ņemot vērā </w:t>
            </w:r>
            <w:r w:rsidRPr="00785124">
              <w:rPr>
                <w:rFonts w:ascii="Times New Roman" w:hAnsi="Times New Roman"/>
                <w:sz w:val="24"/>
              </w:rPr>
              <w:t xml:space="preserve">nozaru administratīvo pārkāpumu kodifikācijas sistēmas ieviešanu, </w:t>
            </w:r>
            <w:r w:rsidRPr="00785124">
              <w:rPr>
                <w:rFonts w:ascii="Times New Roman" w:hAnsi="Times New Roman"/>
                <w:iCs/>
                <w:sz w:val="24"/>
                <w:szCs w:val="24"/>
              </w:rPr>
              <w:t>ir</w:t>
            </w:r>
            <w:r w:rsidRPr="00785124">
              <w:rPr>
                <w:rFonts w:ascii="Times New Roman" w:hAnsi="Times New Roman"/>
                <w:sz w:val="24"/>
              </w:rPr>
              <w:t xml:space="preserve"> noteikt administratīvos sodus par sēklu tirdzniecības prasību pārkāpšanu. Likumprojekts paredz arī precizēt Valsts augu aizsardzības dienesta funkcijas, sēklaudzētāju reģistrācijas kārtību un svītrošanu no reģistra, kā arī normas, kas saistītas ar kataloga un šķirņu saraksta veidošanu.</w:t>
            </w:r>
            <w:r>
              <w:rPr>
                <w:rFonts w:ascii="Times New Roman" w:hAnsi="Times New Roman"/>
                <w:sz w:val="24"/>
                <w:szCs w:val="24"/>
              </w:rPr>
              <w:t xml:space="preserve"> </w:t>
            </w:r>
            <w:r w:rsidR="00A20DDC">
              <w:rPr>
                <w:rFonts w:ascii="Times New Roman" w:hAnsi="Times New Roman"/>
                <w:sz w:val="24"/>
              </w:rPr>
              <w:t xml:space="preserve"> </w:t>
            </w:r>
            <w:r w:rsidR="00693F1B">
              <w:rPr>
                <w:rFonts w:ascii="Times New Roman" w:hAnsi="Times New Roman"/>
                <w:sz w:val="24"/>
              </w:rPr>
              <w:t xml:space="preserve"> </w:t>
            </w:r>
          </w:p>
        </w:tc>
      </w:tr>
    </w:tbl>
    <w:p w:rsidR="006044BD" w:rsidRPr="00455B55" w:rsidRDefault="006044BD" w:rsidP="006845F7">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34"/>
        <w:gridCol w:w="1649"/>
        <w:gridCol w:w="7173"/>
      </w:tblGrid>
      <w:tr w:rsidR="00120D10" w:rsidRPr="002C5CEA" w:rsidTr="001510C8">
        <w:trPr>
          <w:trHeight w:val="40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 Tiesību akta projekta izstrādes nepieciešamība</w:t>
            </w:r>
          </w:p>
        </w:tc>
      </w:tr>
      <w:tr w:rsidR="00120D10" w:rsidRPr="002C5CEA" w:rsidTr="001510C8">
        <w:trPr>
          <w:trHeight w:val="405"/>
        </w:trPr>
        <w:tc>
          <w:tcPr>
            <w:tcW w:w="331" w:type="pct"/>
            <w:tcBorders>
              <w:top w:val="outset" w:sz="6" w:space="0" w:color="414142"/>
              <w:bottom w:val="outset" w:sz="6" w:space="0" w:color="414142"/>
              <w:right w:val="outset" w:sz="6" w:space="0" w:color="414142"/>
            </w:tcBorders>
          </w:tcPr>
          <w:p w:rsidR="00120D10" w:rsidRPr="002C5CEA" w:rsidRDefault="00120D10" w:rsidP="00C76B18">
            <w:pPr>
              <w:spacing w:after="0" w:line="312" w:lineRule="auto"/>
              <w:ind w:firstLine="142"/>
              <w:rPr>
                <w:rFonts w:ascii="Times New Roman" w:hAnsi="Times New Roman"/>
                <w:sz w:val="24"/>
                <w:szCs w:val="24"/>
                <w:lang w:eastAsia="lv-LV"/>
              </w:rPr>
            </w:pPr>
            <w:r w:rsidRPr="002C5CEA">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rsidR="007464F9" w:rsidRPr="002C5CEA" w:rsidRDefault="00455B55" w:rsidP="00A111CA">
            <w:pPr>
              <w:spacing w:after="0" w:line="240" w:lineRule="auto"/>
              <w:jc w:val="both"/>
              <w:rPr>
                <w:rFonts w:ascii="Times New Roman" w:hAnsi="Times New Roman"/>
                <w:sz w:val="24"/>
                <w:szCs w:val="24"/>
              </w:rPr>
            </w:pPr>
            <w:r w:rsidRPr="00455B55">
              <w:rPr>
                <w:rFonts w:ascii="Times New Roman" w:hAnsi="Times New Roman"/>
                <w:sz w:val="24"/>
                <w:szCs w:val="24"/>
              </w:rPr>
              <w:t>Ministru kabineta 2014. gada 22. aprīļa sēdes protokola Nr.24 26.§ 2.punkts.</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rsidR="00313C09" w:rsidRPr="00785124" w:rsidRDefault="00313C09" w:rsidP="00313C09">
            <w:pPr>
              <w:spacing w:after="0" w:line="240" w:lineRule="auto"/>
              <w:ind w:right="43"/>
              <w:jc w:val="both"/>
              <w:rPr>
                <w:rFonts w:ascii="Times New Roman" w:hAnsi="Times New Roman"/>
                <w:sz w:val="24"/>
              </w:rPr>
            </w:pPr>
            <w:r w:rsidRPr="00785124">
              <w:rPr>
                <w:rFonts w:ascii="Times New Roman" w:hAnsi="Times New Roman"/>
                <w:sz w:val="24"/>
              </w:rPr>
              <w:t>Ministru kabineta 2014. gada 22. aprīļa sēdes protokola Nr.24 26.§ 2.punkts paredz uzdevumu informatīvā ziņojuma „Nozaru administratīvo pārkāpumu kodifikācijas ieviešanas sistēma” (turpmāk – informatīvais ziņojums) 1.pielikumā minētajām ministrijām izstrādāt attiecīgos likumprojektus.</w:t>
            </w:r>
          </w:p>
          <w:p w:rsidR="00313C09" w:rsidRPr="00785124" w:rsidRDefault="00313C09" w:rsidP="00313C09">
            <w:pPr>
              <w:spacing w:after="0" w:line="240" w:lineRule="auto"/>
              <w:ind w:right="43"/>
              <w:jc w:val="both"/>
              <w:rPr>
                <w:rFonts w:ascii="Times New Roman" w:hAnsi="Times New Roman"/>
                <w:sz w:val="24"/>
              </w:rPr>
            </w:pPr>
            <w:r w:rsidRPr="00785124">
              <w:rPr>
                <w:rFonts w:ascii="Times New Roman" w:hAnsi="Times New Roman"/>
                <w:sz w:val="24"/>
              </w:rPr>
              <w:t>Likumprojekts sagatavots</w:t>
            </w:r>
            <w:r w:rsidR="00D76F8B">
              <w:rPr>
                <w:rFonts w:ascii="Times New Roman" w:hAnsi="Times New Roman"/>
                <w:sz w:val="24"/>
              </w:rPr>
              <w:t>,</w:t>
            </w:r>
            <w:r w:rsidRPr="00785124">
              <w:rPr>
                <w:rFonts w:ascii="Times New Roman" w:hAnsi="Times New Roman"/>
                <w:sz w:val="24"/>
              </w:rPr>
              <w:t xml:space="preserve"> </w:t>
            </w:r>
            <w:r w:rsidR="00D76F8B">
              <w:rPr>
                <w:rFonts w:ascii="Times New Roman" w:hAnsi="Times New Roman"/>
                <w:sz w:val="24"/>
              </w:rPr>
              <w:t xml:space="preserve">ievērojot </w:t>
            </w:r>
            <w:r w:rsidRPr="00785124">
              <w:rPr>
                <w:rFonts w:ascii="Times New Roman" w:hAnsi="Times New Roman"/>
                <w:sz w:val="24"/>
              </w:rPr>
              <w:t xml:space="preserve">  informatīvajā ziņojumā minēt</w:t>
            </w:r>
            <w:r w:rsidR="00D76F8B">
              <w:rPr>
                <w:rFonts w:ascii="Times New Roman" w:hAnsi="Times New Roman"/>
                <w:sz w:val="24"/>
              </w:rPr>
              <w:t xml:space="preserve">ās </w:t>
            </w:r>
            <w:r w:rsidRPr="00785124">
              <w:rPr>
                <w:rFonts w:ascii="Times New Roman" w:hAnsi="Times New Roman"/>
                <w:sz w:val="24"/>
              </w:rPr>
              <w:t xml:space="preserve"> prasīb</w:t>
            </w:r>
            <w:r w:rsidR="00D76F8B">
              <w:rPr>
                <w:rFonts w:ascii="Times New Roman" w:hAnsi="Times New Roman"/>
                <w:sz w:val="24"/>
              </w:rPr>
              <w:t>as</w:t>
            </w:r>
            <w:r w:rsidRPr="00785124">
              <w:rPr>
                <w:rFonts w:ascii="Times New Roman" w:hAnsi="Times New Roman"/>
                <w:sz w:val="24"/>
              </w:rPr>
              <w:t xml:space="preserve">.  </w:t>
            </w:r>
          </w:p>
          <w:p w:rsidR="00313C09" w:rsidRPr="00785124" w:rsidRDefault="00313C09" w:rsidP="00313C09">
            <w:pPr>
              <w:spacing w:after="0" w:line="240" w:lineRule="auto"/>
              <w:ind w:right="43"/>
              <w:jc w:val="both"/>
              <w:rPr>
                <w:rFonts w:ascii="Times New Roman" w:hAnsi="Times New Roman"/>
                <w:sz w:val="24"/>
                <w:szCs w:val="24"/>
              </w:rPr>
            </w:pPr>
            <w:r w:rsidRPr="00785124">
              <w:rPr>
                <w:rFonts w:ascii="Times New Roman" w:hAnsi="Times New Roman"/>
                <w:sz w:val="24"/>
                <w:szCs w:val="24"/>
              </w:rPr>
              <w:t xml:space="preserve">Likumprojekts 2016.gada 11.augustā izskatīts un atbalstīts Tieslietu ministrijas izveidotajā Latvijas Administratīvo pārkāpumu kodeksa pastāvīgajā darba grupā. </w:t>
            </w:r>
          </w:p>
          <w:p w:rsidR="00313C09" w:rsidRPr="00785124" w:rsidRDefault="00313C09" w:rsidP="00313C09">
            <w:pPr>
              <w:spacing w:after="0" w:line="240" w:lineRule="auto"/>
              <w:ind w:right="43"/>
              <w:jc w:val="both"/>
              <w:rPr>
                <w:rFonts w:ascii="Times New Roman" w:hAnsi="Times New Roman"/>
                <w:sz w:val="24"/>
              </w:rPr>
            </w:pPr>
            <w:r w:rsidRPr="00785124">
              <w:rPr>
                <w:rFonts w:ascii="Times New Roman" w:hAnsi="Times New Roman"/>
                <w:sz w:val="24"/>
              </w:rPr>
              <w:t>Latvijas Administratīvo pārkāpumu kodeksa 103.</w:t>
            </w:r>
            <w:r w:rsidRPr="00785124">
              <w:rPr>
                <w:rFonts w:ascii="Times New Roman" w:hAnsi="Times New Roman"/>
                <w:sz w:val="24"/>
                <w:vertAlign w:val="superscript"/>
              </w:rPr>
              <w:t>5</w:t>
            </w:r>
            <w:r w:rsidRPr="00785124">
              <w:rPr>
                <w:rFonts w:ascii="Times New Roman" w:hAnsi="Times New Roman"/>
                <w:sz w:val="24"/>
              </w:rPr>
              <w:t xml:space="preserve"> pantā ir paredzēta atbildība par sēklaudzēšanas, sēklu tirdzniecības, sagatavošanas un glabāšanas prasību pārkāpumiem. Ir nepieciešams mainīt administratīvās atbildības apjomu, nosakot atbildību tikai par sēklu tirdzniecības prasību pārkāpumiem. Par sēklu sagatavošanas un glabāšanas prasību pārkāpšanu nav nosakāma administratīvā atbildība, jo tās ir sēklu sertifikācijas procesa sastāvdaļas. Kā iespējamā soda sankcija ir jāparedz brīdinājums, jo daudzos gadījumos personas izdarītais pārkāpums nav radījis tādu kaitējumu sabiedrībai, lai par to piemērotu naudas sodu. </w:t>
            </w:r>
          </w:p>
          <w:p w:rsidR="00313C09" w:rsidRPr="00785124" w:rsidRDefault="00313C09" w:rsidP="00313C09">
            <w:pPr>
              <w:spacing w:after="0" w:line="240" w:lineRule="auto"/>
              <w:ind w:right="43"/>
              <w:jc w:val="both"/>
              <w:rPr>
                <w:rFonts w:ascii="Times New Roman" w:hAnsi="Times New Roman"/>
                <w:sz w:val="24"/>
              </w:rPr>
            </w:pPr>
            <w:r w:rsidRPr="00785124">
              <w:rPr>
                <w:rFonts w:ascii="Times New Roman" w:hAnsi="Times New Roman"/>
                <w:sz w:val="24"/>
              </w:rPr>
              <w:t>Tā kā Latvijas Administratīvo pārkāpumu kodeksa 103.</w:t>
            </w:r>
            <w:r w:rsidRPr="00785124">
              <w:rPr>
                <w:rFonts w:ascii="Times New Roman" w:hAnsi="Times New Roman"/>
                <w:sz w:val="24"/>
                <w:vertAlign w:val="superscript"/>
              </w:rPr>
              <w:t>5</w:t>
            </w:r>
            <w:r w:rsidRPr="00785124">
              <w:rPr>
                <w:rFonts w:ascii="Times New Roman" w:hAnsi="Times New Roman"/>
                <w:sz w:val="24"/>
              </w:rPr>
              <w:t xml:space="preserve"> pantā nav atsevišķi nodalīts administratīvā soda apmērs fiziskām un juridiskām personām, tas rada praktiskas grūtības panta piemērošanā, turklāt   paredzētais minimālais sods septiņu </w:t>
            </w:r>
            <w:r w:rsidRPr="00785124">
              <w:rPr>
                <w:rFonts w:ascii="Times New Roman" w:hAnsi="Times New Roman"/>
                <w:i/>
                <w:sz w:val="24"/>
              </w:rPr>
              <w:t>euro</w:t>
            </w:r>
            <w:r w:rsidRPr="00785124">
              <w:rPr>
                <w:rFonts w:ascii="Times New Roman" w:hAnsi="Times New Roman"/>
                <w:sz w:val="24"/>
              </w:rPr>
              <w:t xml:space="preserve"> apmērā nav adekvāts, jo nesasniedz soda mērķi. Sākotnējais soda apmērs būtu jāpalielina, jo pašreizējā summa nav adekvāta un atbilstoša izdarītajam pārkāpumam, piemēram, ja tirgū tiek pārdotas sēklas, kas neatbilst kvalitātes prasībām, persona, kura iegādājas sēklas, var saskarties ar lieliem finanšu zaudējumiem.</w:t>
            </w:r>
          </w:p>
          <w:p w:rsidR="00313C09" w:rsidRPr="00785124" w:rsidRDefault="00313C09" w:rsidP="00313C09">
            <w:pPr>
              <w:spacing w:after="0" w:line="240" w:lineRule="auto"/>
              <w:ind w:right="43"/>
              <w:jc w:val="both"/>
              <w:rPr>
                <w:rFonts w:ascii="Times New Roman" w:hAnsi="Times New Roman"/>
                <w:sz w:val="24"/>
              </w:rPr>
            </w:pPr>
            <w:r w:rsidRPr="00785124">
              <w:rPr>
                <w:rFonts w:ascii="Times New Roman" w:hAnsi="Times New Roman"/>
                <w:sz w:val="24"/>
              </w:rPr>
              <w:t>Ņemot vērā juridisko personu statusu un plašākas pārkāpumu izdarīšanas iespējas, atsevišķi ir jānosaka juridisko personu atbildība, paredzot tām lielāku sodu nekā fiziskajām personām. Ievērojot minēto, likumprojektā ir iekļauti sodi par sēklu tirdzniecības prasību pārkāpšanu.</w:t>
            </w:r>
          </w:p>
          <w:p w:rsidR="00313C09" w:rsidRPr="00785124" w:rsidRDefault="00313C09" w:rsidP="00313C09">
            <w:pPr>
              <w:spacing w:after="0" w:line="240" w:lineRule="auto"/>
              <w:ind w:right="43"/>
              <w:jc w:val="both"/>
              <w:rPr>
                <w:rFonts w:ascii="Times New Roman" w:hAnsi="Times New Roman"/>
                <w:i/>
                <w:sz w:val="24"/>
              </w:rPr>
            </w:pPr>
            <w:r w:rsidRPr="00785124">
              <w:rPr>
                <w:rFonts w:ascii="Times New Roman" w:hAnsi="Times New Roman"/>
                <w:sz w:val="24"/>
              </w:rPr>
              <w:t xml:space="preserve">Pašlaik Sēklu un šķirņu aprites likuma (turpmāk – likums) 2. panta </w:t>
            </w:r>
            <w:r w:rsidRPr="00785124">
              <w:rPr>
                <w:rFonts w:ascii="Times New Roman" w:hAnsi="Times New Roman"/>
                <w:sz w:val="24"/>
              </w:rPr>
              <w:lastRenderedPageBreak/>
              <w:t>4. punktā ir noteiktas Valsts augu aizsardzības dienesta (turpmāk – dienests) funkcijas: “e” apakšpunktā ir noteikts, ka dienests veic visas darbības, kas saistītas ar lauksaimniecības augu šķirņu un dārzeņu šķirņu iekļaušanu Eiropas Savienības lauksaimniecības un dārzeņu šķirņu kopējos katalogos.</w:t>
            </w:r>
            <w:r w:rsidRPr="00785124">
              <w:rPr>
                <w:rFonts w:ascii="Times New Roman" w:hAnsi="Times New Roman"/>
                <w:i/>
                <w:sz w:val="24"/>
              </w:rPr>
              <w:t xml:space="preserve"> </w:t>
            </w:r>
          </w:p>
          <w:p w:rsidR="00313C09" w:rsidRPr="00785124" w:rsidRDefault="00313C09" w:rsidP="00313C09">
            <w:pPr>
              <w:spacing w:after="0" w:line="240" w:lineRule="auto"/>
              <w:ind w:right="43"/>
              <w:jc w:val="both"/>
              <w:rPr>
                <w:rFonts w:ascii="Times New Roman" w:hAnsi="Times New Roman"/>
                <w:sz w:val="24"/>
              </w:rPr>
            </w:pPr>
            <w:r w:rsidRPr="00785124">
              <w:rPr>
                <w:rFonts w:ascii="Times New Roman" w:hAnsi="Times New Roman"/>
                <w:sz w:val="24"/>
              </w:rPr>
              <w:t xml:space="preserve">2017. gada 18.janvārī stājās spēkā Ministru kabineta noteikumi Nr. 16 „Augļu koku un ogulāju šķirņu saraksta veidošanas noteikumi” (turpmāk – noteikumi Nr.16). Ar noteikumiem Nr.16 ir izveidots augļu koku un ogulāju šķirņu saraksts (turpmāk – šķirņu saraksts), un dienests veic arī visas darbības, kas saistītas ar Latvijā reģistrēto augļu koku un ogulāju šķirņu iekļaušanu Eiropas Savienības kopējā Augļu koku un ogulāju šķirņu sarakstā. No likuma 2. panta 4. punkta “e” apakšpunktā noteiktajām dienesta funkcijām ir svītrojama norma, ka dienests nodrošina sēklu sertifikāciju citās dalībvalstīs, jo dienests nevar nodrošināt sertifikāciju citās valstīs – tā ir katras dalībvalsts kompetence. Tāpat ir svītrojama norma par kopējos katalogos iekļauto šķirņu sēklu sertifikāciju, jo konkrētā funkcija ir ietverta likuma 2.panta 4. punkta “a” apakšpunktā. Ņemot vērā iepriekšminēto, ir precizēts likuma 2.panta 4.punkta “e” apakšpunkts. Tāpat ir precizējams 2.panta 4.punkta “n” apakšpunkts (likumprojekta “m” apakšpunkts) par oriģinālo sēklu paraugu uzturēšanu, nosakot, ka dienests var uzturēt oriģinālo sēklu paraugus šķirnēm, kurām tas ir pieprasījis šķirnes pārbaudes veikšanu. Selekcionārs, nosūtot šo šķirņu oriģinālo sēklu paraugus šķirnes pārbaudei, šī paša parauga daļu iesniedz arī dienestā. Pašlaik likumā nav skaidri noteikts, ka dienests uztur arī saglabājamo un noteiktos apstākļos audzējamo šķirņu oriģinālos paraugus, tāpēc šāda norma iekļaujama “m” apakšpunktā. </w:t>
            </w:r>
          </w:p>
          <w:p w:rsidR="00313C09" w:rsidRPr="00785124" w:rsidRDefault="00313C09" w:rsidP="00313C09">
            <w:pPr>
              <w:spacing w:after="0" w:line="240" w:lineRule="auto"/>
              <w:ind w:right="43"/>
              <w:jc w:val="both"/>
              <w:rPr>
                <w:rFonts w:ascii="Times New Roman" w:hAnsi="Times New Roman"/>
                <w:sz w:val="24"/>
                <w:szCs w:val="24"/>
              </w:rPr>
            </w:pPr>
            <w:r w:rsidRPr="00785124">
              <w:rPr>
                <w:rFonts w:ascii="Times New Roman" w:hAnsi="Times New Roman"/>
                <w:sz w:val="24"/>
              </w:rPr>
              <w:t xml:space="preserve">Tā kā ir izveidots šķirņu saraksts, ir jāparedz, ka turpmāk par šķirņu iekļaušanu, uzturēšanu un uzturēšanas termiņa pagarināšanu šķirņu sarakstā būs jāmaksā valsts nodeva, tāpēc jāprecizē nodevas objekts, paredzot, ka nodevu maksā arī persona, kas vēlas audzēt un tirgot šķirnes pavairošanas materiālu. </w:t>
            </w:r>
            <w:r w:rsidRPr="00785124">
              <w:rPr>
                <w:rFonts w:ascii="Times New Roman" w:hAnsi="Times New Roman"/>
                <w:sz w:val="24"/>
                <w:szCs w:val="24"/>
              </w:rPr>
              <w:t xml:space="preserve">Dienests Sēklaudzētāju un sēklu tirgotāju reģistrā (turpmāk – reģistrs) reģistrē sēklaudzētājus, sēklu tirgotājus, kā arī sagatavotājus vai saiņotājus, bet nereģistrē sēklu ievedējus, tāpēc ir svītrojama norma par ievedēju reģistrāciju. </w:t>
            </w:r>
          </w:p>
          <w:p w:rsidR="00313C09" w:rsidRPr="00785124" w:rsidRDefault="00313C09" w:rsidP="00313C09">
            <w:pPr>
              <w:spacing w:after="0"/>
              <w:jc w:val="both"/>
              <w:rPr>
                <w:rFonts w:ascii="Times New Roman" w:eastAsia="Times New Roman" w:hAnsi="Times New Roman"/>
                <w:sz w:val="24"/>
                <w:szCs w:val="24"/>
                <w:lang w:eastAsia="lv-LV"/>
              </w:rPr>
            </w:pPr>
            <w:r w:rsidRPr="00785124">
              <w:rPr>
                <w:rFonts w:ascii="Times New Roman" w:hAnsi="Times New Roman"/>
                <w:sz w:val="24"/>
                <w:szCs w:val="24"/>
              </w:rPr>
              <w:t xml:space="preserve">Jāprecizē gadījumi, kad persona svītrojama no reģistra. Likuma pašreizējā redakcijā nav paredzēti visi gadījumi, kad persona ir svītrojama no reģistra, tāpēc likumprojekts tiek papildināts ar normu, ka personu no reģistra svītro arī tad, ja juridiskā persona ir izslēgta no komercreģistra vai fiziskā persona ir mirusi. Tāpat nepieciešams precizēt kārtību personas izslēgšanai no reģistra, ja tā </w:t>
            </w:r>
            <w:r w:rsidRPr="00785124">
              <w:rPr>
                <w:rFonts w:ascii="Times New Roman" w:eastAsia="Times New Roman" w:hAnsi="Times New Roman"/>
                <w:sz w:val="24"/>
                <w:szCs w:val="24"/>
                <w:lang w:eastAsia="lv-LV"/>
              </w:rPr>
              <w:t>divu gadu laikā pēc pēdējā iesnieguma saņemšanas dienas dienestā nav iesniegusi iesniegumu sēklu sertifikācijai. Šajā gadījumā ir svarīgi paredzēt, ka personu svītro no reģistra bez iepriekšēja brīdinājuma, tā mazinot dienesta administratīvo slogu. Grozījumu mērķis ir nodrošināt, lai reģistrs būtu praktiski izmantojams un tajā būtu personas, kas ir aktīvas un nodarbojas ar sēklaudzēšanu vai tirdzniecību.</w:t>
            </w:r>
          </w:p>
          <w:p w:rsidR="00313C09" w:rsidRPr="00785124" w:rsidRDefault="00313C09" w:rsidP="00313C09">
            <w:pPr>
              <w:spacing w:after="0" w:line="240" w:lineRule="auto"/>
              <w:ind w:right="43"/>
              <w:jc w:val="both"/>
              <w:rPr>
                <w:rFonts w:ascii="Times New Roman" w:hAnsi="Times New Roman"/>
                <w:sz w:val="24"/>
              </w:rPr>
            </w:pPr>
            <w:r w:rsidRPr="00785124">
              <w:rPr>
                <w:rFonts w:ascii="Times New Roman" w:eastAsia="Times New Roman" w:hAnsi="Times New Roman"/>
                <w:sz w:val="24"/>
                <w:szCs w:val="24"/>
                <w:lang w:eastAsia="lv-LV"/>
              </w:rPr>
              <w:t xml:space="preserve">Attiecībā uz </w:t>
            </w:r>
            <w:r w:rsidRPr="00785124">
              <w:rPr>
                <w:rFonts w:ascii="Times New Roman" w:hAnsi="Times New Roman"/>
                <w:sz w:val="24"/>
                <w:szCs w:val="24"/>
              </w:rPr>
              <w:t xml:space="preserve">projekta 11. pantā izteikto pārejas noteikumu 17. punktu, kurā noteikts 4. panta trešās daļas spēkā stāšanās laiks, dienestam ir </w:t>
            </w:r>
            <w:r w:rsidRPr="00785124">
              <w:rPr>
                <w:rFonts w:ascii="Times New Roman" w:hAnsi="Times New Roman"/>
                <w:sz w:val="24"/>
                <w:szCs w:val="24"/>
              </w:rPr>
              <w:lastRenderedPageBreak/>
              <w:t xml:space="preserve">jāparedz attiecīgs laiks šo darbību veikšanai, lai dienests varētu sakārtot reģistru un pārbaudīt personu datus, jo reģistrā šobrīd ir reģistrēti vairāki simti personu. </w:t>
            </w:r>
            <w:r w:rsidRPr="00785124">
              <w:rPr>
                <w:rFonts w:ascii="Times New Roman" w:hAnsi="Times New Roman"/>
                <w:sz w:val="24"/>
              </w:rPr>
              <w:t>Likuma 11.panta pašreizējā redakcijā nav skaidri izteikta norma, kura informācija par šķirņu aizsardzību ir jānorāda Latvijas augu šķirņu katalogā, tāpēc likumprojektā šī informācija precizēta. Tāpat nepieciešams svītrot 11.</w:t>
            </w:r>
            <w:r w:rsidRPr="00785124">
              <w:rPr>
                <w:rFonts w:ascii="Times New Roman" w:hAnsi="Times New Roman"/>
                <w:sz w:val="24"/>
                <w:vertAlign w:val="superscript"/>
              </w:rPr>
              <w:t xml:space="preserve">1 </w:t>
            </w:r>
            <w:r w:rsidRPr="00785124">
              <w:rPr>
                <w:rFonts w:ascii="Times New Roman" w:hAnsi="Times New Roman"/>
                <w:sz w:val="24"/>
              </w:rPr>
              <w:t xml:space="preserve">panta ceturto un piekto daļu par šķirņu pieteikšanu un oriģinālo sēklu paraugu uzturēšanu, jo šīs normas dublē 2. pantā noteiktās dienesta funkcijas. </w:t>
            </w:r>
          </w:p>
          <w:p w:rsidR="00654263" w:rsidRPr="002C5CEA" w:rsidRDefault="00313C09" w:rsidP="00313C09">
            <w:pPr>
              <w:spacing w:after="0" w:line="240" w:lineRule="auto"/>
              <w:ind w:right="43"/>
              <w:jc w:val="both"/>
              <w:rPr>
                <w:rFonts w:ascii="Times New Roman" w:eastAsia="Times New Roman" w:hAnsi="Times New Roman"/>
                <w:color w:val="000000"/>
                <w:sz w:val="24"/>
                <w:szCs w:val="24"/>
                <w:lang w:eastAsia="lv-LV"/>
              </w:rPr>
            </w:pPr>
            <w:r w:rsidRPr="00785124">
              <w:rPr>
                <w:rFonts w:ascii="Times New Roman" w:hAnsi="Times New Roman"/>
                <w:sz w:val="24"/>
              </w:rPr>
              <w:t>Likuma 12.</w:t>
            </w:r>
            <w:r w:rsidRPr="00785124">
              <w:rPr>
                <w:rFonts w:ascii="Times New Roman" w:hAnsi="Times New Roman"/>
                <w:sz w:val="24"/>
                <w:vertAlign w:val="superscript"/>
              </w:rPr>
              <w:t xml:space="preserve">2 </w:t>
            </w:r>
            <w:r w:rsidRPr="00785124">
              <w:rPr>
                <w:rFonts w:ascii="Times New Roman" w:hAnsi="Times New Roman"/>
                <w:sz w:val="24"/>
              </w:rPr>
              <w:t>panta pašreizējā redakcijā ir noteikts, ka dienests šķirni iekļauj šķirņu sarakstā, ja šķirnei ir oficiāls vai oficiāli atzīts šķirnes apraksts. Noteikumi Nr.16 paredz arī citas prasības, kurām šķirnei ir jāatbilst, lai to iekļautu šķirņu sarakstā. Tādējādi ir jāprecizē 12.</w:t>
            </w:r>
            <w:r w:rsidRPr="00785124">
              <w:rPr>
                <w:rFonts w:ascii="Times New Roman" w:hAnsi="Times New Roman"/>
                <w:sz w:val="24"/>
                <w:vertAlign w:val="superscript"/>
              </w:rPr>
              <w:t xml:space="preserve">2 </w:t>
            </w:r>
            <w:r w:rsidRPr="00785124">
              <w:rPr>
                <w:rFonts w:ascii="Times New Roman" w:hAnsi="Times New Roman"/>
                <w:sz w:val="24"/>
              </w:rPr>
              <w:t>pants, to papildinot ar prasībām, kurām šķirnei jāatbilst, lai to iekļautu šķirņu sarakstā, tas ir, jābūt atbilstošam šķirnes nosaukumam, Latvijā pieejamam mātesaugam un par ģenētiski modificētu šķirni ir jābūt izsniegtai atļaujai šķirnes izplatīšanai tirgū.</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izstrādē iesaistītās institūcijas</w:t>
            </w:r>
            <w:r w:rsidR="006044BD">
              <w:rPr>
                <w:rFonts w:ascii="Times New Roman" w:hAnsi="Times New Roman"/>
                <w:sz w:val="24"/>
                <w:szCs w:val="24"/>
                <w:lang w:eastAsia="lv-LV"/>
              </w:rPr>
              <w:t xml:space="preserve"> </w:t>
            </w:r>
            <w:r w:rsidR="006044BD" w:rsidRPr="00FC5AF1">
              <w:rPr>
                <w:rFonts w:ascii="Times New Roman" w:hAnsi="Times New Roman"/>
              </w:rPr>
              <w:t>un publiskas personas kapitālsabiedrības</w:t>
            </w:r>
          </w:p>
        </w:tc>
        <w:tc>
          <w:tcPr>
            <w:tcW w:w="3879" w:type="pct"/>
            <w:tcBorders>
              <w:top w:val="outset" w:sz="6" w:space="0" w:color="414142"/>
              <w:left w:val="outset" w:sz="6" w:space="0" w:color="414142"/>
              <w:bottom w:val="outset" w:sz="6" w:space="0" w:color="414142"/>
            </w:tcBorders>
          </w:tcPr>
          <w:p w:rsidR="006B1EFF" w:rsidRPr="002C5CEA" w:rsidRDefault="00455B55" w:rsidP="00507FD6">
            <w:pPr>
              <w:spacing w:after="0" w:line="240" w:lineRule="auto"/>
              <w:jc w:val="both"/>
              <w:rPr>
                <w:rFonts w:ascii="Times New Roman" w:hAnsi="Times New Roman"/>
                <w:sz w:val="24"/>
                <w:szCs w:val="24"/>
                <w:lang w:eastAsia="lv-LV"/>
              </w:rPr>
            </w:pPr>
            <w:r>
              <w:rPr>
                <w:rFonts w:ascii="Times New Roman" w:eastAsia="Times New Roman" w:hAnsi="Times New Roman"/>
                <w:color w:val="000000"/>
                <w:sz w:val="24"/>
                <w:szCs w:val="24"/>
                <w:lang w:eastAsia="lv-LV"/>
              </w:rPr>
              <w:t xml:space="preserve">Zemkopības ministrija un </w:t>
            </w:r>
            <w:r w:rsidR="00577DEF" w:rsidRPr="002C5CEA">
              <w:rPr>
                <w:rFonts w:ascii="Times New Roman" w:eastAsia="Times New Roman" w:hAnsi="Times New Roman"/>
                <w:color w:val="000000"/>
                <w:sz w:val="24"/>
                <w:szCs w:val="24"/>
                <w:lang w:eastAsia="lv-LV"/>
              </w:rPr>
              <w:t>Valsts augu aizsardzības dienests</w:t>
            </w:r>
            <w:r w:rsidR="00D76F8B">
              <w:rPr>
                <w:rFonts w:ascii="Times New Roman" w:eastAsia="Times New Roman" w:hAnsi="Times New Roman"/>
                <w:color w:val="000000"/>
                <w:sz w:val="24"/>
                <w:szCs w:val="24"/>
                <w:lang w:eastAsia="lv-LV"/>
              </w:rPr>
              <w:t>.</w:t>
            </w:r>
          </w:p>
        </w:tc>
      </w:tr>
      <w:tr w:rsidR="00120D10" w:rsidRPr="002C5CEA" w:rsidTr="001510C8">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rsidR="00120D10" w:rsidRPr="002C5CEA" w:rsidRDefault="00120D10" w:rsidP="007C69E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2C5CEA" w:rsidTr="00F95B2C">
        <w:trPr>
          <w:trHeight w:val="555"/>
        </w:trPr>
        <w:tc>
          <w:tcPr>
            <w:tcW w:w="5000" w:type="pct"/>
            <w:gridSpan w:val="3"/>
            <w:tcBorders>
              <w:top w:val="outset" w:sz="6" w:space="0" w:color="414142"/>
              <w:bottom w:val="outset" w:sz="6" w:space="0" w:color="414142"/>
            </w:tcBorders>
            <w:vAlign w:val="center"/>
          </w:tcPr>
          <w:p w:rsidR="00120D10" w:rsidRPr="002C5CEA" w:rsidRDefault="00120D10" w:rsidP="00E00DBA">
            <w:pPr>
              <w:pStyle w:val="Bezatstarpm"/>
              <w:jc w:val="center"/>
              <w:rPr>
                <w:rFonts w:ascii="Times New Roman" w:hAnsi="Times New Roman"/>
                <w:b/>
                <w:sz w:val="24"/>
                <w:szCs w:val="24"/>
                <w:lang w:eastAsia="lv-LV"/>
              </w:rPr>
            </w:pPr>
            <w:r w:rsidRPr="002C5CEA">
              <w:rPr>
                <w:rFonts w:ascii="Times New Roman" w:hAnsi="Times New Roman"/>
                <w:b/>
                <w:sz w:val="24"/>
                <w:szCs w:val="24"/>
                <w:lang w:eastAsia="lv-LV"/>
              </w:rPr>
              <w:t>II. Tiesību akta projekta ietekme uz sabiedrību, tautsaimniecības attīstību un</w:t>
            </w:r>
          </w:p>
          <w:p w:rsidR="00120D10" w:rsidRPr="002C5CEA" w:rsidRDefault="00120D10" w:rsidP="00E00DBA">
            <w:pPr>
              <w:pStyle w:val="Bezatstarpm"/>
              <w:jc w:val="center"/>
              <w:rPr>
                <w:rFonts w:ascii="Times New Roman" w:hAnsi="Times New Roman"/>
                <w:sz w:val="24"/>
                <w:szCs w:val="24"/>
                <w:lang w:eastAsia="lv-LV"/>
              </w:rPr>
            </w:pPr>
            <w:r w:rsidRPr="002C5CEA">
              <w:rPr>
                <w:rFonts w:ascii="Times New Roman" w:hAnsi="Times New Roman"/>
                <w:b/>
                <w:sz w:val="24"/>
                <w:szCs w:val="24"/>
                <w:lang w:eastAsia="lv-LV"/>
              </w:rPr>
              <w:t>administratīvo slogu</w:t>
            </w:r>
          </w:p>
        </w:tc>
      </w:tr>
      <w:tr w:rsidR="00120D10" w:rsidRPr="002C5CEA" w:rsidTr="00C87B8D">
        <w:trPr>
          <w:trHeight w:val="465"/>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46535B" w:rsidRDefault="00120D10" w:rsidP="00747642">
            <w:pPr>
              <w:spacing w:after="0" w:line="240" w:lineRule="auto"/>
              <w:rPr>
                <w:rFonts w:ascii="Times New Roman" w:hAnsi="Times New Roman"/>
                <w:sz w:val="24"/>
                <w:szCs w:val="24"/>
                <w:lang w:eastAsia="lv-LV"/>
              </w:rPr>
            </w:pPr>
            <w:r w:rsidRPr="0046535B">
              <w:rPr>
                <w:rFonts w:ascii="Times New Roman" w:hAnsi="Times New Roman"/>
                <w:sz w:val="24"/>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7464F9" w:rsidRPr="0046535B" w:rsidRDefault="00455B55" w:rsidP="006E32DA">
            <w:pPr>
              <w:spacing w:after="0" w:line="240" w:lineRule="auto"/>
              <w:jc w:val="both"/>
              <w:rPr>
                <w:rFonts w:ascii="Times New Roman" w:hAnsi="Times New Roman"/>
                <w:sz w:val="24"/>
                <w:szCs w:val="24"/>
              </w:rPr>
            </w:pPr>
            <w:r w:rsidRPr="00455B55">
              <w:rPr>
                <w:rFonts w:ascii="Times New Roman" w:hAnsi="Times New Roman"/>
                <w:sz w:val="24"/>
                <w:szCs w:val="24"/>
              </w:rPr>
              <w:t>Likumprojekts attiec</w:t>
            </w:r>
            <w:r w:rsidR="00DF2CAA">
              <w:rPr>
                <w:rFonts w:ascii="Times New Roman" w:hAnsi="Times New Roman"/>
                <w:sz w:val="24"/>
                <w:szCs w:val="24"/>
              </w:rPr>
              <w:t>a</w:t>
            </w:r>
            <w:r w:rsidRPr="00455B55">
              <w:rPr>
                <w:rFonts w:ascii="Times New Roman" w:hAnsi="Times New Roman"/>
                <w:sz w:val="24"/>
                <w:szCs w:val="24"/>
              </w:rPr>
              <w:t>s uz sēklaudzētājiem, sēklu sagatavotājiem, saiņotājiem</w:t>
            </w:r>
            <w:r w:rsidR="00BA5A34">
              <w:rPr>
                <w:rFonts w:ascii="Times New Roman" w:hAnsi="Times New Roman"/>
                <w:sz w:val="24"/>
                <w:szCs w:val="24"/>
              </w:rPr>
              <w:t xml:space="preserve"> un </w:t>
            </w:r>
            <w:r w:rsidRPr="00455B55">
              <w:rPr>
                <w:rFonts w:ascii="Times New Roman" w:hAnsi="Times New Roman"/>
                <w:sz w:val="24"/>
                <w:szCs w:val="24"/>
              </w:rPr>
              <w:t>tirgotājiem</w:t>
            </w:r>
            <w:r w:rsidR="0038315B">
              <w:rPr>
                <w:rFonts w:ascii="Times New Roman" w:hAnsi="Times New Roman"/>
                <w:sz w:val="24"/>
                <w:szCs w:val="24"/>
              </w:rPr>
              <w:t xml:space="preserve">, kā arī personām, kas vēlēsies </w:t>
            </w:r>
            <w:r w:rsidR="00CB6C35">
              <w:rPr>
                <w:rFonts w:ascii="Times New Roman" w:hAnsi="Times New Roman"/>
                <w:sz w:val="24"/>
                <w:szCs w:val="24"/>
              </w:rPr>
              <w:t xml:space="preserve">audzēt un </w:t>
            </w:r>
            <w:r w:rsidR="0038315B">
              <w:rPr>
                <w:rFonts w:ascii="Times New Roman" w:hAnsi="Times New Roman"/>
                <w:sz w:val="24"/>
                <w:szCs w:val="24"/>
              </w:rPr>
              <w:t>tirgot šķirnes pavairošanas materiālu.</w:t>
            </w: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8E106F">
            <w:pPr>
              <w:spacing w:after="0" w:line="240" w:lineRule="auto"/>
              <w:ind w:right="33"/>
              <w:rPr>
                <w:rFonts w:ascii="Times New Roman" w:hAnsi="Times New Roman"/>
                <w:sz w:val="24"/>
                <w:szCs w:val="24"/>
                <w:lang w:eastAsia="lv-LV"/>
              </w:rPr>
            </w:pPr>
            <w:r w:rsidRPr="002C5CE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6345AA" w:rsidRPr="006845F7" w:rsidRDefault="007F77F7" w:rsidP="006345AA">
            <w:pPr>
              <w:spacing w:after="0" w:line="240" w:lineRule="auto"/>
              <w:ind w:left="45"/>
              <w:jc w:val="both"/>
              <w:rPr>
                <w:rFonts w:ascii="Times New Roman" w:hAnsi="Times New Roman"/>
                <w:strike/>
                <w:sz w:val="24"/>
                <w:szCs w:val="24"/>
              </w:rPr>
            </w:pPr>
            <w:r w:rsidRPr="002C5CEA">
              <w:rPr>
                <w:rFonts w:ascii="Times New Roman" w:hAnsi="Times New Roman"/>
                <w:sz w:val="24"/>
                <w:szCs w:val="24"/>
                <w:lang w:eastAsia="lv-LV"/>
              </w:rPr>
              <w:t>Projekts šo jomu neskar.</w:t>
            </w:r>
          </w:p>
          <w:p w:rsidR="007464F9" w:rsidRPr="002C5CEA" w:rsidRDefault="007464F9" w:rsidP="00577DEF">
            <w:pPr>
              <w:spacing w:after="0" w:line="240" w:lineRule="auto"/>
              <w:ind w:left="45"/>
              <w:jc w:val="both"/>
              <w:rPr>
                <w:rFonts w:ascii="Times New Roman" w:hAnsi="Times New Roman"/>
                <w:sz w:val="24"/>
                <w:szCs w:val="24"/>
              </w:rPr>
            </w:pP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2C5CEA" w:rsidRDefault="00120D10"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6044BD" w:rsidRPr="002C5CEA" w:rsidTr="00C87B8D">
        <w:trPr>
          <w:trHeight w:val="510"/>
        </w:trPr>
        <w:tc>
          <w:tcPr>
            <w:tcW w:w="307" w:type="pct"/>
            <w:tcBorders>
              <w:top w:val="outset" w:sz="6" w:space="0" w:color="414142"/>
              <w:bottom w:val="outset" w:sz="6" w:space="0" w:color="414142"/>
              <w:right w:val="outset" w:sz="6" w:space="0" w:color="414142"/>
            </w:tcBorders>
          </w:tcPr>
          <w:p w:rsidR="006044BD"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6044BD" w:rsidRPr="002C5CEA" w:rsidRDefault="006044BD" w:rsidP="00747642">
            <w:pPr>
              <w:spacing w:after="0" w:line="240" w:lineRule="auto"/>
              <w:rPr>
                <w:rFonts w:ascii="Times New Roman" w:hAnsi="Times New Roman"/>
                <w:sz w:val="24"/>
                <w:szCs w:val="24"/>
                <w:lang w:eastAsia="lv-LV"/>
              </w:rPr>
            </w:pPr>
            <w:r w:rsidRPr="000912C8">
              <w:rPr>
                <w:rFonts w:ascii="Times New Roman" w:hAnsi="Times New Roman"/>
              </w:rPr>
              <w:t>Atbilstības izmaksu monetārs novērtējums</w:t>
            </w:r>
          </w:p>
        </w:tc>
        <w:tc>
          <w:tcPr>
            <w:tcW w:w="3361" w:type="pct"/>
            <w:tcBorders>
              <w:top w:val="outset" w:sz="6" w:space="0" w:color="414142"/>
              <w:left w:val="outset" w:sz="6" w:space="0" w:color="414142"/>
              <w:bottom w:val="outset" w:sz="6" w:space="0" w:color="414142"/>
            </w:tcBorders>
          </w:tcPr>
          <w:p w:rsidR="006044BD" w:rsidRPr="002C5CEA" w:rsidRDefault="006044BD"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120D10" w:rsidRPr="002C5CEA" w:rsidTr="00C87B8D">
        <w:trPr>
          <w:trHeight w:val="345"/>
        </w:trPr>
        <w:tc>
          <w:tcPr>
            <w:tcW w:w="307" w:type="pct"/>
            <w:tcBorders>
              <w:top w:val="outset" w:sz="6" w:space="0" w:color="414142"/>
              <w:bottom w:val="outset" w:sz="6" w:space="0" w:color="414142"/>
              <w:right w:val="outset" w:sz="6" w:space="0" w:color="414142"/>
            </w:tcBorders>
          </w:tcPr>
          <w:p w:rsidR="00120D10"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5</w:t>
            </w:r>
            <w:r w:rsidR="00120D10" w:rsidRPr="002C5CEA">
              <w:rPr>
                <w:rFonts w:ascii="Times New Roman" w:hAnsi="Times New Roman"/>
                <w:sz w:val="24"/>
                <w:szCs w:val="24"/>
                <w:lang w:eastAsia="lv-LV"/>
              </w:rPr>
              <w:t>.</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2C5CEA" w:rsidRDefault="00120D10" w:rsidP="009A627C">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4855CD">
              <w:rPr>
                <w:rFonts w:ascii="Times New Roman" w:hAnsi="Times New Roman"/>
                <w:sz w:val="24"/>
                <w:szCs w:val="24"/>
                <w:lang w:eastAsia="lv-LV"/>
              </w:rPr>
              <w:t>.</w:t>
            </w:r>
          </w:p>
        </w:tc>
      </w:tr>
      <w:tr w:rsidR="007F0A62" w:rsidRPr="002C5CEA"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17"/>
              <w:gridCol w:w="1003"/>
              <w:gridCol w:w="1003"/>
              <w:gridCol w:w="1004"/>
              <w:gridCol w:w="1142"/>
              <w:gridCol w:w="1004"/>
              <w:gridCol w:w="1004"/>
              <w:gridCol w:w="1004"/>
            </w:tblGrid>
            <w:tr w:rsidR="00313C09" w:rsidRPr="00313C09" w:rsidTr="00313C09">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b/>
                      <w:bCs/>
                      <w:color w:val="414142"/>
                      <w:lang w:eastAsia="lv-LV"/>
                    </w:rPr>
                  </w:pPr>
                  <w:r w:rsidRPr="00B53F54">
                    <w:rPr>
                      <w:rFonts w:ascii="Times New Roman" w:eastAsia="Times New Roman" w:hAnsi="Times New Roman"/>
                      <w:b/>
                      <w:bCs/>
                      <w:color w:val="414142"/>
                      <w:lang w:eastAsia="lv-LV"/>
                    </w:rPr>
                    <w:t>III. Tiesību akta projekta ietekme uz valsts budžetu un pašvaldību budžetiem</w:t>
                  </w:r>
                </w:p>
              </w:tc>
            </w:tr>
            <w:tr w:rsidR="00313C09" w:rsidRPr="00313C09" w:rsidTr="00313C09">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C65B8"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2019.</w:t>
                  </w:r>
                  <w:r w:rsidR="00313C09" w:rsidRPr="00B53F54">
                    <w:rPr>
                      <w:rFonts w:ascii="Times New Roman" w:eastAsia="Times New Roman" w:hAnsi="Times New Roman"/>
                      <w:color w:val="414142"/>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Turpmākie trīs gadi (</w:t>
                  </w:r>
                  <w:r w:rsidRPr="00B53F54">
                    <w:rPr>
                      <w:rFonts w:ascii="Times New Roman" w:eastAsia="Times New Roman" w:hAnsi="Times New Roman"/>
                      <w:i/>
                      <w:iCs/>
                      <w:color w:val="414142"/>
                      <w:lang w:eastAsia="lv-LV"/>
                    </w:rPr>
                    <w:t>euro</w:t>
                  </w:r>
                  <w:r w:rsidRPr="00B53F54">
                    <w:rPr>
                      <w:rFonts w:ascii="Times New Roman" w:eastAsia="Times New Roman" w:hAnsi="Times New Roman"/>
                      <w:color w:val="414142"/>
                      <w:lang w:eastAsia="lv-LV"/>
                    </w:rPr>
                    <w:t>)</w:t>
                  </w:r>
                </w:p>
              </w:tc>
            </w:tr>
            <w:tr w:rsidR="00313C09" w:rsidRPr="00313C09" w:rsidTr="00313C0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B53F54"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2020.</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B53F54"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2021.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B53F54"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2022.</w:t>
                  </w:r>
                </w:p>
              </w:tc>
            </w:tr>
            <w:tr w:rsidR="00313C09" w:rsidRPr="00313C09" w:rsidTr="00313C0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izmaiņas kārtējā gadā, salīdzinot ar valsts </w:t>
                  </w:r>
                  <w:r w:rsidRPr="00B53F54">
                    <w:rPr>
                      <w:rFonts w:ascii="Times New Roman" w:eastAsia="Times New Roman" w:hAnsi="Times New Roman"/>
                      <w:color w:val="414142"/>
                      <w:lang w:eastAsia="lv-LV"/>
                    </w:rPr>
                    <w:lastRenderedPageBreak/>
                    <w:t>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izmaiņas, salīdzinot ar vidēja termiņa budžeta </w:t>
                  </w:r>
                  <w:r w:rsidRPr="00B53F54">
                    <w:rPr>
                      <w:rFonts w:ascii="Times New Roman" w:eastAsia="Times New Roman" w:hAnsi="Times New Roman"/>
                      <w:color w:val="414142"/>
                      <w:lang w:eastAsia="lv-LV"/>
                    </w:rPr>
                    <w:lastRenderedPageBreak/>
                    <w:t xml:space="preserve">ietvaru </w:t>
                  </w:r>
                  <w:r w:rsidR="008A46BF">
                    <w:rPr>
                      <w:rFonts w:ascii="Times New Roman" w:eastAsia="Times New Roman" w:hAnsi="Times New Roman"/>
                      <w:color w:val="414142"/>
                      <w:lang w:eastAsia="lv-LV"/>
                    </w:rPr>
                    <w:t>2020.</w:t>
                  </w:r>
                  <w:r w:rsidRPr="00B53F54">
                    <w:rPr>
                      <w:rFonts w:ascii="Times New Roman" w:eastAsia="Times New Roman" w:hAnsi="Times New Roman"/>
                      <w:color w:val="414142"/>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izmaiņas, salīdzinot ar vidēja termiņa budžeta </w:t>
                  </w:r>
                  <w:r w:rsidRPr="00B53F54">
                    <w:rPr>
                      <w:rFonts w:ascii="Times New Roman" w:eastAsia="Times New Roman" w:hAnsi="Times New Roman"/>
                      <w:color w:val="414142"/>
                      <w:lang w:eastAsia="lv-LV"/>
                    </w:rPr>
                    <w:lastRenderedPageBreak/>
                    <w:t xml:space="preserve">ietvaru </w:t>
                  </w:r>
                  <w:r w:rsidR="008A46BF">
                    <w:rPr>
                      <w:rFonts w:ascii="Times New Roman" w:eastAsia="Times New Roman" w:hAnsi="Times New Roman"/>
                      <w:color w:val="414142"/>
                      <w:lang w:eastAsia="lv-LV"/>
                    </w:rPr>
                    <w:t>2021.</w:t>
                  </w:r>
                  <w:r w:rsidRPr="00B53F54">
                    <w:rPr>
                      <w:rFonts w:ascii="Times New Roman" w:eastAsia="Times New Roman" w:hAnsi="Times New Roman"/>
                      <w:color w:val="414142"/>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lastRenderedPageBreak/>
                    <w:t xml:space="preserve">izmaiņas, salīdzinot ar vidēja termiņa budžeta </w:t>
                  </w:r>
                  <w:r w:rsidRPr="00B53F54">
                    <w:rPr>
                      <w:rFonts w:ascii="Times New Roman" w:eastAsia="Times New Roman" w:hAnsi="Times New Roman"/>
                      <w:color w:val="414142"/>
                      <w:lang w:eastAsia="lv-LV"/>
                    </w:rPr>
                    <w:lastRenderedPageBreak/>
                    <w:t xml:space="preserve">ietvaru </w:t>
                  </w:r>
                  <w:r w:rsidR="008A46BF">
                    <w:rPr>
                      <w:rFonts w:ascii="Times New Roman" w:eastAsia="Times New Roman" w:hAnsi="Times New Roman"/>
                      <w:color w:val="414142"/>
                      <w:lang w:eastAsia="lv-LV"/>
                    </w:rPr>
                    <w:t>2021.</w:t>
                  </w:r>
                  <w:r w:rsidRPr="00B53F54">
                    <w:rPr>
                      <w:rFonts w:ascii="Times New Roman" w:eastAsia="Times New Roman" w:hAnsi="Times New Roman"/>
                      <w:color w:val="414142"/>
                      <w:lang w:eastAsia="lv-LV"/>
                    </w:rPr>
                    <w:t xml:space="preserve"> gadam</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8</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270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6. Detalizēts ieņēmumu un izdevumu aprēķins (ja nepieciešams, detalizētu ieņēmumu un izdevumu aprēķinu var pievienot </w:t>
                  </w:r>
                  <w:r w:rsidRPr="00B53F54">
                    <w:rPr>
                      <w:rFonts w:ascii="Times New Roman" w:eastAsia="Times New Roman" w:hAnsi="Times New Roman"/>
                      <w:color w:val="414142"/>
                      <w:lang w:eastAsia="lv-LV"/>
                    </w:rPr>
                    <w:lastRenderedPageBreak/>
                    <w:t>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3F54" w:rsidRPr="00B53F54" w:rsidRDefault="00313C09" w:rsidP="00B53F54">
                  <w:pPr>
                    <w:spacing w:after="0" w:line="240" w:lineRule="auto"/>
                    <w:jc w:val="both"/>
                    <w:rPr>
                      <w:rFonts w:ascii="Times New Roman" w:hAnsi="Times New Roman"/>
                      <w:color w:val="000000"/>
                      <w:lang w:eastAsia="lv-LV"/>
                    </w:rPr>
                  </w:pPr>
                  <w:r w:rsidRPr="00B53F54">
                    <w:rPr>
                      <w:rFonts w:ascii="Times New Roman" w:eastAsia="Times New Roman" w:hAnsi="Times New Roman"/>
                      <w:color w:val="414142"/>
                      <w:lang w:eastAsia="lv-LV"/>
                    </w:rPr>
                    <w:lastRenderedPageBreak/>
                    <w:t> </w:t>
                  </w:r>
                  <w:r w:rsidR="00B53F54" w:rsidRPr="00B53F54">
                    <w:rPr>
                      <w:rFonts w:ascii="Times New Roman" w:hAnsi="Times New Roman"/>
                      <w:color w:val="000000"/>
                      <w:lang w:eastAsia="lv-LV"/>
                    </w:rPr>
                    <w:t>Ieņēmumi par naudas sodiem valsts budžetā plānoti šādā apmērā:</w:t>
                  </w:r>
                </w:p>
                <w:p w:rsidR="00B53F54" w:rsidRPr="00B53F54" w:rsidDel="00A85812" w:rsidRDefault="00B53F54" w:rsidP="00B53F54">
                  <w:pPr>
                    <w:spacing w:after="0" w:line="240" w:lineRule="auto"/>
                    <w:jc w:val="both"/>
                    <w:rPr>
                      <w:rFonts w:ascii="Times New Roman" w:hAnsi="Times New Roman"/>
                    </w:rPr>
                  </w:pPr>
                </w:p>
                <w:tbl>
                  <w:tblPr>
                    <w:tblStyle w:val="Reatabula"/>
                    <w:tblW w:w="0" w:type="auto"/>
                    <w:tblLook w:val="04A0" w:firstRow="1" w:lastRow="0" w:firstColumn="1" w:lastColumn="0" w:noHBand="0" w:noVBand="1"/>
                  </w:tblPr>
                  <w:tblGrid>
                    <w:gridCol w:w="1466"/>
                    <w:gridCol w:w="1407"/>
                    <w:gridCol w:w="1407"/>
                    <w:gridCol w:w="1407"/>
                    <w:gridCol w:w="1407"/>
                  </w:tblGrid>
                  <w:tr w:rsidR="00B53F54" w:rsidRPr="00B53F54" w:rsidTr="001429E0">
                    <w:tc>
                      <w:tcPr>
                        <w:tcW w:w="1479" w:type="dxa"/>
                      </w:tcPr>
                      <w:p w:rsidR="00B53F54" w:rsidRPr="00B53F54" w:rsidRDefault="00B53F54" w:rsidP="001429E0">
                        <w:pPr>
                          <w:spacing w:before="100" w:beforeAutospacing="1" w:after="100" w:afterAutospacing="1"/>
                          <w:jc w:val="both"/>
                          <w:rPr>
                            <w:color w:val="000000"/>
                            <w:sz w:val="22"/>
                            <w:szCs w:val="22"/>
                            <w:lang w:eastAsia="lv-LV"/>
                          </w:rPr>
                        </w:pPr>
                      </w:p>
                    </w:tc>
                    <w:tc>
                      <w:tcPr>
                        <w:tcW w:w="1479"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2019.</w:t>
                        </w:r>
                      </w:p>
                    </w:tc>
                    <w:tc>
                      <w:tcPr>
                        <w:tcW w:w="1479"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2020.</w:t>
                        </w:r>
                      </w:p>
                    </w:tc>
                    <w:tc>
                      <w:tcPr>
                        <w:tcW w:w="1480"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2021.</w:t>
                        </w:r>
                      </w:p>
                    </w:tc>
                    <w:tc>
                      <w:tcPr>
                        <w:tcW w:w="1480"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2022.</w:t>
                        </w:r>
                      </w:p>
                    </w:tc>
                  </w:tr>
                  <w:tr w:rsidR="00B53F54" w:rsidRPr="00B53F54" w:rsidTr="001429E0">
                    <w:tc>
                      <w:tcPr>
                        <w:tcW w:w="1479" w:type="dxa"/>
                      </w:tcPr>
                      <w:p w:rsidR="00B53F54" w:rsidRPr="00B53F54" w:rsidRDefault="00B53F54" w:rsidP="001429E0">
                        <w:pPr>
                          <w:spacing w:after="0" w:line="240" w:lineRule="auto"/>
                          <w:rPr>
                            <w:sz w:val="22"/>
                            <w:szCs w:val="22"/>
                          </w:rPr>
                        </w:pPr>
                        <w:r w:rsidRPr="00B53F54">
                          <w:rPr>
                            <w:sz w:val="22"/>
                            <w:szCs w:val="22"/>
                          </w:rPr>
                          <w:t xml:space="preserve">Par sēklu tirdzniecības prasību </w:t>
                        </w:r>
                        <w:r w:rsidRPr="00B53F54">
                          <w:rPr>
                            <w:sz w:val="22"/>
                            <w:szCs w:val="22"/>
                          </w:rPr>
                          <w:lastRenderedPageBreak/>
                          <w:t>pārkāpšanu</w:t>
                        </w:r>
                      </w:p>
                    </w:tc>
                    <w:tc>
                      <w:tcPr>
                        <w:tcW w:w="1479"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lastRenderedPageBreak/>
                          <w:t>270</w:t>
                        </w:r>
                      </w:p>
                    </w:tc>
                    <w:tc>
                      <w:tcPr>
                        <w:tcW w:w="1479"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c>
                      <w:tcPr>
                        <w:tcW w:w="1480"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c>
                      <w:tcPr>
                        <w:tcW w:w="1480"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r>
                  <w:tr w:rsidR="00B53F54" w:rsidRPr="00B53F54" w:rsidTr="001429E0">
                    <w:tc>
                      <w:tcPr>
                        <w:tcW w:w="1479" w:type="dxa"/>
                      </w:tcPr>
                      <w:p w:rsidR="00B53F54" w:rsidRPr="00B53F54" w:rsidRDefault="00B53F54" w:rsidP="001429E0">
                        <w:pPr>
                          <w:spacing w:after="0" w:line="240" w:lineRule="auto"/>
                          <w:rPr>
                            <w:sz w:val="22"/>
                            <w:szCs w:val="22"/>
                          </w:rPr>
                        </w:pPr>
                        <w:r w:rsidRPr="00B53F54">
                          <w:rPr>
                            <w:sz w:val="22"/>
                            <w:szCs w:val="22"/>
                          </w:rPr>
                          <w:t>Kopā</w:t>
                        </w:r>
                      </w:p>
                    </w:tc>
                    <w:tc>
                      <w:tcPr>
                        <w:tcW w:w="1479"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c>
                      <w:tcPr>
                        <w:tcW w:w="1479"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c>
                      <w:tcPr>
                        <w:tcW w:w="1480"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c>
                      <w:tcPr>
                        <w:tcW w:w="1480" w:type="dxa"/>
                      </w:tcPr>
                      <w:p w:rsidR="00B53F54" w:rsidRPr="00B53F54" w:rsidRDefault="00B53F54" w:rsidP="001429E0">
                        <w:pPr>
                          <w:spacing w:before="100" w:beforeAutospacing="1" w:after="100" w:afterAutospacing="1"/>
                          <w:jc w:val="both"/>
                          <w:rPr>
                            <w:color w:val="000000"/>
                            <w:sz w:val="22"/>
                            <w:szCs w:val="22"/>
                            <w:lang w:eastAsia="lv-LV"/>
                          </w:rPr>
                        </w:pPr>
                        <w:r w:rsidRPr="00B53F54">
                          <w:rPr>
                            <w:color w:val="000000"/>
                            <w:sz w:val="22"/>
                            <w:szCs w:val="22"/>
                            <w:lang w:eastAsia="lv-LV"/>
                          </w:rPr>
                          <w:t>270</w:t>
                        </w:r>
                      </w:p>
                    </w:tc>
                  </w:tr>
                </w:tbl>
                <w:p w:rsidR="00313C09" w:rsidRPr="00B53F54" w:rsidRDefault="00B53F54" w:rsidP="00313C09">
                  <w:pPr>
                    <w:spacing w:after="0" w:line="240" w:lineRule="auto"/>
                    <w:rPr>
                      <w:rFonts w:ascii="Times New Roman" w:eastAsia="Times New Roman" w:hAnsi="Times New Roman"/>
                      <w:color w:val="414142"/>
                      <w:lang w:eastAsia="lv-LV"/>
                    </w:rPr>
                  </w:pPr>
                  <w:r w:rsidRPr="00B53F54">
                    <w:rPr>
                      <w:rFonts w:ascii="Times New Roman" w:hAnsi="Times New Roman"/>
                    </w:rPr>
                    <w:t>Plānots, ka par sēklu tirdzniecības prasību pārkāpšanu no 2019.gada līdz 2022.gadam varētu tikt ierosinātas četras administratīvo pārkāpumu lietas gadā.</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B53F54"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 </w:t>
                  </w:r>
                  <w:r w:rsidRPr="00B53F54">
                    <w:rPr>
                      <w:rFonts w:ascii="Times New Roman" w:hAnsi="Times New Roman"/>
                    </w:rPr>
                    <w:t>Projekts šo jomu neskar.</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Nav</w:t>
                  </w:r>
                  <w:r w:rsidR="00D76F8B">
                    <w:rPr>
                      <w:rFonts w:ascii="Times New Roman" w:eastAsia="Times New Roman" w:hAnsi="Times New Roman"/>
                      <w:color w:val="414142"/>
                      <w:lang w:eastAsia="lv-LV"/>
                    </w:rPr>
                    <w:t>.</w:t>
                  </w:r>
                </w:p>
              </w:tc>
            </w:tr>
          </w:tbl>
          <w:p w:rsidR="007F0A62" w:rsidRPr="002C5CEA" w:rsidRDefault="00313C09" w:rsidP="00313C09">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 xml:space="preserve">  </w:t>
            </w:r>
          </w:p>
        </w:tc>
      </w:tr>
    </w:tbl>
    <w:p w:rsidR="00F95B2C" w:rsidRPr="002C5CEA" w:rsidRDefault="00F95B2C"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356"/>
      </w:tblGrid>
      <w:tr w:rsidR="00120D10" w:rsidRPr="002C5CEA" w:rsidTr="001510C8">
        <w:trPr>
          <w:trHeight w:val="450"/>
        </w:trPr>
        <w:tc>
          <w:tcPr>
            <w:tcW w:w="5000" w:type="pct"/>
            <w:tcBorders>
              <w:top w:val="outset" w:sz="6" w:space="0" w:color="414142"/>
              <w:bottom w:val="outset" w:sz="6" w:space="0" w:color="414142"/>
            </w:tcBorders>
            <w:vAlign w:val="center"/>
          </w:tcPr>
          <w:p w:rsidR="00120D10" w:rsidRPr="002C5CEA" w:rsidRDefault="00120D10"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IV. Tiesību akta projekta ietekme uz spēkā esošo tiesību normu sistēmu</w:t>
            </w:r>
          </w:p>
        </w:tc>
      </w:tr>
      <w:tr w:rsidR="00455B55" w:rsidRPr="002C5CEA" w:rsidTr="001510C8">
        <w:trPr>
          <w:trHeight w:val="450"/>
        </w:trPr>
        <w:tc>
          <w:tcPr>
            <w:tcW w:w="5000" w:type="pct"/>
            <w:tcBorders>
              <w:top w:val="outset" w:sz="6" w:space="0" w:color="414142"/>
              <w:bottom w:val="outset" w:sz="6" w:space="0" w:color="414142"/>
            </w:tcBorders>
            <w:vAlign w:val="center"/>
          </w:tcPr>
          <w:p w:rsidR="00455B55" w:rsidRPr="004855CD" w:rsidRDefault="00455B55" w:rsidP="00450499">
            <w:pPr>
              <w:spacing w:after="0" w:line="312" w:lineRule="auto"/>
              <w:ind w:firstLine="300"/>
              <w:jc w:val="center"/>
              <w:rPr>
                <w:rFonts w:ascii="Times New Roman" w:hAnsi="Times New Roman"/>
                <w:b/>
                <w:bCs/>
                <w:sz w:val="24"/>
                <w:szCs w:val="24"/>
                <w:lang w:eastAsia="lv-LV"/>
              </w:rPr>
            </w:pPr>
            <w:r w:rsidRPr="008A66B8">
              <w:rPr>
                <w:rFonts w:ascii="Times New Roman" w:hAnsi="Times New Roman"/>
                <w:bCs/>
                <w:sz w:val="24"/>
                <w:szCs w:val="24"/>
                <w:lang w:eastAsia="lv-LV"/>
              </w:rPr>
              <w:t>Projekts šo jomu neskar.</w:t>
            </w:r>
          </w:p>
        </w:tc>
      </w:tr>
      <w:tr w:rsidR="00120D10" w:rsidRPr="002C5CEA" w:rsidTr="001510C8">
        <w:tc>
          <w:tcPr>
            <w:tcW w:w="5000" w:type="pct"/>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color w:val="000000" w:themeColor="text1"/>
                <w:sz w:val="24"/>
                <w:szCs w:val="24"/>
                <w:lang w:eastAsia="lv-LV"/>
              </w:rPr>
            </w:pPr>
            <w:r w:rsidRPr="002C5CEA">
              <w:rPr>
                <w:rFonts w:ascii="Times New Roman" w:hAnsi="Times New Roman"/>
                <w:b/>
                <w:bCs/>
                <w:sz w:val="24"/>
                <w:szCs w:val="24"/>
                <w:lang w:eastAsia="lv-LV"/>
              </w:rPr>
              <w:t>V. Tiesību akta projekta atbilstība Latvijas Republikas starptautiskajām saistībām</w:t>
            </w:r>
          </w:p>
        </w:tc>
      </w:tr>
      <w:tr w:rsidR="00120D10" w:rsidRPr="002C5CEA" w:rsidTr="001510C8">
        <w:tc>
          <w:tcPr>
            <w:tcW w:w="5000" w:type="pct"/>
            <w:tcBorders>
              <w:top w:val="outset" w:sz="6" w:space="0" w:color="414142"/>
              <w:bottom w:val="outset" w:sz="6" w:space="0" w:color="414142"/>
            </w:tcBorders>
            <w:vAlign w:val="center"/>
          </w:tcPr>
          <w:p w:rsidR="00120D10" w:rsidRPr="008A66B8" w:rsidRDefault="00120D10" w:rsidP="00747642">
            <w:pPr>
              <w:spacing w:after="0" w:line="312" w:lineRule="auto"/>
              <w:ind w:firstLine="300"/>
              <w:jc w:val="center"/>
              <w:rPr>
                <w:rFonts w:ascii="Times New Roman" w:hAnsi="Times New Roman"/>
                <w:bCs/>
                <w:sz w:val="24"/>
                <w:szCs w:val="24"/>
                <w:lang w:eastAsia="lv-LV"/>
              </w:rPr>
            </w:pPr>
            <w:r w:rsidRPr="008A66B8">
              <w:rPr>
                <w:rFonts w:ascii="Times New Roman" w:hAnsi="Times New Roman"/>
                <w:bCs/>
                <w:sz w:val="24"/>
                <w:szCs w:val="24"/>
                <w:lang w:eastAsia="lv-LV"/>
              </w:rPr>
              <w:t>Projekts šo jomu neskar</w:t>
            </w:r>
            <w:r w:rsidR="000A5ECE" w:rsidRPr="008A66B8">
              <w:rPr>
                <w:rFonts w:ascii="Times New Roman" w:hAnsi="Times New Roman"/>
                <w:bCs/>
                <w:sz w:val="24"/>
                <w:szCs w:val="24"/>
                <w:lang w:eastAsia="lv-LV"/>
              </w:rPr>
              <w:t>.</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2C5CEA" w:rsidTr="001510C8">
        <w:trPr>
          <w:trHeight w:val="420"/>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 Sabiedrības līdzdalība un komunikācijas aktivitātes</w:t>
            </w:r>
          </w:p>
        </w:tc>
      </w:tr>
      <w:tr w:rsidR="00120D10" w:rsidRPr="002C5CEA" w:rsidTr="001510C8">
        <w:trPr>
          <w:trHeight w:val="54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35EB3" w:rsidRPr="00EE656D" w:rsidRDefault="00455B55" w:rsidP="003502ED">
            <w:pPr>
              <w:spacing w:after="0" w:line="240" w:lineRule="auto"/>
              <w:jc w:val="both"/>
              <w:rPr>
                <w:rFonts w:ascii="Times New Roman" w:hAnsi="Times New Roman"/>
                <w:sz w:val="24"/>
                <w:szCs w:val="24"/>
                <w:highlight w:val="yellow"/>
                <w:lang w:eastAsia="lv-LV"/>
              </w:rPr>
            </w:pPr>
            <w:r w:rsidRPr="00455B55">
              <w:rPr>
                <w:rFonts w:ascii="Times New Roman" w:hAnsi="Times New Roman"/>
                <w:sz w:val="24"/>
                <w:szCs w:val="24"/>
                <w:lang w:eastAsia="lv-LV"/>
              </w:rPr>
              <w:t xml:space="preserve">Informācija </w:t>
            </w:r>
            <w:r>
              <w:rPr>
                <w:rFonts w:ascii="Times New Roman" w:hAnsi="Times New Roman"/>
                <w:sz w:val="24"/>
                <w:szCs w:val="24"/>
                <w:lang w:eastAsia="lv-LV"/>
              </w:rPr>
              <w:t xml:space="preserve">par </w:t>
            </w:r>
            <w:r w:rsidR="00606683">
              <w:rPr>
                <w:rFonts w:ascii="Times New Roman" w:hAnsi="Times New Roman"/>
                <w:sz w:val="24"/>
                <w:szCs w:val="24"/>
                <w:lang w:eastAsia="lv-LV"/>
              </w:rPr>
              <w:t>likum</w:t>
            </w:r>
            <w:r>
              <w:rPr>
                <w:rFonts w:ascii="Times New Roman" w:hAnsi="Times New Roman"/>
                <w:sz w:val="24"/>
                <w:szCs w:val="24"/>
                <w:lang w:eastAsia="lv-LV"/>
              </w:rPr>
              <w:t>projektu tik</w:t>
            </w:r>
            <w:r w:rsidR="00BA5A34">
              <w:rPr>
                <w:rFonts w:ascii="Times New Roman" w:hAnsi="Times New Roman"/>
                <w:sz w:val="24"/>
                <w:szCs w:val="24"/>
                <w:lang w:eastAsia="lv-LV"/>
              </w:rPr>
              <w:t>a</w:t>
            </w:r>
            <w:r w:rsidRPr="00455B55">
              <w:rPr>
                <w:rFonts w:ascii="Times New Roman" w:hAnsi="Times New Roman"/>
                <w:sz w:val="24"/>
                <w:szCs w:val="24"/>
                <w:lang w:eastAsia="lv-LV"/>
              </w:rPr>
              <w:t xml:space="preserve"> ievietota Zemkopības ministrijas tīmekļa vietnē www.zm.gov.lv.</w:t>
            </w:r>
          </w:p>
        </w:tc>
      </w:tr>
      <w:tr w:rsidR="00120D10" w:rsidRPr="002C5CEA" w:rsidTr="001510C8">
        <w:trPr>
          <w:trHeight w:val="60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2C5CEA" w:rsidRDefault="006845F7" w:rsidP="00BA5A34">
            <w:pPr>
              <w:spacing w:after="0" w:line="240" w:lineRule="auto"/>
              <w:jc w:val="both"/>
              <w:rPr>
                <w:rFonts w:ascii="Times New Roman" w:hAnsi="Times New Roman"/>
                <w:sz w:val="24"/>
                <w:szCs w:val="24"/>
              </w:rPr>
            </w:pPr>
            <w:r>
              <w:rPr>
                <w:rFonts w:ascii="Times New Roman" w:hAnsi="Times New Roman"/>
                <w:sz w:val="24"/>
                <w:szCs w:val="24"/>
              </w:rPr>
              <w:t>L</w:t>
            </w:r>
            <w:r w:rsidR="000706AD">
              <w:rPr>
                <w:rFonts w:ascii="Times New Roman" w:hAnsi="Times New Roman"/>
                <w:sz w:val="24"/>
                <w:szCs w:val="24"/>
              </w:rPr>
              <w:t>ikumproj</w:t>
            </w:r>
            <w:r>
              <w:rPr>
                <w:rFonts w:ascii="Times New Roman" w:hAnsi="Times New Roman"/>
                <w:sz w:val="24"/>
                <w:szCs w:val="24"/>
              </w:rPr>
              <w:t>ekts</w:t>
            </w:r>
            <w:r w:rsidR="00546275">
              <w:rPr>
                <w:rFonts w:ascii="Times New Roman" w:hAnsi="Times New Roman"/>
                <w:sz w:val="24"/>
                <w:szCs w:val="24"/>
              </w:rPr>
              <w:t xml:space="preserve"> </w:t>
            </w:r>
            <w:r w:rsidR="00BA5A34">
              <w:rPr>
                <w:rFonts w:ascii="Times New Roman" w:hAnsi="Times New Roman"/>
                <w:sz w:val="24"/>
                <w:szCs w:val="24"/>
              </w:rPr>
              <w:t xml:space="preserve">nosūtīts </w:t>
            </w:r>
            <w:r>
              <w:rPr>
                <w:rFonts w:ascii="Times New Roman" w:hAnsi="Times New Roman"/>
                <w:sz w:val="24"/>
                <w:szCs w:val="24"/>
              </w:rPr>
              <w:t>saskaņo</w:t>
            </w:r>
            <w:r w:rsidR="00BA5A34">
              <w:rPr>
                <w:rFonts w:ascii="Times New Roman" w:hAnsi="Times New Roman"/>
                <w:sz w:val="24"/>
                <w:szCs w:val="24"/>
              </w:rPr>
              <w:t>šanai</w:t>
            </w:r>
            <w:r w:rsidR="007F77F7">
              <w:rPr>
                <w:rFonts w:ascii="Times New Roman" w:hAnsi="Times New Roman"/>
                <w:sz w:val="24"/>
                <w:szCs w:val="24"/>
              </w:rPr>
              <w:t xml:space="preserve"> </w:t>
            </w:r>
            <w:r w:rsidR="000706AD">
              <w:rPr>
                <w:rFonts w:ascii="Times New Roman" w:hAnsi="Times New Roman"/>
                <w:sz w:val="24"/>
                <w:szCs w:val="24"/>
              </w:rPr>
              <w:t>Lauksaimnieku organizāciju sadarbības padom</w:t>
            </w:r>
            <w:r w:rsidR="00BA5A34">
              <w:rPr>
                <w:rFonts w:ascii="Times New Roman" w:hAnsi="Times New Roman"/>
                <w:sz w:val="24"/>
                <w:szCs w:val="24"/>
              </w:rPr>
              <w:t>ei</w:t>
            </w:r>
            <w:r w:rsidR="000706AD">
              <w:rPr>
                <w:rFonts w:ascii="Times New Roman" w:hAnsi="Times New Roman"/>
                <w:sz w:val="24"/>
                <w:szCs w:val="24"/>
              </w:rPr>
              <w:t xml:space="preserve"> un Zemnieku saeim</w:t>
            </w:r>
            <w:r w:rsidR="00BA5A34">
              <w:rPr>
                <w:rFonts w:ascii="Times New Roman" w:hAnsi="Times New Roman"/>
                <w:sz w:val="24"/>
                <w:szCs w:val="24"/>
              </w:rPr>
              <w:t>ai</w:t>
            </w:r>
            <w:r w:rsidR="000706AD">
              <w:rPr>
                <w:rFonts w:ascii="Times New Roman" w:hAnsi="Times New Roman"/>
                <w:sz w:val="24"/>
                <w:szCs w:val="24"/>
              </w:rPr>
              <w:t>.</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Pr="002C5CEA" w:rsidRDefault="00BA5A34" w:rsidP="002C5CEA">
            <w:pPr>
              <w:spacing w:after="0" w:line="240" w:lineRule="auto"/>
              <w:jc w:val="both"/>
              <w:rPr>
                <w:rFonts w:ascii="Times New Roman" w:hAnsi="Times New Roman"/>
                <w:sz w:val="24"/>
                <w:szCs w:val="24"/>
              </w:rPr>
            </w:pPr>
            <w:r>
              <w:rPr>
                <w:rFonts w:ascii="Times New Roman" w:hAnsi="Times New Roman"/>
                <w:sz w:val="24"/>
                <w:szCs w:val="24"/>
              </w:rPr>
              <w:t>No Lauksaimnieku organizāciju sadarbības padome</w:t>
            </w:r>
            <w:r w:rsidR="00356963">
              <w:rPr>
                <w:rFonts w:ascii="Times New Roman" w:hAnsi="Times New Roman"/>
                <w:sz w:val="24"/>
                <w:szCs w:val="24"/>
              </w:rPr>
              <w:t>s saņemti komentāri un uz tiem sniegta atbilde.</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2C5CEA" w:rsidRDefault="00120D10" w:rsidP="009266D4">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bookmarkStart w:id="0" w:name="_GoBack"/>
            <w:bookmarkEnd w:id="0"/>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2C5CEA" w:rsidTr="001510C8">
        <w:trPr>
          <w:trHeight w:val="37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120D10" w:rsidRPr="002C5CEA" w:rsidTr="001510C8">
        <w:trPr>
          <w:trHeight w:val="42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2C5CEA" w:rsidRDefault="00120D10" w:rsidP="003502ED">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V</w:t>
            </w:r>
            <w:r w:rsidR="0051253C" w:rsidRPr="002C5CEA">
              <w:rPr>
                <w:rFonts w:ascii="Times New Roman" w:hAnsi="Times New Roman"/>
                <w:sz w:val="24"/>
                <w:szCs w:val="24"/>
                <w:lang w:eastAsia="lv-LV"/>
              </w:rPr>
              <w:t>alsts augu aizsardzības dienests</w:t>
            </w:r>
            <w:r w:rsidR="00D76F8B">
              <w:rPr>
                <w:rFonts w:ascii="Times New Roman" w:hAnsi="Times New Roman"/>
                <w:sz w:val="24"/>
                <w:szCs w:val="24"/>
                <w:lang w:eastAsia="lv-LV"/>
              </w:rPr>
              <w:t>.</w:t>
            </w:r>
            <w:r w:rsidR="001C2C28" w:rsidRPr="002C5CEA">
              <w:rPr>
                <w:rFonts w:ascii="Times New Roman" w:hAnsi="Times New Roman"/>
                <w:sz w:val="24"/>
                <w:szCs w:val="24"/>
                <w:lang w:eastAsia="lv-LV"/>
              </w:rPr>
              <w:t xml:space="preserve"> </w:t>
            </w:r>
          </w:p>
          <w:p w:rsidR="00B35EB3" w:rsidRPr="002C5CEA" w:rsidRDefault="00B35EB3" w:rsidP="003502ED">
            <w:pPr>
              <w:spacing w:after="0" w:line="240" w:lineRule="auto"/>
              <w:jc w:val="both"/>
              <w:rPr>
                <w:rFonts w:ascii="Times New Roman" w:hAnsi="Times New Roman"/>
                <w:sz w:val="24"/>
                <w:szCs w:val="24"/>
                <w:lang w:eastAsia="lv-LV"/>
              </w:rPr>
            </w:pPr>
          </w:p>
        </w:tc>
      </w:tr>
      <w:tr w:rsidR="00120D10" w:rsidRPr="002C5CEA" w:rsidTr="001510C8">
        <w:trPr>
          <w:trHeight w:val="45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B35EB3" w:rsidRPr="002C5CEA" w:rsidRDefault="00455B55" w:rsidP="003A25E9">
            <w:pPr>
              <w:pStyle w:val="Bezatstarpm"/>
              <w:jc w:val="both"/>
              <w:rPr>
                <w:rFonts w:ascii="Times New Roman" w:hAnsi="Times New Roman"/>
                <w:sz w:val="24"/>
                <w:szCs w:val="24"/>
                <w:lang w:eastAsia="lv-LV"/>
              </w:rPr>
            </w:pPr>
            <w:r w:rsidRPr="00455B55">
              <w:rPr>
                <w:rFonts w:ascii="Times New Roman" w:hAnsi="Times New Roman"/>
                <w:sz w:val="24"/>
                <w:szCs w:val="24"/>
                <w:lang w:eastAsia="lv-LV"/>
              </w:rPr>
              <w:t>Projekts neietekmē pārvaldes funkcijas. Projekta izpildei nav nepieciešama jaunu institūciju izveide, esošo likvidācija vai reorganizācija.</w:t>
            </w:r>
          </w:p>
          <w:p w:rsidR="00B35EB3" w:rsidRPr="002C5CEA" w:rsidRDefault="00B35EB3" w:rsidP="003A25E9">
            <w:pPr>
              <w:pStyle w:val="Bezatstarpm"/>
              <w:jc w:val="both"/>
              <w:rPr>
                <w:rFonts w:ascii="Times New Roman" w:hAnsi="Times New Roman"/>
                <w:sz w:val="24"/>
                <w:szCs w:val="24"/>
                <w:lang w:eastAsia="lv-LV"/>
              </w:rPr>
            </w:pPr>
          </w:p>
        </w:tc>
      </w:tr>
      <w:tr w:rsidR="00120D10" w:rsidRPr="002C5CEA" w:rsidTr="001510C8">
        <w:trPr>
          <w:trHeight w:val="39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2C5CEA" w:rsidRDefault="00120D10" w:rsidP="003A25E9">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rsidR="006845F7" w:rsidRDefault="006845F7" w:rsidP="00590625">
      <w:pPr>
        <w:spacing w:after="0" w:line="240" w:lineRule="auto"/>
        <w:rPr>
          <w:rFonts w:ascii="Times New Roman" w:hAnsi="Times New Roman"/>
          <w:sz w:val="24"/>
          <w:szCs w:val="24"/>
        </w:rPr>
      </w:pPr>
    </w:p>
    <w:p w:rsidR="00590625" w:rsidRDefault="00590625" w:rsidP="00590625">
      <w:pPr>
        <w:spacing w:after="0" w:line="240" w:lineRule="auto"/>
        <w:rPr>
          <w:rFonts w:ascii="Times New Roman" w:hAnsi="Times New Roman"/>
          <w:sz w:val="24"/>
          <w:szCs w:val="24"/>
        </w:rPr>
      </w:pPr>
    </w:p>
    <w:p w:rsidR="00730EAB" w:rsidRPr="00590625" w:rsidRDefault="001C6846" w:rsidP="007F77F7">
      <w:pPr>
        <w:ind w:firstLine="720"/>
        <w:rPr>
          <w:rFonts w:ascii="Times New Roman" w:hAnsi="Times New Roman"/>
          <w:sz w:val="28"/>
          <w:szCs w:val="28"/>
        </w:rPr>
      </w:pPr>
      <w:r w:rsidRPr="00590625">
        <w:rPr>
          <w:rFonts w:ascii="Times New Roman" w:hAnsi="Times New Roman"/>
          <w:sz w:val="28"/>
          <w:szCs w:val="28"/>
        </w:rPr>
        <w:t>Zemkopības ministr</w:t>
      </w:r>
      <w:r w:rsidR="00C829F8">
        <w:rPr>
          <w:rFonts w:ascii="Times New Roman" w:hAnsi="Times New Roman"/>
          <w:sz w:val="28"/>
          <w:szCs w:val="28"/>
        </w:rPr>
        <w:t>s</w:t>
      </w:r>
      <w:r w:rsidR="00C829F8">
        <w:rPr>
          <w:rFonts w:ascii="Times New Roman" w:hAnsi="Times New Roman"/>
          <w:sz w:val="28"/>
          <w:szCs w:val="28"/>
        </w:rPr>
        <w:tab/>
      </w:r>
      <w:r w:rsidR="00C829F8">
        <w:rPr>
          <w:rFonts w:ascii="Times New Roman" w:hAnsi="Times New Roman"/>
          <w:sz w:val="28"/>
          <w:szCs w:val="28"/>
        </w:rPr>
        <w:tab/>
      </w:r>
      <w:r w:rsidR="00C829F8">
        <w:rPr>
          <w:rFonts w:ascii="Times New Roman" w:hAnsi="Times New Roman"/>
          <w:sz w:val="28"/>
          <w:szCs w:val="28"/>
        </w:rPr>
        <w:tab/>
      </w:r>
      <w:r w:rsidR="00C829F8">
        <w:rPr>
          <w:rFonts w:ascii="Times New Roman" w:hAnsi="Times New Roman"/>
          <w:sz w:val="28"/>
          <w:szCs w:val="28"/>
        </w:rPr>
        <w:tab/>
      </w:r>
      <w:r w:rsidR="00C829F8">
        <w:rPr>
          <w:rFonts w:ascii="Times New Roman" w:hAnsi="Times New Roman"/>
          <w:sz w:val="28"/>
          <w:szCs w:val="28"/>
        </w:rPr>
        <w:tab/>
      </w:r>
      <w:r w:rsidR="00C829F8">
        <w:rPr>
          <w:rFonts w:ascii="Times New Roman" w:hAnsi="Times New Roman"/>
          <w:sz w:val="28"/>
          <w:szCs w:val="28"/>
        </w:rPr>
        <w:tab/>
        <w:t xml:space="preserve">K. </w:t>
      </w:r>
      <w:r w:rsidR="00D67FA3" w:rsidRPr="00590625">
        <w:rPr>
          <w:rFonts w:ascii="Times New Roman" w:hAnsi="Times New Roman"/>
          <w:sz w:val="28"/>
          <w:szCs w:val="28"/>
        </w:rPr>
        <w:t>Gerhards</w:t>
      </w:r>
      <w:r w:rsidRPr="00590625">
        <w:rPr>
          <w:rFonts w:ascii="Times New Roman" w:hAnsi="Times New Roman"/>
          <w:sz w:val="28"/>
          <w:szCs w:val="28"/>
        </w:rPr>
        <w:t xml:space="preserve"> </w:t>
      </w:r>
    </w:p>
    <w:p w:rsidR="00BA5A34" w:rsidRPr="00590625" w:rsidRDefault="00455B55" w:rsidP="00590625">
      <w:pPr>
        <w:spacing w:after="0" w:line="240" w:lineRule="auto"/>
        <w:rPr>
          <w:rFonts w:ascii="Times New Roman" w:hAnsi="Times New Roman"/>
          <w:sz w:val="24"/>
          <w:szCs w:val="24"/>
        </w:rPr>
      </w:pPr>
      <w:r w:rsidRPr="00590625">
        <w:rPr>
          <w:rFonts w:ascii="Times New Roman" w:hAnsi="Times New Roman"/>
          <w:sz w:val="24"/>
          <w:szCs w:val="24"/>
        </w:rPr>
        <w:t>Jēkabsone</w:t>
      </w:r>
      <w:r w:rsidR="00590625" w:rsidRPr="00590625">
        <w:rPr>
          <w:rFonts w:ascii="Times New Roman" w:hAnsi="Times New Roman"/>
          <w:sz w:val="24"/>
          <w:szCs w:val="24"/>
        </w:rPr>
        <w:t xml:space="preserve"> </w:t>
      </w:r>
      <w:r w:rsidR="00120D10" w:rsidRPr="00590625">
        <w:rPr>
          <w:rFonts w:ascii="Times New Roman" w:hAnsi="Times New Roman"/>
          <w:sz w:val="24"/>
          <w:szCs w:val="24"/>
        </w:rPr>
        <w:t>6</w:t>
      </w:r>
      <w:r w:rsidR="00C76B18" w:rsidRPr="00590625">
        <w:rPr>
          <w:rFonts w:ascii="Times New Roman" w:hAnsi="Times New Roman"/>
          <w:sz w:val="24"/>
          <w:szCs w:val="24"/>
        </w:rPr>
        <w:t>7</w:t>
      </w:r>
      <w:r w:rsidRPr="00590625">
        <w:rPr>
          <w:rFonts w:ascii="Times New Roman" w:hAnsi="Times New Roman"/>
          <w:sz w:val="24"/>
          <w:szCs w:val="24"/>
        </w:rPr>
        <w:t>027177</w:t>
      </w:r>
    </w:p>
    <w:p w:rsidR="00AF085B" w:rsidRPr="00590625" w:rsidRDefault="00C829F8" w:rsidP="00590625">
      <w:pPr>
        <w:pStyle w:val="Bezatstarpm"/>
        <w:tabs>
          <w:tab w:val="center" w:pos="4535"/>
        </w:tabs>
        <w:rPr>
          <w:rFonts w:ascii="Times New Roman" w:hAnsi="Times New Roman"/>
          <w:sz w:val="24"/>
          <w:szCs w:val="24"/>
        </w:rPr>
      </w:pPr>
      <w:hyperlink r:id="rId8" w:history="1">
        <w:r w:rsidR="00455B55" w:rsidRPr="00590625">
          <w:rPr>
            <w:rStyle w:val="Hipersaite"/>
            <w:rFonts w:ascii="Times New Roman" w:hAnsi="Times New Roman"/>
            <w:sz w:val="24"/>
            <w:szCs w:val="24"/>
          </w:rPr>
          <w:t>Ineta.Jekabsone@zm.gov.lv</w:t>
        </w:r>
      </w:hyperlink>
    </w:p>
    <w:p w:rsidR="00120D10" w:rsidRPr="007F77F7" w:rsidRDefault="00C829F8" w:rsidP="007F77F7">
      <w:pPr>
        <w:pStyle w:val="Bezatstarpm"/>
        <w:rPr>
          <w:rFonts w:ascii="Times New Roman" w:hAnsi="Times New Roman"/>
          <w:sz w:val="20"/>
          <w:szCs w:val="20"/>
        </w:rPr>
      </w:pPr>
      <w:hyperlink r:id="rId9" w:history="1"/>
    </w:p>
    <w:sectPr w:rsidR="00120D10" w:rsidRPr="007F77F7" w:rsidSect="00C829F8">
      <w:headerReference w:type="even" r:id="rId10"/>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DA" w:rsidRDefault="001B4CDA" w:rsidP="001E3B9F">
      <w:pPr>
        <w:spacing w:after="0" w:line="240" w:lineRule="auto"/>
      </w:pPr>
      <w:r>
        <w:separator/>
      </w:r>
    </w:p>
  </w:endnote>
  <w:endnote w:type="continuationSeparator" w:id="0">
    <w:p w:rsidR="001B4CDA" w:rsidRDefault="001B4CDA"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C829F8" w:rsidRDefault="00C829F8" w:rsidP="00C829F8">
    <w:pPr>
      <w:pStyle w:val="Kjene"/>
    </w:pPr>
    <w:r w:rsidRPr="00C829F8">
      <w:rPr>
        <w:rFonts w:ascii="Times New Roman" w:hAnsi="Times New Roman"/>
        <w:lang w:eastAsia="en-US"/>
      </w:rPr>
      <w:t>ZManot_210319_seklas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C829F8" w:rsidRDefault="00C829F8" w:rsidP="00C829F8">
    <w:pPr>
      <w:pStyle w:val="Kjene"/>
    </w:pPr>
    <w:r w:rsidRPr="00C829F8">
      <w:rPr>
        <w:rFonts w:ascii="Times New Roman" w:hAnsi="Times New Roman"/>
        <w:lang w:eastAsia="en-US"/>
      </w:rPr>
      <w:t>ZManot_210319_seklas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DA" w:rsidRDefault="001B4CDA" w:rsidP="001E3B9F">
      <w:pPr>
        <w:spacing w:after="0" w:line="240" w:lineRule="auto"/>
      </w:pPr>
      <w:r>
        <w:separator/>
      </w:r>
    </w:p>
  </w:footnote>
  <w:footnote w:type="continuationSeparator" w:id="0">
    <w:p w:rsidR="001B4CDA" w:rsidRDefault="001B4CDA"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C829F8">
      <w:rPr>
        <w:rStyle w:val="Lappusesnumurs"/>
        <w:rFonts w:ascii="Times New Roman" w:hAnsi="Times New Roman"/>
        <w:noProof/>
        <w:sz w:val="24"/>
        <w:szCs w:val="24"/>
      </w:rPr>
      <w:t>5</w:t>
    </w:r>
    <w:r w:rsidRPr="008D48AC">
      <w:rPr>
        <w:rStyle w:val="Lappusesnumurs"/>
        <w:rFonts w:ascii="Times New Roman" w:hAnsi="Times New Roman"/>
        <w:sz w:val="24"/>
        <w:szCs w:val="24"/>
      </w:rPr>
      <w:fldChar w:fldCharType="end"/>
    </w:r>
  </w:p>
  <w:p w:rsidR="00830D94" w:rsidRDefault="00830D94">
    <w:pPr>
      <w:pStyle w:val="Galvene"/>
    </w:pP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4"/>
  </w:num>
  <w:num w:numId="5">
    <w:abstractNumId w:val="10"/>
  </w:num>
  <w:num w:numId="6">
    <w:abstractNumId w:val="19"/>
  </w:num>
  <w:num w:numId="7">
    <w:abstractNumId w:val="0"/>
  </w:num>
  <w:num w:numId="8">
    <w:abstractNumId w:val="6"/>
  </w:num>
  <w:num w:numId="9">
    <w:abstractNumId w:val="15"/>
  </w:num>
  <w:num w:numId="10">
    <w:abstractNumId w:val="7"/>
  </w:num>
  <w:num w:numId="11">
    <w:abstractNumId w:val="13"/>
  </w:num>
  <w:num w:numId="12">
    <w:abstractNumId w:val="18"/>
  </w:num>
  <w:num w:numId="13">
    <w:abstractNumId w:val="9"/>
  </w:num>
  <w:num w:numId="14">
    <w:abstractNumId w:val="11"/>
  </w:num>
  <w:num w:numId="15">
    <w:abstractNumId w:val="8"/>
  </w:num>
  <w:num w:numId="16">
    <w:abstractNumId w:val="17"/>
  </w:num>
  <w:num w:numId="17">
    <w:abstractNumId w:val="2"/>
  </w:num>
  <w:num w:numId="18">
    <w:abstractNumId w:val="1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1BC0"/>
    <w:rsid w:val="000020D1"/>
    <w:rsid w:val="00006BE8"/>
    <w:rsid w:val="00011F70"/>
    <w:rsid w:val="00013CC6"/>
    <w:rsid w:val="00020F17"/>
    <w:rsid w:val="000218B8"/>
    <w:rsid w:val="00022ED8"/>
    <w:rsid w:val="00027D94"/>
    <w:rsid w:val="000453A9"/>
    <w:rsid w:val="00045B4E"/>
    <w:rsid w:val="00046E73"/>
    <w:rsid w:val="000507EE"/>
    <w:rsid w:val="0005147F"/>
    <w:rsid w:val="00052073"/>
    <w:rsid w:val="00055DDD"/>
    <w:rsid w:val="000706AD"/>
    <w:rsid w:val="000717DA"/>
    <w:rsid w:val="00073BC7"/>
    <w:rsid w:val="00075308"/>
    <w:rsid w:val="0008098C"/>
    <w:rsid w:val="00090276"/>
    <w:rsid w:val="00090FC5"/>
    <w:rsid w:val="00091B8A"/>
    <w:rsid w:val="00093746"/>
    <w:rsid w:val="00093DA3"/>
    <w:rsid w:val="000955FC"/>
    <w:rsid w:val="00095716"/>
    <w:rsid w:val="000A24B1"/>
    <w:rsid w:val="000A3621"/>
    <w:rsid w:val="000A47E7"/>
    <w:rsid w:val="000A5770"/>
    <w:rsid w:val="000A5ECE"/>
    <w:rsid w:val="000A6EF6"/>
    <w:rsid w:val="000B0A10"/>
    <w:rsid w:val="000B0E56"/>
    <w:rsid w:val="000B3402"/>
    <w:rsid w:val="000B3B1B"/>
    <w:rsid w:val="000B63D4"/>
    <w:rsid w:val="000C41D5"/>
    <w:rsid w:val="000C4528"/>
    <w:rsid w:val="000C7EC9"/>
    <w:rsid w:val="000D414B"/>
    <w:rsid w:val="000D6C60"/>
    <w:rsid w:val="000E2D08"/>
    <w:rsid w:val="000E3171"/>
    <w:rsid w:val="000E5B2F"/>
    <w:rsid w:val="000E73AF"/>
    <w:rsid w:val="000E7679"/>
    <w:rsid w:val="000F74E3"/>
    <w:rsid w:val="00100BCD"/>
    <w:rsid w:val="001018C4"/>
    <w:rsid w:val="00102269"/>
    <w:rsid w:val="00105B63"/>
    <w:rsid w:val="00106D0E"/>
    <w:rsid w:val="00107BB0"/>
    <w:rsid w:val="00110000"/>
    <w:rsid w:val="00110FE7"/>
    <w:rsid w:val="00112FBE"/>
    <w:rsid w:val="001137BF"/>
    <w:rsid w:val="00120D10"/>
    <w:rsid w:val="00122E99"/>
    <w:rsid w:val="00130F3D"/>
    <w:rsid w:val="00136A9D"/>
    <w:rsid w:val="00137627"/>
    <w:rsid w:val="00140C6F"/>
    <w:rsid w:val="00141CFE"/>
    <w:rsid w:val="00142E8A"/>
    <w:rsid w:val="00143E55"/>
    <w:rsid w:val="001455C4"/>
    <w:rsid w:val="00146184"/>
    <w:rsid w:val="00146274"/>
    <w:rsid w:val="00147574"/>
    <w:rsid w:val="001510C8"/>
    <w:rsid w:val="001561EB"/>
    <w:rsid w:val="00157D0B"/>
    <w:rsid w:val="0017007E"/>
    <w:rsid w:val="00171100"/>
    <w:rsid w:val="001822F1"/>
    <w:rsid w:val="0019143B"/>
    <w:rsid w:val="00193199"/>
    <w:rsid w:val="001936A7"/>
    <w:rsid w:val="001A348A"/>
    <w:rsid w:val="001B4CDA"/>
    <w:rsid w:val="001B710A"/>
    <w:rsid w:val="001C1362"/>
    <w:rsid w:val="001C2C28"/>
    <w:rsid w:val="001C4E5B"/>
    <w:rsid w:val="001C5340"/>
    <w:rsid w:val="001C57A8"/>
    <w:rsid w:val="001C6846"/>
    <w:rsid w:val="001C7FE2"/>
    <w:rsid w:val="001D1532"/>
    <w:rsid w:val="001D1E46"/>
    <w:rsid w:val="001D5B68"/>
    <w:rsid w:val="001D5BC1"/>
    <w:rsid w:val="001D683F"/>
    <w:rsid w:val="001E3B9F"/>
    <w:rsid w:val="001E5D77"/>
    <w:rsid w:val="001E7F6A"/>
    <w:rsid w:val="001F0DE2"/>
    <w:rsid w:val="001F7D7C"/>
    <w:rsid w:val="00203340"/>
    <w:rsid w:val="002067C0"/>
    <w:rsid w:val="00207A01"/>
    <w:rsid w:val="00214BE3"/>
    <w:rsid w:val="00214DC0"/>
    <w:rsid w:val="00223365"/>
    <w:rsid w:val="002264A8"/>
    <w:rsid w:val="00227277"/>
    <w:rsid w:val="002318B0"/>
    <w:rsid w:val="002334BA"/>
    <w:rsid w:val="0023356B"/>
    <w:rsid w:val="00233BC8"/>
    <w:rsid w:val="00233CC9"/>
    <w:rsid w:val="00237819"/>
    <w:rsid w:val="002447FD"/>
    <w:rsid w:val="002515BC"/>
    <w:rsid w:val="0025210E"/>
    <w:rsid w:val="00255A05"/>
    <w:rsid w:val="002563B9"/>
    <w:rsid w:val="00256AB6"/>
    <w:rsid w:val="00256FC2"/>
    <w:rsid w:val="00265EE2"/>
    <w:rsid w:val="00267914"/>
    <w:rsid w:val="002766EB"/>
    <w:rsid w:val="00277E69"/>
    <w:rsid w:val="002805A5"/>
    <w:rsid w:val="002832D3"/>
    <w:rsid w:val="0028372B"/>
    <w:rsid w:val="00285609"/>
    <w:rsid w:val="00296D0D"/>
    <w:rsid w:val="00297352"/>
    <w:rsid w:val="002A0701"/>
    <w:rsid w:val="002A23CE"/>
    <w:rsid w:val="002A4DD4"/>
    <w:rsid w:val="002A59A6"/>
    <w:rsid w:val="002A711F"/>
    <w:rsid w:val="002B047F"/>
    <w:rsid w:val="002B0713"/>
    <w:rsid w:val="002B16FC"/>
    <w:rsid w:val="002B6590"/>
    <w:rsid w:val="002C2771"/>
    <w:rsid w:val="002C357B"/>
    <w:rsid w:val="002C4A0F"/>
    <w:rsid w:val="002C5738"/>
    <w:rsid w:val="002C5CEA"/>
    <w:rsid w:val="002E19F7"/>
    <w:rsid w:val="002E26E7"/>
    <w:rsid w:val="002E498A"/>
    <w:rsid w:val="002E762D"/>
    <w:rsid w:val="002E76F1"/>
    <w:rsid w:val="002F0318"/>
    <w:rsid w:val="002F140A"/>
    <w:rsid w:val="002F1F73"/>
    <w:rsid w:val="002F397A"/>
    <w:rsid w:val="002F3EAC"/>
    <w:rsid w:val="002F6D42"/>
    <w:rsid w:val="002F7BCF"/>
    <w:rsid w:val="003001F7"/>
    <w:rsid w:val="00302732"/>
    <w:rsid w:val="0030374F"/>
    <w:rsid w:val="00311D6A"/>
    <w:rsid w:val="00311FE8"/>
    <w:rsid w:val="00312AE8"/>
    <w:rsid w:val="00313C09"/>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63"/>
    <w:rsid w:val="003569C3"/>
    <w:rsid w:val="00366D43"/>
    <w:rsid w:val="00366F35"/>
    <w:rsid w:val="00372A33"/>
    <w:rsid w:val="00375AD0"/>
    <w:rsid w:val="003767B6"/>
    <w:rsid w:val="00377415"/>
    <w:rsid w:val="00377C20"/>
    <w:rsid w:val="00380133"/>
    <w:rsid w:val="0038118D"/>
    <w:rsid w:val="0038315B"/>
    <w:rsid w:val="00390056"/>
    <w:rsid w:val="00393E99"/>
    <w:rsid w:val="003A0104"/>
    <w:rsid w:val="003A25E9"/>
    <w:rsid w:val="003A29E9"/>
    <w:rsid w:val="003A7270"/>
    <w:rsid w:val="003B4678"/>
    <w:rsid w:val="003C05A6"/>
    <w:rsid w:val="003C306F"/>
    <w:rsid w:val="003C3BB2"/>
    <w:rsid w:val="003C65B8"/>
    <w:rsid w:val="003C7C44"/>
    <w:rsid w:val="003D2DD3"/>
    <w:rsid w:val="003D379C"/>
    <w:rsid w:val="003E46C2"/>
    <w:rsid w:val="003F2176"/>
    <w:rsid w:val="00402432"/>
    <w:rsid w:val="00402505"/>
    <w:rsid w:val="00403553"/>
    <w:rsid w:val="00405343"/>
    <w:rsid w:val="00407D00"/>
    <w:rsid w:val="00413878"/>
    <w:rsid w:val="00415DEA"/>
    <w:rsid w:val="00421325"/>
    <w:rsid w:val="004222EE"/>
    <w:rsid w:val="00425514"/>
    <w:rsid w:val="00436035"/>
    <w:rsid w:val="004370CC"/>
    <w:rsid w:val="0043743D"/>
    <w:rsid w:val="0044257F"/>
    <w:rsid w:val="00444C07"/>
    <w:rsid w:val="00450499"/>
    <w:rsid w:val="00451867"/>
    <w:rsid w:val="004536B7"/>
    <w:rsid w:val="00455B55"/>
    <w:rsid w:val="004610FA"/>
    <w:rsid w:val="00462190"/>
    <w:rsid w:val="00462402"/>
    <w:rsid w:val="00463BCB"/>
    <w:rsid w:val="0046535B"/>
    <w:rsid w:val="00466C54"/>
    <w:rsid w:val="004705E6"/>
    <w:rsid w:val="00472155"/>
    <w:rsid w:val="00477C53"/>
    <w:rsid w:val="00480F0E"/>
    <w:rsid w:val="00481534"/>
    <w:rsid w:val="004820F1"/>
    <w:rsid w:val="004855CD"/>
    <w:rsid w:val="00486E18"/>
    <w:rsid w:val="00487C13"/>
    <w:rsid w:val="00491934"/>
    <w:rsid w:val="0049639B"/>
    <w:rsid w:val="004A1077"/>
    <w:rsid w:val="004A5D5C"/>
    <w:rsid w:val="004A6538"/>
    <w:rsid w:val="004B0815"/>
    <w:rsid w:val="004B2BB6"/>
    <w:rsid w:val="004B45FA"/>
    <w:rsid w:val="004B5DBB"/>
    <w:rsid w:val="004B5F97"/>
    <w:rsid w:val="004B6A9F"/>
    <w:rsid w:val="004C117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4070"/>
    <w:rsid w:val="00506B78"/>
    <w:rsid w:val="00506D73"/>
    <w:rsid w:val="00507FD6"/>
    <w:rsid w:val="0051253C"/>
    <w:rsid w:val="00513EEC"/>
    <w:rsid w:val="00522253"/>
    <w:rsid w:val="005268CB"/>
    <w:rsid w:val="005323FC"/>
    <w:rsid w:val="00540754"/>
    <w:rsid w:val="0054102A"/>
    <w:rsid w:val="00541C61"/>
    <w:rsid w:val="00542EB3"/>
    <w:rsid w:val="00546275"/>
    <w:rsid w:val="00552EBC"/>
    <w:rsid w:val="00553513"/>
    <w:rsid w:val="0055407A"/>
    <w:rsid w:val="00554E05"/>
    <w:rsid w:val="00555731"/>
    <w:rsid w:val="0055779B"/>
    <w:rsid w:val="00562B52"/>
    <w:rsid w:val="00570A4E"/>
    <w:rsid w:val="00571B74"/>
    <w:rsid w:val="005727FD"/>
    <w:rsid w:val="00575726"/>
    <w:rsid w:val="00577DEF"/>
    <w:rsid w:val="00584384"/>
    <w:rsid w:val="00590625"/>
    <w:rsid w:val="00591106"/>
    <w:rsid w:val="00594FA1"/>
    <w:rsid w:val="00596C61"/>
    <w:rsid w:val="00597D35"/>
    <w:rsid w:val="005B2209"/>
    <w:rsid w:val="005B233C"/>
    <w:rsid w:val="005B3AFD"/>
    <w:rsid w:val="005B4325"/>
    <w:rsid w:val="005C2BAA"/>
    <w:rsid w:val="005D3366"/>
    <w:rsid w:val="005D4F26"/>
    <w:rsid w:val="005D63FE"/>
    <w:rsid w:val="005E068C"/>
    <w:rsid w:val="005E46EF"/>
    <w:rsid w:val="005E60B6"/>
    <w:rsid w:val="005E75FD"/>
    <w:rsid w:val="005E7C64"/>
    <w:rsid w:val="005F19B3"/>
    <w:rsid w:val="005F4AF2"/>
    <w:rsid w:val="005F4B10"/>
    <w:rsid w:val="00600B2F"/>
    <w:rsid w:val="00603AAA"/>
    <w:rsid w:val="006044BD"/>
    <w:rsid w:val="00604EF6"/>
    <w:rsid w:val="00606683"/>
    <w:rsid w:val="0061382C"/>
    <w:rsid w:val="006250C5"/>
    <w:rsid w:val="00625ACF"/>
    <w:rsid w:val="00633496"/>
    <w:rsid w:val="006345AA"/>
    <w:rsid w:val="006361D1"/>
    <w:rsid w:val="00637008"/>
    <w:rsid w:val="00641CAC"/>
    <w:rsid w:val="006438D4"/>
    <w:rsid w:val="00654126"/>
    <w:rsid w:val="00654263"/>
    <w:rsid w:val="006553E8"/>
    <w:rsid w:val="00657FD1"/>
    <w:rsid w:val="006610CA"/>
    <w:rsid w:val="00664925"/>
    <w:rsid w:val="00667351"/>
    <w:rsid w:val="00675D9B"/>
    <w:rsid w:val="00676B84"/>
    <w:rsid w:val="006773D8"/>
    <w:rsid w:val="0067781E"/>
    <w:rsid w:val="0068013B"/>
    <w:rsid w:val="006845F7"/>
    <w:rsid w:val="00685FDB"/>
    <w:rsid w:val="00693F1B"/>
    <w:rsid w:val="00695C51"/>
    <w:rsid w:val="006A231E"/>
    <w:rsid w:val="006A3000"/>
    <w:rsid w:val="006A3F5B"/>
    <w:rsid w:val="006A4FF4"/>
    <w:rsid w:val="006A6DCC"/>
    <w:rsid w:val="006B1EFF"/>
    <w:rsid w:val="006B3FED"/>
    <w:rsid w:val="006B75CD"/>
    <w:rsid w:val="006B7BDA"/>
    <w:rsid w:val="006C0595"/>
    <w:rsid w:val="006C2F03"/>
    <w:rsid w:val="006C52C3"/>
    <w:rsid w:val="006D2477"/>
    <w:rsid w:val="006D32B4"/>
    <w:rsid w:val="006D3FF7"/>
    <w:rsid w:val="006E32DA"/>
    <w:rsid w:val="006E3AFD"/>
    <w:rsid w:val="006F2FBC"/>
    <w:rsid w:val="006F738D"/>
    <w:rsid w:val="00703D47"/>
    <w:rsid w:val="00706B2D"/>
    <w:rsid w:val="0071480A"/>
    <w:rsid w:val="007254D2"/>
    <w:rsid w:val="00726CC3"/>
    <w:rsid w:val="00730EAB"/>
    <w:rsid w:val="00734445"/>
    <w:rsid w:val="0074004B"/>
    <w:rsid w:val="00740BC3"/>
    <w:rsid w:val="007464F9"/>
    <w:rsid w:val="0074746C"/>
    <w:rsid w:val="00747642"/>
    <w:rsid w:val="0075029C"/>
    <w:rsid w:val="00751885"/>
    <w:rsid w:val="0075365E"/>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E2E6F"/>
    <w:rsid w:val="007E746A"/>
    <w:rsid w:val="007F0A62"/>
    <w:rsid w:val="007F77F7"/>
    <w:rsid w:val="007F7F4F"/>
    <w:rsid w:val="00800069"/>
    <w:rsid w:val="008045B9"/>
    <w:rsid w:val="0080544D"/>
    <w:rsid w:val="00807DF0"/>
    <w:rsid w:val="00813892"/>
    <w:rsid w:val="008203FE"/>
    <w:rsid w:val="0082270F"/>
    <w:rsid w:val="00824487"/>
    <w:rsid w:val="008251D0"/>
    <w:rsid w:val="008256E6"/>
    <w:rsid w:val="008279B5"/>
    <w:rsid w:val="00830D94"/>
    <w:rsid w:val="008403A7"/>
    <w:rsid w:val="008403C3"/>
    <w:rsid w:val="008419F4"/>
    <w:rsid w:val="00841C5B"/>
    <w:rsid w:val="00844E37"/>
    <w:rsid w:val="00845D4E"/>
    <w:rsid w:val="0084673B"/>
    <w:rsid w:val="00851F89"/>
    <w:rsid w:val="00864351"/>
    <w:rsid w:val="00865D2B"/>
    <w:rsid w:val="00883CCB"/>
    <w:rsid w:val="008918EF"/>
    <w:rsid w:val="008A46BF"/>
    <w:rsid w:val="008A66B8"/>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4DA6"/>
    <w:rsid w:val="008E5EA3"/>
    <w:rsid w:val="008E6F4C"/>
    <w:rsid w:val="008F2FEC"/>
    <w:rsid w:val="008F678F"/>
    <w:rsid w:val="009073AF"/>
    <w:rsid w:val="0091270A"/>
    <w:rsid w:val="00922E11"/>
    <w:rsid w:val="00925108"/>
    <w:rsid w:val="00926117"/>
    <w:rsid w:val="009266D4"/>
    <w:rsid w:val="00927E67"/>
    <w:rsid w:val="009300D1"/>
    <w:rsid w:val="0093434F"/>
    <w:rsid w:val="0094055B"/>
    <w:rsid w:val="009431BE"/>
    <w:rsid w:val="0094464E"/>
    <w:rsid w:val="00945988"/>
    <w:rsid w:val="0095089F"/>
    <w:rsid w:val="009522EF"/>
    <w:rsid w:val="00952CE4"/>
    <w:rsid w:val="009542D9"/>
    <w:rsid w:val="00954400"/>
    <w:rsid w:val="009573BD"/>
    <w:rsid w:val="009606C0"/>
    <w:rsid w:val="009618F3"/>
    <w:rsid w:val="00963CD1"/>
    <w:rsid w:val="00964E12"/>
    <w:rsid w:val="009654D1"/>
    <w:rsid w:val="00975F5F"/>
    <w:rsid w:val="009770D3"/>
    <w:rsid w:val="009807C9"/>
    <w:rsid w:val="0098118C"/>
    <w:rsid w:val="0098492E"/>
    <w:rsid w:val="00984C98"/>
    <w:rsid w:val="00993CA3"/>
    <w:rsid w:val="00993FB3"/>
    <w:rsid w:val="009960EC"/>
    <w:rsid w:val="00996C02"/>
    <w:rsid w:val="009A5CED"/>
    <w:rsid w:val="009A627C"/>
    <w:rsid w:val="009A753C"/>
    <w:rsid w:val="009B4D93"/>
    <w:rsid w:val="009B60F4"/>
    <w:rsid w:val="009C04A8"/>
    <w:rsid w:val="009C0DA9"/>
    <w:rsid w:val="009C6CDE"/>
    <w:rsid w:val="009D0BD0"/>
    <w:rsid w:val="009D2278"/>
    <w:rsid w:val="009D35F0"/>
    <w:rsid w:val="009D76C1"/>
    <w:rsid w:val="009E2C11"/>
    <w:rsid w:val="009F14B1"/>
    <w:rsid w:val="009F2B8D"/>
    <w:rsid w:val="00A01D4E"/>
    <w:rsid w:val="00A0717E"/>
    <w:rsid w:val="00A111CA"/>
    <w:rsid w:val="00A11753"/>
    <w:rsid w:val="00A11CE5"/>
    <w:rsid w:val="00A14044"/>
    <w:rsid w:val="00A1598E"/>
    <w:rsid w:val="00A20DDC"/>
    <w:rsid w:val="00A22E19"/>
    <w:rsid w:val="00A33FC2"/>
    <w:rsid w:val="00A3420B"/>
    <w:rsid w:val="00A42129"/>
    <w:rsid w:val="00A4226F"/>
    <w:rsid w:val="00A42672"/>
    <w:rsid w:val="00A44508"/>
    <w:rsid w:val="00A47424"/>
    <w:rsid w:val="00A50325"/>
    <w:rsid w:val="00A5310E"/>
    <w:rsid w:val="00A601F1"/>
    <w:rsid w:val="00A705D5"/>
    <w:rsid w:val="00A74CA1"/>
    <w:rsid w:val="00A76A2F"/>
    <w:rsid w:val="00A810EB"/>
    <w:rsid w:val="00A85812"/>
    <w:rsid w:val="00A935F0"/>
    <w:rsid w:val="00AA6AB0"/>
    <w:rsid w:val="00AA7661"/>
    <w:rsid w:val="00AA7DF5"/>
    <w:rsid w:val="00AB2EF9"/>
    <w:rsid w:val="00AC229C"/>
    <w:rsid w:val="00AC39E4"/>
    <w:rsid w:val="00AC47D0"/>
    <w:rsid w:val="00AD30D0"/>
    <w:rsid w:val="00AD7524"/>
    <w:rsid w:val="00AE4B78"/>
    <w:rsid w:val="00AE6F7D"/>
    <w:rsid w:val="00AE7E2C"/>
    <w:rsid w:val="00AF085B"/>
    <w:rsid w:val="00AF1009"/>
    <w:rsid w:val="00AF48CA"/>
    <w:rsid w:val="00AF6458"/>
    <w:rsid w:val="00B001E5"/>
    <w:rsid w:val="00B224E6"/>
    <w:rsid w:val="00B2304B"/>
    <w:rsid w:val="00B23EBE"/>
    <w:rsid w:val="00B27AA1"/>
    <w:rsid w:val="00B27CD9"/>
    <w:rsid w:val="00B30146"/>
    <w:rsid w:val="00B337F1"/>
    <w:rsid w:val="00B35EB3"/>
    <w:rsid w:val="00B41AB9"/>
    <w:rsid w:val="00B442BE"/>
    <w:rsid w:val="00B45D3F"/>
    <w:rsid w:val="00B46207"/>
    <w:rsid w:val="00B46A6D"/>
    <w:rsid w:val="00B50DDB"/>
    <w:rsid w:val="00B51E44"/>
    <w:rsid w:val="00B53F54"/>
    <w:rsid w:val="00B55791"/>
    <w:rsid w:val="00B64218"/>
    <w:rsid w:val="00B809E5"/>
    <w:rsid w:val="00B828CD"/>
    <w:rsid w:val="00B82D11"/>
    <w:rsid w:val="00B93495"/>
    <w:rsid w:val="00B94B0B"/>
    <w:rsid w:val="00B97B7A"/>
    <w:rsid w:val="00BA11EB"/>
    <w:rsid w:val="00BA3489"/>
    <w:rsid w:val="00BA5A34"/>
    <w:rsid w:val="00BC0B55"/>
    <w:rsid w:val="00BC10CC"/>
    <w:rsid w:val="00BC6968"/>
    <w:rsid w:val="00BD2B64"/>
    <w:rsid w:val="00BD4E69"/>
    <w:rsid w:val="00BD6A7A"/>
    <w:rsid w:val="00BF2CA8"/>
    <w:rsid w:val="00C000A3"/>
    <w:rsid w:val="00C033BA"/>
    <w:rsid w:val="00C069ED"/>
    <w:rsid w:val="00C06EF2"/>
    <w:rsid w:val="00C0750F"/>
    <w:rsid w:val="00C11F13"/>
    <w:rsid w:val="00C12932"/>
    <w:rsid w:val="00C17577"/>
    <w:rsid w:val="00C17E75"/>
    <w:rsid w:val="00C20AC0"/>
    <w:rsid w:val="00C21687"/>
    <w:rsid w:val="00C25564"/>
    <w:rsid w:val="00C339E2"/>
    <w:rsid w:val="00C3506D"/>
    <w:rsid w:val="00C37C02"/>
    <w:rsid w:val="00C42D29"/>
    <w:rsid w:val="00C605D6"/>
    <w:rsid w:val="00C60FA3"/>
    <w:rsid w:val="00C640C8"/>
    <w:rsid w:val="00C65809"/>
    <w:rsid w:val="00C66835"/>
    <w:rsid w:val="00C72791"/>
    <w:rsid w:val="00C73D95"/>
    <w:rsid w:val="00C73DF2"/>
    <w:rsid w:val="00C751FC"/>
    <w:rsid w:val="00C76327"/>
    <w:rsid w:val="00C76B18"/>
    <w:rsid w:val="00C7707C"/>
    <w:rsid w:val="00C77508"/>
    <w:rsid w:val="00C8007E"/>
    <w:rsid w:val="00C821B3"/>
    <w:rsid w:val="00C827A4"/>
    <w:rsid w:val="00C829F8"/>
    <w:rsid w:val="00C83259"/>
    <w:rsid w:val="00C8347D"/>
    <w:rsid w:val="00C834EE"/>
    <w:rsid w:val="00C84A04"/>
    <w:rsid w:val="00C8582E"/>
    <w:rsid w:val="00C87B8D"/>
    <w:rsid w:val="00C91442"/>
    <w:rsid w:val="00C92D20"/>
    <w:rsid w:val="00C9554B"/>
    <w:rsid w:val="00C95A66"/>
    <w:rsid w:val="00CA292D"/>
    <w:rsid w:val="00CA3CD2"/>
    <w:rsid w:val="00CA743F"/>
    <w:rsid w:val="00CB36CA"/>
    <w:rsid w:val="00CB6C35"/>
    <w:rsid w:val="00CB7418"/>
    <w:rsid w:val="00CC12E5"/>
    <w:rsid w:val="00CC2F75"/>
    <w:rsid w:val="00CC34A7"/>
    <w:rsid w:val="00CC571A"/>
    <w:rsid w:val="00CC617A"/>
    <w:rsid w:val="00CD0D1C"/>
    <w:rsid w:val="00CD0F95"/>
    <w:rsid w:val="00CD1A37"/>
    <w:rsid w:val="00CD2A8F"/>
    <w:rsid w:val="00CF15AD"/>
    <w:rsid w:val="00CF3CB8"/>
    <w:rsid w:val="00CF62FE"/>
    <w:rsid w:val="00CF6B78"/>
    <w:rsid w:val="00CF6C01"/>
    <w:rsid w:val="00D0099E"/>
    <w:rsid w:val="00D026D7"/>
    <w:rsid w:val="00D05A2C"/>
    <w:rsid w:val="00D11AC8"/>
    <w:rsid w:val="00D14416"/>
    <w:rsid w:val="00D15601"/>
    <w:rsid w:val="00D1699C"/>
    <w:rsid w:val="00D21EAB"/>
    <w:rsid w:val="00D237CD"/>
    <w:rsid w:val="00D260E4"/>
    <w:rsid w:val="00D26454"/>
    <w:rsid w:val="00D272D9"/>
    <w:rsid w:val="00D55A8F"/>
    <w:rsid w:val="00D60DF1"/>
    <w:rsid w:val="00D62110"/>
    <w:rsid w:val="00D65CC7"/>
    <w:rsid w:val="00D66BEC"/>
    <w:rsid w:val="00D67854"/>
    <w:rsid w:val="00D67FA3"/>
    <w:rsid w:val="00D731E5"/>
    <w:rsid w:val="00D76F8B"/>
    <w:rsid w:val="00D81F02"/>
    <w:rsid w:val="00D826C1"/>
    <w:rsid w:val="00D86844"/>
    <w:rsid w:val="00D87BE0"/>
    <w:rsid w:val="00D90DDB"/>
    <w:rsid w:val="00D91438"/>
    <w:rsid w:val="00D924B0"/>
    <w:rsid w:val="00DA0DED"/>
    <w:rsid w:val="00DA2237"/>
    <w:rsid w:val="00DA3481"/>
    <w:rsid w:val="00DA47E9"/>
    <w:rsid w:val="00DB00B7"/>
    <w:rsid w:val="00DB20C3"/>
    <w:rsid w:val="00DB65B4"/>
    <w:rsid w:val="00DB6B36"/>
    <w:rsid w:val="00DC2863"/>
    <w:rsid w:val="00DC3F41"/>
    <w:rsid w:val="00DC43ED"/>
    <w:rsid w:val="00DD190B"/>
    <w:rsid w:val="00DE0189"/>
    <w:rsid w:val="00DE024E"/>
    <w:rsid w:val="00DE1EF9"/>
    <w:rsid w:val="00DE27CF"/>
    <w:rsid w:val="00DE6033"/>
    <w:rsid w:val="00DF2CAA"/>
    <w:rsid w:val="00E00DBA"/>
    <w:rsid w:val="00E01326"/>
    <w:rsid w:val="00E10BBB"/>
    <w:rsid w:val="00E12991"/>
    <w:rsid w:val="00E12A55"/>
    <w:rsid w:val="00E213B3"/>
    <w:rsid w:val="00E25D8C"/>
    <w:rsid w:val="00E26AE4"/>
    <w:rsid w:val="00E30F3E"/>
    <w:rsid w:val="00E31227"/>
    <w:rsid w:val="00E364DC"/>
    <w:rsid w:val="00E378F4"/>
    <w:rsid w:val="00E37F74"/>
    <w:rsid w:val="00E40173"/>
    <w:rsid w:val="00E50996"/>
    <w:rsid w:val="00E528BB"/>
    <w:rsid w:val="00E60DDF"/>
    <w:rsid w:val="00E613DE"/>
    <w:rsid w:val="00E64B41"/>
    <w:rsid w:val="00E6525A"/>
    <w:rsid w:val="00E66029"/>
    <w:rsid w:val="00E72B7A"/>
    <w:rsid w:val="00E7376D"/>
    <w:rsid w:val="00E80DA7"/>
    <w:rsid w:val="00E81822"/>
    <w:rsid w:val="00E81BE9"/>
    <w:rsid w:val="00E855E5"/>
    <w:rsid w:val="00E9591E"/>
    <w:rsid w:val="00EA5766"/>
    <w:rsid w:val="00EB3389"/>
    <w:rsid w:val="00EB4776"/>
    <w:rsid w:val="00EB4A7D"/>
    <w:rsid w:val="00EB7591"/>
    <w:rsid w:val="00EC0AE3"/>
    <w:rsid w:val="00EC7A78"/>
    <w:rsid w:val="00ED0924"/>
    <w:rsid w:val="00ED287A"/>
    <w:rsid w:val="00ED2AAA"/>
    <w:rsid w:val="00ED3966"/>
    <w:rsid w:val="00ED60AA"/>
    <w:rsid w:val="00EE0467"/>
    <w:rsid w:val="00EE0497"/>
    <w:rsid w:val="00EE15D4"/>
    <w:rsid w:val="00EE6004"/>
    <w:rsid w:val="00EE656D"/>
    <w:rsid w:val="00EE7373"/>
    <w:rsid w:val="00EF109C"/>
    <w:rsid w:val="00EF3C2D"/>
    <w:rsid w:val="00EF3F8A"/>
    <w:rsid w:val="00EF53ED"/>
    <w:rsid w:val="00F0244A"/>
    <w:rsid w:val="00F043A6"/>
    <w:rsid w:val="00F17202"/>
    <w:rsid w:val="00F20EE8"/>
    <w:rsid w:val="00F2297E"/>
    <w:rsid w:val="00F2334D"/>
    <w:rsid w:val="00F259A0"/>
    <w:rsid w:val="00F265CA"/>
    <w:rsid w:val="00F31200"/>
    <w:rsid w:val="00F31AEE"/>
    <w:rsid w:val="00F338BC"/>
    <w:rsid w:val="00F349E7"/>
    <w:rsid w:val="00F36244"/>
    <w:rsid w:val="00F37EE4"/>
    <w:rsid w:val="00F47CAB"/>
    <w:rsid w:val="00F5363D"/>
    <w:rsid w:val="00F54BF8"/>
    <w:rsid w:val="00F566F8"/>
    <w:rsid w:val="00F624AB"/>
    <w:rsid w:val="00F62BD4"/>
    <w:rsid w:val="00F63CF6"/>
    <w:rsid w:val="00F63FDF"/>
    <w:rsid w:val="00F66FC2"/>
    <w:rsid w:val="00F6717A"/>
    <w:rsid w:val="00F671F0"/>
    <w:rsid w:val="00F674B8"/>
    <w:rsid w:val="00F72690"/>
    <w:rsid w:val="00F74960"/>
    <w:rsid w:val="00F74D55"/>
    <w:rsid w:val="00F75DFD"/>
    <w:rsid w:val="00F75EEB"/>
    <w:rsid w:val="00F808E3"/>
    <w:rsid w:val="00F83379"/>
    <w:rsid w:val="00F84A6D"/>
    <w:rsid w:val="00F911DD"/>
    <w:rsid w:val="00F91921"/>
    <w:rsid w:val="00F92F70"/>
    <w:rsid w:val="00F94ABF"/>
    <w:rsid w:val="00F95B2C"/>
    <w:rsid w:val="00F9742A"/>
    <w:rsid w:val="00F97491"/>
    <w:rsid w:val="00F97506"/>
    <w:rsid w:val="00F97933"/>
    <w:rsid w:val="00FB3515"/>
    <w:rsid w:val="00FB3AAE"/>
    <w:rsid w:val="00FC61AC"/>
    <w:rsid w:val="00FD292E"/>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A70699F-22D1-4279-801E-E2886545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1"/>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paragraph" w:customStyle="1" w:styleId="tv213">
    <w:name w:val="tv213"/>
    <w:basedOn w:val="Parasts"/>
    <w:rsid w:val="00FB3AA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319">
      <w:bodyDiv w:val="1"/>
      <w:marLeft w:val="0"/>
      <w:marRight w:val="0"/>
      <w:marTop w:val="0"/>
      <w:marBottom w:val="0"/>
      <w:divBdr>
        <w:top w:val="none" w:sz="0" w:space="0" w:color="auto"/>
        <w:left w:val="none" w:sz="0" w:space="0" w:color="auto"/>
        <w:bottom w:val="none" w:sz="0" w:space="0" w:color="auto"/>
        <w:right w:val="none" w:sz="0" w:space="0" w:color="auto"/>
      </w:divBdr>
    </w:div>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5C60-33F9-4900-BCD2-8E43BDD6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Pages>
  <Words>7435</Words>
  <Characters>4239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Sēklu un šķirņu aprites likumā” sākotnējās ietekmes novērtējuma ziņojums (anotācija)</vt:lpstr>
      <vt:lpstr>Likumprojekta</vt:lpstr>
    </vt:vector>
  </TitlesOfParts>
  <Company>Zemkopības ministrija</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dc:title>
  <dc:subject>Anotācija</dc:subject>
  <dc:creator>Ineta Jēkabsone</dc:creator>
  <dc:description>Jēkabsone 67027177_x000d_
Ineta.Jekabsone@zm.gov.lv</dc:description>
  <cp:lastModifiedBy>Kristiāna Sebre</cp:lastModifiedBy>
  <cp:revision>12</cp:revision>
  <cp:lastPrinted>2015-11-16T14:41:00Z</cp:lastPrinted>
  <dcterms:created xsi:type="dcterms:W3CDTF">2019-02-18T13:23:00Z</dcterms:created>
  <dcterms:modified xsi:type="dcterms:W3CDTF">2019-03-21T13:05:00Z</dcterms:modified>
</cp:coreProperties>
</file>