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938" w:rsidRDefault="00E83938" w:rsidP="00E83938">
      <w:pPr>
        <w:pStyle w:val="Title"/>
        <w:rPr>
          <w:sz w:val="28"/>
          <w:szCs w:val="28"/>
        </w:rPr>
      </w:pPr>
      <w:r w:rsidRPr="006C74DA">
        <w:rPr>
          <w:sz w:val="28"/>
          <w:szCs w:val="28"/>
        </w:rPr>
        <w:t>Likumprojekta</w:t>
      </w:r>
      <w:r w:rsidRPr="00546EFD">
        <w:rPr>
          <w:sz w:val="28"/>
          <w:szCs w:val="28"/>
        </w:rPr>
        <w:t xml:space="preserve"> „Ieguldījumu aizsardzības nolīgums starp Eiropas Savienību un tās dalībvalstīm, no vienas puses, un </w:t>
      </w:r>
      <w:r w:rsidR="00F11797">
        <w:rPr>
          <w:sz w:val="28"/>
          <w:szCs w:val="28"/>
        </w:rPr>
        <w:t xml:space="preserve">Vjetnamas Sociālistisko </w:t>
      </w:r>
      <w:r w:rsidRPr="00546EFD">
        <w:rPr>
          <w:sz w:val="28"/>
          <w:szCs w:val="28"/>
        </w:rPr>
        <w:t>Republiku, no otras puses” sākotnējās ietekmes novērtējuma ziņojums</w:t>
      </w:r>
      <w:r w:rsidRPr="00546EFD">
        <w:t xml:space="preserve"> </w:t>
      </w:r>
      <w:r w:rsidRPr="00546EFD">
        <w:rPr>
          <w:sz w:val="28"/>
          <w:szCs w:val="28"/>
        </w:rPr>
        <w:t>(anotācija)</w:t>
      </w:r>
    </w:p>
    <w:p w:rsidR="00E83938" w:rsidRDefault="00E83938" w:rsidP="00E83938">
      <w:pPr>
        <w:pStyle w:val="Title"/>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4"/>
        <w:gridCol w:w="5437"/>
      </w:tblGrid>
      <w:tr w:rsidR="00E83938" w:rsidRPr="006C74DA" w:rsidTr="00623F41">
        <w:tc>
          <w:tcPr>
            <w:tcW w:w="0" w:type="auto"/>
            <w:gridSpan w:val="2"/>
            <w:shd w:val="clear" w:color="auto" w:fill="auto"/>
            <w:hideMark/>
          </w:tcPr>
          <w:p w:rsidR="00E83938" w:rsidRPr="006C74DA" w:rsidRDefault="00E83938" w:rsidP="00623F41">
            <w:pPr>
              <w:rPr>
                <w:b/>
                <w:bCs/>
                <w:iCs/>
                <w:color w:val="0D0D0D"/>
                <w:lang w:eastAsia="lv-LV"/>
              </w:rPr>
            </w:pPr>
            <w:r w:rsidRPr="006C74DA">
              <w:rPr>
                <w:b/>
                <w:bCs/>
                <w:iCs/>
                <w:color w:val="0D0D0D"/>
                <w:lang w:eastAsia="lv-LV"/>
              </w:rPr>
              <w:t>Tiesību akta projekta anotācijas kopsavilkums</w:t>
            </w:r>
          </w:p>
        </w:tc>
      </w:tr>
      <w:tr w:rsidR="00E83938" w:rsidRPr="006C74DA" w:rsidTr="00623F41">
        <w:tc>
          <w:tcPr>
            <w:tcW w:w="1980" w:type="pct"/>
            <w:shd w:val="clear" w:color="auto" w:fill="auto"/>
            <w:hideMark/>
          </w:tcPr>
          <w:p w:rsidR="00E83938" w:rsidRPr="006C74DA" w:rsidRDefault="00E83938" w:rsidP="00623F41">
            <w:pPr>
              <w:rPr>
                <w:iCs/>
                <w:color w:val="0D0D0D"/>
                <w:lang w:eastAsia="lv-LV"/>
              </w:rPr>
            </w:pPr>
            <w:r w:rsidRPr="006C74DA">
              <w:rPr>
                <w:iCs/>
                <w:color w:val="0D0D0D"/>
                <w:lang w:eastAsia="lv-LV"/>
              </w:rPr>
              <w:t>Mērķis, risinājums un projekta spēkā stāšanās laiks (500 zīmes bez atstarpēm)</w:t>
            </w:r>
          </w:p>
        </w:tc>
        <w:tc>
          <w:tcPr>
            <w:tcW w:w="2971" w:type="pct"/>
            <w:shd w:val="clear" w:color="auto" w:fill="auto"/>
            <w:hideMark/>
          </w:tcPr>
          <w:p w:rsidR="00E83938" w:rsidRPr="006C74DA" w:rsidRDefault="00E83938" w:rsidP="00623F41">
            <w:pPr>
              <w:rPr>
                <w:iCs/>
                <w:color w:val="0D0D0D"/>
                <w:lang w:eastAsia="lv-LV"/>
              </w:rPr>
            </w:pPr>
            <w:r w:rsidRPr="006C74DA">
              <w:rPr>
                <w:iCs/>
                <w:color w:val="0D0D0D"/>
                <w:lang w:eastAsia="lv-LV"/>
              </w:rPr>
              <w:t>Nav attiecināms</w:t>
            </w:r>
          </w:p>
        </w:tc>
      </w:tr>
    </w:tbl>
    <w:p w:rsidR="00E83938" w:rsidRPr="00C50D09" w:rsidRDefault="00E83938" w:rsidP="00E83938">
      <w:pPr>
        <w:rPr>
          <w:b/>
          <w:bCs/>
          <w:sz w:val="28"/>
          <w:szCs w:val="28"/>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70"/>
        <w:gridCol w:w="5935"/>
      </w:tblGrid>
      <w:tr w:rsidR="00E83938" w:rsidRPr="0031204D" w:rsidTr="00F11797">
        <w:tc>
          <w:tcPr>
            <w:tcW w:w="9061" w:type="dxa"/>
            <w:gridSpan w:val="3"/>
            <w:hideMark/>
          </w:tcPr>
          <w:p w:rsidR="00E83938" w:rsidRPr="0031204D" w:rsidRDefault="00E83938" w:rsidP="00623F41">
            <w:pPr>
              <w:rPr>
                <w:lang w:eastAsia="lv-LV"/>
              </w:rPr>
            </w:pPr>
            <w:r w:rsidRPr="0031204D">
              <w:rPr>
                <w:b/>
                <w:bCs/>
                <w:lang w:eastAsia="lv-LV"/>
              </w:rPr>
              <w:t>I. Tiesību akta projekta izstrādes nepieciešamība</w:t>
            </w:r>
          </w:p>
        </w:tc>
      </w:tr>
      <w:tr w:rsidR="00E83938" w:rsidRPr="0031204D" w:rsidTr="00623F41">
        <w:trPr>
          <w:trHeight w:val="630"/>
        </w:trPr>
        <w:tc>
          <w:tcPr>
            <w:tcW w:w="0" w:type="auto"/>
            <w:hideMark/>
          </w:tcPr>
          <w:p w:rsidR="00E83938" w:rsidRPr="0031204D" w:rsidRDefault="00E83938" w:rsidP="00623F41">
            <w:pPr>
              <w:rPr>
                <w:lang w:eastAsia="lv-LV"/>
              </w:rPr>
            </w:pPr>
            <w:r w:rsidRPr="0031204D">
              <w:rPr>
                <w:lang w:eastAsia="lv-LV"/>
              </w:rPr>
              <w:t> 1.</w:t>
            </w:r>
          </w:p>
        </w:tc>
        <w:tc>
          <w:tcPr>
            <w:tcW w:w="0" w:type="auto"/>
            <w:hideMark/>
          </w:tcPr>
          <w:p w:rsidR="00E83938" w:rsidRPr="0031204D" w:rsidRDefault="00E83938" w:rsidP="00623F41">
            <w:pPr>
              <w:rPr>
                <w:lang w:eastAsia="lv-LV"/>
              </w:rPr>
            </w:pPr>
            <w:r w:rsidRPr="0031204D">
              <w:rPr>
                <w:lang w:eastAsia="lv-LV"/>
              </w:rPr>
              <w:t>Pamatojums</w:t>
            </w:r>
          </w:p>
        </w:tc>
        <w:tc>
          <w:tcPr>
            <w:tcW w:w="0" w:type="auto"/>
            <w:shd w:val="clear" w:color="auto" w:fill="auto"/>
            <w:hideMark/>
          </w:tcPr>
          <w:p w:rsidR="00E83938" w:rsidRPr="004101E6" w:rsidRDefault="00E83938" w:rsidP="00F11797">
            <w:pPr>
              <w:pStyle w:val="BodyText2"/>
              <w:spacing w:before="80" w:after="80"/>
              <w:rPr>
                <w:sz w:val="24"/>
                <w:szCs w:val="24"/>
              </w:rPr>
            </w:pPr>
            <w:r w:rsidRPr="009264C1">
              <w:rPr>
                <w:sz w:val="24"/>
                <w:szCs w:val="24"/>
              </w:rPr>
              <w:t xml:space="preserve">Likumprojekts izstrādāts, lai saskaņā ar likuma „Par Latvijas Republikas starptautiskajiem līgumiem” </w:t>
            </w:r>
            <w:r>
              <w:rPr>
                <w:sz w:val="24"/>
                <w:szCs w:val="24"/>
              </w:rPr>
              <w:t>7. un 8</w:t>
            </w:r>
            <w:r w:rsidRPr="009264C1">
              <w:rPr>
                <w:sz w:val="24"/>
                <w:szCs w:val="24"/>
              </w:rPr>
              <w:t>.</w:t>
            </w:r>
            <w:r>
              <w:rPr>
                <w:sz w:val="24"/>
                <w:szCs w:val="24"/>
              </w:rPr>
              <w:t xml:space="preserve"> </w:t>
            </w:r>
            <w:r w:rsidRPr="009264C1">
              <w:rPr>
                <w:sz w:val="24"/>
                <w:szCs w:val="24"/>
              </w:rPr>
              <w:t xml:space="preserve">pantu apstiprinātu </w:t>
            </w:r>
            <w:r>
              <w:rPr>
                <w:sz w:val="24"/>
                <w:szCs w:val="24"/>
              </w:rPr>
              <w:t xml:space="preserve">Ieguldījumu aizsardzības nolīgumu starp Eiropas Savienību (turpmāk – ES) un tās dalībvalstīm, no vienas puses, un </w:t>
            </w:r>
            <w:r w:rsidR="00F11797">
              <w:rPr>
                <w:sz w:val="24"/>
                <w:szCs w:val="24"/>
              </w:rPr>
              <w:t>Vjetnamas</w:t>
            </w:r>
            <w:r>
              <w:rPr>
                <w:sz w:val="24"/>
                <w:szCs w:val="24"/>
              </w:rPr>
              <w:t xml:space="preserve"> </w:t>
            </w:r>
            <w:r w:rsidR="00F11797">
              <w:rPr>
                <w:sz w:val="24"/>
                <w:szCs w:val="24"/>
              </w:rPr>
              <w:t xml:space="preserve">Sociālistisko </w:t>
            </w:r>
            <w:r>
              <w:rPr>
                <w:sz w:val="24"/>
                <w:szCs w:val="24"/>
              </w:rPr>
              <w:t xml:space="preserve">Republiku, no otras puses (turpmāk – Nolīgums). </w:t>
            </w:r>
          </w:p>
        </w:tc>
      </w:tr>
      <w:tr w:rsidR="00F11797" w:rsidRPr="0031204D" w:rsidTr="00623F41">
        <w:trPr>
          <w:trHeight w:val="472"/>
        </w:trPr>
        <w:tc>
          <w:tcPr>
            <w:tcW w:w="0" w:type="auto"/>
            <w:hideMark/>
          </w:tcPr>
          <w:p w:rsidR="00F11797" w:rsidRPr="0031204D" w:rsidRDefault="00F11797" w:rsidP="00F11797">
            <w:pPr>
              <w:rPr>
                <w:lang w:eastAsia="lv-LV"/>
              </w:rPr>
            </w:pPr>
            <w:r w:rsidRPr="0031204D">
              <w:rPr>
                <w:lang w:eastAsia="lv-LV"/>
              </w:rPr>
              <w:t> 2.</w:t>
            </w:r>
          </w:p>
        </w:tc>
        <w:tc>
          <w:tcPr>
            <w:tcW w:w="0" w:type="auto"/>
            <w:hideMark/>
          </w:tcPr>
          <w:p w:rsidR="00F11797" w:rsidRPr="009264C1" w:rsidRDefault="00F11797" w:rsidP="00F11797">
            <w:pPr>
              <w:rPr>
                <w:lang w:eastAsia="lv-LV"/>
              </w:rPr>
            </w:pPr>
            <w:r w:rsidRPr="009264C1">
              <w:rPr>
                <w:lang w:eastAsia="lv-LV"/>
              </w:rPr>
              <w:t>Pašreizējā situācija un problēmas, kuru risināšanai tiesību akta projekts izstrādāts, tiesiskā regulējuma mērķis un būtība</w:t>
            </w:r>
          </w:p>
        </w:tc>
        <w:tc>
          <w:tcPr>
            <w:tcW w:w="0" w:type="auto"/>
          </w:tcPr>
          <w:p w:rsidR="00F11797" w:rsidRDefault="00F11797" w:rsidP="00F11797">
            <w:pPr>
              <w:jc w:val="both"/>
            </w:pPr>
            <w:r>
              <w:t xml:space="preserve">Ņemot vērā strauji augošo Dienvidāzijas tirgus potenciālu, Eiropas Savienības interesēs ir noslēgt un parakstīt ieguldījumu aizsardzības nolīgumu (IAN) ar Vjetnamas Sociālistisko Republiku. 2007.gada 23.aprīlī ES Padome pilnvaroja Eiropas Komisiju (EK) uzsākt Brīvās tirdzniecības līguma (BTL) sarunas ar Dienvidaustrumāzijas valstu asociāciju (ASEAN), īpaši nenosakot sarunu formātu. Sarunu process ar visām 7 ASEAN valstīm vienlaicīgi izrādījās neefektīvs un ar vāju progresu, tādēļ 2009.gada 22.decembrī ES Padome piekrita uzsākt sarunas ar ASEAN valstīm divpusēji, lai panāktu progresu vismaz ar tām valstīm, kuru ambīciju līmenis ir līdzvērtīgs ES. Divpusējās sarunas ar Vjetnamu atsākās 2012.gadā, savukārt, ar pārējām ASEAN valstīm – Singapūru un Malaiziju 2010.gadā, Taizemi 2013.gadā, Filipīnām 2015.gadā un Indonēziju 2016.gadā. </w:t>
            </w:r>
          </w:p>
          <w:p w:rsidR="00F11797" w:rsidRDefault="00F11797" w:rsidP="00F11797">
            <w:pPr>
              <w:jc w:val="both"/>
            </w:pPr>
            <w:r>
              <w:t>2011.gada 12.septembrī ES Padome autorizēja EK papildināt notiekošās sarunas ar ieguldījumu aizsardzības jomu, pamatojoties uz Līguma par ES (LES) noteiktajām kompetencēm. Eiropas Savienības Tiesa 2017.gada 16.maijā publicēja atzinumu 2/15, kurā norādīja, ka netiešie ieguldījumi un ieguldījumu strīdu risināšana kā tāda nav ES ekskluzīvā kompetencē un šīm sadaļām nepieciešama dalībvalstu nacionālo parlamentu ratifikācija pirms līguma stāšanās spēkā</w:t>
            </w:r>
            <w:r>
              <w:rPr>
                <w:rStyle w:val="FootnoteReference"/>
              </w:rPr>
              <w:footnoteReference w:id="1"/>
            </w:r>
            <w:r>
              <w:t xml:space="preserve">. </w:t>
            </w:r>
            <w:r w:rsidRPr="00205FA6">
              <w:rPr>
                <w:color w:val="000000"/>
              </w:rPr>
              <w:t xml:space="preserve">Ņemot vērā Tiesas atzinumu un plašās </w:t>
            </w:r>
            <w:r w:rsidRPr="00205FA6">
              <w:rPr>
                <w:color w:val="000000"/>
              </w:rPr>
              <w:lastRenderedPageBreak/>
              <w:t>diskusijas par struktūru ar Padomi un Eiropas Parlamentu pēc atzinuma saņemšanas, teksts, par kuru sākotnēji bija panākta vienošanās, tika pielāgots, lai radītu divus atsevišķus nolīgumus: BT</w:t>
            </w:r>
            <w:r>
              <w:rPr>
                <w:color w:val="000000"/>
              </w:rPr>
              <w:t>L</w:t>
            </w:r>
            <w:r w:rsidRPr="00205FA6">
              <w:rPr>
                <w:color w:val="000000"/>
              </w:rPr>
              <w:t xml:space="preserve"> un IAN. </w:t>
            </w:r>
            <w:r>
              <w:t xml:space="preserve">EK nolēma turpmāk sarunās arī ar citām trešajām valstīm nodalīt tirdzniecības līgumus un ieguldījumu līgumus atsevišķi.    </w:t>
            </w:r>
          </w:p>
          <w:p w:rsidR="00F11797" w:rsidRPr="004F0C5F" w:rsidRDefault="00F11797" w:rsidP="00F11797">
            <w:pPr>
              <w:jc w:val="both"/>
            </w:pPr>
            <w:r>
              <w:t>IAN</w:t>
            </w:r>
            <w:r w:rsidRPr="00B826D6">
              <w:t xml:space="preserve"> ar </w:t>
            </w:r>
            <w:r>
              <w:t>Vjetnamu</w:t>
            </w:r>
            <w:r w:rsidRPr="00B826D6">
              <w:t xml:space="preserve"> </w:t>
            </w:r>
            <w:r>
              <w:t xml:space="preserve"> būs otrais </w:t>
            </w:r>
            <w:r w:rsidRPr="00B826D6">
              <w:t>ES divpusēj</w:t>
            </w:r>
            <w:r>
              <w:t>ais ieguldījumu aizsardzības</w:t>
            </w:r>
            <w:r w:rsidRPr="00B826D6">
              <w:t xml:space="preserve"> līgum</w:t>
            </w:r>
            <w:r>
              <w:t>s</w:t>
            </w:r>
            <w:r w:rsidRPr="00B826D6">
              <w:t xml:space="preserve">, kas </w:t>
            </w:r>
            <w:r>
              <w:t xml:space="preserve">tiks </w:t>
            </w:r>
            <w:r w:rsidRPr="00B826D6">
              <w:t>noslēgt</w:t>
            </w:r>
            <w:r>
              <w:t>s</w:t>
            </w:r>
            <w:r w:rsidRPr="00B826D6">
              <w:t xml:space="preserve"> ar kādu </w:t>
            </w:r>
            <w:r>
              <w:t xml:space="preserve">no </w:t>
            </w:r>
            <w:r w:rsidRPr="00552389">
              <w:rPr>
                <w:rStyle w:val="Emphasis"/>
              </w:rPr>
              <w:t>ASEAN</w:t>
            </w:r>
            <w:r w:rsidRPr="00552389">
              <w:rPr>
                <w:i/>
              </w:rPr>
              <w:t xml:space="preserve"> </w:t>
            </w:r>
            <w:r w:rsidRPr="00B826D6">
              <w:t>dalīb</w:t>
            </w:r>
            <w:r>
              <w:t>valstīm (2018.gada 19.oktobrī šāds līgums tika noslēgts un parakstīts ar Singapūru),</w:t>
            </w:r>
            <w:r w:rsidRPr="00B826D6">
              <w:t xml:space="preserve"> </w:t>
            </w:r>
            <w:r>
              <w:rPr>
                <w:color w:val="000000"/>
              </w:rPr>
              <w:t>un</w:t>
            </w:r>
            <w:r w:rsidRPr="005F5592">
              <w:rPr>
                <w:color w:val="000000"/>
              </w:rPr>
              <w:t xml:space="preserve"> </w:t>
            </w:r>
            <w:r>
              <w:rPr>
                <w:color w:val="000000"/>
              </w:rPr>
              <w:t>otrais</w:t>
            </w:r>
            <w:r w:rsidRPr="005F5592">
              <w:rPr>
                <w:color w:val="000000"/>
              </w:rPr>
              <w:t xml:space="preserve"> ieguldījumu aizsardzības nolīgums, ko ES noslēdz ar kādu Āzijas partneri</w:t>
            </w:r>
            <w:r>
              <w:rPr>
                <w:color w:val="000000"/>
              </w:rPr>
              <w:t xml:space="preserve"> vispār</w:t>
            </w:r>
            <w:r w:rsidRPr="005F5592">
              <w:rPr>
                <w:color w:val="000000"/>
              </w:rPr>
              <w:t xml:space="preserve">. </w:t>
            </w:r>
            <w:r w:rsidRPr="00B826D6">
              <w:t xml:space="preserve">Starp </w:t>
            </w:r>
            <w:r w:rsidRPr="00552389">
              <w:rPr>
                <w:rStyle w:val="Emphasis"/>
              </w:rPr>
              <w:t>ASEAN</w:t>
            </w:r>
            <w:r w:rsidRPr="00B826D6">
              <w:t xml:space="preserve"> dalībniekiem </w:t>
            </w:r>
            <w:r>
              <w:t>Vjetnama</w:t>
            </w:r>
            <w:r w:rsidRPr="00B826D6">
              <w:t xml:space="preserve"> ir </w:t>
            </w:r>
            <w:r>
              <w:t>otra lielākā</w:t>
            </w:r>
            <w:r w:rsidRPr="00B826D6">
              <w:t xml:space="preserve"> ES partnere </w:t>
            </w:r>
            <w:r>
              <w:t xml:space="preserve">pēc Singapūras </w:t>
            </w:r>
            <w:r w:rsidRPr="00B826D6">
              <w:t xml:space="preserve">– </w:t>
            </w:r>
            <w:r w:rsidRPr="00477645">
              <w:t>kopējais ES-Vjetnamas tirdzniecības apjoms sasniedz 47.6 miljardus eiro (2017.g</w:t>
            </w:r>
            <w:r w:rsidRPr="004F0C5F">
              <w:t>.). IAN noslēgšana būtu arī solis starpreģionu tirdzniecības un ieguldījumu nolīgum</w:t>
            </w:r>
            <w:r>
              <w:t>a</w:t>
            </w:r>
            <w:r w:rsidRPr="004F0C5F">
              <w:t xml:space="preserve"> starp ES un </w:t>
            </w:r>
            <w:r w:rsidRPr="004F0C5F">
              <w:rPr>
                <w:rStyle w:val="Emphasis"/>
              </w:rPr>
              <w:t>ASEAN</w:t>
            </w:r>
            <w:r w:rsidRPr="004F0C5F">
              <w:t xml:space="preserve"> noslēgšanas virzienā. </w:t>
            </w:r>
          </w:p>
          <w:p w:rsidR="00F11797" w:rsidRDefault="00F11797" w:rsidP="00F11797">
            <w:pPr>
              <w:pStyle w:val="Normal1"/>
              <w:rPr>
                <w:color w:val="000000"/>
              </w:rPr>
            </w:pPr>
            <w:r w:rsidRPr="004F0C5F">
              <w:rPr>
                <w:color w:val="000000"/>
              </w:rPr>
              <w:t>ES un Vjetnamas IAN nodrošinās ieguldījumu augsta līmeņa</w:t>
            </w:r>
            <w:r>
              <w:rPr>
                <w:color w:val="000000"/>
              </w:rPr>
              <w:t xml:space="preserve"> aizsardzību, vienlaikus aizsargājot ES un Vjetnamas tiesības reglamentēt un sasniegt leģitīmus sabiedriskās politikas mērķus, piemēram, attiecībā uz sabiedrības veselības aizsardzību, drošību un vidi. </w:t>
            </w:r>
          </w:p>
          <w:p w:rsidR="00F11797" w:rsidRDefault="00F11797" w:rsidP="00F11797">
            <w:pPr>
              <w:pStyle w:val="Normal1"/>
              <w:rPr>
                <w:color w:val="000000"/>
              </w:rPr>
            </w:pPr>
            <w:r>
              <w:rPr>
                <w:color w:val="000000"/>
              </w:rPr>
              <w:t>Nolīgumā ir iekļauti visi jauninājumi no ES jaunās pieejas ieguldījumu aizsardzībai un izpildes mehānismi, kuri nav ietverti 21 spēkā esošajos divpusējos ieguldījumu nolīgumos starp Vjetnamu un ES dalībvalstīm (t.sk. ar Latviju). Ļoti svarīgs IAN aspekts ir tāds, ka tas aizstāj un tādējādi uzlabo 21 spēkā esošos divpusējos ieguldījumu līgumus (tas ir īpaši atrunāts IAN pielikumā, ietverot arī pārejas perioda klauzulas jeb t.s. “</w:t>
            </w:r>
            <w:proofErr w:type="spellStart"/>
            <w:r w:rsidRPr="003659C5">
              <w:rPr>
                <w:i/>
                <w:color w:val="000000"/>
              </w:rPr>
              <w:t>sunset</w:t>
            </w:r>
            <w:proofErr w:type="spellEnd"/>
            <w:r w:rsidRPr="003659C5">
              <w:rPr>
                <w:i/>
                <w:color w:val="000000"/>
              </w:rPr>
              <w:t xml:space="preserve"> </w:t>
            </w:r>
            <w:proofErr w:type="spellStart"/>
            <w:r w:rsidRPr="003659C5">
              <w:rPr>
                <w:i/>
                <w:color w:val="000000"/>
              </w:rPr>
              <w:t>clauses</w:t>
            </w:r>
            <w:proofErr w:type="spellEnd"/>
            <w:r>
              <w:rPr>
                <w:color w:val="000000"/>
              </w:rPr>
              <w:t xml:space="preserve">”). </w:t>
            </w:r>
          </w:p>
          <w:p w:rsidR="00F11797" w:rsidRDefault="00F11797" w:rsidP="00F11797">
            <w:pPr>
              <w:pStyle w:val="Normal1"/>
              <w:rPr>
                <w:color w:val="000000"/>
              </w:rPr>
            </w:pPr>
            <w:r>
              <w:rPr>
                <w:color w:val="000000"/>
              </w:rPr>
              <w:t xml:space="preserve">IAN paredz ES ieguldītājiem un to ieguldījumiem Vjetnamā taisnīgu un vienlīdzīgu attieksmi un nepieļauj diskrimināciju salīdzinājumā ar Vjetnamas ieguldījumiem līdzīgos apstākļos. Vienlaikus IAN aizsargā ES ieguldītājus un viņu ieguldījumus Vjetnamā pret ekspropriāciju, izņemot gadījumus, kad tas notiek sabiedrības interesēs, pienācīgā kārtā, bez diskriminācijas un pret tūlītēju, adekvātu un efektīvu kompensāciju atbilstīgi ekspropriēto ieguldījumu godīgai tirgus vērtībai. </w:t>
            </w:r>
          </w:p>
          <w:p w:rsidR="00F11797" w:rsidRDefault="00F11797" w:rsidP="00F11797">
            <w:pPr>
              <w:pStyle w:val="Normal1"/>
              <w:rPr>
                <w:color w:val="000000"/>
              </w:rPr>
            </w:pPr>
            <w:r>
              <w:rPr>
                <w:color w:val="000000"/>
              </w:rPr>
              <w:t xml:space="preserve">Ar nolīgumu tiek izveidota pastāvīga starptautiska un pilnībā neatkarīga strīdu izšķiršanas sistēma, kas sastāv no pastāvīgās Pirmās instances tiesas un Apelācijas tiesas, kurās strīdu izšķiršanas procedūras norisināsies pārredzami un objektīvi. </w:t>
            </w:r>
          </w:p>
          <w:p w:rsidR="004B661F" w:rsidRPr="004B661F" w:rsidRDefault="004B661F" w:rsidP="004B661F">
            <w:pPr>
              <w:jc w:val="both"/>
            </w:pPr>
            <w:r>
              <w:t xml:space="preserve">ES dalībvalstis Nolīgumu parakstīs 2019.gada 25.jūnijā, Vispārējo lietu padomes sanāksmes laikā. </w:t>
            </w:r>
            <w:r w:rsidRPr="004B661F">
              <w:t xml:space="preserve">ES un Vjetnamas </w:t>
            </w:r>
            <w:r w:rsidRPr="004B661F">
              <w:lastRenderedPageBreak/>
              <w:t xml:space="preserve">Sociālistiskā Republika Nolīgumu parakstīs 2019.gada </w:t>
            </w:r>
            <w:r>
              <w:t>jūnija beigās</w:t>
            </w:r>
            <w:r w:rsidRPr="004B661F">
              <w:t xml:space="preserve"> Briselē.</w:t>
            </w:r>
            <w:r>
              <w:t xml:space="preserve"> </w:t>
            </w:r>
          </w:p>
          <w:p w:rsidR="00F11797" w:rsidRPr="00705F85" w:rsidRDefault="004B661F" w:rsidP="004B661F">
            <w:pPr>
              <w:jc w:val="both"/>
            </w:pPr>
            <w:r w:rsidRPr="004B661F">
              <w:t xml:space="preserve">Nolīgums tiks parakstīts visās ES dalībvalstu valodās un ir vienlīdz autentisks visās šajās valodās.  </w:t>
            </w:r>
          </w:p>
        </w:tc>
      </w:tr>
      <w:tr w:rsidR="00E83938" w:rsidRPr="0031204D" w:rsidTr="00623F41">
        <w:trPr>
          <w:trHeight w:val="289"/>
        </w:trPr>
        <w:tc>
          <w:tcPr>
            <w:tcW w:w="0" w:type="auto"/>
            <w:hideMark/>
          </w:tcPr>
          <w:p w:rsidR="00E83938" w:rsidRPr="0031204D" w:rsidRDefault="00E83938" w:rsidP="00623F41">
            <w:pPr>
              <w:rPr>
                <w:lang w:eastAsia="lv-LV"/>
              </w:rPr>
            </w:pPr>
            <w:r w:rsidRPr="0031204D">
              <w:rPr>
                <w:lang w:eastAsia="lv-LV"/>
              </w:rPr>
              <w:lastRenderedPageBreak/>
              <w:t> 3.</w:t>
            </w:r>
          </w:p>
        </w:tc>
        <w:tc>
          <w:tcPr>
            <w:tcW w:w="0" w:type="auto"/>
            <w:hideMark/>
          </w:tcPr>
          <w:p w:rsidR="00E83938" w:rsidRPr="0031204D" w:rsidRDefault="00E83938" w:rsidP="00623F41">
            <w:pPr>
              <w:rPr>
                <w:lang w:eastAsia="lv-LV"/>
              </w:rPr>
            </w:pPr>
            <w:r w:rsidRPr="0031204D">
              <w:rPr>
                <w:lang w:eastAsia="lv-LV"/>
              </w:rPr>
              <w:t>Projekta izstrādē iesaistītās institūcijas</w:t>
            </w:r>
          </w:p>
        </w:tc>
        <w:tc>
          <w:tcPr>
            <w:tcW w:w="0" w:type="auto"/>
            <w:hideMark/>
          </w:tcPr>
          <w:p w:rsidR="00E83938" w:rsidRPr="00A75B17" w:rsidRDefault="00E83938" w:rsidP="00623F41">
            <w:pPr>
              <w:spacing w:before="120" w:after="120"/>
              <w:jc w:val="both"/>
              <w:rPr>
                <w:highlight w:val="yellow"/>
                <w:lang w:eastAsia="lv-LV"/>
              </w:rPr>
            </w:pPr>
            <w:r>
              <w:t xml:space="preserve">Ārlietu ministrija </w:t>
            </w:r>
          </w:p>
        </w:tc>
      </w:tr>
      <w:tr w:rsidR="00E83938" w:rsidRPr="0031204D" w:rsidTr="00623F41">
        <w:tc>
          <w:tcPr>
            <w:tcW w:w="0" w:type="auto"/>
            <w:hideMark/>
          </w:tcPr>
          <w:p w:rsidR="00E83938" w:rsidRPr="0031204D" w:rsidRDefault="00E83938" w:rsidP="00623F41">
            <w:pPr>
              <w:rPr>
                <w:lang w:eastAsia="lv-LV"/>
              </w:rPr>
            </w:pPr>
            <w:r w:rsidRPr="0031204D">
              <w:rPr>
                <w:lang w:eastAsia="lv-LV"/>
              </w:rPr>
              <w:t> 4.</w:t>
            </w:r>
          </w:p>
        </w:tc>
        <w:tc>
          <w:tcPr>
            <w:tcW w:w="0" w:type="auto"/>
            <w:hideMark/>
          </w:tcPr>
          <w:p w:rsidR="00E83938" w:rsidRPr="007B79E1" w:rsidRDefault="00E83938" w:rsidP="00623F41">
            <w:pPr>
              <w:rPr>
                <w:lang w:eastAsia="lv-LV"/>
              </w:rPr>
            </w:pPr>
            <w:r w:rsidRPr="007B79E1">
              <w:rPr>
                <w:lang w:eastAsia="lv-LV"/>
              </w:rPr>
              <w:t>Cita informācija</w:t>
            </w:r>
          </w:p>
        </w:tc>
        <w:tc>
          <w:tcPr>
            <w:tcW w:w="0" w:type="auto"/>
            <w:hideMark/>
          </w:tcPr>
          <w:p w:rsidR="00E83938" w:rsidRPr="00335F87" w:rsidRDefault="00E83938" w:rsidP="00623F41">
            <w:pPr>
              <w:spacing w:before="120" w:after="120"/>
              <w:jc w:val="both"/>
              <w:rPr>
                <w:highlight w:val="yellow"/>
                <w:lang w:eastAsia="lv-LV"/>
              </w:rPr>
            </w:pPr>
            <w:r w:rsidRPr="00D558CA">
              <w:t>Nav</w:t>
            </w:r>
          </w:p>
        </w:tc>
      </w:tr>
    </w:tbl>
    <w:p w:rsidR="00E83938" w:rsidRPr="0031204D" w:rsidRDefault="00E83938" w:rsidP="00E8393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813"/>
        <w:gridCol w:w="5792"/>
      </w:tblGrid>
      <w:tr w:rsidR="00E83938" w:rsidRPr="0031204D" w:rsidTr="00623F41">
        <w:tc>
          <w:tcPr>
            <w:tcW w:w="0" w:type="auto"/>
            <w:gridSpan w:val="3"/>
            <w:hideMark/>
          </w:tcPr>
          <w:p w:rsidR="00E83938" w:rsidRPr="0031204D" w:rsidRDefault="00E83938" w:rsidP="00623F41">
            <w:pPr>
              <w:rPr>
                <w:b/>
                <w:lang w:eastAsia="lv-LV"/>
              </w:rPr>
            </w:pPr>
            <w:r w:rsidRPr="0031204D">
              <w:rPr>
                <w:lang w:eastAsia="lv-LV"/>
              </w:rPr>
              <w:t> </w:t>
            </w:r>
            <w:r w:rsidRPr="0031204D">
              <w:rPr>
                <w:b/>
                <w:lang w:eastAsia="lv-LV"/>
              </w:rPr>
              <w:t xml:space="preserve">II. Tiesību akta projekta ietekme uz sabiedrību, </w:t>
            </w:r>
            <w:r w:rsidRPr="0031204D">
              <w:rPr>
                <w:b/>
                <w:bCs/>
                <w:lang w:eastAsia="lv-LV"/>
              </w:rPr>
              <w:t>tautsaimniecības attīstību un administratīvo slogu</w:t>
            </w:r>
          </w:p>
        </w:tc>
      </w:tr>
      <w:tr w:rsidR="00E83938" w:rsidRPr="0031204D" w:rsidTr="00623F41">
        <w:trPr>
          <w:trHeight w:val="467"/>
        </w:trPr>
        <w:tc>
          <w:tcPr>
            <w:tcW w:w="0" w:type="auto"/>
            <w:hideMark/>
          </w:tcPr>
          <w:p w:rsidR="00E83938" w:rsidRPr="0031204D" w:rsidRDefault="00E83938" w:rsidP="00623F41">
            <w:pPr>
              <w:rPr>
                <w:lang w:eastAsia="lv-LV"/>
              </w:rPr>
            </w:pPr>
            <w:r w:rsidRPr="0031204D">
              <w:rPr>
                <w:lang w:eastAsia="lv-LV"/>
              </w:rPr>
              <w:t> 1.</w:t>
            </w:r>
          </w:p>
        </w:tc>
        <w:tc>
          <w:tcPr>
            <w:tcW w:w="2771" w:type="dxa"/>
            <w:hideMark/>
          </w:tcPr>
          <w:p w:rsidR="00E83938" w:rsidRPr="0031204D" w:rsidRDefault="00E83938" w:rsidP="00623F41">
            <w:pPr>
              <w:rPr>
                <w:lang w:eastAsia="lv-LV"/>
              </w:rPr>
            </w:pPr>
            <w:r w:rsidRPr="0031204D">
              <w:t>Sabiedrības mērķgrupas, kuras tiesiskais regulējums ietekmē vai varētu ietekmēt</w:t>
            </w:r>
          </w:p>
        </w:tc>
        <w:tc>
          <w:tcPr>
            <w:tcW w:w="6060" w:type="dxa"/>
            <w:hideMark/>
          </w:tcPr>
          <w:p w:rsidR="00E83938" w:rsidRPr="004D0FBB" w:rsidRDefault="00E83938" w:rsidP="00F81C86">
            <w:pPr>
              <w:pStyle w:val="Normal1"/>
              <w:rPr>
                <w:color w:val="000000"/>
              </w:rPr>
            </w:pPr>
            <w:r>
              <w:t>Nolīgums</w:t>
            </w:r>
            <w:r w:rsidRPr="00031D94">
              <w:t xml:space="preserve"> var veicināt Latvijas un </w:t>
            </w:r>
            <w:r w:rsidR="000B2308">
              <w:t>Vjetnamas</w:t>
            </w:r>
            <w:r w:rsidRPr="00031D94">
              <w:t xml:space="preserve"> sadarbību</w:t>
            </w:r>
            <w:r>
              <w:t xml:space="preserve"> ieguldījumu jomā</w:t>
            </w:r>
            <w:r w:rsidRPr="00031D94">
              <w:t>, tostarp uzlabojot Latvijas</w:t>
            </w:r>
            <w:r>
              <w:t xml:space="preserve"> komersantu</w:t>
            </w:r>
            <w:r w:rsidRPr="00031D94">
              <w:t xml:space="preserve"> </w:t>
            </w:r>
            <w:r>
              <w:t xml:space="preserve">ieguldīšanas </w:t>
            </w:r>
            <w:r w:rsidRPr="00031D94">
              <w:t xml:space="preserve">iespējas </w:t>
            </w:r>
            <w:r w:rsidR="00F81C86">
              <w:t>Vjetnamā</w:t>
            </w:r>
            <w:r w:rsidRPr="00031D94">
              <w:t xml:space="preserve">, </w:t>
            </w:r>
            <w:r>
              <w:t xml:space="preserve">kā arī turpinot </w:t>
            </w:r>
            <w:r w:rsidRPr="00031D94">
              <w:t>piesaist</w:t>
            </w:r>
            <w:r>
              <w:t>ī</w:t>
            </w:r>
            <w:r w:rsidRPr="00031D94">
              <w:t xml:space="preserve">t </w:t>
            </w:r>
            <w:r w:rsidR="00F81C86">
              <w:t>Vjetnamas</w:t>
            </w:r>
            <w:r w:rsidRPr="00031D94">
              <w:t xml:space="preserve"> </w:t>
            </w:r>
            <w:r>
              <w:t>ieguldījumus</w:t>
            </w:r>
            <w:r w:rsidRPr="00031D94">
              <w:t xml:space="preserve"> Latvijā.  </w:t>
            </w:r>
          </w:p>
        </w:tc>
      </w:tr>
      <w:tr w:rsidR="00E83938" w:rsidRPr="0031204D" w:rsidTr="00623F41">
        <w:trPr>
          <w:trHeight w:val="467"/>
        </w:trPr>
        <w:tc>
          <w:tcPr>
            <w:tcW w:w="0" w:type="auto"/>
          </w:tcPr>
          <w:p w:rsidR="00E83938" w:rsidRPr="0031204D" w:rsidRDefault="00E83938" w:rsidP="00623F41">
            <w:pPr>
              <w:rPr>
                <w:lang w:eastAsia="lv-LV"/>
              </w:rPr>
            </w:pPr>
            <w:r w:rsidRPr="0031204D">
              <w:rPr>
                <w:lang w:eastAsia="lv-LV"/>
              </w:rPr>
              <w:t>2.</w:t>
            </w:r>
          </w:p>
        </w:tc>
        <w:tc>
          <w:tcPr>
            <w:tcW w:w="2771" w:type="dxa"/>
          </w:tcPr>
          <w:p w:rsidR="00E83938" w:rsidRPr="0031204D" w:rsidRDefault="00E83938" w:rsidP="00623F41">
            <w:r w:rsidRPr="0031204D">
              <w:t>Tiesiskā regulējuma ietekme uz tautsaimniecību un administratīvo slogu</w:t>
            </w:r>
          </w:p>
        </w:tc>
        <w:tc>
          <w:tcPr>
            <w:tcW w:w="6060" w:type="dxa"/>
          </w:tcPr>
          <w:p w:rsidR="00E83938" w:rsidRPr="007B79E1" w:rsidRDefault="00E83938" w:rsidP="00623F41">
            <w:pPr>
              <w:spacing w:before="120" w:after="120"/>
              <w:jc w:val="both"/>
              <w:rPr>
                <w:lang w:eastAsia="lv-LV"/>
              </w:rPr>
            </w:pPr>
            <w:r>
              <w:rPr>
                <w:lang w:eastAsia="lv-LV"/>
              </w:rPr>
              <w:t xml:space="preserve">Nolīgums nerada papildus administratīvo slogu un tiek īstenots no esošajiem administratīvajiem resursiem. </w:t>
            </w:r>
          </w:p>
        </w:tc>
      </w:tr>
      <w:tr w:rsidR="00E83938" w:rsidRPr="0031204D" w:rsidTr="00623F41">
        <w:trPr>
          <w:trHeight w:val="531"/>
        </w:trPr>
        <w:tc>
          <w:tcPr>
            <w:tcW w:w="0" w:type="auto"/>
            <w:hideMark/>
          </w:tcPr>
          <w:p w:rsidR="00E83938" w:rsidRPr="0031204D" w:rsidRDefault="00E83938" w:rsidP="00623F41">
            <w:pPr>
              <w:rPr>
                <w:lang w:eastAsia="lv-LV"/>
              </w:rPr>
            </w:pPr>
            <w:r w:rsidRPr="0031204D">
              <w:rPr>
                <w:lang w:eastAsia="lv-LV"/>
              </w:rPr>
              <w:t> 3.</w:t>
            </w:r>
          </w:p>
        </w:tc>
        <w:tc>
          <w:tcPr>
            <w:tcW w:w="2771" w:type="dxa"/>
          </w:tcPr>
          <w:p w:rsidR="00E83938" w:rsidRPr="0031204D" w:rsidRDefault="00E83938" w:rsidP="00623F41">
            <w:pPr>
              <w:rPr>
                <w:lang w:eastAsia="lv-LV"/>
              </w:rPr>
            </w:pPr>
            <w:r w:rsidRPr="0031204D">
              <w:rPr>
                <w:lang w:eastAsia="lv-LV"/>
              </w:rPr>
              <w:t>Administratīvo izmaksu monetārs novērtējums</w:t>
            </w:r>
          </w:p>
        </w:tc>
        <w:tc>
          <w:tcPr>
            <w:tcW w:w="6060" w:type="dxa"/>
            <w:hideMark/>
          </w:tcPr>
          <w:p w:rsidR="00E83938" w:rsidRPr="007B79E1" w:rsidRDefault="00E83938" w:rsidP="00623F41">
            <w:pPr>
              <w:spacing w:before="120" w:after="120"/>
              <w:rPr>
                <w:lang w:eastAsia="lv-LV"/>
              </w:rPr>
            </w:pPr>
            <w:r w:rsidRPr="007B79E1">
              <w:rPr>
                <w:lang w:eastAsia="lv-LV"/>
              </w:rPr>
              <w:t>Nav attiecināms</w:t>
            </w:r>
          </w:p>
        </w:tc>
      </w:tr>
      <w:tr w:rsidR="00E83938" w:rsidRPr="0031204D" w:rsidTr="00623F41">
        <w:trPr>
          <w:trHeight w:val="70"/>
        </w:trPr>
        <w:tc>
          <w:tcPr>
            <w:tcW w:w="0" w:type="auto"/>
            <w:hideMark/>
          </w:tcPr>
          <w:p w:rsidR="00E83938" w:rsidRPr="0031204D" w:rsidRDefault="00E83938" w:rsidP="00623F41">
            <w:pPr>
              <w:jc w:val="both"/>
              <w:rPr>
                <w:lang w:eastAsia="lv-LV"/>
              </w:rPr>
            </w:pPr>
            <w:r w:rsidRPr="0031204D">
              <w:rPr>
                <w:lang w:eastAsia="lv-LV"/>
              </w:rPr>
              <w:t> 4.</w:t>
            </w:r>
          </w:p>
        </w:tc>
        <w:tc>
          <w:tcPr>
            <w:tcW w:w="2771" w:type="dxa"/>
            <w:hideMark/>
          </w:tcPr>
          <w:p w:rsidR="00E83938" w:rsidRPr="0031204D" w:rsidRDefault="00E83938" w:rsidP="00623F41">
            <w:pPr>
              <w:jc w:val="both"/>
              <w:rPr>
                <w:lang w:eastAsia="lv-LV"/>
              </w:rPr>
            </w:pPr>
            <w:r w:rsidRPr="0031204D">
              <w:rPr>
                <w:lang w:eastAsia="lv-LV"/>
              </w:rPr>
              <w:t> Cita informācija</w:t>
            </w:r>
          </w:p>
        </w:tc>
        <w:tc>
          <w:tcPr>
            <w:tcW w:w="6060" w:type="dxa"/>
            <w:hideMark/>
          </w:tcPr>
          <w:p w:rsidR="00E83938" w:rsidRPr="007B79E1" w:rsidRDefault="00E83938" w:rsidP="006A2405">
            <w:pPr>
              <w:spacing w:before="120" w:after="120"/>
              <w:jc w:val="both"/>
              <w:rPr>
                <w:lang w:eastAsia="lv-LV"/>
              </w:rPr>
            </w:pPr>
            <w:r>
              <w:rPr>
                <w:lang w:eastAsia="lv-LV"/>
              </w:rPr>
              <w:t>N</w:t>
            </w:r>
            <w:r w:rsidRPr="004D66A4">
              <w:rPr>
                <w:lang w:eastAsia="lv-LV"/>
              </w:rPr>
              <w:t xml:space="preserve">olīgums </w:t>
            </w:r>
            <w:r>
              <w:rPr>
                <w:lang w:eastAsia="lv-LV"/>
              </w:rPr>
              <w:t>pilnveido</w:t>
            </w:r>
            <w:r w:rsidRPr="004D66A4">
              <w:rPr>
                <w:lang w:eastAsia="lv-LV"/>
              </w:rPr>
              <w:t xml:space="preserve"> līgumtiesisko pamatu </w:t>
            </w:r>
            <w:r>
              <w:rPr>
                <w:lang w:eastAsia="lv-LV"/>
              </w:rPr>
              <w:t xml:space="preserve">ieguldījumu veicināšanas un aizsardzības jomā </w:t>
            </w:r>
            <w:r w:rsidRPr="004D66A4">
              <w:rPr>
                <w:lang w:eastAsia="lv-LV"/>
              </w:rPr>
              <w:t xml:space="preserve">Latvijas attiecībām ar </w:t>
            </w:r>
            <w:r w:rsidR="00F81C86">
              <w:rPr>
                <w:lang w:eastAsia="lv-LV"/>
              </w:rPr>
              <w:t>Vjetnamas Sociālistisko</w:t>
            </w:r>
            <w:r>
              <w:rPr>
                <w:lang w:eastAsia="lv-LV"/>
              </w:rPr>
              <w:t xml:space="preserve"> Republiku</w:t>
            </w:r>
            <w:r w:rsidRPr="006A2405">
              <w:rPr>
                <w:lang w:eastAsia="lv-LV"/>
              </w:rPr>
              <w:t xml:space="preserve">. </w:t>
            </w:r>
            <w:r w:rsidRPr="006A2405">
              <w:t>Saskaņā ar Latvijas Bankas datiem, 201</w:t>
            </w:r>
            <w:r w:rsidR="006A2405" w:rsidRPr="006A2405">
              <w:t>8</w:t>
            </w:r>
            <w:r w:rsidRPr="006A2405">
              <w:t xml:space="preserve">.gadā </w:t>
            </w:r>
            <w:r w:rsidR="006A2405" w:rsidRPr="006A2405">
              <w:t>Vjetnamas</w:t>
            </w:r>
            <w:r w:rsidRPr="006A2405">
              <w:t xml:space="preserve"> tiešo ieguldījumu atlikums Latvijā ir reģistrēts </w:t>
            </w:r>
            <w:r w:rsidR="006A2405" w:rsidRPr="006A2405">
              <w:t>22</w:t>
            </w:r>
            <w:r w:rsidRPr="006A2405">
              <w:t xml:space="preserve"> </w:t>
            </w:r>
            <w:proofErr w:type="spellStart"/>
            <w:r w:rsidRPr="006A2405">
              <w:t>mlj</w:t>
            </w:r>
            <w:proofErr w:type="spellEnd"/>
            <w:r w:rsidRPr="006A2405">
              <w:t xml:space="preserve"> EUR apmērā, savukārt Latvijai nav tiešo ieguldījumu </w:t>
            </w:r>
            <w:r w:rsidR="006A2405" w:rsidRPr="006A2405">
              <w:t>Vjetnamā</w:t>
            </w:r>
            <w:r w:rsidRPr="006A2405">
              <w:t xml:space="preserve">. Uz </w:t>
            </w:r>
            <w:r w:rsidR="006A2405" w:rsidRPr="006A2405">
              <w:t>3</w:t>
            </w:r>
            <w:r w:rsidRPr="006A2405">
              <w:t>.0</w:t>
            </w:r>
            <w:r w:rsidR="006A2405" w:rsidRPr="006A2405">
              <w:t>6</w:t>
            </w:r>
            <w:r w:rsidRPr="006A2405">
              <w:t>.201</w:t>
            </w:r>
            <w:r w:rsidR="006A2405" w:rsidRPr="006A2405">
              <w:t>9</w:t>
            </w:r>
            <w:r w:rsidRPr="006A2405">
              <w:t xml:space="preserve">. Latvijā bija reģistrēti </w:t>
            </w:r>
            <w:r w:rsidR="006A2405" w:rsidRPr="006A2405">
              <w:t>29</w:t>
            </w:r>
            <w:r w:rsidRPr="006A2405">
              <w:t xml:space="preserve"> Latvijas-</w:t>
            </w:r>
            <w:r w:rsidR="006A2405" w:rsidRPr="006A2405">
              <w:t>Vjetnamas</w:t>
            </w:r>
            <w:r w:rsidRPr="006A2405">
              <w:t xml:space="preserve"> kopuzņēmumi. Latvijai kā investīcijas</w:t>
            </w:r>
            <w:bookmarkStart w:id="0" w:name="_GoBack"/>
            <w:bookmarkEnd w:id="0"/>
            <w:r>
              <w:t xml:space="preserve"> uzņemošai valstij būtiski ir tas, ka Nolīgums </w:t>
            </w:r>
            <w:r>
              <w:rPr>
                <w:color w:val="000000"/>
              </w:rPr>
              <w:t xml:space="preserve">nodrošina ieguldījumu augsta līmeņa aizsardzību, vienlaikus aizsargājot valsts tiesības reglamentēt un sasniegt leģitīmus sabiedriskās politikas mērķus, piemēram, attiecībā uz sabiedrības veselības aizsardzību, drošību un vidi. </w:t>
            </w:r>
            <w:r>
              <w:t xml:space="preserve"> </w:t>
            </w:r>
          </w:p>
        </w:tc>
      </w:tr>
    </w:tbl>
    <w:p w:rsidR="00E83938" w:rsidRDefault="00E83938" w:rsidP="00E83938">
      <w:pPr>
        <w:jc w:val="both"/>
        <w:rPr>
          <w:i/>
        </w:rPr>
      </w:pP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8"/>
      </w:tblGrid>
      <w:tr w:rsidR="00E83938" w:rsidRPr="006C74DA" w:rsidTr="00623F41">
        <w:tc>
          <w:tcPr>
            <w:tcW w:w="5000" w:type="pct"/>
            <w:shd w:val="clear" w:color="auto" w:fill="auto"/>
            <w:hideMark/>
          </w:tcPr>
          <w:p w:rsidR="00E83938" w:rsidRPr="006C74DA" w:rsidRDefault="00E83938" w:rsidP="00623F41">
            <w:pPr>
              <w:rPr>
                <w:b/>
                <w:bCs/>
                <w:iCs/>
                <w:color w:val="0D0D0D"/>
                <w:lang w:eastAsia="lv-LV"/>
              </w:rPr>
            </w:pPr>
            <w:r w:rsidRPr="006C74DA">
              <w:rPr>
                <w:b/>
                <w:bCs/>
                <w:iCs/>
                <w:color w:val="0D0D0D"/>
                <w:lang w:eastAsia="lv-LV"/>
              </w:rPr>
              <w:t>III. Tiesību akta projekta ietekme uz valsts budžetu un pašvaldību budžetiem</w:t>
            </w:r>
          </w:p>
        </w:tc>
      </w:tr>
      <w:tr w:rsidR="00E83938" w:rsidRPr="006C74DA" w:rsidTr="00623F41">
        <w:trPr>
          <w:trHeight w:val="305"/>
        </w:trPr>
        <w:tc>
          <w:tcPr>
            <w:tcW w:w="5000" w:type="pct"/>
            <w:shd w:val="clear" w:color="auto" w:fill="auto"/>
          </w:tcPr>
          <w:p w:rsidR="00E83938" w:rsidRPr="006C74DA" w:rsidRDefault="00E83938" w:rsidP="00623F41">
            <w:pPr>
              <w:jc w:val="center"/>
              <w:rPr>
                <w:iCs/>
                <w:color w:val="0D0D0D"/>
                <w:lang w:eastAsia="lv-LV"/>
              </w:rPr>
            </w:pPr>
            <w:r w:rsidRPr="006C74DA">
              <w:rPr>
                <w:iCs/>
                <w:color w:val="0D0D0D"/>
                <w:lang w:eastAsia="lv-LV"/>
              </w:rPr>
              <w:t>Projekts šo jomu neskar</w:t>
            </w:r>
          </w:p>
        </w:tc>
      </w:tr>
    </w:tbl>
    <w:p w:rsidR="00E83938" w:rsidRDefault="00E83938" w:rsidP="00E83938">
      <w:pPr>
        <w:jc w:val="both"/>
        <w:rPr>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E83938" w:rsidRPr="006C74DA" w:rsidTr="00623F41">
        <w:tc>
          <w:tcPr>
            <w:tcW w:w="0" w:type="auto"/>
            <w:shd w:val="clear" w:color="auto" w:fill="auto"/>
            <w:hideMark/>
          </w:tcPr>
          <w:p w:rsidR="00E83938" w:rsidRPr="006C74DA" w:rsidRDefault="00E83938" w:rsidP="00623F41">
            <w:pPr>
              <w:rPr>
                <w:b/>
                <w:bCs/>
                <w:iCs/>
                <w:color w:val="0D0D0D"/>
                <w:lang w:eastAsia="lv-LV"/>
              </w:rPr>
            </w:pPr>
            <w:r w:rsidRPr="006C74DA">
              <w:rPr>
                <w:b/>
                <w:bCs/>
                <w:iCs/>
                <w:color w:val="0D0D0D"/>
                <w:lang w:eastAsia="lv-LV"/>
              </w:rPr>
              <w:t>IV. Tiesību akta projekta ietekme uz spēkā esošo tiesību normu sistēmu</w:t>
            </w:r>
          </w:p>
        </w:tc>
      </w:tr>
      <w:tr w:rsidR="00E83938" w:rsidRPr="006C74DA" w:rsidTr="00623F41">
        <w:tc>
          <w:tcPr>
            <w:tcW w:w="5000" w:type="pct"/>
            <w:shd w:val="clear" w:color="auto" w:fill="auto"/>
            <w:hideMark/>
          </w:tcPr>
          <w:p w:rsidR="00E83938" w:rsidRPr="006C74DA" w:rsidRDefault="00E83938" w:rsidP="00623F41">
            <w:pPr>
              <w:jc w:val="center"/>
              <w:rPr>
                <w:iCs/>
                <w:color w:val="0D0D0D"/>
                <w:lang w:eastAsia="lv-LV"/>
              </w:rPr>
            </w:pPr>
            <w:r w:rsidRPr="006C74DA">
              <w:rPr>
                <w:iCs/>
                <w:color w:val="0D0D0D"/>
                <w:lang w:eastAsia="lv-LV"/>
              </w:rPr>
              <w:t>Projekts šo jomu neskar</w:t>
            </w:r>
          </w:p>
        </w:tc>
      </w:tr>
    </w:tbl>
    <w:p w:rsidR="00E83938" w:rsidRPr="0031204D" w:rsidRDefault="00E83938" w:rsidP="00E83938">
      <w:pPr>
        <w:jc w:val="both"/>
      </w:pPr>
    </w:p>
    <w:tbl>
      <w:tblPr>
        <w:tblW w:w="932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2835"/>
        <w:gridCol w:w="5953"/>
      </w:tblGrid>
      <w:tr w:rsidR="00E83938" w:rsidRPr="0031204D" w:rsidTr="00623F41">
        <w:tc>
          <w:tcPr>
            <w:tcW w:w="9323" w:type="dxa"/>
            <w:gridSpan w:val="3"/>
            <w:hideMark/>
          </w:tcPr>
          <w:p w:rsidR="00E83938" w:rsidRPr="0031204D" w:rsidRDefault="00E83938" w:rsidP="00623F41">
            <w:pPr>
              <w:jc w:val="both"/>
              <w:rPr>
                <w:b/>
                <w:lang w:eastAsia="lv-LV"/>
              </w:rPr>
            </w:pPr>
            <w:r w:rsidRPr="0031204D">
              <w:rPr>
                <w:lang w:eastAsia="lv-LV"/>
              </w:rPr>
              <w:t> </w:t>
            </w:r>
            <w:r w:rsidRPr="0031204D">
              <w:rPr>
                <w:b/>
                <w:lang w:eastAsia="lv-LV"/>
              </w:rPr>
              <w:t>V. Tiesību akta projekta atbilstība Latvijas Republikas starptautiskajām saistībām</w:t>
            </w:r>
          </w:p>
        </w:tc>
      </w:tr>
      <w:tr w:rsidR="00E83938" w:rsidRPr="0031204D" w:rsidTr="00623F41">
        <w:tc>
          <w:tcPr>
            <w:tcW w:w="535" w:type="dxa"/>
            <w:tcBorders>
              <w:right w:val="single" w:sz="4" w:space="0" w:color="auto"/>
            </w:tcBorders>
          </w:tcPr>
          <w:p w:rsidR="00E83938" w:rsidRPr="00D12DAE" w:rsidRDefault="00E83938" w:rsidP="00623F41">
            <w:pPr>
              <w:jc w:val="both"/>
              <w:rPr>
                <w:lang w:eastAsia="lv-LV"/>
              </w:rPr>
            </w:pPr>
            <w:r w:rsidRPr="00D12DAE">
              <w:rPr>
                <w:lang w:eastAsia="lv-LV"/>
              </w:rPr>
              <w:t>1.</w:t>
            </w:r>
          </w:p>
        </w:tc>
        <w:tc>
          <w:tcPr>
            <w:tcW w:w="2835" w:type="dxa"/>
            <w:tcBorders>
              <w:left w:val="single" w:sz="4" w:space="0" w:color="auto"/>
              <w:right w:val="single" w:sz="4" w:space="0" w:color="auto"/>
            </w:tcBorders>
          </w:tcPr>
          <w:p w:rsidR="00E83938" w:rsidRPr="00D12DAE" w:rsidRDefault="00E83938" w:rsidP="00623F41">
            <w:pPr>
              <w:jc w:val="both"/>
              <w:rPr>
                <w:lang w:eastAsia="lv-LV"/>
              </w:rPr>
            </w:pPr>
            <w:r w:rsidRPr="0058326C">
              <w:rPr>
                <w:lang w:eastAsia="lv-LV"/>
              </w:rPr>
              <w:t>Saistības pret Eiropas Savienību</w:t>
            </w:r>
          </w:p>
        </w:tc>
        <w:tc>
          <w:tcPr>
            <w:tcW w:w="5953" w:type="dxa"/>
            <w:tcBorders>
              <w:left w:val="single" w:sz="4" w:space="0" w:color="auto"/>
            </w:tcBorders>
          </w:tcPr>
          <w:p w:rsidR="00E83938" w:rsidRPr="00422A36" w:rsidRDefault="00E83938" w:rsidP="00623F41">
            <w:pPr>
              <w:rPr>
                <w:bCs/>
              </w:rPr>
            </w:pPr>
            <w:r w:rsidRPr="00DF0252">
              <w:rPr>
                <w:bCs/>
              </w:rPr>
              <w:t>Likumprojekts atbilst Latvijas saistībām ES.  Nolīgums tik</w:t>
            </w:r>
            <w:r>
              <w:rPr>
                <w:bCs/>
              </w:rPr>
              <w:t>a</w:t>
            </w:r>
            <w:r w:rsidRPr="00DF0252">
              <w:rPr>
                <w:bCs/>
              </w:rPr>
              <w:t xml:space="preserve"> noslēgts saskaņā ar Līgum</w:t>
            </w:r>
            <w:r>
              <w:rPr>
                <w:bCs/>
              </w:rPr>
              <w:t>a</w:t>
            </w:r>
            <w:r w:rsidRPr="00DF0252">
              <w:rPr>
                <w:bCs/>
              </w:rPr>
              <w:t xml:space="preserve"> par Eiropas Savienības darbību </w:t>
            </w:r>
            <w:r>
              <w:rPr>
                <w:bCs/>
              </w:rPr>
              <w:t xml:space="preserve">(LESD) 218.panta 5.punktu, Nolīgums tika parakstīts saskaņā ar </w:t>
            </w:r>
            <w:r>
              <w:t xml:space="preserve">LESD 2018.panta 6.punktu, kam seko Eiropas Parlamenta piekrišana un nacionālo parlamentu ratifikācija saskaņā ar nacionālo likumdošanu. </w:t>
            </w:r>
          </w:p>
        </w:tc>
      </w:tr>
      <w:tr w:rsidR="00E83938" w:rsidRPr="0031204D" w:rsidTr="00623F41">
        <w:tc>
          <w:tcPr>
            <w:tcW w:w="535" w:type="dxa"/>
            <w:tcBorders>
              <w:right w:val="single" w:sz="4" w:space="0" w:color="auto"/>
            </w:tcBorders>
          </w:tcPr>
          <w:p w:rsidR="00E83938" w:rsidRPr="00D12DAE" w:rsidRDefault="00E83938" w:rsidP="00623F41">
            <w:pPr>
              <w:jc w:val="both"/>
              <w:rPr>
                <w:lang w:eastAsia="lv-LV"/>
              </w:rPr>
            </w:pPr>
            <w:r w:rsidRPr="00D12DAE">
              <w:rPr>
                <w:lang w:eastAsia="lv-LV"/>
              </w:rPr>
              <w:lastRenderedPageBreak/>
              <w:t>2.</w:t>
            </w:r>
          </w:p>
        </w:tc>
        <w:tc>
          <w:tcPr>
            <w:tcW w:w="2835" w:type="dxa"/>
            <w:tcBorders>
              <w:left w:val="single" w:sz="4" w:space="0" w:color="auto"/>
              <w:right w:val="single" w:sz="4" w:space="0" w:color="auto"/>
            </w:tcBorders>
          </w:tcPr>
          <w:p w:rsidR="00E83938" w:rsidRPr="00C311F8" w:rsidRDefault="00E83938" w:rsidP="00623F41">
            <w:pPr>
              <w:jc w:val="both"/>
              <w:rPr>
                <w:lang w:eastAsia="lv-LV"/>
              </w:rPr>
            </w:pPr>
            <w:r w:rsidRPr="00C311F8">
              <w:t>Citas starptautiskās saistības</w:t>
            </w:r>
          </w:p>
        </w:tc>
        <w:tc>
          <w:tcPr>
            <w:tcW w:w="5953" w:type="dxa"/>
            <w:tcBorders>
              <w:left w:val="single" w:sz="4" w:space="0" w:color="auto"/>
            </w:tcBorders>
          </w:tcPr>
          <w:p w:rsidR="00E83938" w:rsidRPr="00CA4D4D" w:rsidRDefault="00E83938" w:rsidP="00623F41">
            <w:pPr>
              <w:spacing w:before="120" w:after="120"/>
              <w:jc w:val="both"/>
              <w:rPr>
                <w:lang w:eastAsia="lv-LV"/>
              </w:rPr>
            </w:pPr>
            <w:r w:rsidRPr="00CA4D4D">
              <w:rPr>
                <w:lang w:eastAsia="lv-LV"/>
              </w:rPr>
              <w:t>Nav attiecināms</w:t>
            </w:r>
          </w:p>
        </w:tc>
      </w:tr>
      <w:tr w:rsidR="00E83938" w:rsidRPr="0031204D" w:rsidTr="00623F41">
        <w:tc>
          <w:tcPr>
            <w:tcW w:w="535" w:type="dxa"/>
            <w:tcBorders>
              <w:right w:val="single" w:sz="4" w:space="0" w:color="auto"/>
            </w:tcBorders>
          </w:tcPr>
          <w:p w:rsidR="00E83938" w:rsidRPr="00D12DAE" w:rsidRDefault="00E83938" w:rsidP="00623F41">
            <w:pPr>
              <w:jc w:val="both"/>
              <w:rPr>
                <w:lang w:eastAsia="lv-LV"/>
              </w:rPr>
            </w:pPr>
            <w:r w:rsidRPr="00D12DAE">
              <w:rPr>
                <w:lang w:eastAsia="lv-LV"/>
              </w:rPr>
              <w:t>3.</w:t>
            </w:r>
          </w:p>
        </w:tc>
        <w:tc>
          <w:tcPr>
            <w:tcW w:w="2835" w:type="dxa"/>
            <w:tcBorders>
              <w:left w:val="single" w:sz="4" w:space="0" w:color="auto"/>
              <w:right w:val="single" w:sz="4" w:space="0" w:color="auto"/>
            </w:tcBorders>
          </w:tcPr>
          <w:p w:rsidR="00E83938" w:rsidRPr="00D12DAE" w:rsidRDefault="00E83938" w:rsidP="00623F41">
            <w:pPr>
              <w:jc w:val="both"/>
              <w:rPr>
                <w:lang w:eastAsia="lv-LV"/>
              </w:rPr>
            </w:pPr>
            <w:r w:rsidRPr="0058326C">
              <w:rPr>
                <w:lang w:eastAsia="lv-LV"/>
              </w:rPr>
              <w:t>Cita informācija</w:t>
            </w:r>
          </w:p>
        </w:tc>
        <w:tc>
          <w:tcPr>
            <w:tcW w:w="5953" w:type="dxa"/>
            <w:tcBorders>
              <w:left w:val="single" w:sz="4" w:space="0" w:color="auto"/>
            </w:tcBorders>
          </w:tcPr>
          <w:p w:rsidR="00E83938" w:rsidRPr="00422A36" w:rsidRDefault="00E83938" w:rsidP="00623F41">
            <w:pPr>
              <w:spacing w:before="120" w:after="120"/>
              <w:jc w:val="both"/>
              <w:rPr>
                <w:lang w:eastAsia="lv-LV"/>
              </w:rPr>
            </w:pPr>
            <w:r>
              <w:rPr>
                <w:lang w:eastAsia="lv-LV"/>
              </w:rPr>
              <w:t>Nav attiecināms</w:t>
            </w:r>
          </w:p>
        </w:tc>
      </w:tr>
    </w:tbl>
    <w:p w:rsidR="00E83938" w:rsidRDefault="00E83938" w:rsidP="00E83938">
      <w:pPr>
        <w:jc w:val="both"/>
      </w:pPr>
    </w:p>
    <w:p w:rsidR="00E83938" w:rsidRPr="0031204D" w:rsidRDefault="00E83938" w:rsidP="00E83938">
      <w:pPr>
        <w:jc w:val="both"/>
      </w:pP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E83938" w:rsidRPr="0031204D" w:rsidTr="00623F41">
        <w:tc>
          <w:tcPr>
            <w:tcW w:w="9287" w:type="dxa"/>
            <w:gridSpan w:val="3"/>
            <w:hideMark/>
          </w:tcPr>
          <w:p w:rsidR="00E83938" w:rsidRPr="0031204D" w:rsidRDefault="00E83938" w:rsidP="00623F41">
            <w:pPr>
              <w:jc w:val="both"/>
              <w:rPr>
                <w:lang w:eastAsia="lv-LV"/>
              </w:rPr>
            </w:pPr>
            <w:r w:rsidRPr="0031204D">
              <w:rPr>
                <w:b/>
                <w:bCs/>
                <w:lang w:eastAsia="lv-LV"/>
              </w:rPr>
              <w:t>VI. Sabiedrības līdzdalība un komunikācijas aktivitātes</w:t>
            </w:r>
          </w:p>
        </w:tc>
      </w:tr>
      <w:tr w:rsidR="00E83938" w:rsidRPr="0031204D" w:rsidTr="00623F41">
        <w:trPr>
          <w:trHeight w:val="427"/>
        </w:trPr>
        <w:tc>
          <w:tcPr>
            <w:tcW w:w="538" w:type="dxa"/>
            <w:hideMark/>
          </w:tcPr>
          <w:p w:rsidR="00E83938" w:rsidRPr="0031204D" w:rsidRDefault="00E83938" w:rsidP="00623F41">
            <w:pPr>
              <w:jc w:val="both"/>
              <w:rPr>
                <w:lang w:eastAsia="lv-LV"/>
              </w:rPr>
            </w:pPr>
            <w:r w:rsidRPr="0031204D">
              <w:rPr>
                <w:lang w:eastAsia="lv-LV"/>
              </w:rPr>
              <w:t> 1.</w:t>
            </w:r>
          </w:p>
        </w:tc>
        <w:tc>
          <w:tcPr>
            <w:tcW w:w="4104" w:type="dxa"/>
          </w:tcPr>
          <w:p w:rsidR="00E83938" w:rsidRPr="00565BB3" w:rsidRDefault="00E83938" w:rsidP="00623F41">
            <w:pPr>
              <w:jc w:val="both"/>
              <w:rPr>
                <w:lang w:eastAsia="lv-LV"/>
              </w:rPr>
            </w:pPr>
            <w:r w:rsidRPr="00565BB3">
              <w:rPr>
                <w:lang w:eastAsia="lv-LV"/>
              </w:rPr>
              <w:t>Plānotās sabiedrības līdzdalības un komunikācijas aktivitātes saistībā ar projektu</w:t>
            </w:r>
          </w:p>
        </w:tc>
        <w:tc>
          <w:tcPr>
            <w:tcW w:w="4645" w:type="dxa"/>
          </w:tcPr>
          <w:p w:rsidR="00E83938" w:rsidRPr="00565BB3" w:rsidRDefault="00E83938" w:rsidP="00623F41">
            <w:pPr>
              <w:spacing w:before="120" w:after="120"/>
              <w:jc w:val="both"/>
            </w:pPr>
            <w:r w:rsidRPr="006C74DA">
              <w:t>Likumprojekta pakete būs pieejama sabiedrībai Ministru kabineta mājas lapā.</w:t>
            </w:r>
          </w:p>
        </w:tc>
      </w:tr>
      <w:tr w:rsidR="00E83938" w:rsidRPr="0031204D" w:rsidTr="00623F41">
        <w:trPr>
          <w:trHeight w:val="463"/>
        </w:trPr>
        <w:tc>
          <w:tcPr>
            <w:tcW w:w="538" w:type="dxa"/>
            <w:hideMark/>
          </w:tcPr>
          <w:p w:rsidR="00E83938" w:rsidRPr="0031204D" w:rsidRDefault="00E83938" w:rsidP="00623F41">
            <w:pPr>
              <w:jc w:val="both"/>
              <w:rPr>
                <w:lang w:eastAsia="lv-LV"/>
              </w:rPr>
            </w:pPr>
            <w:r w:rsidRPr="0031204D">
              <w:rPr>
                <w:lang w:eastAsia="lv-LV"/>
              </w:rPr>
              <w:t> 2.</w:t>
            </w:r>
          </w:p>
        </w:tc>
        <w:tc>
          <w:tcPr>
            <w:tcW w:w="4104" w:type="dxa"/>
          </w:tcPr>
          <w:p w:rsidR="00E83938" w:rsidRPr="0031204D" w:rsidRDefault="00E83938" w:rsidP="00623F41">
            <w:pPr>
              <w:jc w:val="both"/>
              <w:rPr>
                <w:lang w:eastAsia="lv-LV"/>
              </w:rPr>
            </w:pPr>
            <w:r w:rsidRPr="0031204D">
              <w:rPr>
                <w:lang w:eastAsia="lv-LV"/>
              </w:rPr>
              <w:t>Sabiedrības līdzdalība projekta izstrādē</w:t>
            </w:r>
          </w:p>
        </w:tc>
        <w:tc>
          <w:tcPr>
            <w:tcW w:w="4645" w:type="dxa"/>
          </w:tcPr>
          <w:p w:rsidR="00E83938" w:rsidRPr="00A75B17" w:rsidRDefault="00E83938" w:rsidP="00623F41">
            <w:pPr>
              <w:jc w:val="both"/>
              <w:rPr>
                <w:highlight w:val="yellow"/>
                <w:lang w:eastAsia="lv-LV"/>
              </w:rPr>
            </w:pPr>
            <w:r>
              <w:rPr>
                <w:lang w:eastAsia="lv-LV"/>
              </w:rPr>
              <w:t>Nav attiecināms</w:t>
            </w:r>
          </w:p>
        </w:tc>
      </w:tr>
      <w:tr w:rsidR="00E83938" w:rsidRPr="0031204D" w:rsidTr="00623F41">
        <w:trPr>
          <w:trHeight w:val="725"/>
        </w:trPr>
        <w:tc>
          <w:tcPr>
            <w:tcW w:w="538" w:type="dxa"/>
            <w:hideMark/>
          </w:tcPr>
          <w:p w:rsidR="00E83938" w:rsidRPr="0031204D" w:rsidRDefault="00E83938" w:rsidP="00623F41">
            <w:pPr>
              <w:jc w:val="both"/>
              <w:rPr>
                <w:lang w:eastAsia="lv-LV"/>
              </w:rPr>
            </w:pPr>
            <w:r w:rsidRPr="0031204D">
              <w:rPr>
                <w:lang w:eastAsia="lv-LV"/>
              </w:rPr>
              <w:t> 3.</w:t>
            </w:r>
          </w:p>
        </w:tc>
        <w:tc>
          <w:tcPr>
            <w:tcW w:w="4104" w:type="dxa"/>
          </w:tcPr>
          <w:p w:rsidR="00E83938" w:rsidRPr="0031204D" w:rsidRDefault="00E83938" w:rsidP="00623F41">
            <w:pPr>
              <w:jc w:val="both"/>
              <w:rPr>
                <w:lang w:eastAsia="lv-LV"/>
              </w:rPr>
            </w:pPr>
            <w:r w:rsidRPr="0031204D">
              <w:rPr>
                <w:lang w:eastAsia="lv-LV"/>
              </w:rPr>
              <w:t>Sabiedrības līdzdalības rezultāti</w:t>
            </w:r>
          </w:p>
        </w:tc>
        <w:tc>
          <w:tcPr>
            <w:tcW w:w="4645" w:type="dxa"/>
          </w:tcPr>
          <w:p w:rsidR="00E83938" w:rsidRPr="00A75B17" w:rsidRDefault="00E83938" w:rsidP="00623F41">
            <w:pPr>
              <w:jc w:val="both"/>
              <w:rPr>
                <w:highlight w:val="yellow"/>
                <w:lang w:eastAsia="lv-LV"/>
              </w:rPr>
            </w:pPr>
            <w:r>
              <w:rPr>
                <w:lang w:eastAsia="lv-LV"/>
              </w:rPr>
              <w:t>Nav attiecināms</w:t>
            </w:r>
          </w:p>
        </w:tc>
      </w:tr>
      <w:tr w:rsidR="00E83938" w:rsidRPr="0031204D" w:rsidTr="00623F41">
        <w:trPr>
          <w:trHeight w:val="70"/>
        </w:trPr>
        <w:tc>
          <w:tcPr>
            <w:tcW w:w="538" w:type="dxa"/>
            <w:hideMark/>
          </w:tcPr>
          <w:p w:rsidR="00E83938" w:rsidRPr="0031204D" w:rsidRDefault="00E83938" w:rsidP="00623F41">
            <w:pPr>
              <w:jc w:val="both"/>
              <w:rPr>
                <w:lang w:eastAsia="lv-LV"/>
              </w:rPr>
            </w:pPr>
            <w:r w:rsidRPr="0031204D">
              <w:rPr>
                <w:lang w:eastAsia="lv-LV"/>
              </w:rPr>
              <w:t> 4.</w:t>
            </w:r>
          </w:p>
        </w:tc>
        <w:tc>
          <w:tcPr>
            <w:tcW w:w="4104" w:type="dxa"/>
            <w:hideMark/>
          </w:tcPr>
          <w:p w:rsidR="00E83938" w:rsidRPr="0031204D" w:rsidRDefault="00E83938" w:rsidP="00623F41">
            <w:pPr>
              <w:jc w:val="both"/>
              <w:rPr>
                <w:lang w:eastAsia="lv-LV"/>
              </w:rPr>
            </w:pPr>
            <w:r w:rsidRPr="0031204D">
              <w:rPr>
                <w:lang w:eastAsia="lv-LV"/>
              </w:rPr>
              <w:t> Cita informācija</w:t>
            </w:r>
          </w:p>
        </w:tc>
        <w:tc>
          <w:tcPr>
            <w:tcW w:w="4645" w:type="dxa"/>
            <w:hideMark/>
          </w:tcPr>
          <w:p w:rsidR="00E83938" w:rsidRPr="006971AF" w:rsidRDefault="00E83938" w:rsidP="00623F41">
            <w:pPr>
              <w:pStyle w:val="Statut"/>
              <w:spacing w:before="0"/>
              <w:jc w:val="both"/>
              <w:rPr>
                <w:szCs w:val="24"/>
                <w:lang w:eastAsia="lv-LV"/>
              </w:rPr>
            </w:pPr>
            <w:r>
              <w:rPr>
                <w:szCs w:val="24"/>
                <w:lang w:eastAsia="lv-LV"/>
              </w:rPr>
              <w:t xml:space="preserve">Nav </w:t>
            </w:r>
          </w:p>
        </w:tc>
      </w:tr>
    </w:tbl>
    <w:p w:rsidR="00E83938" w:rsidRPr="0031204D" w:rsidRDefault="00E83938" w:rsidP="00E83938"/>
    <w:p w:rsidR="00E83938" w:rsidRPr="0031204D" w:rsidRDefault="00E83938" w:rsidP="00E83938"/>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4104"/>
        <w:gridCol w:w="4645"/>
      </w:tblGrid>
      <w:tr w:rsidR="00E83938" w:rsidRPr="0031204D" w:rsidTr="00623F41">
        <w:tc>
          <w:tcPr>
            <w:tcW w:w="9287" w:type="dxa"/>
            <w:gridSpan w:val="3"/>
            <w:hideMark/>
          </w:tcPr>
          <w:p w:rsidR="00E83938" w:rsidRPr="0031204D" w:rsidRDefault="00E83938" w:rsidP="00623F41">
            <w:pPr>
              <w:jc w:val="center"/>
              <w:rPr>
                <w:lang w:eastAsia="lv-LV"/>
              </w:rPr>
            </w:pPr>
            <w:r w:rsidRPr="0031204D">
              <w:rPr>
                <w:lang w:eastAsia="lv-LV"/>
              </w:rPr>
              <w:t> </w:t>
            </w:r>
            <w:r w:rsidRPr="0031204D">
              <w:rPr>
                <w:b/>
                <w:bCs/>
                <w:lang w:eastAsia="lv-LV"/>
              </w:rPr>
              <w:t>VII. Tiesību akta projekta izpildes nodrošināšana un tās ietekme uz institūcijām</w:t>
            </w:r>
          </w:p>
        </w:tc>
      </w:tr>
      <w:tr w:rsidR="00E83938" w:rsidRPr="0031204D" w:rsidTr="00623F41">
        <w:trPr>
          <w:trHeight w:val="427"/>
        </w:trPr>
        <w:tc>
          <w:tcPr>
            <w:tcW w:w="538" w:type="dxa"/>
            <w:hideMark/>
          </w:tcPr>
          <w:p w:rsidR="00E83938" w:rsidRPr="0031204D" w:rsidRDefault="00E83938" w:rsidP="00623F41">
            <w:pPr>
              <w:rPr>
                <w:lang w:eastAsia="lv-LV"/>
              </w:rPr>
            </w:pPr>
            <w:r w:rsidRPr="0031204D">
              <w:rPr>
                <w:lang w:eastAsia="lv-LV"/>
              </w:rPr>
              <w:t> 1.</w:t>
            </w:r>
          </w:p>
        </w:tc>
        <w:tc>
          <w:tcPr>
            <w:tcW w:w="4104" w:type="dxa"/>
            <w:hideMark/>
          </w:tcPr>
          <w:p w:rsidR="00E83938" w:rsidRPr="0031204D" w:rsidRDefault="00E83938" w:rsidP="00623F41">
            <w:pPr>
              <w:rPr>
                <w:lang w:eastAsia="lv-LV"/>
              </w:rPr>
            </w:pPr>
            <w:r w:rsidRPr="0031204D">
              <w:rPr>
                <w:lang w:eastAsia="lv-LV"/>
              </w:rPr>
              <w:t> Projekta izpildē iesaistītās institūcijas</w:t>
            </w:r>
          </w:p>
        </w:tc>
        <w:tc>
          <w:tcPr>
            <w:tcW w:w="4645" w:type="dxa"/>
            <w:hideMark/>
          </w:tcPr>
          <w:p w:rsidR="00E83938" w:rsidRPr="00D32D94" w:rsidRDefault="00E83938" w:rsidP="00623F41">
            <w:pPr>
              <w:tabs>
                <w:tab w:val="left" w:pos="987"/>
              </w:tabs>
              <w:spacing w:before="120" w:after="120"/>
              <w:jc w:val="both"/>
              <w:rPr>
                <w:color w:val="000000"/>
                <w:highlight w:val="yellow"/>
              </w:rPr>
            </w:pPr>
            <w:r w:rsidRPr="00D30040">
              <w:rPr>
                <w:bCs/>
                <w:lang w:eastAsia="lv-LV"/>
              </w:rPr>
              <w:t>N</w:t>
            </w:r>
            <w:r w:rsidRPr="00D30040">
              <w:rPr>
                <w:color w:val="000000"/>
              </w:rPr>
              <w:t xml:space="preserve">olīgumā paredzēto saistību izpildi koordinē Ārlietu ministrija.  </w:t>
            </w:r>
          </w:p>
        </w:tc>
      </w:tr>
      <w:tr w:rsidR="00E83938" w:rsidRPr="0031204D" w:rsidTr="00623F41">
        <w:trPr>
          <w:trHeight w:val="463"/>
        </w:trPr>
        <w:tc>
          <w:tcPr>
            <w:tcW w:w="538" w:type="dxa"/>
            <w:hideMark/>
          </w:tcPr>
          <w:p w:rsidR="00E83938" w:rsidRPr="0031204D" w:rsidRDefault="00E83938" w:rsidP="00623F41">
            <w:pPr>
              <w:rPr>
                <w:lang w:eastAsia="lv-LV"/>
              </w:rPr>
            </w:pPr>
            <w:r w:rsidRPr="0031204D">
              <w:rPr>
                <w:lang w:eastAsia="lv-LV"/>
              </w:rPr>
              <w:t> 2.</w:t>
            </w:r>
          </w:p>
        </w:tc>
        <w:tc>
          <w:tcPr>
            <w:tcW w:w="4104" w:type="dxa"/>
            <w:hideMark/>
          </w:tcPr>
          <w:p w:rsidR="00E83938" w:rsidRPr="0031204D" w:rsidRDefault="00E83938" w:rsidP="00623F41">
            <w:pPr>
              <w:jc w:val="both"/>
              <w:rPr>
                <w:lang w:eastAsia="lv-LV"/>
              </w:rPr>
            </w:pPr>
            <w:r w:rsidRPr="0031204D">
              <w:rPr>
                <w:lang w:eastAsia="lv-LV"/>
              </w:rPr>
              <w:t> Projekta izpildes ietekme uz pārvaldes funkcijām un institucionālo struktūru.</w:t>
            </w:r>
          </w:p>
          <w:p w:rsidR="00E83938" w:rsidRPr="0031204D" w:rsidRDefault="00E83938" w:rsidP="00623F41">
            <w:pPr>
              <w:jc w:val="both"/>
              <w:rPr>
                <w:lang w:eastAsia="lv-LV"/>
              </w:rPr>
            </w:pPr>
            <w:r w:rsidRPr="0031204D">
              <w:rPr>
                <w:lang w:eastAsia="lv-LV"/>
              </w:rPr>
              <w:t>Jaunu institūciju izveide, esošu institūciju likvidācija vai reorganizācija, to ietekme uz institūcijas cilvēkresursiem</w:t>
            </w:r>
          </w:p>
        </w:tc>
        <w:tc>
          <w:tcPr>
            <w:tcW w:w="4645" w:type="dxa"/>
            <w:hideMark/>
          </w:tcPr>
          <w:p w:rsidR="00E83938" w:rsidRPr="00A75B17" w:rsidRDefault="00E83938" w:rsidP="00623F41">
            <w:pPr>
              <w:spacing w:before="120" w:after="120"/>
              <w:rPr>
                <w:highlight w:val="yellow"/>
                <w:lang w:eastAsia="lv-LV"/>
              </w:rPr>
            </w:pPr>
            <w:r>
              <w:rPr>
                <w:lang w:eastAsia="lv-LV"/>
              </w:rPr>
              <w:t>Nav attiecināms</w:t>
            </w:r>
          </w:p>
        </w:tc>
      </w:tr>
      <w:tr w:rsidR="00E83938" w:rsidRPr="0031204D" w:rsidTr="00623F41">
        <w:trPr>
          <w:trHeight w:val="70"/>
        </w:trPr>
        <w:tc>
          <w:tcPr>
            <w:tcW w:w="538" w:type="dxa"/>
            <w:hideMark/>
          </w:tcPr>
          <w:p w:rsidR="00E83938" w:rsidRPr="0031204D" w:rsidRDefault="00E83938" w:rsidP="00623F41">
            <w:pPr>
              <w:rPr>
                <w:lang w:eastAsia="lv-LV"/>
              </w:rPr>
            </w:pPr>
            <w:r w:rsidRPr="0031204D">
              <w:rPr>
                <w:lang w:eastAsia="lv-LV"/>
              </w:rPr>
              <w:t> 3.</w:t>
            </w:r>
          </w:p>
        </w:tc>
        <w:tc>
          <w:tcPr>
            <w:tcW w:w="4104" w:type="dxa"/>
            <w:hideMark/>
          </w:tcPr>
          <w:p w:rsidR="00E83938" w:rsidRPr="0031204D" w:rsidRDefault="00E83938" w:rsidP="00623F41">
            <w:pPr>
              <w:rPr>
                <w:lang w:eastAsia="lv-LV"/>
              </w:rPr>
            </w:pPr>
            <w:r w:rsidRPr="0031204D">
              <w:rPr>
                <w:lang w:eastAsia="lv-LV"/>
              </w:rPr>
              <w:t> Cita informācija</w:t>
            </w:r>
          </w:p>
        </w:tc>
        <w:tc>
          <w:tcPr>
            <w:tcW w:w="4645" w:type="dxa"/>
            <w:hideMark/>
          </w:tcPr>
          <w:p w:rsidR="00E83938" w:rsidRPr="00A75B17" w:rsidRDefault="00E83938" w:rsidP="00623F41">
            <w:pPr>
              <w:spacing w:before="120" w:after="120"/>
              <w:rPr>
                <w:highlight w:val="yellow"/>
                <w:lang w:eastAsia="lv-LV"/>
              </w:rPr>
            </w:pPr>
            <w:r w:rsidRPr="00565BB3">
              <w:rPr>
                <w:lang w:eastAsia="lv-LV"/>
              </w:rPr>
              <w:t> Nav</w:t>
            </w:r>
          </w:p>
        </w:tc>
      </w:tr>
    </w:tbl>
    <w:p w:rsidR="00E83938" w:rsidRPr="0031204D" w:rsidRDefault="00E83938" w:rsidP="00E83938">
      <w:pPr>
        <w:tabs>
          <w:tab w:val="left" w:pos="709"/>
          <w:tab w:val="left" w:pos="7088"/>
          <w:tab w:val="left" w:pos="7371"/>
        </w:tabs>
        <w:rPr>
          <w:lang w:eastAsia="lv-LV"/>
        </w:rPr>
      </w:pPr>
    </w:p>
    <w:p w:rsidR="00E83938" w:rsidRDefault="00E83938" w:rsidP="00E83938">
      <w:pPr>
        <w:tabs>
          <w:tab w:val="left" w:pos="709"/>
          <w:tab w:val="left" w:pos="7088"/>
          <w:tab w:val="left" w:pos="7371"/>
        </w:tabs>
        <w:rPr>
          <w:lang w:eastAsia="lv-LV"/>
        </w:rPr>
      </w:pPr>
    </w:p>
    <w:p w:rsidR="00E83938" w:rsidRPr="0031204D" w:rsidRDefault="00E83938" w:rsidP="00E83938">
      <w:pPr>
        <w:tabs>
          <w:tab w:val="left" w:pos="709"/>
          <w:tab w:val="left" w:pos="7088"/>
          <w:tab w:val="left" w:pos="7371"/>
        </w:tabs>
        <w:rPr>
          <w:lang w:eastAsia="lv-LV"/>
        </w:rPr>
      </w:pPr>
    </w:p>
    <w:p w:rsidR="00E83938" w:rsidRPr="00A75B17" w:rsidRDefault="00E83938" w:rsidP="00E83938">
      <w:pPr>
        <w:rPr>
          <w:bCs/>
          <w:sz w:val="28"/>
          <w:szCs w:val="28"/>
        </w:rPr>
      </w:pPr>
      <w:r>
        <w:rPr>
          <w:bCs/>
          <w:sz w:val="28"/>
          <w:szCs w:val="28"/>
        </w:rPr>
        <w:t>Ārlietu ministrs</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E. Rinkēvičs </w:t>
      </w:r>
    </w:p>
    <w:p w:rsidR="00E83938" w:rsidRPr="00A75B17" w:rsidRDefault="00E83938" w:rsidP="00E83938">
      <w:pPr>
        <w:rPr>
          <w:bCs/>
          <w:sz w:val="28"/>
          <w:szCs w:val="28"/>
        </w:rPr>
      </w:pPr>
    </w:p>
    <w:p w:rsidR="00E83938" w:rsidRPr="00A75B17" w:rsidRDefault="00E83938" w:rsidP="00E83938">
      <w:pPr>
        <w:rPr>
          <w:bCs/>
          <w:sz w:val="28"/>
          <w:szCs w:val="28"/>
        </w:rPr>
      </w:pPr>
    </w:p>
    <w:p w:rsidR="00E83938" w:rsidRPr="00A75B17" w:rsidRDefault="00E83938" w:rsidP="00E83938">
      <w:pPr>
        <w:rPr>
          <w:bCs/>
          <w:sz w:val="28"/>
          <w:szCs w:val="28"/>
        </w:rPr>
      </w:pPr>
    </w:p>
    <w:p w:rsidR="00E83938" w:rsidRPr="00A75B17" w:rsidRDefault="00E83938" w:rsidP="00E83938">
      <w:pPr>
        <w:rPr>
          <w:bCs/>
          <w:sz w:val="28"/>
          <w:szCs w:val="28"/>
        </w:rPr>
      </w:pPr>
      <w:r>
        <w:rPr>
          <w:bCs/>
          <w:sz w:val="28"/>
          <w:szCs w:val="28"/>
        </w:rPr>
        <w:t xml:space="preserve">Vīza: valsts sekretārs          </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A.Pelšs</w:t>
      </w:r>
      <w:r w:rsidRPr="00A75B17">
        <w:rPr>
          <w:bCs/>
          <w:sz w:val="28"/>
          <w:szCs w:val="28"/>
        </w:rPr>
        <w:t xml:space="preserve"> </w:t>
      </w:r>
    </w:p>
    <w:p w:rsidR="00E83938" w:rsidRPr="00A75B17" w:rsidRDefault="00E83938" w:rsidP="00E83938">
      <w:pPr>
        <w:jc w:val="both"/>
        <w:rPr>
          <w:sz w:val="22"/>
          <w:szCs w:val="22"/>
          <w:lang w:eastAsia="lv-LV"/>
        </w:rPr>
      </w:pPr>
    </w:p>
    <w:p w:rsidR="00E83938" w:rsidRDefault="00E83938" w:rsidP="00E83938">
      <w:pPr>
        <w:jc w:val="both"/>
        <w:rPr>
          <w:sz w:val="20"/>
          <w:szCs w:val="20"/>
          <w:lang w:eastAsia="lv-LV"/>
        </w:rPr>
      </w:pPr>
    </w:p>
    <w:p w:rsidR="00E83938" w:rsidRDefault="00E83938" w:rsidP="00E83938">
      <w:pPr>
        <w:jc w:val="both"/>
        <w:rPr>
          <w:sz w:val="20"/>
          <w:szCs w:val="20"/>
          <w:lang w:eastAsia="lv-LV"/>
        </w:rPr>
      </w:pPr>
    </w:p>
    <w:p w:rsidR="00E83938" w:rsidRDefault="00E83938" w:rsidP="00E83938">
      <w:pPr>
        <w:jc w:val="both"/>
        <w:rPr>
          <w:sz w:val="20"/>
          <w:szCs w:val="20"/>
          <w:lang w:eastAsia="lv-LV"/>
        </w:rPr>
      </w:pPr>
    </w:p>
    <w:p w:rsidR="00E83938" w:rsidRDefault="00E83938" w:rsidP="00E83938">
      <w:pPr>
        <w:jc w:val="both"/>
        <w:rPr>
          <w:sz w:val="20"/>
          <w:szCs w:val="20"/>
          <w:lang w:eastAsia="lv-LV"/>
        </w:rPr>
      </w:pPr>
    </w:p>
    <w:p w:rsidR="00E83938" w:rsidRPr="00A75B17" w:rsidRDefault="00E83938" w:rsidP="00E83938">
      <w:pPr>
        <w:tabs>
          <w:tab w:val="left" w:pos="2649"/>
        </w:tabs>
        <w:jc w:val="both"/>
        <w:rPr>
          <w:sz w:val="20"/>
          <w:szCs w:val="20"/>
          <w:lang w:eastAsia="lv-LV"/>
        </w:rPr>
      </w:pPr>
      <w:r>
        <w:rPr>
          <w:sz w:val="20"/>
          <w:szCs w:val="20"/>
          <w:lang w:eastAsia="lv-LV"/>
        </w:rPr>
        <w:tab/>
      </w:r>
    </w:p>
    <w:p w:rsidR="00E83938" w:rsidRPr="009264C1" w:rsidRDefault="00E83938" w:rsidP="00E83938">
      <w:pPr>
        <w:rPr>
          <w:sz w:val="20"/>
          <w:lang w:val="da-DK"/>
        </w:rPr>
      </w:pPr>
      <w:r>
        <w:rPr>
          <w:sz w:val="20"/>
          <w:lang w:val="da-DK"/>
        </w:rPr>
        <w:t xml:space="preserve">D.Cildermane, </w:t>
      </w:r>
      <w:r>
        <w:rPr>
          <w:sz w:val="20"/>
          <w:szCs w:val="20"/>
        </w:rPr>
        <w:t>67016149</w:t>
      </w:r>
    </w:p>
    <w:p w:rsidR="00E83938" w:rsidRDefault="006A2405" w:rsidP="00E83938">
      <w:pPr>
        <w:rPr>
          <w:color w:val="0000FF"/>
          <w:sz w:val="20"/>
          <w:u w:val="single"/>
          <w:lang w:val="da-DK"/>
        </w:rPr>
      </w:pPr>
      <w:hyperlink r:id="rId6" w:history="1">
        <w:r w:rsidR="00E83938" w:rsidRPr="005172A9">
          <w:rPr>
            <w:rStyle w:val="Hyperlink"/>
            <w:sz w:val="20"/>
            <w:lang w:val="da-DK"/>
          </w:rPr>
          <w:t>dace.cildermane@mfa.gov.lv</w:t>
        </w:r>
      </w:hyperlink>
      <w:r w:rsidR="00E83938">
        <w:rPr>
          <w:color w:val="0000FF"/>
          <w:sz w:val="20"/>
          <w:u w:val="single"/>
          <w:lang w:val="da-DK"/>
        </w:rPr>
        <w:t xml:space="preserve"> </w:t>
      </w:r>
    </w:p>
    <w:p w:rsidR="00E83938" w:rsidRPr="00C50D09" w:rsidRDefault="00E83938" w:rsidP="00E83938">
      <w:pPr>
        <w:tabs>
          <w:tab w:val="left" w:pos="709"/>
          <w:tab w:val="left" w:pos="7088"/>
          <w:tab w:val="left" w:pos="7371"/>
        </w:tabs>
        <w:rPr>
          <w:sz w:val="20"/>
        </w:rPr>
      </w:pPr>
    </w:p>
    <w:p w:rsidR="00650CA2" w:rsidRDefault="00650CA2"/>
    <w:sectPr w:rsidR="00650CA2" w:rsidSect="00CC59FA">
      <w:headerReference w:type="default" r:id="rId7"/>
      <w:footerReference w:type="default" r:id="rId8"/>
      <w:footerReference w:type="first" r:id="rId9"/>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938" w:rsidRDefault="00E83938" w:rsidP="00E83938">
      <w:r>
        <w:separator/>
      </w:r>
    </w:p>
  </w:endnote>
  <w:endnote w:type="continuationSeparator" w:id="0">
    <w:p w:rsidR="00E83938" w:rsidRDefault="00E83938" w:rsidP="00E8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97" w:rsidRPr="000E5A7E" w:rsidRDefault="00F11797" w:rsidP="00F11797">
    <w:pPr>
      <w:pStyle w:val="Title"/>
      <w:jc w:val="both"/>
      <w:rPr>
        <w:b w:val="0"/>
        <w:sz w:val="20"/>
        <w:szCs w:val="20"/>
        <w:lang w:eastAsia="zh-CN"/>
      </w:rPr>
    </w:pPr>
    <w:r w:rsidRPr="006971AF">
      <w:rPr>
        <w:b w:val="0"/>
        <w:sz w:val="20"/>
        <w:szCs w:val="20"/>
      </w:rPr>
      <w:t>AM</w:t>
    </w:r>
    <w:r>
      <w:rPr>
        <w:b w:val="0"/>
        <w:sz w:val="20"/>
        <w:szCs w:val="20"/>
      </w:rPr>
      <w:t>anot_2019_IAN_Vjetnama</w:t>
    </w:r>
    <w:r w:rsidRPr="006971AF">
      <w:rPr>
        <w:b w:val="0"/>
        <w:sz w:val="20"/>
        <w:szCs w:val="20"/>
      </w:rPr>
      <w:t xml:space="preserve">; </w:t>
    </w:r>
    <w:r w:rsidRPr="000E5A7E">
      <w:rPr>
        <w:b w:val="0"/>
        <w:sz w:val="20"/>
        <w:szCs w:val="20"/>
      </w:rPr>
      <w:t>Likumprojekta</w:t>
    </w:r>
    <w:r>
      <w:rPr>
        <w:b w:val="0"/>
        <w:sz w:val="20"/>
        <w:szCs w:val="20"/>
      </w:rPr>
      <w:t xml:space="preserve"> </w:t>
    </w:r>
    <w:r w:rsidRPr="000E5A7E">
      <w:rPr>
        <w:b w:val="0"/>
        <w:sz w:val="20"/>
        <w:szCs w:val="20"/>
      </w:rPr>
      <w:t>„Ieguldījumu aizsardzības nolīgums starp</w:t>
    </w:r>
    <w:r>
      <w:rPr>
        <w:b w:val="0"/>
        <w:sz w:val="20"/>
        <w:szCs w:val="20"/>
      </w:rPr>
      <w:t xml:space="preserve"> </w:t>
    </w:r>
    <w:r w:rsidRPr="000E5A7E">
      <w:rPr>
        <w:b w:val="0"/>
        <w:sz w:val="20"/>
        <w:szCs w:val="20"/>
      </w:rPr>
      <w:t>Eiropas Savienību un tās</w:t>
    </w:r>
    <w:r>
      <w:rPr>
        <w:b w:val="0"/>
        <w:sz w:val="20"/>
        <w:szCs w:val="20"/>
      </w:rPr>
      <w:t xml:space="preserve"> </w:t>
    </w:r>
    <w:r w:rsidRPr="000E5A7E">
      <w:rPr>
        <w:b w:val="0"/>
        <w:sz w:val="20"/>
        <w:szCs w:val="20"/>
      </w:rPr>
      <w:t>dalībvalstīm, no vienas puses,</w:t>
    </w:r>
    <w:r>
      <w:rPr>
        <w:b w:val="0"/>
        <w:sz w:val="20"/>
        <w:szCs w:val="20"/>
      </w:rPr>
      <w:t xml:space="preserve"> </w:t>
    </w:r>
    <w:r w:rsidRPr="000E5A7E">
      <w:rPr>
        <w:b w:val="0"/>
        <w:sz w:val="20"/>
        <w:szCs w:val="20"/>
      </w:rPr>
      <w:t xml:space="preserve">un </w:t>
    </w:r>
    <w:r>
      <w:rPr>
        <w:b w:val="0"/>
        <w:sz w:val="20"/>
        <w:szCs w:val="20"/>
      </w:rPr>
      <w:t>Vjetnamas Sociālistisko</w:t>
    </w:r>
    <w:r w:rsidRPr="000E5A7E">
      <w:rPr>
        <w:b w:val="0"/>
        <w:sz w:val="20"/>
        <w:szCs w:val="20"/>
      </w:rPr>
      <w:t xml:space="preserve"> Republiku, no otras puses”</w:t>
    </w:r>
    <w:r>
      <w:rPr>
        <w:b w:val="0"/>
        <w:sz w:val="20"/>
        <w:szCs w:val="20"/>
      </w:rPr>
      <w:t xml:space="preserve"> </w:t>
    </w:r>
    <w:r w:rsidRPr="000E5A7E">
      <w:rPr>
        <w:b w:val="0"/>
        <w:sz w:val="20"/>
        <w:szCs w:val="20"/>
      </w:rPr>
      <w:t>sākotnējās ietekmes novērtējuma ziņojums (anotācija)</w:t>
    </w:r>
  </w:p>
  <w:p w:rsidR="00AF64AB" w:rsidRPr="000E5A7E" w:rsidRDefault="006A2405" w:rsidP="000E5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A7E" w:rsidRPr="000E5A7E" w:rsidRDefault="008B5DBA" w:rsidP="000E5A7E">
    <w:pPr>
      <w:pStyle w:val="Title"/>
      <w:jc w:val="both"/>
      <w:rPr>
        <w:b w:val="0"/>
        <w:sz w:val="20"/>
        <w:szCs w:val="20"/>
        <w:lang w:eastAsia="zh-CN"/>
      </w:rPr>
    </w:pPr>
    <w:r w:rsidRPr="006971AF">
      <w:rPr>
        <w:b w:val="0"/>
        <w:sz w:val="20"/>
        <w:szCs w:val="20"/>
      </w:rPr>
      <w:t>AM</w:t>
    </w:r>
    <w:r w:rsidR="00F11797">
      <w:rPr>
        <w:b w:val="0"/>
        <w:sz w:val="20"/>
        <w:szCs w:val="20"/>
      </w:rPr>
      <w:t>a</w:t>
    </w:r>
    <w:r>
      <w:rPr>
        <w:b w:val="0"/>
        <w:sz w:val="20"/>
        <w:szCs w:val="20"/>
      </w:rPr>
      <w:t>not_</w:t>
    </w:r>
    <w:r w:rsidR="00F11797">
      <w:rPr>
        <w:b w:val="0"/>
        <w:sz w:val="20"/>
        <w:szCs w:val="20"/>
      </w:rPr>
      <w:t>2019</w:t>
    </w:r>
    <w:r>
      <w:rPr>
        <w:b w:val="0"/>
        <w:sz w:val="20"/>
        <w:szCs w:val="20"/>
      </w:rPr>
      <w:t>_IA</w:t>
    </w:r>
    <w:r w:rsidR="00F11797">
      <w:rPr>
        <w:b w:val="0"/>
        <w:sz w:val="20"/>
        <w:szCs w:val="20"/>
      </w:rPr>
      <w:t>N_Vjetnama</w:t>
    </w:r>
    <w:r w:rsidRPr="006971AF">
      <w:rPr>
        <w:b w:val="0"/>
        <w:sz w:val="20"/>
        <w:szCs w:val="20"/>
      </w:rPr>
      <w:t xml:space="preserve">; </w:t>
    </w:r>
    <w:r w:rsidRPr="000E5A7E">
      <w:rPr>
        <w:b w:val="0"/>
        <w:sz w:val="20"/>
        <w:szCs w:val="20"/>
      </w:rPr>
      <w:t>Likumprojekta</w:t>
    </w:r>
    <w:r>
      <w:rPr>
        <w:b w:val="0"/>
        <w:sz w:val="20"/>
        <w:szCs w:val="20"/>
      </w:rPr>
      <w:t xml:space="preserve"> </w:t>
    </w:r>
    <w:r w:rsidRPr="000E5A7E">
      <w:rPr>
        <w:b w:val="0"/>
        <w:sz w:val="20"/>
        <w:szCs w:val="20"/>
      </w:rPr>
      <w:t>„Ieguldījumu aizsardzības nolīgums starp</w:t>
    </w:r>
    <w:r>
      <w:rPr>
        <w:b w:val="0"/>
        <w:sz w:val="20"/>
        <w:szCs w:val="20"/>
      </w:rPr>
      <w:t xml:space="preserve"> </w:t>
    </w:r>
    <w:r w:rsidRPr="000E5A7E">
      <w:rPr>
        <w:b w:val="0"/>
        <w:sz w:val="20"/>
        <w:szCs w:val="20"/>
      </w:rPr>
      <w:t>Eiropas Savienību un tās</w:t>
    </w:r>
    <w:r>
      <w:rPr>
        <w:b w:val="0"/>
        <w:sz w:val="20"/>
        <w:szCs w:val="20"/>
      </w:rPr>
      <w:t xml:space="preserve"> </w:t>
    </w:r>
    <w:r w:rsidRPr="000E5A7E">
      <w:rPr>
        <w:b w:val="0"/>
        <w:sz w:val="20"/>
        <w:szCs w:val="20"/>
      </w:rPr>
      <w:t>dalībvalstīm, no vienas puses,</w:t>
    </w:r>
    <w:r>
      <w:rPr>
        <w:b w:val="0"/>
        <w:sz w:val="20"/>
        <w:szCs w:val="20"/>
      </w:rPr>
      <w:t xml:space="preserve"> </w:t>
    </w:r>
    <w:r w:rsidRPr="000E5A7E">
      <w:rPr>
        <w:b w:val="0"/>
        <w:sz w:val="20"/>
        <w:szCs w:val="20"/>
      </w:rPr>
      <w:t xml:space="preserve">un </w:t>
    </w:r>
    <w:r w:rsidR="00F11797">
      <w:rPr>
        <w:b w:val="0"/>
        <w:sz w:val="20"/>
        <w:szCs w:val="20"/>
      </w:rPr>
      <w:t>Vjetnamas Sociālistisko</w:t>
    </w:r>
    <w:r w:rsidRPr="000E5A7E">
      <w:rPr>
        <w:b w:val="0"/>
        <w:sz w:val="20"/>
        <w:szCs w:val="20"/>
      </w:rPr>
      <w:t xml:space="preserve"> Republiku, no otras puses”</w:t>
    </w:r>
    <w:r>
      <w:rPr>
        <w:b w:val="0"/>
        <w:sz w:val="20"/>
        <w:szCs w:val="20"/>
      </w:rPr>
      <w:t xml:space="preserve"> </w:t>
    </w:r>
    <w:r w:rsidRPr="000E5A7E">
      <w:rPr>
        <w:b w:val="0"/>
        <w:sz w:val="20"/>
        <w:szCs w:val="20"/>
      </w:rPr>
      <w:t>sākotnējās ietekmes novērtējuma ziņojums (anotācija)</w:t>
    </w:r>
  </w:p>
  <w:p w:rsidR="00AF64AB" w:rsidRPr="00D72201" w:rsidRDefault="006A2405" w:rsidP="000C3CC8">
    <w:pPr>
      <w:pStyle w:val="Title"/>
      <w:jc w:val="both"/>
      <w:rPr>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938" w:rsidRDefault="00E83938" w:rsidP="00E83938">
      <w:r>
        <w:separator/>
      </w:r>
    </w:p>
  </w:footnote>
  <w:footnote w:type="continuationSeparator" w:id="0">
    <w:p w:rsidR="00E83938" w:rsidRDefault="00E83938" w:rsidP="00E83938">
      <w:r>
        <w:continuationSeparator/>
      </w:r>
    </w:p>
  </w:footnote>
  <w:footnote w:id="1">
    <w:p w:rsidR="00F11797" w:rsidRPr="00237270" w:rsidRDefault="00F11797" w:rsidP="004660DA">
      <w:pPr>
        <w:pStyle w:val="FootnoteText"/>
      </w:pPr>
      <w:r>
        <w:rPr>
          <w:rStyle w:val="FootnoteReference"/>
        </w:rPr>
        <w:footnoteRef/>
      </w:r>
      <w:r>
        <w:t xml:space="preserve"> </w:t>
      </w:r>
      <w:r w:rsidRPr="00237270">
        <w:rPr>
          <w:color w:val="000000"/>
        </w:rPr>
        <w:t xml:space="preserve">Tiesa apstiprināja, ka saskaņā ar LESD 207. pantu ES ir ekskluzīva kompetence saistībā ar visām materiālo tiesību normām attiecībā uz ieguldījumu aizsardzību, ciktāl tās attiecas uz ārvalstu tiešajiem ieguldījumiem. Tiesa arī apstiprināja, ka ES ir ekskluzīva kompetence attiecībā uz valstu strīdu izšķiršanas </w:t>
      </w:r>
      <w:r w:rsidRPr="00237270">
        <w:rPr>
          <w:color w:val="000000"/>
          <w:u w:val="single"/>
        </w:rPr>
        <w:t>mehānismu</w:t>
      </w:r>
      <w:r w:rsidRPr="00237270">
        <w:rPr>
          <w:color w:val="000000"/>
        </w:rPr>
        <w:t xml:space="preserve"> saistībā ar ieguldījumu aizsardzību. Visbeidzot Tiesa atzina, ka ES ir dalīta kompetence attiecībā uz netiešajiem ieguldījumiem un ieguldītāju un valsts strīdu izšķiršanu (ko IAN vēlāk aizstāja ar ieguldījumu tiesu sistēmu), kur atbildētājas ir dalībvalstis. Šos elementus nevar saskaņoti nošķirt no materiālo tiesību normām vai valstu strīdu izšķiršanas mehānisma, un tādējādi tie būtu jāiekļauj ES līmeņa nolīgumos.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FA" w:rsidRDefault="008B5DBA">
    <w:pPr>
      <w:pStyle w:val="Header"/>
      <w:jc w:val="center"/>
    </w:pPr>
    <w:r>
      <w:fldChar w:fldCharType="begin"/>
    </w:r>
    <w:r>
      <w:instrText xml:space="preserve"> PAGE   \* MERGEFORMAT </w:instrText>
    </w:r>
    <w:r>
      <w:fldChar w:fldCharType="separate"/>
    </w:r>
    <w:r w:rsidR="006A2405">
      <w:rPr>
        <w:noProof/>
      </w:rPr>
      <w:t>4</w:t>
    </w:r>
    <w:r>
      <w:rPr>
        <w:noProof/>
      </w:rPr>
      <w:fldChar w:fldCharType="end"/>
    </w:r>
  </w:p>
  <w:p w:rsidR="00CC59FA" w:rsidRDefault="006A2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38"/>
    <w:rsid w:val="000B2308"/>
    <w:rsid w:val="004B661F"/>
    <w:rsid w:val="00650CA2"/>
    <w:rsid w:val="006A2405"/>
    <w:rsid w:val="008B5DBA"/>
    <w:rsid w:val="00E83938"/>
    <w:rsid w:val="00F11797"/>
    <w:rsid w:val="00F81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00F6"/>
  <w15:chartTrackingRefBased/>
  <w15:docId w15:val="{E46A2909-9133-499B-B8A9-A6AB590B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3938"/>
    <w:pPr>
      <w:jc w:val="center"/>
    </w:pPr>
    <w:rPr>
      <w:b/>
    </w:rPr>
  </w:style>
  <w:style w:type="character" w:customStyle="1" w:styleId="TitleChar">
    <w:name w:val="Title Char"/>
    <w:basedOn w:val="DefaultParagraphFont"/>
    <w:link w:val="Title"/>
    <w:rsid w:val="00E83938"/>
    <w:rPr>
      <w:rFonts w:ascii="Times New Roman" w:eastAsia="Times New Roman" w:hAnsi="Times New Roman" w:cs="Times New Roman"/>
      <w:b/>
      <w:sz w:val="24"/>
      <w:szCs w:val="24"/>
    </w:rPr>
  </w:style>
  <w:style w:type="paragraph" w:styleId="Footer">
    <w:name w:val="footer"/>
    <w:basedOn w:val="Normal"/>
    <w:link w:val="FooterChar"/>
    <w:uiPriority w:val="99"/>
    <w:rsid w:val="00E83938"/>
    <w:pPr>
      <w:tabs>
        <w:tab w:val="center" w:pos="4153"/>
        <w:tab w:val="right" w:pos="8306"/>
      </w:tabs>
    </w:pPr>
    <w:rPr>
      <w:rFonts w:ascii="RimTimes" w:hAnsi="RimTimes"/>
      <w:snapToGrid w:val="0"/>
      <w:sz w:val="28"/>
      <w:szCs w:val="20"/>
    </w:rPr>
  </w:style>
  <w:style w:type="character" w:customStyle="1" w:styleId="FooterChar">
    <w:name w:val="Footer Char"/>
    <w:basedOn w:val="DefaultParagraphFont"/>
    <w:link w:val="Footer"/>
    <w:uiPriority w:val="99"/>
    <w:rsid w:val="00E83938"/>
    <w:rPr>
      <w:rFonts w:ascii="RimTimes" w:eastAsia="Times New Roman" w:hAnsi="RimTimes" w:cs="Times New Roman"/>
      <w:snapToGrid w:val="0"/>
      <w:sz w:val="28"/>
      <w:szCs w:val="20"/>
    </w:rPr>
  </w:style>
  <w:style w:type="character" w:styleId="Hyperlink">
    <w:name w:val="Hyperlink"/>
    <w:rsid w:val="00E83938"/>
    <w:rPr>
      <w:color w:val="0000FF"/>
      <w:u w:val="single"/>
    </w:rPr>
  </w:style>
  <w:style w:type="paragraph" w:styleId="Header">
    <w:name w:val="header"/>
    <w:basedOn w:val="Normal"/>
    <w:link w:val="HeaderChar"/>
    <w:uiPriority w:val="99"/>
    <w:unhideWhenUsed/>
    <w:rsid w:val="00E83938"/>
    <w:pPr>
      <w:tabs>
        <w:tab w:val="center" w:pos="4153"/>
        <w:tab w:val="right" w:pos="8306"/>
      </w:tabs>
    </w:pPr>
  </w:style>
  <w:style w:type="character" w:customStyle="1" w:styleId="HeaderChar">
    <w:name w:val="Header Char"/>
    <w:basedOn w:val="DefaultParagraphFont"/>
    <w:link w:val="Header"/>
    <w:uiPriority w:val="99"/>
    <w:rsid w:val="00E83938"/>
    <w:rPr>
      <w:rFonts w:ascii="Times New Roman" w:eastAsia="Times New Roman" w:hAnsi="Times New Roman" w:cs="Times New Roman"/>
      <w:sz w:val="24"/>
      <w:szCs w:val="24"/>
    </w:rPr>
  </w:style>
  <w:style w:type="paragraph" w:styleId="BodyText2">
    <w:name w:val="Body Text 2"/>
    <w:basedOn w:val="Normal"/>
    <w:link w:val="BodyText2Char"/>
    <w:rsid w:val="00E83938"/>
    <w:pPr>
      <w:jc w:val="both"/>
    </w:pPr>
    <w:rPr>
      <w:sz w:val="28"/>
      <w:szCs w:val="20"/>
    </w:rPr>
  </w:style>
  <w:style w:type="character" w:customStyle="1" w:styleId="BodyText2Char">
    <w:name w:val="Body Text 2 Char"/>
    <w:basedOn w:val="DefaultParagraphFont"/>
    <w:link w:val="BodyText2"/>
    <w:rsid w:val="00E83938"/>
    <w:rPr>
      <w:rFonts w:ascii="Times New Roman" w:eastAsia="Times New Roman" w:hAnsi="Times New Roman" w:cs="Times New Roman"/>
      <w:sz w:val="28"/>
      <w:szCs w:val="20"/>
    </w:rPr>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qFormat/>
    <w:rsid w:val="00E83938"/>
    <w:pPr>
      <w:spacing w:after="200" w:line="276" w:lineRule="auto"/>
    </w:pPr>
    <w:rPr>
      <w:rFonts w:eastAsia="Calibri"/>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rsid w:val="00E83938"/>
    <w:rPr>
      <w:rFonts w:ascii="Times New Roman" w:eastAsia="Calibri" w:hAnsi="Times New Roman" w:cs="Times New Roman"/>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link w:val="BVIfnrChar1CharCharChar"/>
    <w:uiPriority w:val="99"/>
    <w:qFormat/>
    <w:rsid w:val="00E83938"/>
    <w:rPr>
      <w:vertAlign w:val="superscript"/>
    </w:rPr>
  </w:style>
  <w:style w:type="paragraph" w:customStyle="1" w:styleId="Statut">
    <w:name w:val="Statut"/>
    <w:basedOn w:val="Normal"/>
    <w:next w:val="Normal"/>
    <w:rsid w:val="00E83938"/>
    <w:pPr>
      <w:spacing w:before="360"/>
      <w:jc w:val="center"/>
    </w:pPr>
    <w:rPr>
      <w:szCs w:val="20"/>
      <w:lang w:eastAsia="zh-CN"/>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E83938"/>
    <w:pPr>
      <w:spacing w:after="160" w:line="240" w:lineRule="exact"/>
    </w:pPr>
    <w:rPr>
      <w:rFonts w:asciiTheme="minorHAnsi" w:eastAsiaTheme="minorHAnsi" w:hAnsiTheme="minorHAnsi" w:cstheme="minorBidi"/>
      <w:sz w:val="22"/>
      <w:szCs w:val="22"/>
      <w:vertAlign w:val="superscript"/>
    </w:rPr>
  </w:style>
  <w:style w:type="character" w:styleId="Emphasis">
    <w:name w:val="Emphasis"/>
    <w:uiPriority w:val="20"/>
    <w:qFormat/>
    <w:rsid w:val="00E83938"/>
    <w:rPr>
      <w:i/>
      <w:iCs/>
    </w:rPr>
  </w:style>
  <w:style w:type="paragraph" w:customStyle="1" w:styleId="Normal1">
    <w:name w:val="Normal1"/>
    <w:basedOn w:val="Normal"/>
    <w:rsid w:val="00E83938"/>
    <w:pPr>
      <w:jc w:val="both"/>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cildermane@mfa.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5113</Words>
  <Characters>2915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Cildermane</dc:creator>
  <cp:keywords/>
  <dc:description/>
  <cp:lastModifiedBy>Dace Cildermane</cp:lastModifiedBy>
  <cp:revision>5</cp:revision>
  <dcterms:created xsi:type="dcterms:W3CDTF">2019-06-03T09:04:00Z</dcterms:created>
  <dcterms:modified xsi:type="dcterms:W3CDTF">2019-06-03T10:15:00Z</dcterms:modified>
</cp:coreProperties>
</file>