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DAA1" w14:textId="77777777" w:rsidR="00BB5037" w:rsidRDefault="00BB503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bookmarkStart w:id="0" w:name="b"/>
      <w:bookmarkEnd w:id="0"/>
    </w:p>
    <w:p w14:paraId="36371DCB" w14:textId="77777777" w:rsidR="003F77C7" w:rsidRPr="00DD5481" w:rsidRDefault="003F77C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r w:rsidRPr="00DD5481">
        <w:rPr>
          <w:rFonts w:ascii="Times New Roman" w:eastAsia="Times New Roman" w:hAnsi="Times New Roman" w:cs="Times New Roman"/>
          <w:b/>
          <w:bCs/>
          <w:color w:val="000000"/>
          <w:sz w:val="28"/>
          <w:szCs w:val="24"/>
          <w:lang w:eastAsia="lv-LV"/>
        </w:rPr>
        <w:t>Likumprojekta “Grozījum</w:t>
      </w:r>
      <w:r w:rsidR="00BB5037">
        <w:rPr>
          <w:rFonts w:ascii="Times New Roman" w:eastAsia="Times New Roman" w:hAnsi="Times New Roman" w:cs="Times New Roman"/>
          <w:b/>
          <w:bCs/>
          <w:color w:val="000000"/>
          <w:sz w:val="28"/>
          <w:szCs w:val="24"/>
          <w:lang w:eastAsia="lv-LV"/>
        </w:rPr>
        <w:t>i</w:t>
      </w:r>
      <w:r w:rsidRPr="00DD5481">
        <w:rPr>
          <w:rFonts w:ascii="Times New Roman" w:eastAsia="Times New Roman" w:hAnsi="Times New Roman" w:cs="Times New Roman"/>
          <w:b/>
          <w:bCs/>
          <w:color w:val="000000"/>
          <w:sz w:val="28"/>
          <w:szCs w:val="24"/>
          <w:lang w:eastAsia="lv-LV"/>
        </w:rPr>
        <w:t xml:space="preserve"> Mobilizācijas likumā”</w:t>
      </w:r>
      <w:r w:rsidRPr="00DD5481">
        <w:rPr>
          <w:rFonts w:ascii="Times New Roman" w:eastAsia="Times New Roman" w:hAnsi="Times New Roman" w:cs="Times New Roman"/>
          <w:b/>
          <w:bCs/>
          <w:color w:val="000000"/>
          <w:sz w:val="28"/>
          <w:szCs w:val="24"/>
          <w:lang w:eastAsia="lv-LV"/>
        </w:rPr>
        <w:br/>
        <w:t>sākotnējās ietekmes novērtējuma ziņojums (anotācija)</w:t>
      </w:r>
    </w:p>
    <w:p w14:paraId="7B7EBD46" w14:textId="77777777" w:rsidR="003F77C7" w:rsidRPr="00DD5481" w:rsidRDefault="003F77C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8"/>
        <w:gridCol w:w="5434"/>
      </w:tblGrid>
      <w:tr w:rsidR="003F77C7" w:rsidRPr="00DD5481" w14:paraId="7949F1FA" w14:textId="77777777" w:rsidTr="003F77C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30200A"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Tiesību akta projekta anotācijas kopsavilkums</w:t>
            </w:r>
          </w:p>
        </w:tc>
      </w:tr>
      <w:tr w:rsidR="003F77C7" w:rsidRPr="00DD5481" w14:paraId="72715C5D" w14:textId="77777777" w:rsidTr="003F77C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D4F590"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8DD64F7" w14:textId="77777777" w:rsidR="00104F12" w:rsidRPr="00DD5481" w:rsidRDefault="003F77C7" w:rsidP="00DE403E">
            <w:pPr>
              <w:pStyle w:val="ListParagraph"/>
              <w:numPr>
                <w:ilvl w:val="0"/>
                <w:numId w:val="4"/>
              </w:numPr>
              <w:spacing w:before="100" w:beforeAutospacing="1" w:after="0" w:line="240" w:lineRule="auto"/>
              <w:ind w:left="406"/>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Likumprojekta mērķis ir pilnveidot tiesisko regulējumu valsts aizsardzības jomā, precizējot gadījumus, kad Ministru kabinets ir tiesīgs pieņemt lēmumu par zemessargu un rezerves karavīru mobilizāciju. Tā rezultātā noteikta iespēja izsludināt mobilizāciju uz laiku līdz 72 stundām valsts apdraudējuma gadījumā</w:t>
            </w:r>
            <w:r w:rsidR="00104F12" w:rsidRPr="00DD5481">
              <w:rPr>
                <w:rFonts w:ascii="Times New Roman" w:eastAsia="Times New Roman" w:hAnsi="Times New Roman" w:cs="Times New Roman"/>
                <w:iCs/>
                <w:color w:val="000000"/>
                <w:sz w:val="24"/>
                <w:szCs w:val="24"/>
                <w:lang w:eastAsia="lv-LV"/>
              </w:rPr>
              <w:t>.</w:t>
            </w:r>
            <w:r w:rsidR="00DE403E" w:rsidRPr="00DD5481">
              <w:rPr>
                <w:rFonts w:ascii="Times New Roman" w:eastAsia="Times New Roman" w:hAnsi="Times New Roman" w:cs="Times New Roman"/>
                <w:iCs/>
                <w:color w:val="000000"/>
                <w:sz w:val="24"/>
                <w:szCs w:val="24"/>
                <w:lang w:eastAsia="lv-LV"/>
              </w:rPr>
              <w:t xml:space="preserve"> </w:t>
            </w:r>
            <w:r w:rsidR="001E4AB3">
              <w:rPr>
                <w:rFonts w:ascii="Times New Roman" w:eastAsia="Times New Roman" w:hAnsi="Times New Roman" w:cs="Times New Roman"/>
                <w:iCs/>
                <w:color w:val="000000"/>
                <w:sz w:val="24"/>
                <w:szCs w:val="24"/>
                <w:lang w:eastAsia="lv-LV"/>
              </w:rPr>
              <w:t>Līdzīga satura</w:t>
            </w:r>
            <w:r w:rsidR="00104F12" w:rsidRPr="00DD5481">
              <w:rPr>
                <w:rFonts w:ascii="Times New Roman" w:eastAsia="Times New Roman" w:hAnsi="Times New Roman" w:cs="Times New Roman"/>
                <w:iCs/>
                <w:color w:val="000000"/>
                <w:sz w:val="24"/>
                <w:szCs w:val="24"/>
                <w:lang w:eastAsia="lv-LV"/>
              </w:rPr>
              <w:t xml:space="preserve"> grozījums </w:t>
            </w:r>
            <w:r w:rsidR="001E4AB3">
              <w:rPr>
                <w:rFonts w:ascii="Times New Roman" w:eastAsia="Times New Roman" w:hAnsi="Times New Roman" w:cs="Times New Roman"/>
                <w:iCs/>
                <w:color w:val="000000"/>
                <w:sz w:val="24"/>
                <w:szCs w:val="24"/>
                <w:lang w:eastAsia="lv-LV"/>
              </w:rPr>
              <w:t>ir</w:t>
            </w:r>
            <w:r w:rsidR="00104F12" w:rsidRPr="00DD5481">
              <w:rPr>
                <w:rFonts w:ascii="Times New Roman" w:eastAsia="Times New Roman" w:hAnsi="Times New Roman" w:cs="Times New Roman"/>
                <w:iCs/>
                <w:color w:val="000000"/>
                <w:sz w:val="24"/>
                <w:szCs w:val="24"/>
                <w:lang w:eastAsia="lv-LV"/>
              </w:rPr>
              <w:t xml:space="preserve"> veikts arī Nacionālās drošības likumā</w:t>
            </w:r>
            <w:r w:rsidR="001E4AB3">
              <w:rPr>
                <w:rFonts w:ascii="Times New Roman" w:eastAsia="Times New Roman" w:hAnsi="Times New Roman" w:cs="Times New Roman"/>
                <w:iCs/>
                <w:color w:val="000000"/>
                <w:sz w:val="24"/>
                <w:szCs w:val="24"/>
                <w:lang w:eastAsia="lv-LV"/>
              </w:rPr>
              <w:t xml:space="preserve"> un stājās spēkā ar 2018. gada 30</w:t>
            </w:r>
            <w:r w:rsidR="00104F12" w:rsidRPr="00DD5481">
              <w:rPr>
                <w:rFonts w:ascii="Times New Roman" w:eastAsia="Times New Roman" w:hAnsi="Times New Roman" w:cs="Times New Roman"/>
                <w:iCs/>
                <w:color w:val="000000"/>
                <w:sz w:val="24"/>
                <w:szCs w:val="24"/>
                <w:lang w:eastAsia="lv-LV"/>
              </w:rPr>
              <w:t>.</w:t>
            </w:r>
            <w:r w:rsidR="001E4AB3">
              <w:rPr>
                <w:rFonts w:ascii="Times New Roman" w:eastAsia="Times New Roman" w:hAnsi="Times New Roman" w:cs="Times New Roman"/>
                <w:iCs/>
                <w:color w:val="000000"/>
                <w:sz w:val="24"/>
                <w:szCs w:val="24"/>
                <w:lang w:eastAsia="lv-LV"/>
              </w:rPr>
              <w:t xml:space="preserve"> oktobri.</w:t>
            </w:r>
          </w:p>
          <w:p w14:paraId="00770E6F" w14:textId="5A74FA15" w:rsidR="00DE403E" w:rsidRPr="00DD5481" w:rsidRDefault="00DE403E" w:rsidP="004236F4">
            <w:pPr>
              <w:pStyle w:val="ListParagraph"/>
              <w:numPr>
                <w:ilvl w:val="0"/>
                <w:numId w:val="4"/>
              </w:numPr>
              <w:spacing w:before="100" w:beforeAutospacing="1" w:after="0" w:line="240" w:lineRule="auto"/>
              <w:ind w:left="406"/>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Ar likumprojektu tāpat paredzēts </w:t>
            </w:r>
            <w:r w:rsidR="00EA79B5">
              <w:rPr>
                <w:rFonts w:ascii="Times New Roman" w:eastAsia="Times New Roman" w:hAnsi="Times New Roman" w:cs="Times New Roman"/>
                <w:iCs/>
                <w:color w:val="000000"/>
                <w:sz w:val="24"/>
                <w:szCs w:val="24"/>
                <w:lang w:eastAsia="lv-LV"/>
              </w:rPr>
              <w:t>būtiski</w:t>
            </w:r>
            <w:r w:rsidRPr="00DD5481">
              <w:rPr>
                <w:rFonts w:ascii="Times New Roman" w:eastAsia="Times New Roman" w:hAnsi="Times New Roman" w:cs="Times New Roman"/>
                <w:iCs/>
                <w:color w:val="000000"/>
                <w:sz w:val="24"/>
                <w:szCs w:val="24"/>
                <w:lang w:eastAsia="lv-LV"/>
              </w:rPr>
              <w:t xml:space="preserve"> pilnveidot tiesisko regulējumu attiecībā </w:t>
            </w:r>
            <w:r w:rsidR="00607481">
              <w:rPr>
                <w:rFonts w:ascii="Times New Roman" w:eastAsia="Times New Roman" w:hAnsi="Times New Roman" w:cs="Times New Roman"/>
                <w:iCs/>
                <w:color w:val="000000"/>
                <w:sz w:val="24"/>
                <w:szCs w:val="24"/>
                <w:lang w:eastAsia="lv-LV"/>
              </w:rPr>
              <w:t xml:space="preserve">uz </w:t>
            </w:r>
            <w:r w:rsidRPr="00DD5481">
              <w:rPr>
                <w:rFonts w:ascii="Times New Roman" w:eastAsia="Times New Roman" w:hAnsi="Times New Roman" w:cs="Times New Roman"/>
                <w:iCs/>
                <w:color w:val="000000"/>
                <w:sz w:val="24"/>
                <w:szCs w:val="24"/>
                <w:lang w:eastAsia="lv-LV"/>
              </w:rPr>
              <w:t>aizsardzības nozares atbalstu militārās rūpniecības (aizsardzības industrijas) attīstībai Latvijā</w:t>
            </w:r>
            <w:r w:rsidR="005B41E9">
              <w:rPr>
                <w:rFonts w:ascii="Times New Roman" w:eastAsia="Times New Roman" w:hAnsi="Times New Roman" w:cs="Times New Roman"/>
                <w:iCs/>
                <w:color w:val="000000"/>
                <w:sz w:val="24"/>
                <w:szCs w:val="24"/>
                <w:lang w:eastAsia="lv-LV"/>
              </w:rPr>
              <w:t>.</w:t>
            </w:r>
            <w:r w:rsidRPr="00DD5481">
              <w:rPr>
                <w:rFonts w:ascii="Times New Roman" w:eastAsia="Times New Roman" w:hAnsi="Times New Roman" w:cs="Times New Roman"/>
                <w:iCs/>
                <w:color w:val="000000"/>
                <w:sz w:val="24"/>
                <w:szCs w:val="24"/>
                <w:lang w:eastAsia="lv-LV"/>
              </w:rPr>
              <w:t xml:space="preserve"> </w:t>
            </w:r>
            <w:r w:rsidR="005B41E9">
              <w:rPr>
                <w:rFonts w:ascii="Times New Roman" w:eastAsia="Times New Roman" w:hAnsi="Times New Roman" w:cs="Times New Roman"/>
                <w:iCs/>
                <w:color w:val="000000"/>
                <w:sz w:val="24"/>
                <w:szCs w:val="24"/>
                <w:lang w:eastAsia="lv-LV"/>
              </w:rPr>
              <w:t xml:space="preserve">Tās </w:t>
            </w:r>
            <w:r w:rsidRPr="00DD5481">
              <w:rPr>
                <w:rFonts w:ascii="Times New Roman" w:eastAsia="Times New Roman" w:hAnsi="Times New Roman" w:cs="Times New Roman"/>
                <w:iCs/>
                <w:color w:val="000000"/>
                <w:sz w:val="24"/>
                <w:szCs w:val="24"/>
                <w:lang w:eastAsia="lv-LV"/>
              </w:rPr>
              <w:t>mērķi</w:t>
            </w:r>
            <w:r w:rsidR="005B41E9">
              <w:rPr>
                <w:rFonts w:ascii="Times New Roman" w:eastAsia="Times New Roman" w:hAnsi="Times New Roman" w:cs="Times New Roman"/>
                <w:iCs/>
                <w:color w:val="000000"/>
                <w:sz w:val="24"/>
                <w:szCs w:val="24"/>
                <w:lang w:eastAsia="lv-LV"/>
              </w:rPr>
              <w:t xml:space="preserve">s ir </w:t>
            </w:r>
            <w:r w:rsidRPr="00DD5481">
              <w:rPr>
                <w:rFonts w:ascii="Times New Roman" w:eastAsia="Times New Roman" w:hAnsi="Times New Roman" w:cs="Times New Roman"/>
                <w:iCs/>
                <w:color w:val="000000"/>
                <w:sz w:val="24"/>
                <w:szCs w:val="24"/>
                <w:lang w:eastAsia="lv-LV"/>
              </w:rPr>
              <w:t xml:space="preserve"> paplašinā</w:t>
            </w:r>
            <w:r w:rsidR="00DD5481" w:rsidRPr="00DD5481">
              <w:rPr>
                <w:rFonts w:ascii="Times New Roman" w:eastAsia="Times New Roman" w:hAnsi="Times New Roman" w:cs="Times New Roman"/>
                <w:iCs/>
                <w:color w:val="000000"/>
                <w:sz w:val="24"/>
                <w:szCs w:val="24"/>
                <w:lang w:eastAsia="lv-LV"/>
              </w:rPr>
              <w:t>t Nacionālo bruņoto spēku</w:t>
            </w:r>
            <w:r w:rsidRPr="00DD5481">
              <w:rPr>
                <w:rFonts w:ascii="Times New Roman" w:eastAsia="Times New Roman" w:hAnsi="Times New Roman" w:cs="Times New Roman"/>
                <w:iCs/>
                <w:color w:val="000000"/>
                <w:sz w:val="24"/>
                <w:szCs w:val="24"/>
                <w:lang w:eastAsia="lv-LV"/>
              </w:rPr>
              <w:t xml:space="preserve"> mobilizācijai pieejamo mobilizācijas resursu bāzi</w:t>
            </w:r>
            <w:r w:rsidR="00EA79B5">
              <w:rPr>
                <w:rFonts w:ascii="Times New Roman" w:eastAsia="Times New Roman" w:hAnsi="Times New Roman" w:cs="Times New Roman"/>
                <w:iCs/>
                <w:color w:val="000000"/>
                <w:sz w:val="24"/>
                <w:szCs w:val="24"/>
                <w:lang w:eastAsia="lv-LV"/>
              </w:rPr>
              <w:t xml:space="preserve"> (</w:t>
            </w:r>
            <w:r w:rsidR="00DD5481" w:rsidRPr="00DD5481">
              <w:rPr>
                <w:rFonts w:ascii="Times New Roman" w:eastAsia="Times New Roman" w:hAnsi="Times New Roman" w:cs="Times New Roman"/>
                <w:iCs/>
                <w:color w:val="000000"/>
                <w:sz w:val="24"/>
                <w:szCs w:val="24"/>
                <w:lang w:eastAsia="lv-LV"/>
              </w:rPr>
              <w:t>sevišķi attiecībā uz militārām vai d</w:t>
            </w:r>
            <w:r w:rsidR="00AB789C">
              <w:rPr>
                <w:rFonts w:ascii="Times New Roman" w:eastAsia="Times New Roman" w:hAnsi="Times New Roman" w:cs="Times New Roman"/>
                <w:iCs/>
                <w:color w:val="000000"/>
                <w:sz w:val="24"/>
                <w:szCs w:val="24"/>
                <w:lang w:eastAsia="lv-LV"/>
              </w:rPr>
              <w:t>ivējādas pielietojamības precēm</w:t>
            </w:r>
            <w:r w:rsidR="00EA79B5">
              <w:rPr>
                <w:rFonts w:ascii="Times New Roman" w:eastAsia="Times New Roman" w:hAnsi="Times New Roman" w:cs="Times New Roman"/>
                <w:iCs/>
                <w:color w:val="000000"/>
                <w:sz w:val="24"/>
                <w:szCs w:val="24"/>
                <w:lang w:eastAsia="lv-LV"/>
              </w:rPr>
              <w:t>), t</w:t>
            </w:r>
            <w:r w:rsidR="00DD5481">
              <w:rPr>
                <w:rFonts w:ascii="Times New Roman" w:eastAsia="Times New Roman" w:hAnsi="Times New Roman" w:cs="Times New Roman"/>
                <w:iCs/>
                <w:color w:val="000000"/>
                <w:sz w:val="24"/>
                <w:szCs w:val="24"/>
                <w:lang w:eastAsia="lv-LV"/>
              </w:rPr>
              <w:t>ād</w:t>
            </w:r>
            <w:r w:rsidR="005B41E9">
              <w:rPr>
                <w:rFonts w:ascii="Times New Roman" w:eastAsia="Times New Roman" w:hAnsi="Times New Roman" w:cs="Times New Roman"/>
                <w:iCs/>
                <w:color w:val="000000"/>
                <w:sz w:val="24"/>
                <w:szCs w:val="24"/>
                <w:lang w:eastAsia="lv-LV"/>
              </w:rPr>
              <w:t>ē</w:t>
            </w:r>
            <w:r w:rsidR="00DD5481">
              <w:rPr>
                <w:rFonts w:ascii="Times New Roman" w:eastAsia="Times New Roman" w:hAnsi="Times New Roman" w:cs="Times New Roman"/>
                <w:iCs/>
                <w:color w:val="000000"/>
                <w:sz w:val="24"/>
                <w:szCs w:val="24"/>
                <w:lang w:eastAsia="lv-LV"/>
              </w:rPr>
              <w:t xml:space="preserve">jādi </w:t>
            </w:r>
            <w:r w:rsidR="00DD5481" w:rsidRPr="00DD5481">
              <w:rPr>
                <w:rFonts w:ascii="Times New Roman" w:eastAsia="Times New Roman" w:hAnsi="Times New Roman" w:cs="Times New Roman"/>
                <w:iCs/>
                <w:color w:val="000000"/>
                <w:sz w:val="24"/>
                <w:szCs w:val="24"/>
                <w:lang w:eastAsia="lv-LV"/>
              </w:rPr>
              <w:t xml:space="preserve">tiešā veidā mazinot valsts atkarību no </w:t>
            </w:r>
            <w:r w:rsidR="00AB789C">
              <w:rPr>
                <w:rFonts w:ascii="Times New Roman" w:eastAsia="Times New Roman" w:hAnsi="Times New Roman" w:cs="Times New Roman"/>
                <w:iCs/>
                <w:color w:val="000000"/>
                <w:sz w:val="24"/>
                <w:szCs w:val="24"/>
                <w:lang w:eastAsia="lv-LV"/>
              </w:rPr>
              <w:t>ār</w:t>
            </w:r>
            <w:r w:rsidR="00DD5481" w:rsidRPr="00DD5481">
              <w:rPr>
                <w:rFonts w:ascii="Times New Roman" w:eastAsia="Times New Roman" w:hAnsi="Times New Roman" w:cs="Times New Roman"/>
                <w:iCs/>
                <w:color w:val="000000"/>
                <w:sz w:val="24"/>
                <w:szCs w:val="24"/>
                <w:lang w:eastAsia="lv-LV"/>
              </w:rPr>
              <w:t xml:space="preserve">valstu piegādēm krīzes apstākļos, ļaujot autonomi nodrošināt </w:t>
            </w:r>
            <w:r w:rsidR="00DD5481">
              <w:rPr>
                <w:rFonts w:ascii="Times New Roman" w:eastAsia="Times New Roman" w:hAnsi="Times New Roman" w:cs="Times New Roman"/>
                <w:iCs/>
                <w:color w:val="000000"/>
                <w:sz w:val="24"/>
                <w:szCs w:val="24"/>
                <w:lang w:eastAsia="lv-LV"/>
              </w:rPr>
              <w:t>valsts aizsardzības minimālās prasības un sniedzot ieguldījumu valsts aizsardzības militāri operacionālo vajadzību nodrošināšanā.</w:t>
            </w:r>
            <w:r w:rsidR="00607481">
              <w:rPr>
                <w:rFonts w:ascii="Times New Roman" w:eastAsia="Times New Roman" w:hAnsi="Times New Roman" w:cs="Times New Roman"/>
                <w:iCs/>
                <w:color w:val="000000"/>
                <w:sz w:val="24"/>
                <w:szCs w:val="24"/>
                <w:lang w:eastAsia="lv-LV"/>
              </w:rPr>
              <w:t xml:space="preserve"> Ar grozījumiem tiek noteikta aizsardzības industrijas un piegāžu drošības definīcija, pilnvarota starptautiskā sadarbība aizsardzības industrijas attīstības atbalsta jomā, kā arī dots pilnvarojums kārtības izstrādei, kādā aizsardzības nozare sniedz atbalstu militāras vai divējādas nozīmes produktu attīstībai. Tāpat projektā paredzēts pilnvarojums kārtībai, kādā tiek reglamentēta aizsardzības nozares sadarbība ar aizsardzības industrijas organizācijām.</w:t>
            </w:r>
          </w:p>
        </w:tc>
      </w:tr>
    </w:tbl>
    <w:p w14:paraId="01F143CA"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14:paraId="7EE5A0EB" w14:textId="77777777"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25FE5"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 Tiesību akta projekta izstrādes nepieciešamība</w:t>
            </w:r>
          </w:p>
        </w:tc>
      </w:tr>
      <w:tr w:rsidR="003F77C7" w:rsidRPr="00DD5481" w14:paraId="4A73ABC0" w14:textId="77777777"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5B4836"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EE2EBD"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0E83CA73" w14:textId="54AAE121"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Valsts aizsardzības koncepcijas (turpmāk </w:t>
            </w:r>
            <w:r w:rsidR="005B41E9">
              <w:rPr>
                <w:rFonts w:ascii="Times New Roman" w:eastAsia="Times New Roman" w:hAnsi="Times New Roman" w:cs="Times New Roman"/>
                <w:color w:val="000000"/>
                <w:sz w:val="24"/>
                <w:szCs w:val="24"/>
                <w:lang w:eastAsia="lv-LV"/>
              </w:rPr>
              <w:t xml:space="preserve">– </w:t>
            </w:r>
            <w:r w:rsidRPr="00DD5481">
              <w:rPr>
                <w:rFonts w:ascii="Times New Roman" w:eastAsia="Times New Roman" w:hAnsi="Times New Roman" w:cs="Times New Roman"/>
                <w:color w:val="000000"/>
                <w:sz w:val="24"/>
                <w:szCs w:val="24"/>
                <w:lang w:eastAsia="lv-LV"/>
              </w:rPr>
              <w:t>VAK</w:t>
            </w:r>
            <w:r w:rsidR="005B41E9">
              <w:rPr>
                <w:rFonts w:ascii="Times New Roman" w:eastAsia="Times New Roman" w:hAnsi="Times New Roman" w:cs="Times New Roman"/>
                <w:color w:val="000000"/>
                <w:sz w:val="24"/>
                <w:szCs w:val="24"/>
                <w:lang w:eastAsia="lv-LV"/>
              </w:rPr>
              <w:t xml:space="preserve">, </w:t>
            </w:r>
            <w:r w:rsidRPr="00DD5481">
              <w:rPr>
                <w:rFonts w:ascii="Times New Roman" w:eastAsia="Times New Roman" w:hAnsi="Times New Roman" w:cs="Times New Roman"/>
                <w:color w:val="000000"/>
                <w:sz w:val="24"/>
                <w:szCs w:val="24"/>
                <w:lang w:eastAsia="lv-LV"/>
              </w:rPr>
              <w:t>apstiprināta Saeimā 2016. gada 16. jūnijā) 16., 17.,  18., 23., 29., 36.</w:t>
            </w:r>
            <w:r w:rsidR="003344EA" w:rsidRPr="00DD5481">
              <w:rPr>
                <w:rFonts w:ascii="Times New Roman" w:eastAsia="Times New Roman" w:hAnsi="Times New Roman" w:cs="Times New Roman"/>
                <w:color w:val="000000"/>
                <w:sz w:val="24"/>
                <w:szCs w:val="24"/>
                <w:lang w:eastAsia="lv-LV"/>
              </w:rPr>
              <w:t>, 77., 86., 91., 101., 109. un 110.</w:t>
            </w:r>
            <w:r w:rsidRPr="00DD5481">
              <w:rPr>
                <w:rFonts w:ascii="Times New Roman" w:eastAsia="Times New Roman" w:hAnsi="Times New Roman" w:cs="Times New Roman"/>
                <w:color w:val="000000"/>
                <w:sz w:val="24"/>
                <w:szCs w:val="24"/>
                <w:lang w:eastAsia="lv-LV"/>
              </w:rPr>
              <w:t xml:space="preserve"> punkts. </w:t>
            </w:r>
          </w:p>
          <w:p w14:paraId="70FA63AF" w14:textId="685E8D52" w:rsidR="003344EA" w:rsidRPr="00DD5481" w:rsidRDefault="003344EA"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Ministru kabineta 2016.</w:t>
            </w:r>
            <w:r w:rsidR="005B41E9">
              <w:rPr>
                <w:rFonts w:ascii="Times New Roman" w:eastAsia="Times New Roman" w:hAnsi="Times New Roman" w:cs="Times New Roman"/>
                <w:color w:val="000000"/>
                <w:sz w:val="24"/>
                <w:szCs w:val="24"/>
                <w:lang w:eastAsia="lv-LV"/>
              </w:rPr>
              <w:t> </w:t>
            </w:r>
            <w:r w:rsidRPr="00DD5481">
              <w:rPr>
                <w:rFonts w:ascii="Times New Roman" w:eastAsia="Times New Roman" w:hAnsi="Times New Roman" w:cs="Times New Roman"/>
                <w:color w:val="000000"/>
                <w:sz w:val="24"/>
                <w:szCs w:val="24"/>
                <w:lang w:eastAsia="lv-LV"/>
              </w:rPr>
              <w:t>gada 13.</w:t>
            </w:r>
            <w:r w:rsidR="005B41E9">
              <w:rPr>
                <w:rFonts w:ascii="Times New Roman" w:eastAsia="Times New Roman" w:hAnsi="Times New Roman" w:cs="Times New Roman"/>
                <w:color w:val="000000"/>
                <w:sz w:val="24"/>
                <w:szCs w:val="24"/>
                <w:lang w:eastAsia="lv-LV"/>
              </w:rPr>
              <w:t> </w:t>
            </w:r>
            <w:r w:rsidRPr="00DD5481">
              <w:rPr>
                <w:rFonts w:ascii="Times New Roman" w:eastAsia="Times New Roman" w:hAnsi="Times New Roman" w:cs="Times New Roman"/>
                <w:color w:val="000000"/>
                <w:sz w:val="24"/>
                <w:szCs w:val="24"/>
                <w:lang w:eastAsia="lv-LV"/>
              </w:rPr>
              <w:t>septembra protokollēmum</w:t>
            </w:r>
            <w:r w:rsidR="005B41E9">
              <w:rPr>
                <w:rFonts w:ascii="Times New Roman" w:eastAsia="Times New Roman" w:hAnsi="Times New Roman" w:cs="Times New Roman"/>
                <w:color w:val="000000"/>
                <w:sz w:val="24"/>
                <w:szCs w:val="24"/>
                <w:lang w:eastAsia="lv-LV"/>
              </w:rPr>
              <w:t>a</w:t>
            </w:r>
            <w:r w:rsidRPr="00DD5481">
              <w:rPr>
                <w:rFonts w:ascii="Times New Roman" w:eastAsia="Times New Roman" w:hAnsi="Times New Roman" w:cs="Times New Roman"/>
                <w:color w:val="000000"/>
                <w:sz w:val="24"/>
                <w:szCs w:val="24"/>
                <w:lang w:eastAsia="lv-LV"/>
              </w:rPr>
              <w:t xml:space="preserve"> Nr. 45 29. § “Informatīvais ziņojums “Par aizsardzības nozares sadarbības stiprināšanu ar </w:t>
            </w:r>
            <w:r w:rsidRPr="00DD5481">
              <w:rPr>
                <w:rFonts w:ascii="Times New Roman" w:eastAsia="Times New Roman" w:hAnsi="Times New Roman" w:cs="Times New Roman"/>
                <w:color w:val="000000"/>
                <w:sz w:val="24"/>
                <w:szCs w:val="24"/>
                <w:lang w:eastAsia="lv-LV"/>
              </w:rPr>
              <w:lastRenderedPageBreak/>
              <w:t>Latvijas aizsardzības un drošības industriju”” (TA-1769)</w:t>
            </w:r>
          </w:p>
          <w:p w14:paraId="50CF1C78" w14:textId="2460A08C" w:rsidR="003F77C7" w:rsidRPr="00DD5481" w:rsidRDefault="003F77C7" w:rsidP="003F77C7">
            <w:pPr>
              <w:spacing w:before="100" w:beforeAutospacing="1" w:after="0" w:line="240" w:lineRule="auto"/>
              <w:jc w:val="both"/>
              <w:rPr>
                <w:rFonts w:ascii="Times New Roman" w:eastAsia="Times New Roman" w:hAnsi="Times New Roman" w:cs="Times New Roman"/>
                <w:bCs/>
                <w:color w:val="000000"/>
                <w:sz w:val="24"/>
                <w:szCs w:val="24"/>
                <w:lang w:eastAsia="lv-LV"/>
              </w:rPr>
            </w:pPr>
            <w:r w:rsidRPr="00DD5481">
              <w:rPr>
                <w:rFonts w:ascii="Times New Roman" w:eastAsia="Times New Roman" w:hAnsi="Times New Roman" w:cs="Times New Roman"/>
                <w:color w:val="000000"/>
                <w:sz w:val="24"/>
                <w:szCs w:val="24"/>
                <w:lang w:eastAsia="lv-LV"/>
              </w:rPr>
              <w:t>Ministru kabineta 2017. gada 14. februāra protokollēmum</w:t>
            </w:r>
            <w:r w:rsidR="005B41E9">
              <w:rPr>
                <w:rFonts w:ascii="Times New Roman" w:eastAsia="Times New Roman" w:hAnsi="Times New Roman" w:cs="Times New Roman"/>
                <w:color w:val="000000"/>
                <w:sz w:val="24"/>
                <w:szCs w:val="24"/>
                <w:lang w:eastAsia="lv-LV"/>
              </w:rPr>
              <w:t>a</w:t>
            </w:r>
            <w:r w:rsidRPr="00DD5481">
              <w:rPr>
                <w:rFonts w:ascii="Times New Roman" w:eastAsia="Times New Roman" w:hAnsi="Times New Roman" w:cs="Times New Roman"/>
                <w:color w:val="000000"/>
                <w:sz w:val="24"/>
                <w:szCs w:val="24"/>
                <w:lang w:eastAsia="lv-LV"/>
              </w:rPr>
              <w:t xml:space="preserve"> Nr. 7 50. § “Informatīvais ziņojums “Par mācību KRISTAPS 2016 secinājumiem”” (</w:t>
            </w:r>
            <w:r w:rsidRPr="00DD5481">
              <w:rPr>
                <w:rFonts w:ascii="Times New Roman" w:eastAsia="Times New Roman" w:hAnsi="Times New Roman" w:cs="Times New Roman"/>
                <w:bCs/>
                <w:color w:val="000000"/>
                <w:sz w:val="24"/>
                <w:szCs w:val="24"/>
                <w:lang w:eastAsia="lv-LV"/>
              </w:rPr>
              <w:t>TA-1230-DV).</w:t>
            </w:r>
          </w:p>
          <w:p w14:paraId="34841703" w14:textId="0CC55CA5"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Ministru kabineta 2017. gada 3. oktobra protokollēmum</w:t>
            </w:r>
            <w:r w:rsidR="005B41E9">
              <w:rPr>
                <w:rFonts w:ascii="Times New Roman" w:eastAsia="Times New Roman" w:hAnsi="Times New Roman" w:cs="Times New Roman"/>
                <w:color w:val="000000"/>
                <w:sz w:val="24"/>
                <w:szCs w:val="24"/>
                <w:lang w:eastAsia="lv-LV"/>
              </w:rPr>
              <w:t>a</w:t>
            </w:r>
            <w:r w:rsidRPr="00DD5481">
              <w:rPr>
                <w:rFonts w:ascii="Times New Roman" w:eastAsia="Times New Roman" w:hAnsi="Times New Roman" w:cs="Times New Roman"/>
                <w:color w:val="000000"/>
                <w:sz w:val="24"/>
                <w:szCs w:val="24"/>
                <w:lang w:eastAsia="lv-LV"/>
              </w:rPr>
              <w:t xml:space="preserve"> Nr. 49 </w:t>
            </w:r>
            <w:bookmarkStart w:id="1" w:name="59"/>
            <w:r w:rsidRPr="00DD5481">
              <w:rPr>
                <w:rFonts w:ascii="Times New Roman" w:eastAsia="Times New Roman" w:hAnsi="Times New Roman" w:cs="Times New Roman"/>
                <w:color w:val="000000"/>
                <w:sz w:val="24"/>
                <w:szCs w:val="24"/>
                <w:lang w:eastAsia="lv-LV"/>
              </w:rPr>
              <w:t>59. §</w:t>
            </w:r>
            <w:bookmarkEnd w:id="1"/>
            <w:r w:rsidRPr="00DD5481">
              <w:rPr>
                <w:rFonts w:ascii="Times New Roman" w:eastAsia="Times New Roman" w:hAnsi="Times New Roman" w:cs="Times New Roman"/>
                <w:color w:val="000000"/>
                <w:sz w:val="24"/>
                <w:szCs w:val="24"/>
                <w:lang w:eastAsia="lv-LV"/>
              </w:rPr>
              <w:t xml:space="preserve"> “Informatīvais ziņojums “Par mācību </w:t>
            </w:r>
            <w:r w:rsidR="005B41E9">
              <w:rPr>
                <w:rFonts w:ascii="Times New Roman" w:eastAsia="Times New Roman" w:hAnsi="Times New Roman" w:cs="Times New Roman"/>
                <w:color w:val="000000"/>
                <w:sz w:val="24"/>
                <w:szCs w:val="24"/>
                <w:lang w:eastAsia="lv-LV"/>
              </w:rPr>
              <w:t>“</w:t>
            </w:r>
            <w:r w:rsidRPr="00DD5481">
              <w:rPr>
                <w:rFonts w:ascii="Times New Roman" w:eastAsia="Times New Roman" w:hAnsi="Times New Roman" w:cs="Times New Roman"/>
                <w:color w:val="000000"/>
                <w:sz w:val="24"/>
                <w:szCs w:val="24"/>
                <w:lang w:eastAsia="lv-LV"/>
              </w:rPr>
              <w:t>KRISTAPS 2016</w:t>
            </w:r>
            <w:r w:rsidR="005B41E9">
              <w:rPr>
                <w:rFonts w:ascii="Times New Roman" w:eastAsia="Times New Roman" w:hAnsi="Times New Roman" w:cs="Times New Roman"/>
                <w:color w:val="000000"/>
                <w:sz w:val="24"/>
                <w:szCs w:val="24"/>
                <w:lang w:eastAsia="lv-LV"/>
              </w:rPr>
              <w:t>”</w:t>
            </w:r>
            <w:r w:rsidRPr="00DD5481">
              <w:rPr>
                <w:rFonts w:ascii="Times New Roman" w:eastAsia="Times New Roman" w:hAnsi="Times New Roman" w:cs="Times New Roman"/>
                <w:color w:val="000000"/>
                <w:sz w:val="24"/>
                <w:szCs w:val="24"/>
                <w:lang w:eastAsia="lv-LV"/>
              </w:rPr>
              <w:t>  secinājumu izpildes gaitu un rezultātiem”” (</w:t>
            </w:r>
            <w:r w:rsidRPr="00DD5481">
              <w:rPr>
                <w:rFonts w:ascii="Times New Roman" w:eastAsia="Times New Roman" w:hAnsi="Times New Roman" w:cs="Times New Roman"/>
                <w:bCs/>
                <w:color w:val="000000"/>
                <w:sz w:val="24"/>
                <w:szCs w:val="24"/>
                <w:lang w:eastAsia="lv-LV"/>
              </w:rPr>
              <w:t>TA-2095-DV).</w:t>
            </w:r>
          </w:p>
        </w:tc>
      </w:tr>
      <w:tr w:rsidR="003F77C7" w:rsidRPr="00DD5481" w14:paraId="76CF1068" w14:textId="77777777"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90C089"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637352B"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5EFF6D97" w14:textId="77777777" w:rsidR="003F77C7" w:rsidRPr="00DD5481" w:rsidRDefault="00A25193"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AB789C">
              <w:rPr>
                <w:rFonts w:ascii="Times New Roman" w:eastAsia="Times New Roman" w:hAnsi="Times New Roman" w:cs="Times New Roman"/>
                <w:color w:val="000000"/>
                <w:sz w:val="24"/>
                <w:szCs w:val="24"/>
                <w:lang w:eastAsia="lv-LV"/>
              </w:rPr>
              <w:t xml:space="preserve"> </w:t>
            </w:r>
            <w:r w:rsidR="003F77C7" w:rsidRPr="00DD5481">
              <w:rPr>
                <w:rFonts w:ascii="Times New Roman" w:eastAsia="Times New Roman" w:hAnsi="Times New Roman" w:cs="Times New Roman"/>
                <w:color w:val="000000"/>
                <w:sz w:val="24"/>
                <w:szCs w:val="24"/>
                <w:lang w:eastAsia="lv-LV"/>
              </w:rPr>
              <w:t>Ik gadu Aizsardzības ministrijas vadībā notiek Ministru kabineta līmeņa valsts apdraudējuma pārvarēšanas mācības “KRISTAPS”, kuru mērķis ir atbilstoši aktuālajām valsts apdraudējuma tendencēm pārbaudīt un pilnveidot valsts aizsardzību regulējošos tiesību aktus un plānošanas dokumentus. Valsts apdraudējuma pārvarēšanas mācību “KRISTAPS” viens no aktuāliem izaicinājumiem pastāvošajā tiesiskajā regulējumā ir zemessargu un rezerves karavīru operatīvā iesaiste Nacionālo bruņoto spēku (turpmāk – NBS) kaujas struktūrā negaidīta apdraudējuma gadījumā.  Zemessargu un rezerves karavīru operatīva iesaiste apdraudējuma pārvarēšanas sākotnējā fāzē aizkavētu turpmāku apdraudējuma dinamikas attīstību, tādējādi sniedzot papildu instrumentus apdraudējuma pārvarēšanai tā agrīnajā fāzē.</w:t>
            </w:r>
          </w:p>
          <w:p w14:paraId="081C11D3" w14:textId="0A7FCBA2"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Lai nodrošinātu </w:t>
            </w:r>
            <w:r w:rsidR="00940A85">
              <w:rPr>
                <w:rFonts w:ascii="Times New Roman" w:eastAsia="Times New Roman" w:hAnsi="Times New Roman" w:cs="Times New Roman"/>
                <w:color w:val="000000"/>
                <w:sz w:val="24"/>
                <w:szCs w:val="24"/>
                <w:lang w:eastAsia="lv-LV"/>
              </w:rPr>
              <w:t>NBS</w:t>
            </w:r>
            <w:r w:rsidRPr="00DD5481">
              <w:rPr>
                <w:rFonts w:ascii="Times New Roman" w:eastAsia="Times New Roman" w:hAnsi="Times New Roman" w:cs="Times New Roman"/>
                <w:color w:val="000000"/>
                <w:sz w:val="24"/>
                <w:szCs w:val="24"/>
                <w:lang w:eastAsia="lv-LV"/>
              </w:rPr>
              <w:t xml:space="preserve"> vienību kaujas štatu operatīvu aizpildīšanu, nepieciešams efektīvs mehānisms tā īstenošanai. Tas panākams ar zemessargu un rezerves karavīru mobilizāciju apdraudējuma pārvarēšanai jau pirms izņēmuma stāvokļa izsludināšanas vai kara laika iestāšanās.</w:t>
            </w:r>
          </w:p>
          <w:p w14:paraId="37E48892" w14:textId="77777777"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Mūsdienu militārais apdraudējums ir dinamisks un tas var attīstīties, sākotnēji neradot nepieciešamību izsludināt izņēmuma stāvokli, balstoties uz izņēmuma stāvokļa izsludināšanas indikatoriem. Tomēr saskaņā ar esošo tiesisko regulējumu zemessargu un rezerves karavīru mobilizācija šobrīd var tikt izsludināta tikai izņēmuma stāvokļa laikā. </w:t>
            </w:r>
          </w:p>
          <w:p w14:paraId="5558165D" w14:textId="02F32502"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Nacionālās drošības likuma 22. panta piektā daļa nosaka, ka ārkārtējās situācijas un izņēmuma stāvokļa gadījumā var izsludināt mobilizāciju, lai risinātu ar nacionālo drošību un valsts aizsardzību saistītos uzdevumus, kā arī likvidētu ārkārtējās situācijas un to </w:t>
            </w:r>
            <w:r w:rsidRPr="00DD5481">
              <w:rPr>
                <w:rFonts w:ascii="Times New Roman" w:eastAsia="Times New Roman" w:hAnsi="Times New Roman" w:cs="Times New Roman"/>
                <w:color w:val="000000"/>
                <w:sz w:val="24"/>
                <w:szCs w:val="24"/>
                <w:lang w:eastAsia="lv-LV"/>
              </w:rPr>
              <w:lastRenderedPageBreak/>
              <w:t xml:space="preserve">sekas. Aizsardzības ministrijas </w:t>
            </w:r>
            <w:r w:rsidR="007C18F5">
              <w:rPr>
                <w:rFonts w:ascii="Times New Roman" w:eastAsia="Times New Roman" w:hAnsi="Times New Roman" w:cs="Times New Roman"/>
                <w:color w:val="000000"/>
                <w:sz w:val="24"/>
                <w:szCs w:val="24"/>
                <w:lang w:eastAsia="lv-LV"/>
              </w:rPr>
              <w:t xml:space="preserve">izstrādātie grozījumi </w:t>
            </w:r>
            <w:r w:rsidRPr="00DD5481">
              <w:rPr>
                <w:rFonts w:ascii="Times New Roman" w:eastAsia="Times New Roman" w:hAnsi="Times New Roman" w:cs="Times New Roman"/>
                <w:color w:val="000000"/>
                <w:sz w:val="24"/>
                <w:szCs w:val="24"/>
                <w:lang w:eastAsia="lv-LV"/>
              </w:rPr>
              <w:t>Nacionālās drošīb</w:t>
            </w:r>
            <w:r w:rsidR="001E4AB3">
              <w:rPr>
                <w:rFonts w:ascii="Times New Roman" w:eastAsia="Times New Roman" w:hAnsi="Times New Roman" w:cs="Times New Roman"/>
                <w:color w:val="000000"/>
                <w:sz w:val="24"/>
                <w:szCs w:val="24"/>
                <w:lang w:eastAsia="lv-LV"/>
              </w:rPr>
              <w:t>as likumā</w:t>
            </w:r>
            <w:r w:rsidR="002F2CF4" w:rsidRPr="00DD5481">
              <w:rPr>
                <w:rFonts w:ascii="Times New Roman" w:eastAsia="Times New Roman" w:hAnsi="Times New Roman" w:cs="Times New Roman"/>
                <w:color w:val="000000"/>
                <w:sz w:val="24"/>
                <w:szCs w:val="24"/>
                <w:lang w:eastAsia="lv-LV"/>
              </w:rPr>
              <w:t xml:space="preserve"> </w:t>
            </w:r>
            <w:r w:rsidR="007C18F5">
              <w:rPr>
                <w:rFonts w:ascii="Times New Roman" w:eastAsia="Times New Roman" w:hAnsi="Times New Roman" w:cs="Times New Roman"/>
                <w:color w:val="000000"/>
                <w:sz w:val="24"/>
                <w:szCs w:val="24"/>
                <w:lang w:eastAsia="lv-LV"/>
              </w:rPr>
              <w:t>(likuma 23.</w:t>
            </w:r>
            <w:r w:rsidR="005B41E9">
              <w:rPr>
                <w:rFonts w:ascii="Times New Roman" w:eastAsia="Times New Roman" w:hAnsi="Times New Roman" w:cs="Times New Roman"/>
                <w:color w:val="000000"/>
                <w:sz w:val="24"/>
                <w:szCs w:val="24"/>
                <w:lang w:eastAsia="lv-LV"/>
              </w:rPr>
              <w:t> </w:t>
            </w:r>
            <w:r w:rsidR="007C18F5">
              <w:rPr>
                <w:rFonts w:ascii="Times New Roman" w:eastAsia="Times New Roman" w:hAnsi="Times New Roman" w:cs="Times New Roman"/>
                <w:color w:val="000000"/>
                <w:sz w:val="24"/>
                <w:szCs w:val="24"/>
                <w:lang w:eastAsia="lv-LV"/>
              </w:rPr>
              <w:t>panta astotā daļa un Pārejas noteikumu 16.</w:t>
            </w:r>
            <w:r w:rsidR="005B41E9">
              <w:rPr>
                <w:rFonts w:ascii="Times New Roman" w:eastAsia="Times New Roman" w:hAnsi="Times New Roman" w:cs="Times New Roman"/>
                <w:color w:val="000000"/>
                <w:sz w:val="24"/>
                <w:szCs w:val="24"/>
                <w:lang w:eastAsia="lv-LV"/>
              </w:rPr>
              <w:t> </w:t>
            </w:r>
            <w:r w:rsidR="007C18F5">
              <w:rPr>
                <w:rFonts w:ascii="Times New Roman" w:eastAsia="Times New Roman" w:hAnsi="Times New Roman" w:cs="Times New Roman"/>
                <w:color w:val="000000"/>
                <w:sz w:val="24"/>
                <w:szCs w:val="24"/>
                <w:lang w:eastAsia="lv-LV"/>
              </w:rPr>
              <w:t xml:space="preserve">punkts) </w:t>
            </w:r>
            <w:r w:rsidRPr="00DD5481">
              <w:rPr>
                <w:rFonts w:ascii="Times New Roman" w:eastAsia="Times New Roman" w:hAnsi="Times New Roman" w:cs="Times New Roman"/>
                <w:bCs/>
                <w:color w:val="000000"/>
                <w:sz w:val="24"/>
                <w:szCs w:val="24"/>
                <w:lang w:eastAsia="lv-LV"/>
              </w:rPr>
              <w:t>paredz, ka</w:t>
            </w:r>
            <w:r w:rsidRPr="00DD5481">
              <w:rPr>
                <w:rFonts w:ascii="Times New Roman" w:eastAsia="Times New Roman" w:hAnsi="Times New Roman" w:cs="Times New Roman"/>
                <w:color w:val="000000"/>
                <w:sz w:val="24"/>
                <w:szCs w:val="24"/>
                <w:lang w:eastAsia="lv-LV"/>
              </w:rPr>
              <w:t xml:space="preserve"> valsts apdraudējuma gadījumā, lai nodrošinātu Valsts aizsardzības plāna un Valsts aizsardzības operatīvā plāna uzdevumu izpildi, Ministru kabinets ir tiesīgs pieņemt lēmumu par zemessargu un rezerves karavīru mobilizāciju (turpmāk – militārā mobilizācija) ne ilgāk kā uz septiņdesmit divām stundām, nekavējoties par to informējot Saeimu. Šī likumprojekta tiesību norma ir balstīta uz šādiem pamatprincipiem:</w:t>
            </w:r>
          </w:p>
          <w:p w14:paraId="2F5ED902" w14:textId="77777777"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Militārā mobilizācija attiecas tikai uz zemessargiem un rezerves karavīriem (to statusu reglamentē Militāra dienesta likums).</w:t>
            </w:r>
          </w:p>
          <w:p w14:paraId="64B7F8CB" w14:textId="77777777"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Militārā mobilizācija nav saistīta ar speciālajiem tiesiskajiem režīmiem – ārkārtas situāciju vai izņēmuma stāvokļa darbību Nacionālās drošības likuma 22. panta piektās daļas ietvaros. </w:t>
            </w:r>
          </w:p>
          <w:p w14:paraId="00D06023" w14:textId="77777777"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Militārās mobilizācijas ietvaros zemessargi un rezerves karavīri ir iesaistāmi tikai  Valsts aizsardzības plānā un tam pakārtotajā Valsts aizsardzības operatīvajā plānā noteikto uzdevumu izpildē.</w:t>
            </w:r>
          </w:p>
          <w:p w14:paraId="5504D0C4" w14:textId="4A741029"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Šāds Ministru kabineta lēmums ir spēkā uz 72</w:t>
            </w:r>
            <w:r w:rsidR="005B41E9">
              <w:rPr>
                <w:rFonts w:ascii="Times New Roman" w:eastAsia="Times New Roman" w:hAnsi="Times New Roman" w:cs="Times New Roman"/>
                <w:color w:val="000000"/>
                <w:sz w:val="24"/>
                <w:szCs w:val="24"/>
                <w:lang w:eastAsia="lv-LV"/>
              </w:rPr>
              <w:t> </w:t>
            </w:r>
            <w:r w:rsidRPr="00DD5481">
              <w:rPr>
                <w:rFonts w:ascii="Times New Roman" w:eastAsia="Times New Roman" w:hAnsi="Times New Roman" w:cs="Times New Roman"/>
                <w:color w:val="000000"/>
                <w:sz w:val="24"/>
                <w:szCs w:val="24"/>
                <w:lang w:eastAsia="lv-LV"/>
              </w:rPr>
              <w:t>stundām (lēmums pēc 72</w:t>
            </w:r>
            <w:r w:rsidR="005B41E9">
              <w:rPr>
                <w:rFonts w:ascii="Times New Roman" w:eastAsia="Times New Roman" w:hAnsi="Times New Roman" w:cs="Times New Roman"/>
                <w:color w:val="000000"/>
                <w:sz w:val="24"/>
                <w:szCs w:val="24"/>
                <w:lang w:eastAsia="lv-LV"/>
              </w:rPr>
              <w:t> </w:t>
            </w:r>
            <w:r w:rsidRPr="00DD5481">
              <w:rPr>
                <w:rFonts w:ascii="Times New Roman" w:eastAsia="Times New Roman" w:hAnsi="Times New Roman" w:cs="Times New Roman"/>
                <w:color w:val="000000"/>
                <w:sz w:val="24"/>
                <w:szCs w:val="24"/>
                <w:lang w:eastAsia="lv-LV"/>
              </w:rPr>
              <w:t xml:space="preserve">stundām zaudē spēku). Ja to prasa valsts apdraudējuma situācija, Ministru kabinets var šādu lēmumu izdot atkārtoti. </w:t>
            </w:r>
          </w:p>
          <w:p w14:paraId="34C9D5EF" w14:textId="77777777" w:rsidR="003F77C7"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Saeima izsludinātās militārās mobilizācijas pamatotību izskata, pamatojoties uz Nacionālās drošības likuma 6. panta 10. punktu.</w:t>
            </w:r>
            <w:r w:rsidR="00AB789C">
              <w:rPr>
                <w:rFonts w:ascii="Times New Roman" w:eastAsia="Times New Roman" w:hAnsi="Times New Roman" w:cs="Times New Roman"/>
                <w:color w:val="000000"/>
                <w:sz w:val="24"/>
                <w:szCs w:val="24"/>
                <w:lang w:eastAsia="lv-LV"/>
              </w:rPr>
              <w:t xml:space="preserve"> </w:t>
            </w:r>
            <w:r w:rsidRPr="00DD5481">
              <w:rPr>
                <w:rFonts w:ascii="Times New Roman" w:eastAsia="Times New Roman" w:hAnsi="Times New Roman" w:cs="Times New Roman"/>
                <w:color w:val="000000"/>
                <w:sz w:val="24"/>
                <w:szCs w:val="24"/>
                <w:lang w:eastAsia="lv-LV"/>
              </w:rPr>
              <w:t>Valsts apdraudējuma situācijai pasliktinoties, Ministru kabinets minēto 72 stundu laikā lemj par speciālā tiesiskā režīma ieviešanu, tai skaitā mobilizāciju.</w:t>
            </w:r>
          </w:p>
          <w:p w14:paraId="3E20F1E3" w14:textId="58158F92" w:rsidR="001D7669" w:rsidRDefault="00A25193" w:rsidP="001D7669">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AB789C">
              <w:rPr>
                <w:rFonts w:ascii="Times New Roman" w:eastAsia="Times New Roman" w:hAnsi="Times New Roman" w:cs="Times New Roman"/>
                <w:color w:val="000000"/>
                <w:sz w:val="24"/>
                <w:szCs w:val="24"/>
                <w:lang w:eastAsia="lv-LV"/>
              </w:rPr>
              <w:t xml:space="preserve"> </w:t>
            </w:r>
            <w:r w:rsidR="00127FC8">
              <w:rPr>
                <w:rFonts w:ascii="Times New Roman" w:eastAsia="Times New Roman" w:hAnsi="Times New Roman" w:cs="Times New Roman"/>
                <w:color w:val="000000"/>
                <w:sz w:val="24"/>
                <w:szCs w:val="24"/>
                <w:lang w:eastAsia="lv-LV"/>
              </w:rPr>
              <w:t>Kopš 2016.</w:t>
            </w:r>
            <w:r w:rsidR="005B41E9">
              <w:rPr>
                <w:rFonts w:ascii="Times New Roman" w:eastAsia="Times New Roman" w:hAnsi="Times New Roman" w:cs="Times New Roman"/>
                <w:color w:val="000000"/>
                <w:sz w:val="24"/>
                <w:szCs w:val="24"/>
                <w:lang w:eastAsia="lv-LV"/>
              </w:rPr>
              <w:t> </w:t>
            </w:r>
            <w:r w:rsidR="00127FC8">
              <w:rPr>
                <w:rFonts w:ascii="Times New Roman" w:eastAsia="Times New Roman" w:hAnsi="Times New Roman" w:cs="Times New Roman"/>
                <w:color w:val="000000"/>
                <w:sz w:val="24"/>
                <w:szCs w:val="24"/>
                <w:lang w:eastAsia="lv-LV"/>
              </w:rPr>
              <w:t>gada 13.</w:t>
            </w:r>
            <w:r w:rsidR="005B41E9">
              <w:rPr>
                <w:rFonts w:ascii="Times New Roman" w:eastAsia="Times New Roman" w:hAnsi="Times New Roman" w:cs="Times New Roman"/>
                <w:color w:val="000000"/>
                <w:sz w:val="24"/>
                <w:szCs w:val="24"/>
                <w:lang w:eastAsia="lv-LV"/>
              </w:rPr>
              <w:t> </w:t>
            </w:r>
            <w:r w:rsidR="00127FC8">
              <w:rPr>
                <w:rFonts w:ascii="Times New Roman" w:eastAsia="Times New Roman" w:hAnsi="Times New Roman" w:cs="Times New Roman"/>
                <w:color w:val="000000"/>
                <w:sz w:val="24"/>
                <w:szCs w:val="24"/>
                <w:lang w:eastAsia="lv-LV"/>
              </w:rPr>
              <w:t>septembra, kad</w:t>
            </w:r>
            <w:r w:rsidR="005B41E9">
              <w:rPr>
                <w:rFonts w:ascii="Times New Roman" w:eastAsia="Times New Roman" w:hAnsi="Times New Roman" w:cs="Times New Roman"/>
                <w:color w:val="000000"/>
                <w:sz w:val="24"/>
                <w:szCs w:val="24"/>
                <w:lang w:eastAsia="lv-LV"/>
              </w:rPr>
              <w:t>,</w:t>
            </w:r>
            <w:r w:rsidR="00127FC8">
              <w:rPr>
                <w:rFonts w:ascii="Times New Roman" w:eastAsia="Times New Roman" w:hAnsi="Times New Roman" w:cs="Times New Roman"/>
                <w:color w:val="000000"/>
                <w:sz w:val="24"/>
                <w:szCs w:val="24"/>
                <w:lang w:eastAsia="lv-LV"/>
              </w:rPr>
              <w:t xml:space="preserve"> balstoties uz Valsts aizsardzības koncepcijā un </w:t>
            </w:r>
            <w:r w:rsidR="00127FC8" w:rsidRPr="00DD5481">
              <w:rPr>
                <w:rFonts w:ascii="Times New Roman" w:eastAsia="Times New Roman" w:hAnsi="Times New Roman" w:cs="Times New Roman"/>
                <w:color w:val="000000"/>
                <w:sz w:val="24"/>
                <w:szCs w:val="24"/>
                <w:lang w:eastAsia="lv-LV"/>
              </w:rPr>
              <w:t>M</w:t>
            </w:r>
            <w:r w:rsidR="00127FC8">
              <w:rPr>
                <w:rFonts w:ascii="Times New Roman" w:eastAsia="Times New Roman" w:hAnsi="Times New Roman" w:cs="Times New Roman"/>
                <w:color w:val="000000"/>
                <w:sz w:val="24"/>
                <w:szCs w:val="24"/>
                <w:lang w:eastAsia="lv-LV"/>
              </w:rPr>
              <w:t>.</w:t>
            </w:r>
            <w:r w:rsidR="005B41E9">
              <w:rPr>
                <w:rFonts w:ascii="Times New Roman" w:eastAsia="Times New Roman" w:hAnsi="Times New Roman" w:cs="Times New Roman"/>
                <w:color w:val="000000"/>
                <w:sz w:val="24"/>
                <w:szCs w:val="24"/>
                <w:lang w:eastAsia="lv-LV"/>
              </w:rPr>
              <w:t> </w:t>
            </w:r>
            <w:r w:rsidR="00127FC8">
              <w:rPr>
                <w:rFonts w:ascii="Times New Roman" w:eastAsia="Times New Roman" w:hAnsi="Times New Roman" w:cs="Times New Roman"/>
                <w:color w:val="000000"/>
                <w:sz w:val="24"/>
                <w:szCs w:val="24"/>
                <w:lang w:eastAsia="lv-LV"/>
              </w:rPr>
              <w:t>Kučinska valdības deklarācijā dotajām vadlīnijām</w:t>
            </w:r>
            <w:r w:rsidR="005B41E9">
              <w:rPr>
                <w:rFonts w:ascii="Times New Roman" w:eastAsia="Times New Roman" w:hAnsi="Times New Roman" w:cs="Times New Roman"/>
                <w:color w:val="000000"/>
                <w:sz w:val="24"/>
                <w:szCs w:val="24"/>
                <w:lang w:eastAsia="lv-LV"/>
              </w:rPr>
              <w:t>,</w:t>
            </w:r>
            <w:r w:rsidR="00127FC8">
              <w:rPr>
                <w:rFonts w:ascii="Times New Roman" w:eastAsia="Times New Roman" w:hAnsi="Times New Roman" w:cs="Times New Roman"/>
                <w:color w:val="000000"/>
                <w:sz w:val="24"/>
                <w:szCs w:val="24"/>
                <w:lang w:eastAsia="lv-LV"/>
              </w:rPr>
              <w:t xml:space="preserve"> </w:t>
            </w:r>
            <w:r w:rsidR="005B41E9">
              <w:rPr>
                <w:rFonts w:ascii="Times New Roman" w:eastAsia="Times New Roman" w:hAnsi="Times New Roman" w:cs="Times New Roman"/>
                <w:color w:val="000000"/>
                <w:sz w:val="24"/>
                <w:szCs w:val="24"/>
                <w:lang w:eastAsia="lv-LV"/>
              </w:rPr>
              <w:t xml:space="preserve">Ministru kabinetā tika apstiprināts </w:t>
            </w:r>
            <w:r w:rsidR="00127FC8">
              <w:rPr>
                <w:rFonts w:ascii="Times New Roman" w:eastAsia="Times New Roman" w:hAnsi="Times New Roman" w:cs="Times New Roman"/>
                <w:color w:val="000000"/>
                <w:sz w:val="24"/>
                <w:szCs w:val="24"/>
                <w:lang w:eastAsia="lv-LV"/>
              </w:rPr>
              <w:t>izstrādātais i</w:t>
            </w:r>
            <w:r w:rsidR="00127FC8" w:rsidRPr="00DD5481">
              <w:rPr>
                <w:rFonts w:ascii="Times New Roman" w:eastAsia="Times New Roman" w:hAnsi="Times New Roman" w:cs="Times New Roman"/>
                <w:color w:val="000000"/>
                <w:sz w:val="24"/>
                <w:szCs w:val="24"/>
                <w:lang w:eastAsia="lv-LV"/>
              </w:rPr>
              <w:t>nformatīvais ziņojums “Par aizsardzības nozares sadarbības stiprināšanu ar Latvijas aizsardzības un drošības industriju”</w:t>
            </w:r>
            <w:r w:rsidR="00127FC8">
              <w:rPr>
                <w:rFonts w:ascii="Times New Roman" w:eastAsia="Times New Roman" w:hAnsi="Times New Roman" w:cs="Times New Roman"/>
                <w:color w:val="000000"/>
                <w:sz w:val="24"/>
                <w:szCs w:val="24"/>
                <w:lang w:eastAsia="lv-LV"/>
              </w:rPr>
              <w:t xml:space="preserve"> (turpmāk – ziņojums), aizsardzības nozares ietvaros tika ievērojami aktivizēta Latvijas aizsardzības industrija</w:t>
            </w:r>
            <w:r w:rsidR="00726F27">
              <w:rPr>
                <w:rFonts w:ascii="Times New Roman" w:eastAsia="Times New Roman" w:hAnsi="Times New Roman" w:cs="Times New Roman"/>
                <w:color w:val="000000"/>
                <w:sz w:val="24"/>
                <w:szCs w:val="24"/>
                <w:lang w:eastAsia="lv-LV"/>
              </w:rPr>
              <w:t xml:space="preserve">s attīstības atbalsta politikas realizācija. </w:t>
            </w:r>
          </w:p>
          <w:p w14:paraId="10EC76EC" w14:textId="64D6CC2A" w:rsidR="00AB789C" w:rsidRDefault="00726F27" w:rsidP="001D7669">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Atbilstoši </w:t>
            </w:r>
            <w:r w:rsidR="001D7669">
              <w:rPr>
                <w:rFonts w:ascii="Times New Roman" w:eastAsia="Times New Roman" w:hAnsi="Times New Roman" w:cs="Times New Roman"/>
                <w:color w:val="000000"/>
                <w:sz w:val="24"/>
                <w:szCs w:val="24"/>
                <w:lang w:eastAsia="lv-LV"/>
              </w:rPr>
              <w:t xml:space="preserve">iepriekšminētajā </w:t>
            </w:r>
            <w:r>
              <w:rPr>
                <w:rFonts w:ascii="Times New Roman" w:eastAsia="Times New Roman" w:hAnsi="Times New Roman" w:cs="Times New Roman"/>
                <w:color w:val="000000"/>
                <w:sz w:val="24"/>
                <w:szCs w:val="24"/>
                <w:lang w:eastAsia="lv-LV"/>
              </w:rPr>
              <w:t>ziņojumā norādītajam</w:t>
            </w:r>
            <w:r w:rsidR="00935DE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Aizsardzības ministrija savu darbību fokusē tādos </w:t>
            </w:r>
            <w:r>
              <w:rPr>
                <w:rFonts w:ascii="Times New Roman" w:eastAsia="Times New Roman" w:hAnsi="Times New Roman" w:cs="Times New Roman"/>
                <w:color w:val="000000"/>
                <w:sz w:val="24"/>
                <w:szCs w:val="24"/>
                <w:lang w:eastAsia="lv-LV"/>
              </w:rPr>
              <w:lastRenderedPageBreak/>
              <w:t xml:space="preserve">virzienos kā informācijas pieejamības veicināšana attiecībā uz </w:t>
            </w:r>
            <w:r w:rsidR="00940A85">
              <w:rPr>
                <w:rFonts w:ascii="Times New Roman" w:eastAsia="Times New Roman" w:hAnsi="Times New Roman" w:cs="Times New Roman"/>
                <w:color w:val="000000"/>
                <w:sz w:val="24"/>
                <w:szCs w:val="24"/>
                <w:lang w:eastAsia="lv-LV"/>
              </w:rPr>
              <w:t>NBS</w:t>
            </w:r>
            <w:r>
              <w:rPr>
                <w:rFonts w:ascii="Times New Roman" w:eastAsia="Times New Roman" w:hAnsi="Times New Roman" w:cs="Times New Roman"/>
                <w:color w:val="000000"/>
                <w:sz w:val="24"/>
                <w:szCs w:val="24"/>
                <w:lang w:eastAsia="lv-LV"/>
              </w:rPr>
              <w:t xml:space="preserve"> vajadzībām nodrošinājuma jomā un plānotajiem aizsardzības nozares iepirkumiem, atbalsts Latvijas komersantu iekļaušanai ārvalstu piegāžu ķēdēs, </w:t>
            </w:r>
            <w:r w:rsidR="00AC5C84">
              <w:rPr>
                <w:rFonts w:ascii="Times New Roman" w:eastAsia="Times New Roman" w:hAnsi="Times New Roman" w:cs="Times New Roman"/>
                <w:color w:val="000000"/>
                <w:sz w:val="24"/>
                <w:szCs w:val="24"/>
                <w:lang w:eastAsia="lv-LV"/>
              </w:rPr>
              <w:t xml:space="preserve">aizsardzības nozares </w:t>
            </w:r>
            <w:r>
              <w:rPr>
                <w:rFonts w:ascii="Times New Roman" w:eastAsia="Times New Roman" w:hAnsi="Times New Roman" w:cs="Times New Roman"/>
                <w:color w:val="000000"/>
                <w:sz w:val="24"/>
                <w:szCs w:val="24"/>
                <w:lang w:eastAsia="lv-LV"/>
              </w:rPr>
              <w:t>atbalst</w:t>
            </w:r>
            <w:r w:rsidR="00935DE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lietišķa</w:t>
            </w:r>
            <w:r w:rsidR="00935DEA">
              <w:rPr>
                <w:rFonts w:ascii="Times New Roman" w:eastAsia="Times New Roman" w:hAnsi="Times New Roman" w:cs="Times New Roman"/>
                <w:color w:val="000000"/>
                <w:sz w:val="24"/>
                <w:szCs w:val="24"/>
                <w:lang w:eastAsia="lv-LV"/>
              </w:rPr>
              <w:t>ja</w:t>
            </w:r>
            <w:r>
              <w:rPr>
                <w:rFonts w:ascii="Times New Roman" w:eastAsia="Times New Roman" w:hAnsi="Times New Roman" w:cs="Times New Roman"/>
                <w:color w:val="000000"/>
                <w:sz w:val="24"/>
                <w:szCs w:val="24"/>
                <w:lang w:eastAsia="lv-LV"/>
              </w:rPr>
              <w:t>i pētniecībai un jaunu militā</w:t>
            </w:r>
            <w:r w:rsidR="00AC5C84">
              <w:rPr>
                <w:rFonts w:ascii="Times New Roman" w:eastAsia="Times New Roman" w:hAnsi="Times New Roman" w:cs="Times New Roman"/>
                <w:color w:val="000000"/>
                <w:sz w:val="24"/>
                <w:szCs w:val="24"/>
                <w:lang w:eastAsia="lv-LV"/>
              </w:rPr>
              <w:t>ru</w:t>
            </w:r>
            <w:r>
              <w:rPr>
                <w:rFonts w:ascii="Times New Roman" w:eastAsia="Times New Roman" w:hAnsi="Times New Roman" w:cs="Times New Roman"/>
                <w:color w:val="000000"/>
                <w:sz w:val="24"/>
                <w:szCs w:val="24"/>
                <w:lang w:eastAsia="lv-LV"/>
              </w:rPr>
              <w:t xml:space="preserve"> vai divējāda lietojuma </w:t>
            </w:r>
            <w:r w:rsidR="001D7669">
              <w:rPr>
                <w:rFonts w:ascii="Times New Roman" w:eastAsia="Times New Roman" w:hAnsi="Times New Roman" w:cs="Times New Roman"/>
                <w:color w:val="000000"/>
                <w:sz w:val="24"/>
                <w:szCs w:val="24"/>
                <w:lang w:eastAsia="lv-LV"/>
              </w:rPr>
              <w:t>produktu radīšanai (t.</w:t>
            </w:r>
            <w:r w:rsidR="00935DEA">
              <w:rPr>
                <w:rFonts w:ascii="Times New Roman" w:eastAsia="Times New Roman" w:hAnsi="Times New Roman" w:cs="Times New Roman"/>
                <w:color w:val="000000"/>
                <w:sz w:val="24"/>
                <w:szCs w:val="24"/>
                <w:lang w:eastAsia="lv-LV"/>
              </w:rPr>
              <w:t> </w:t>
            </w:r>
            <w:r w:rsidR="001D7669">
              <w:rPr>
                <w:rFonts w:ascii="Times New Roman" w:eastAsia="Times New Roman" w:hAnsi="Times New Roman" w:cs="Times New Roman"/>
                <w:color w:val="000000"/>
                <w:sz w:val="24"/>
                <w:szCs w:val="24"/>
                <w:lang w:eastAsia="lv-LV"/>
              </w:rPr>
              <w:t>sk. – testēšanai) un to turpmākai virzībai eksporta tirgos, kā arī Latvijas ražotāju iesaiste Nacionālajiem bruņotajiem spēkiem nepieciešamo piegāžu drošības risku mazināšanā.</w:t>
            </w:r>
          </w:p>
          <w:p w14:paraId="5A9AECF6" w14:textId="61BE8814" w:rsidR="008C3FC1" w:rsidRDefault="004A0CEE" w:rsidP="00940A8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Realizējot aizsardzības industrijas attīstības atbalsta pasākumus</w:t>
            </w:r>
            <w:r w:rsidR="00935DEA">
              <w:rPr>
                <w:rFonts w:ascii="Times New Roman" w:eastAsia="Times New Roman" w:hAnsi="Times New Roman" w:cs="Times New Roman"/>
                <w:color w:val="000000"/>
                <w:sz w:val="24"/>
                <w:szCs w:val="24"/>
                <w:lang w:eastAsia="lv-LV"/>
              </w:rPr>
              <w:t>,</w:t>
            </w:r>
            <w:r w:rsidR="001D7669">
              <w:rPr>
                <w:rFonts w:ascii="Times New Roman" w:eastAsia="Times New Roman" w:hAnsi="Times New Roman" w:cs="Times New Roman"/>
                <w:color w:val="000000"/>
                <w:sz w:val="24"/>
                <w:szCs w:val="24"/>
                <w:lang w:eastAsia="lv-LV"/>
              </w:rPr>
              <w:t xml:space="preserve"> Aizsardzības ministrija </w:t>
            </w:r>
            <w:r>
              <w:rPr>
                <w:rFonts w:ascii="Times New Roman" w:eastAsia="Times New Roman" w:hAnsi="Times New Roman" w:cs="Times New Roman"/>
                <w:color w:val="000000"/>
                <w:sz w:val="24"/>
                <w:szCs w:val="24"/>
                <w:lang w:eastAsia="lv-LV"/>
              </w:rPr>
              <w:t xml:space="preserve">rīkojas saskaņā ar </w:t>
            </w:r>
            <w:r w:rsidR="00374438">
              <w:rPr>
                <w:rFonts w:ascii="Times New Roman" w:eastAsia="Times New Roman" w:hAnsi="Times New Roman" w:cs="Times New Roman"/>
                <w:color w:val="000000"/>
                <w:sz w:val="24"/>
                <w:szCs w:val="24"/>
                <w:lang w:eastAsia="lv-LV"/>
              </w:rPr>
              <w:t xml:space="preserve">pašlaik </w:t>
            </w:r>
            <w:r>
              <w:rPr>
                <w:rFonts w:ascii="Times New Roman" w:eastAsia="Times New Roman" w:hAnsi="Times New Roman" w:cs="Times New Roman"/>
                <w:color w:val="000000"/>
                <w:sz w:val="24"/>
                <w:szCs w:val="24"/>
                <w:lang w:eastAsia="lv-LV"/>
              </w:rPr>
              <w:t xml:space="preserve">spēkā esošo </w:t>
            </w:r>
            <w:r w:rsidR="00374438">
              <w:rPr>
                <w:rFonts w:ascii="Times New Roman" w:eastAsia="Times New Roman" w:hAnsi="Times New Roman" w:cs="Times New Roman"/>
                <w:color w:val="000000"/>
                <w:sz w:val="24"/>
                <w:szCs w:val="24"/>
                <w:lang w:eastAsia="lv-LV"/>
              </w:rPr>
              <w:t>normatīvo</w:t>
            </w:r>
            <w:r>
              <w:rPr>
                <w:rFonts w:ascii="Times New Roman" w:eastAsia="Times New Roman" w:hAnsi="Times New Roman" w:cs="Times New Roman"/>
                <w:color w:val="000000"/>
                <w:sz w:val="24"/>
                <w:szCs w:val="24"/>
                <w:lang w:eastAsia="lv-LV"/>
              </w:rPr>
              <w:t xml:space="preserve"> bāzi</w:t>
            </w:r>
            <w:r w:rsidR="001D7669">
              <w:rPr>
                <w:rFonts w:ascii="Times New Roman" w:eastAsia="Times New Roman" w:hAnsi="Times New Roman" w:cs="Times New Roman"/>
                <w:color w:val="000000"/>
                <w:sz w:val="24"/>
                <w:szCs w:val="24"/>
                <w:lang w:eastAsia="lv-LV"/>
              </w:rPr>
              <w:t xml:space="preserve">, kas </w:t>
            </w:r>
            <w:r w:rsidR="00940A85">
              <w:rPr>
                <w:rFonts w:ascii="Times New Roman" w:eastAsia="Times New Roman" w:hAnsi="Times New Roman" w:cs="Times New Roman"/>
                <w:color w:val="000000"/>
                <w:sz w:val="24"/>
                <w:szCs w:val="24"/>
                <w:lang w:eastAsia="lv-LV"/>
              </w:rPr>
              <w:t>reglamentē tāda</w:t>
            </w:r>
            <w:r w:rsidR="00DC4415">
              <w:rPr>
                <w:rFonts w:ascii="Times New Roman" w:eastAsia="Times New Roman" w:hAnsi="Times New Roman" w:cs="Times New Roman"/>
                <w:color w:val="000000"/>
                <w:sz w:val="24"/>
                <w:szCs w:val="24"/>
                <w:lang w:eastAsia="lv-LV"/>
              </w:rPr>
              <w:t>s</w:t>
            </w:r>
            <w:r w:rsidR="00AC5C84">
              <w:rPr>
                <w:rFonts w:ascii="Times New Roman" w:eastAsia="Times New Roman" w:hAnsi="Times New Roman" w:cs="Times New Roman"/>
                <w:color w:val="000000"/>
                <w:sz w:val="24"/>
                <w:szCs w:val="24"/>
                <w:lang w:eastAsia="lv-LV"/>
              </w:rPr>
              <w:t xml:space="preserve"> ar</w:t>
            </w:r>
            <w:r w:rsidR="00940A85">
              <w:rPr>
                <w:rFonts w:ascii="Times New Roman" w:eastAsia="Times New Roman" w:hAnsi="Times New Roman" w:cs="Times New Roman"/>
                <w:color w:val="000000"/>
                <w:sz w:val="24"/>
                <w:szCs w:val="24"/>
                <w:lang w:eastAsia="lv-LV"/>
              </w:rPr>
              <w:t xml:space="preserve"> vispārēju</w:t>
            </w:r>
            <w:r w:rsidR="00AC5C84">
              <w:rPr>
                <w:rFonts w:ascii="Times New Roman" w:eastAsia="Times New Roman" w:hAnsi="Times New Roman" w:cs="Times New Roman"/>
                <w:color w:val="000000"/>
                <w:sz w:val="24"/>
                <w:szCs w:val="24"/>
                <w:lang w:eastAsia="lv-LV"/>
              </w:rPr>
              <w:t xml:space="preserve"> industrijas</w:t>
            </w:r>
            <w:r w:rsidR="00940A85">
              <w:rPr>
                <w:rFonts w:ascii="Times New Roman" w:eastAsia="Times New Roman" w:hAnsi="Times New Roman" w:cs="Times New Roman"/>
                <w:color w:val="000000"/>
                <w:sz w:val="24"/>
                <w:szCs w:val="24"/>
                <w:lang w:eastAsia="lv-LV"/>
              </w:rPr>
              <w:t xml:space="preserve"> attīstības</w:t>
            </w:r>
            <w:r w:rsidR="00AC5C84">
              <w:rPr>
                <w:rFonts w:ascii="Times New Roman" w:eastAsia="Times New Roman" w:hAnsi="Times New Roman" w:cs="Times New Roman"/>
                <w:color w:val="000000"/>
                <w:sz w:val="24"/>
                <w:szCs w:val="24"/>
                <w:lang w:eastAsia="lv-LV"/>
              </w:rPr>
              <w:t xml:space="preserve"> atbalstu tieši vai pastarpināti saistītas darbības kā informācijas sniegšana par publiskas personas plānoto darbību (ciktāl tas nav pretrunā </w:t>
            </w:r>
            <w:r w:rsidR="0032233D">
              <w:rPr>
                <w:rFonts w:ascii="Times New Roman" w:eastAsia="Times New Roman" w:hAnsi="Times New Roman" w:cs="Times New Roman"/>
                <w:color w:val="000000"/>
                <w:sz w:val="24"/>
                <w:szCs w:val="24"/>
                <w:lang w:eastAsia="lv-LV"/>
              </w:rPr>
              <w:t xml:space="preserve">ar </w:t>
            </w:r>
            <w:r w:rsidR="00AC5C84">
              <w:rPr>
                <w:rFonts w:ascii="Times New Roman" w:eastAsia="Times New Roman" w:hAnsi="Times New Roman" w:cs="Times New Roman"/>
                <w:color w:val="000000"/>
                <w:sz w:val="24"/>
                <w:szCs w:val="24"/>
                <w:lang w:eastAsia="lv-LV"/>
              </w:rPr>
              <w:t>ierobežotas pieejamības</w:t>
            </w:r>
            <w:r w:rsidR="0032233D">
              <w:rPr>
                <w:rFonts w:ascii="Times New Roman" w:eastAsia="Times New Roman" w:hAnsi="Times New Roman" w:cs="Times New Roman"/>
                <w:color w:val="000000"/>
                <w:sz w:val="24"/>
                <w:szCs w:val="24"/>
                <w:lang w:eastAsia="lv-LV"/>
              </w:rPr>
              <w:t xml:space="preserve"> informācijas, informācijas dienesta vajadzībām vai valsts noslēpuma objektu aprites nosacījumiem),</w:t>
            </w:r>
            <w:r w:rsidR="00AC5C84">
              <w:rPr>
                <w:rFonts w:ascii="Times New Roman" w:eastAsia="Times New Roman" w:hAnsi="Times New Roman" w:cs="Times New Roman"/>
                <w:color w:val="000000"/>
                <w:sz w:val="24"/>
                <w:szCs w:val="24"/>
                <w:lang w:eastAsia="lv-LV"/>
              </w:rPr>
              <w:t xml:space="preserve"> </w:t>
            </w:r>
            <w:r w:rsidR="0032233D">
              <w:rPr>
                <w:rFonts w:ascii="Times New Roman" w:eastAsia="Times New Roman" w:hAnsi="Times New Roman" w:cs="Times New Roman"/>
                <w:color w:val="000000"/>
                <w:sz w:val="24"/>
                <w:szCs w:val="24"/>
                <w:lang w:eastAsia="lv-LV"/>
              </w:rPr>
              <w:t xml:space="preserve">publiskas personas finanšu, personāla vai cita veida resursu </w:t>
            </w:r>
            <w:r w:rsidR="004D6593">
              <w:rPr>
                <w:rFonts w:ascii="Times New Roman" w:eastAsia="Times New Roman" w:hAnsi="Times New Roman" w:cs="Times New Roman"/>
                <w:color w:val="000000"/>
                <w:sz w:val="24"/>
                <w:szCs w:val="24"/>
                <w:lang w:eastAsia="lv-LV"/>
              </w:rPr>
              <w:t>p</w:t>
            </w:r>
            <w:r w:rsidR="0032233D">
              <w:rPr>
                <w:rFonts w:ascii="Times New Roman" w:eastAsia="Times New Roman" w:hAnsi="Times New Roman" w:cs="Times New Roman"/>
                <w:color w:val="000000"/>
                <w:sz w:val="24"/>
                <w:szCs w:val="24"/>
                <w:lang w:eastAsia="lv-LV"/>
              </w:rPr>
              <w:t xml:space="preserve">iesaiste komercdarbības atbalstam, </w:t>
            </w:r>
            <w:r w:rsidR="00AC5C84">
              <w:rPr>
                <w:rFonts w:ascii="Times New Roman" w:eastAsia="Times New Roman" w:hAnsi="Times New Roman" w:cs="Times New Roman"/>
                <w:color w:val="000000"/>
                <w:sz w:val="24"/>
                <w:szCs w:val="24"/>
                <w:lang w:eastAsia="lv-LV"/>
              </w:rPr>
              <w:t>publiskas personas mantas noma</w:t>
            </w:r>
            <w:r w:rsidR="00554D77">
              <w:rPr>
                <w:rFonts w:ascii="Times New Roman" w:eastAsia="Times New Roman" w:hAnsi="Times New Roman" w:cs="Times New Roman"/>
                <w:color w:val="000000"/>
                <w:sz w:val="24"/>
                <w:szCs w:val="24"/>
                <w:lang w:eastAsia="lv-LV"/>
              </w:rPr>
              <w:t xml:space="preserve">, sabiedrības </w:t>
            </w:r>
            <w:r w:rsidR="00940A85">
              <w:rPr>
                <w:rFonts w:ascii="Times New Roman" w:eastAsia="Times New Roman" w:hAnsi="Times New Roman" w:cs="Times New Roman"/>
                <w:color w:val="000000"/>
                <w:sz w:val="24"/>
                <w:szCs w:val="24"/>
                <w:lang w:eastAsia="lv-LV"/>
              </w:rPr>
              <w:t>līdzdalības nodrošināšana u.</w:t>
            </w:r>
            <w:r w:rsidR="00935DEA">
              <w:rPr>
                <w:rFonts w:ascii="Times New Roman" w:eastAsia="Times New Roman" w:hAnsi="Times New Roman" w:cs="Times New Roman"/>
                <w:color w:val="000000"/>
                <w:sz w:val="24"/>
                <w:szCs w:val="24"/>
                <w:lang w:eastAsia="lv-LV"/>
              </w:rPr>
              <w:t> </w:t>
            </w:r>
            <w:r w:rsidR="00940A85">
              <w:rPr>
                <w:rFonts w:ascii="Times New Roman" w:eastAsia="Times New Roman" w:hAnsi="Times New Roman" w:cs="Times New Roman"/>
                <w:color w:val="000000"/>
                <w:sz w:val="24"/>
                <w:szCs w:val="24"/>
                <w:lang w:eastAsia="lv-LV"/>
              </w:rPr>
              <w:t xml:space="preserve">c. </w:t>
            </w:r>
          </w:p>
          <w:p w14:paraId="0481802C" w14:textId="56670D0D" w:rsidR="00940A85" w:rsidRDefault="008C3FC1" w:rsidP="004A0CEE">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Paralēli</w:t>
            </w:r>
            <w:r w:rsidR="004A0CE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ir noritējusi pakāpeniska normatīvās bāzes pielāgošana to uzdevumu </w:t>
            </w:r>
            <w:r w:rsidR="004A0CEE">
              <w:rPr>
                <w:rFonts w:ascii="Times New Roman" w:eastAsia="Times New Roman" w:hAnsi="Times New Roman" w:cs="Times New Roman"/>
                <w:color w:val="000000"/>
                <w:sz w:val="24"/>
                <w:szCs w:val="24"/>
                <w:lang w:eastAsia="lv-LV"/>
              </w:rPr>
              <w:t>izpildei</w:t>
            </w:r>
            <w:r w:rsidR="00940A8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kas aizsardzības nozarei doti </w:t>
            </w:r>
            <w:r w:rsidR="005D2D30">
              <w:rPr>
                <w:rFonts w:ascii="Times New Roman" w:eastAsia="Times New Roman" w:hAnsi="Times New Roman" w:cs="Times New Roman"/>
                <w:color w:val="000000"/>
                <w:sz w:val="24"/>
                <w:szCs w:val="24"/>
                <w:lang w:eastAsia="lv-LV"/>
              </w:rPr>
              <w:t>saistībā ar</w:t>
            </w:r>
            <w:r>
              <w:rPr>
                <w:rFonts w:ascii="Times New Roman" w:eastAsia="Times New Roman" w:hAnsi="Times New Roman" w:cs="Times New Roman"/>
                <w:color w:val="000000"/>
                <w:sz w:val="24"/>
                <w:szCs w:val="24"/>
                <w:lang w:eastAsia="lv-LV"/>
              </w:rPr>
              <w:t xml:space="preserve"> aizsardzības industrijas attīstības atbalsta sniegšanu un NBS </w:t>
            </w:r>
            <w:r w:rsidR="00FF3EDE">
              <w:rPr>
                <w:rFonts w:ascii="Times New Roman" w:eastAsia="Times New Roman" w:hAnsi="Times New Roman" w:cs="Times New Roman"/>
                <w:color w:val="000000"/>
                <w:sz w:val="24"/>
                <w:szCs w:val="24"/>
                <w:lang w:eastAsia="lv-LV"/>
              </w:rPr>
              <w:t>pienākumu</w:t>
            </w:r>
            <w:r>
              <w:rPr>
                <w:rFonts w:ascii="Times New Roman" w:eastAsia="Times New Roman" w:hAnsi="Times New Roman" w:cs="Times New Roman"/>
                <w:color w:val="000000"/>
                <w:sz w:val="24"/>
                <w:szCs w:val="24"/>
                <w:lang w:eastAsia="lv-LV"/>
              </w:rPr>
              <w:t xml:space="preserve"> </w:t>
            </w:r>
            <w:r w:rsidR="004A0CEE">
              <w:rPr>
                <w:rFonts w:ascii="Times New Roman" w:eastAsia="Times New Roman" w:hAnsi="Times New Roman" w:cs="Times New Roman"/>
                <w:color w:val="000000"/>
                <w:sz w:val="24"/>
                <w:szCs w:val="24"/>
                <w:lang w:eastAsia="lv-LV"/>
              </w:rPr>
              <w:t>veikšanai būtisku</w:t>
            </w:r>
            <w:r>
              <w:rPr>
                <w:rFonts w:ascii="Times New Roman" w:eastAsia="Times New Roman" w:hAnsi="Times New Roman" w:cs="Times New Roman"/>
                <w:color w:val="000000"/>
                <w:sz w:val="24"/>
                <w:szCs w:val="24"/>
                <w:lang w:eastAsia="lv-LV"/>
              </w:rPr>
              <w:t xml:space="preserve"> materiāltehnisko līdzekļu  piegāžu drošības veicināšanu </w:t>
            </w:r>
            <w:r w:rsidR="00940A85">
              <w:rPr>
                <w:rFonts w:ascii="Times New Roman" w:eastAsia="Times New Roman" w:hAnsi="Times New Roman" w:cs="Times New Roman"/>
                <w:color w:val="000000"/>
                <w:sz w:val="24"/>
                <w:szCs w:val="24"/>
                <w:lang w:eastAsia="lv-LV"/>
              </w:rPr>
              <w:t>(piem., Aizsardzības un drošības jomas iepirkumu likuma 4.</w:t>
            </w:r>
            <w:r w:rsidR="00935DEA">
              <w:rPr>
                <w:rFonts w:ascii="Times New Roman" w:eastAsia="Times New Roman" w:hAnsi="Times New Roman" w:cs="Times New Roman"/>
                <w:color w:val="000000"/>
                <w:sz w:val="24"/>
                <w:szCs w:val="24"/>
                <w:lang w:eastAsia="lv-LV"/>
              </w:rPr>
              <w:t> </w:t>
            </w:r>
            <w:r w:rsidR="00940A85">
              <w:rPr>
                <w:rFonts w:ascii="Times New Roman" w:eastAsia="Times New Roman" w:hAnsi="Times New Roman" w:cs="Times New Roman"/>
                <w:color w:val="000000"/>
                <w:sz w:val="24"/>
                <w:szCs w:val="24"/>
                <w:lang w:eastAsia="lv-LV"/>
              </w:rPr>
              <w:t xml:space="preserve">panta piektā daļa, </w:t>
            </w:r>
            <w:r w:rsidR="005D2D30">
              <w:rPr>
                <w:rFonts w:ascii="Times New Roman" w:eastAsia="Times New Roman" w:hAnsi="Times New Roman" w:cs="Times New Roman"/>
                <w:color w:val="000000"/>
                <w:sz w:val="24"/>
                <w:szCs w:val="24"/>
                <w:lang w:eastAsia="lv-LV"/>
              </w:rPr>
              <w:t>MK</w:t>
            </w:r>
            <w:r w:rsidR="00BB19D3">
              <w:rPr>
                <w:rFonts w:ascii="Times New Roman" w:eastAsia="Times New Roman" w:hAnsi="Times New Roman" w:cs="Times New Roman"/>
                <w:color w:val="000000"/>
                <w:sz w:val="24"/>
                <w:szCs w:val="24"/>
                <w:lang w:eastAsia="lv-LV"/>
              </w:rPr>
              <w:t xml:space="preserve"> 2003.</w:t>
            </w:r>
            <w:r w:rsidR="00935DEA">
              <w:rPr>
                <w:rFonts w:ascii="Times New Roman" w:eastAsia="Times New Roman" w:hAnsi="Times New Roman" w:cs="Times New Roman"/>
                <w:color w:val="000000"/>
                <w:sz w:val="24"/>
                <w:szCs w:val="24"/>
                <w:lang w:eastAsia="lv-LV"/>
              </w:rPr>
              <w:t> </w:t>
            </w:r>
            <w:r w:rsidR="00BB19D3">
              <w:rPr>
                <w:rFonts w:ascii="Times New Roman" w:eastAsia="Times New Roman" w:hAnsi="Times New Roman" w:cs="Times New Roman"/>
                <w:color w:val="000000"/>
                <w:sz w:val="24"/>
                <w:szCs w:val="24"/>
                <w:lang w:eastAsia="lv-LV"/>
              </w:rPr>
              <w:t>gada 29.</w:t>
            </w:r>
            <w:r w:rsidR="00935DEA">
              <w:rPr>
                <w:rFonts w:ascii="Times New Roman" w:eastAsia="Times New Roman" w:hAnsi="Times New Roman" w:cs="Times New Roman"/>
                <w:color w:val="000000"/>
                <w:sz w:val="24"/>
                <w:szCs w:val="24"/>
                <w:lang w:eastAsia="lv-LV"/>
              </w:rPr>
              <w:t> </w:t>
            </w:r>
            <w:r w:rsidR="00BB19D3">
              <w:rPr>
                <w:rFonts w:ascii="Times New Roman" w:eastAsia="Times New Roman" w:hAnsi="Times New Roman" w:cs="Times New Roman"/>
                <w:color w:val="000000"/>
                <w:sz w:val="24"/>
                <w:szCs w:val="24"/>
                <w:lang w:eastAsia="lv-LV"/>
              </w:rPr>
              <w:t xml:space="preserve">aprīļa </w:t>
            </w:r>
            <w:r w:rsidR="005D2D30">
              <w:rPr>
                <w:rFonts w:ascii="Times New Roman" w:eastAsia="Times New Roman" w:hAnsi="Times New Roman" w:cs="Times New Roman"/>
                <w:color w:val="000000"/>
                <w:sz w:val="24"/>
                <w:szCs w:val="24"/>
                <w:lang w:eastAsia="lv-LV"/>
              </w:rPr>
              <w:t>noteikumu Nr.</w:t>
            </w:r>
            <w:r w:rsidR="00935DEA">
              <w:rPr>
                <w:rFonts w:ascii="Times New Roman" w:eastAsia="Times New Roman" w:hAnsi="Times New Roman" w:cs="Times New Roman"/>
                <w:color w:val="000000"/>
                <w:sz w:val="24"/>
                <w:szCs w:val="24"/>
                <w:lang w:eastAsia="lv-LV"/>
              </w:rPr>
              <w:t> </w:t>
            </w:r>
            <w:r w:rsidR="005D2D30">
              <w:rPr>
                <w:rFonts w:ascii="Times New Roman" w:eastAsia="Times New Roman" w:hAnsi="Times New Roman" w:cs="Times New Roman"/>
                <w:color w:val="000000"/>
                <w:sz w:val="24"/>
                <w:szCs w:val="24"/>
                <w:lang w:eastAsia="lv-LV"/>
              </w:rPr>
              <w:t>236 “Aizsardzības ministrijas nolikums” 4.4.</w:t>
            </w:r>
            <w:r w:rsidR="005D2D30">
              <w:rPr>
                <w:rFonts w:ascii="Times New Roman" w:eastAsia="Times New Roman" w:hAnsi="Times New Roman" w:cs="Times New Roman"/>
                <w:color w:val="000000"/>
                <w:sz w:val="24"/>
                <w:szCs w:val="24"/>
                <w:vertAlign w:val="superscript"/>
                <w:lang w:eastAsia="lv-LV"/>
              </w:rPr>
              <w:t xml:space="preserve">2 </w:t>
            </w:r>
            <w:r w:rsidR="005D2D30">
              <w:rPr>
                <w:rFonts w:ascii="Times New Roman" w:eastAsia="Times New Roman" w:hAnsi="Times New Roman" w:cs="Times New Roman"/>
                <w:color w:val="000000"/>
                <w:sz w:val="24"/>
                <w:szCs w:val="24"/>
                <w:lang w:eastAsia="lv-LV"/>
              </w:rPr>
              <w:t>un 5.15.</w:t>
            </w:r>
            <w:r w:rsidR="005D2D30">
              <w:rPr>
                <w:rFonts w:ascii="Times New Roman" w:eastAsia="Times New Roman" w:hAnsi="Times New Roman" w:cs="Times New Roman"/>
                <w:color w:val="000000"/>
                <w:sz w:val="24"/>
                <w:szCs w:val="24"/>
                <w:vertAlign w:val="superscript"/>
                <w:lang w:eastAsia="lv-LV"/>
              </w:rPr>
              <w:t>3</w:t>
            </w:r>
            <w:r w:rsidR="00935DEA">
              <w:rPr>
                <w:rFonts w:ascii="Times New Roman" w:eastAsia="Times New Roman" w:hAnsi="Times New Roman" w:cs="Times New Roman"/>
                <w:color w:val="000000"/>
                <w:sz w:val="24"/>
                <w:szCs w:val="24"/>
                <w:lang w:eastAsia="lv-LV"/>
              </w:rPr>
              <w:t> apakš</w:t>
            </w:r>
            <w:r w:rsidR="005D2D30">
              <w:rPr>
                <w:rFonts w:ascii="Times New Roman" w:eastAsia="Times New Roman" w:hAnsi="Times New Roman" w:cs="Times New Roman"/>
                <w:color w:val="000000"/>
                <w:sz w:val="24"/>
                <w:szCs w:val="24"/>
                <w:lang w:eastAsia="lv-LV"/>
              </w:rPr>
              <w:t xml:space="preserve">punkts, </w:t>
            </w:r>
            <w:r w:rsidR="00BB19D3">
              <w:rPr>
                <w:rFonts w:ascii="Times New Roman" w:eastAsia="Times New Roman" w:hAnsi="Times New Roman" w:cs="Times New Roman"/>
                <w:color w:val="000000"/>
                <w:sz w:val="24"/>
                <w:szCs w:val="24"/>
                <w:lang w:eastAsia="lv-LV"/>
              </w:rPr>
              <w:t>MK</w:t>
            </w:r>
            <w:r w:rsidR="00BB19D3" w:rsidRPr="00A25193">
              <w:rPr>
                <w:rFonts w:ascii="Times New Roman" w:eastAsia="Times New Roman" w:hAnsi="Times New Roman" w:cs="Times New Roman"/>
                <w:color w:val="000000"/>
                <w:sz w:val="24"/>
                <w:szCs w:val="24"/>
                <w:lang w:eastAsia="lv-LV"/>
              </w:rPr>
              <w:t xml:space="preserve"> </w:t>
            </w:r>
            <w:r w:rsidR="003D7D84" w:rsidRPr="00A25193">
              <w:rPr>
                <w:rFonts w:ascii="Times New Roman" w:eastAsia="Times New Roman" w:hAnsi="Times New Roman" w:cs="Times New Roman"/>
                <w:color w:val="000000"/>
                <w:sz w:val="24"/>
                <w:szCs w:val="24"/>
                <w:lang w:eastAsia="lv-LV"/>
              </w:rPr>
              <w:t>2018.</w:t>
            </w:r>
            <w:r w:rsidR="00935DEA">
              <w:rPr>
                <w:rFonts w:ascii="Times New Roman" w:eastAsia="Times New Roman" w:hAnsi="Times New Roman" w:cs="Times New Roman"/>
                <w:color w:val="000000"/>
                <w:sz w:val="24"/>
                <w:szCs w:val="24"/>
                <w:lang w:eastAsia="lv-LV"/>
              </w:rPr>
              <w:t> </w:t>
            </w:r>
            <w:r w:rsidR="003D7D84" w:rsidRPr="00A25193">
              <w:rPr>
                <w:rFonts w:ascii="Times New Roman" w:eastAsia="Times New Roman" w:hAnsi="Times New Roman" w:cs="Times New Roman"/>
                <w:color w:val="000000"/>
                <w:sz w:val="24"/>
                <w:szCs w:val="24"/>
                <w:lang w:eastAsia="lv-LV"/>
              </w:rPr>
              <w:t>gada 19.</w:t>
            </w:r>
            <w:r w:rsidR="00935DEA">
              <w:rPr>
                <w:rFonts w:ascii="Times New Roman" w:eastAsia="Times New Roman" w:hAnsi="Times New Roman" w:cs="Times New Roman"/>
                <w:color w:val="000000"/>
                <w:sz w:val="24"/>
                <w:szCs w:val="24"/>
                <w:lang w:eastAsia="lv-LV"/>
              </w:rPr>
              <w:t> </w:t>
            </w:r>
            <w:r w:rsidR="003D7D84" w:rsidRPr="00A25193">
              <w:rPr>
                <w:rFonts w:ascii="Times New Roman" w:eastAsia="Times New Roman" w:hAnsi="Times New Roman" w:cs="Times New Roman"/>
                <w:color w:val="000000"/>
                <w:sz w:val="24"/>
                <w:szCs w:val="24"/>
                <w:lang w:eastAsia="lv-LV"/>
              </w:rPr>
              <w:t>jūnija</w:t>
            </w:r>
            <w:r w:rsidR="003D7D84">
              <w:rPr>
                <w:rFonts w:ascii="Times New Roman" w:eastAsia="Times New Roman" w:hAnsi="Times New Roman" w:cs="Times New Roman"/>
                <w:color w:val="000000"/>
                <w:sz w:val="24"/>
                <w:szCs w:val="24"/>
                <w:lang w:eastAsia="lv-LV"/>
              </w:rPr>
              <w:t xml:space="preserve"> </w:t>
            </w:r>
            <w:r w:rsidR="005D2D30">
              <w:rPr>
                <w:rFonts w:ascii="Times New Roman" w:eastAsia="Times New Roman" w:hAnsi="Times New Roman" w:cs="Times New Roman"/>
                <w:color w:val="000000"/>
                <w:sz w:val="24"/>
                <w:szCs w:val="24"/>
                <w:lang w:eastAsia="lv-LV"/>
              </w:rPr>
              <w:t>noteikumu Nr.</w:t>
            </w:r>
            <w:r w:rsidR="00935DEA">
              <w:rPr>
                <w:rFonts w:ascii="Times New Roman" w:eastAsia="Times New Roman" w:hAnsi="Times New Roman" w:cs="Times New Roman"/>
                <w:color w:val="000000"/>
                <w:sz w:val="24"/>
                <w:szCs w:val="24"/>
                <w:lang w:eastAsia="lv-LV"/>
              </w:rPr>
              <w:t> </w:t>
            </w:r>
            <w:r w:rsidR="005D2D30">
              <w:rPr>
                <w:rFonts w:ascii="Times New Roman" w:eastAsia="Times New Roman" w:hAnsi="Times New Roman" w:cs="Times New Roman"/>
                <w:color w:val="000000"/>
                <w:sz w:val="24"/>
                <w:szCs w:val="24"/>
                <w:lang w:eastAsia="lv-LV"/>
              </w:rPr>
              <w:t>350 “Publiskas personas zemes nomas un apbūves tiesības noteikumi” 29.11.</w:t>
            </w:r>
            <w:r w:rsidR="00935DEA">
              <w:rPr>
                <w:rFonts w:ascii="Times New Roman" w:eastAsia="Times New Roman" w:hAnsi="Times New Roman" w:cs="Times New Roman"/>
                <w:color w:val="000000"/>
                <w:sz w:val="24"/>
                <w:szCs w:val="24"/>
                <w:lang w:eastAsia="lv-LV"/>
              </w:rPr>
              <w:t> apakš</w:t>
            </w:r>
            <w:r w:rsidR="005D2D30">
              <w:rPr>
                <w:rFonts w:ascii="Times New Roman" w:eastAsia="Times New Roman" w:hAnsi="Times New Roman" w:cs="Times New Roman"/>
                <w:color w:val="000000"/>
                <w:sz w:val="24"/>
                <w:szCs w:val="24"/>
                <w:lang w:eastAsia="lv-LV"/>
              </w:rPr>
              <w:t>punkts</w:t>
            </w:r>
            <w:r w:rsidR="003F6427">
              <w:rPr>
                <w:rFonts w:ascii="Times New Roman" w:eastAsia="Times New Roman" w:hAnsi="Times New Roman" w:cs="Times New Roman"/>
                <w:color w:val="000000"/>
                <w:sz w:val="24"/>
                <w:szCs w:val="24"/>
                <w:lang w:eastAsia="lv-LV"/>
              </w:rPr>
              <w:t>,</w:t>
            </w:r>
            <w:r w:rsidR="005D2D30">
              <w:rPr>
                <w:rFonts w:ascii="Times New Roman" w:eastAsia="Times New Roman" w:hAnsi="Times New Roman" w:cs="Times New Roman"/>
                <w:color w:val="000000"/>
                <w:sz w:val="24"/>
                <w:szCs w:val="24"/>
                <w:lang w:eastAsia="lv-LV"/>
              </w:rPr>
              <w:t xml:space="preserve"> MK </w:t>
            </w:r>
            <w:r w:rsidR="00BB19D3" w:rsidRPr="00A25193">
              <w:rPr>
                <w:rFonts w:ascii="Times New Roman" w:eastAsia="Times New Roman" w:hAnsi="Times New Roman" w:cs="Times New Roman"/>
                <w:color w:val="000000"/>
                <w:sz w:val="24"/>
                <w:szCs w:val="24"/>
                <w:lang w:eastAsia="lv-LV"/>
              </w:rPr>
              <w:t>2018.</w:t>
            </w:r>
            <w:r w:rsidR="00935DEA">
              <w:rPr>
                <w:rFonts w:ascii="Times New Roman" w:eastAsia="Times New Roman" w:hAnsi="Times New Roman" w:cs="Times New Roman"/>
                <w:color w:val="000000"/>
                <w:sz w:val="24"/>
                <w:szCs w:val="24"/>
                <w:lang w:eastAsia="lv-LV"/>
              </w:rPr>
              <w:t> </w:t>
            </w:r>
            <w:r w:rsidR="00BB19D3" w:rsidRPr="00A25193">
              <w:rPr>
                <w:rFonts w:ascii="Times New Roman" w:eastAsia="Times New Roman" w:hAnsi="Times New Roman" w:cs="Times New Roman"/>
                <w:color w:val="000000"/>
                <w:sz w:val="24"/>
                <w:szCs w:val="24"/>
                <w:lang w:eastAsia="lv-LV"/>
              </w:rPr>
              <w:t>gada 20.</w:t>
            </w:r>
            <w:r w:rsidR="00935DEA">
              <w:rPr>
                <w:rFonts w:ascii="Times New Roman" w:eastAsia="Times New Roman" w:hAnsi="Times New Roman" w:cs="Times New Roman"/>
                <w:color w:val="000000"/>
                <w:sz w:val="24"/>
                <w:szCs w:val="24"/>
                <w:lang w:eastAsia="lv-LV"/>
              </w:rPr>
              <w:t> </w:t>
            </w:r>
            <w:r w:rsidR="00BB19D3" w:rsidRPr="00A25193">
              <w:rPr>
                <w:rFonts w:ascii="Times New Roman" w:eastAsia="Times New Roman" w:hAnsi="Times New Roman" w:cs="Times New Roman"/>
                <w:color w:val="000000"/>
                <w:sz w:val="24"/>
                <w:szCs w:val="24"/>
                <w:lang w:eastAsia="lv-LV"/>
              </w:rPr>
              <w:t>februāra</w:t>
            </w:r>
            <w:r w:rsidR="00BB19D3">
              <w:rPr>
                <w:rFonts w:ascii="Times New Roman" w:eastAsia="Times New Roman" w:hAnsi="Times New Roman" w:cs="Times New Roman"/>
                <w:color w:val="000000"/>
                <w:sz w:val="24"/>
                <w:szCs w:val="24"/>
                <w:lang w:eastAsia="lv-LV"/>
              </w:rPr>
              <w:t xml:space="preserve"> </w:t>
            </w:r>
            <w:r w:rsidR="005D2D30">
              <w:rPr>
                <w:rFonts w:ascii="Times New Roman" w:eastAsia="Times New Roman" w:hAnsi="Times New Roman" w:cs="Times New Roman"/>
                <w:color w:val="000000"/>
                <w:sz w:val="24"/>
                <w:szCs w:val="24"/>
                <w:lang w:eastAsia="lv-LV"/>
              </w:rPr>
              <w:t>noteikumu Nr.</w:t>
            </w:r>
            <w:r w:rsidR="00935DEA">
              <w:rPr>
                <w:rFonts w:ascii="Times New Roman" w:eastAsia="Times New Roman" w:hAnsi="Times New Roman" w:cs="Times New Roman"/>
                <w:color w:val="000000"/>
                <w:sz w:val="24"/>
                <w:szCs w:val="24"/>
                <w:lang w:eastAsia="lv-LV"/>
              </w:rPr>
              <w:t> </w:t>
            </w:r>
            <w:r w:rsidR="005D2D30">
              <w:rPr>
                <w:rFonts w:ascii="Times New Roman" w:eastAsia="Times New Roman" w:hAnsi="Times New Roman" w:cs="Times New Roman"/>
                <w:color w:val="000000"/>
                <w:sz w:val="24"/>
                <w:szCs w:val="24"/>
                <w:lang w:eastAsia="lv-LV"/>
              </w:rPr>
              <w:t>97 “Publiskas personas mantas iznomāšanas noteikumi” 4.5.</w:t>
            </w:r>
            <w:r w:rsidR="00935DEA">
              <w:rPr>
                <w:rFonts w:ascii="Times New Roman" w:eastAsia="Times New Roman" w:hAnsi="Times New Roman" w:cs="Times New Roman"/>
                <w:color w:val="000000"/>
                <w:sz w:val="24"/>
                <w:szCs w:val="24"/>
                <w:lang w:eastAsia="lv-LV"/>
              </w:rPr>
              <w:t> apakš</w:t>
            </w:r>
            <w:r w:rsidR="005D2D30">
              <w:rPr>
                <w:rFonts w:ascii="Times New Roman" w:eastAsia="Times New Roman" w:hAnsi="Times New Roman" w:cs="Times New Roman"/>
                <w:color w:val="000000"/>
                <w:sz w:val="24"/>
                <w:szCs w:val="24"/>
                <w:lang w:eastAsia="lv-LV"/>
              </w:rPr>
              <w:t>punkts</w:t>
            </w:r>
            <w:r w:rsidR="003F6427">
              <w:rPr>
                <w:rFonts w:ascii="Times New Roman" w:eastAsia="Times New Roman" w:hAnsi="Times New Roman" w:cs="Times New Roman"/>
                <w:color w:val="000000"/>
                <w:sz w:val="24"/>
                <w:szCs w:val="24"/>
                <w:lang w:eastAsia="lv-LV"/>
              </w:rPr>
              <w:t>). Atsevišķu aizsardzības industrijas attīstības atbalsta instrumentu ieviešanai ir izstrādāti pilnīgi jauni normatīvi (</w:t>
            </w:r>
            <w:r w:rsidR="003F6427" w:rsidRPr="002838F5">
              <w:rPr>
                <w:rFonts w:ascii="Times New Roman" w:eastAsia="Times New Roman" w:hAnsi="Times New Roman" w:cs="Times New Roman"/>
                <w:color w:val="000000"/>
                <w:sz w:val="24"/>
                <w:szCs w:val="24"/>
                <w:lang w:eastAsia="lv-LV"/>
              </w:rPr>
              <w:t xml:space="preserve">piem., MK </w:t>
            </w:r>
            <w:r w:rsidR="002838F5" w:rsidRPr="002838F5">
              <w:rPr>
                <w:rFonts w:ascii="Times New Roman" w:hAnsi="Times New Roman" w:cs="Times New Roman"/>
                <w:sz w:val="24"/>
                <w:szCs w:val="24"/>
              </w:rPr>
              <w:t>2018.</w:t>
            </w:r>
            <w:r w:rsidR="00935DEA">
              <w:rPr>
                <w:rFonts w:ascii="Times New Roman" w:hAnsi="Times New Roman" w:cs="Times New Roman"/>
                <w:sz w:val="24"/>
                <w:szCs w:val="24"/>
              </w:rPr>
              <w:t> </w:t>
            </w:r>
            <w:r w:rsidR="002838F5" w:rsidRPr="002838F5">
              <w:rPr>
                <w:rFonts w:ascii="Times New Roman" w:hAnsi="Times New Roman" w:cs="Times New Roman"/>
                <w:sz w:val="24"/>
                <w:szCs w:val="24"/>
              </w:rPr>
              <w:t>gada 28.</w:t>
            </w:r>
            <w:r w:rsidR="00935DEA">
              <w:rPr>
                <w:rFonts w:ascii="Times New Roman" w:hAnsi="Times New Roman" w:cs="Times New Roman"/>
                <w:sz w:val="24"/>
                <w:szCs w:val="24"/>
              </w:rPr>
              <w:t> </w:t>
            </w:r>
            <w:r w:rsidR="002838F5" w:rsidRPr="002838F5">
              <w:rPr>
                <w:rFonts w:ascii="Times New Roman" w:hAnsi="Times New Roman" w:cs="Times New Roman"/>
                <w:sz w:val="24"/>
                <w:szCs w:val="24"/>
              </w:rPr>
              <w:t>augusta noteikumi Nr.</w:t>
            </w:r>
            <w:r w:rsidR="00935DEA">
              <w:rPr>
                <w:rFonts w:ascii="Times New Roman" w:hAnsi="Times New Roman" w:cs="Times New Roman"/>
                <w:sz w:val="24"/>
                <w:szCs w:val="24"/>
              </w:rPr>
              <w:t> </w:t>
            </w:r>
            <w:r w:rsidR="002838F5" w:rsidRPr="002838F5">
              <w:rPr>
                <w:rFonts w:ascii="Times New Roman" w:hAnsi="Times New Roman" w:cs="Times New Roman"/>
                <w:sz w:val="24"/>
                <w:szCs w:val="24"/>
              </w:rPr>
              <w:t>544 “Kārtība, kādā Aizsardzības ministrija īsteno projektu konkursu militāru vai divējāda lietojuma produktu attīstības atbalstam”</w:t>
            </w:r>
            <w:r w:rsidR="003F6427">
              <w:rPr>
                <w:rFonts w:ascii="Times New Roman" w:eastAsia="Times New Roman" w:hAnsi="Times New Roman" w:cs="Times New Roman"/>
                <w:color w:val="000000"/>
                <w:sz w:val="24"/>
                <w:szCs w:val="24"/>
                <w:lang w:eastAsia="lv-LV"/>
              </w:rPr>
              <w:t>).</w:t>
            </w:r>
            <w:r w:rsidR="005D2D30">
              <w:rPr>
                <w:rFonts w:ascii="Times New Roman" w:eastAsia="Times New Roman" w:hAnsi="Times New Roman" w:cs="Times New Roman"/>
                <w:color w:val="000000"/>
                <w:sz w:val="24"/>
                <w:szCs w:val="24"/>
                <w:lang w:eastAsia="lv-LV"/>
              </w:rPr>
              <w:t xml:space="preserve"> </w:t>
            </w:r>
          </w:p>
          <w:p w14:paraId="771ED38D" w14:textId="41F0641A" w:rsidR="004A0CEE" w:rsidRDefault="00FF3EDE" w:rsidP="00B20E87">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Aizsardzības ministrijas kompetenču lokā tāpat ietilpst komersantu licencēšana komercdarbībai ar Eiropas Savienības (turpmāk – ES) Kopējā militāro preču sarakstā un Latvijas Republikas Nacionālajā stratēģiskas nozīmes preču un pakalpojumu sarakstā </w:t>
            </w:r>
            <w:r>
              <w:rPr>
                <w:rFonts w:ascii="Times New Roman" w:eastAsia="Times New Roman" w:hAnsi="Times New Roman" w:cs="Times New Roman"/>
                <w:color w:val="000000"/>
                <w:sz w:val="24"/>
                <w:szCs w:val="24"/>
                <w:lang w:eastAsia="lv-LV"/>
              </w:rPr>
              <w:lastRenderedPageBreak/>
              <w:t>norādītajām precēm, kā arī militārā ražotāja sertifikātu izsniegšana saskaņā ar Stratēģiskas nozīmes preču aprites likumā un citos saistītajos normatīvos noteikto k</w:t>
            </w:r>
            <w:r w:rsidR="00B20E87">
              <w:rPr>
                <w:rFonts w:ascii="Times New Roman" w:eastAsia="Times New Roman" w:hAnsi="Times New Roman" w:cs="Times New Roman"/>
                <w:color w:val="000000"/>
                <w:sz w:val="24"/>
                <w:szCs w:val="24"/>
                <w:lang w:eastAsia="lv-LV"/>
              </w:rPr>
              <w:t>ārtību. Saskaņā ar Stratēģiskas nozīmes preču aprites likuma 16.</w:t>
            </w:r>
            <w:r w:rsidR="00935DEA">
              <w:rPr>
                <w:rFonts w:ascii="Times New Roman" w:eastAsia="Times New Roman" w:hAnsi="Times New Roman" w:cs="Times New Roman"/>
                <w:color w:val="000000"/>
                <w:sz w:val="24"/>
                <w:szCs w:val="24"/>
                <w:lang w:eastAsia="lv-LV"/>
              </w:rPr>
              <w:t> </w:t>
            </w:r>
            <w:r w:rsidR="00B20E87">
              <w:rPr>
                <w:rFonts w:ascii="Times New Roman" w:eastAsia="Times New Roman" w:hAnsi="Times New Roman" w:cs="Times New Roman"/>
                <w:color w:val="000000"/>
                <w:sz w:val="24"/>
                <w:szCs w:val="24"/>
                <w:lang w:eastAsia="lv-LV"/>
              </w:rPr>
              <w:t xml:space="preserve">pantā noteikto Aizsardzības ministrija ir līdzatbildīga arī par Eiropas Savienības Kopējā militāro preču sarakstā minēto preču apriti, kas šī likuma izpratnē cita starpā var ietvert šādu preču ražošanu, pilnveidošanu, glabāšanu, lietošanu, tehnisko apkalpošanu un remontu. </w:t>
            </w:r>
          </w:p>
          <w:p w14:paraId="74A6B192" w14:textId="49DA1504" w:rsidR="0022707D" w:rsidRDefault="00CE5D2D" w:rsidP="00C707E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līdzšinējo </w:t>
            </w:r>
            <w:r w:rsidR="00D6119D">
              <w:rPr>
                <w:rFonts w:ascii="Times New Roman" w:eastAsia="Times New Roman" w:hAnsi="Times New Roman" w:cs="Times New Roman"/>
                <w:color w:val="000000"/>
                <w:sz w:val="24"/>
                <w:szCs w:val="24"/>
                <w:lang w:eastAsia="lv-LV"/>
              </w:rPr>
              <w:t>darbības pieredzi aizsardzības industrijas attīstības atbalsta politikas ieviešanas, kā arī stratēģiskas nozīmes preču aprites kontroles jomā, Aizsardzības ministrija ir konstatējusi</w:t>
            </w:r>
            <w:r w:rsidR="009D4A63">
              <w:rPr>
                <w:rFonts w:ascii="Times New Roman" w:eastAsia="Times New Roman" w:hAnsi="Times New Roman" w:cs="Times New Roman"/>
                <w:color w:val="000000"/>
                <w:sz w:val="24"/>
                <w:szCs w:val="24"/>
                <w:lang w:eastAsia="lv-LV"/>
              </w:rPr>
              <w:t xml:space="preserve">, ka šobrīd spēkā esošā normatīvā bāze nav pietiekama pilnvērtīgai aizsardzības industrijas attīstības atbalsta politikas realizācijai, kas pamato </w:t>
            </w:r>
            <w:r w:rsidR="00C707E5">
              <w:rPr>
                <w:rFonts w:ascii="Times New Roman" w:eastAsia="Times New Roman" w:hAnsi="Times New Roman" w:cs="Times New Roman"/>
                <w:color w:val="000000"/>
                <w:sz w:val="24"/>
                <w:szCs w:val="24"/>
                <w:lang w:eastAsia="lv-LV"/>
              </w:rPr>
              <w:t>tieši aizsardzības industrijas prasībām pielāgota</w:t>
            </w:r>
            <w:r w:rsidR="009D4A63">
              <w:rPr>
                <w:rFonts w:ascii="Times New Roman" w:eastAsia="Times New Roman" w:hAnsi="Times New Roman" w:cs="Times New Roman"/>
                <w:color w:val="000000"/>
                <w:sz w:val="24"/>
                <w:szCs w:val="24"/>
                <w:lang w:eastAsia="lv-LV"/>
              </w:rPr>
              <w:t xml:space="preserve"> regulējuma nepieciešamību un </w:t>
            </w:r>
            <w:r w:rsidR="004012E1">
              <w:rPr>
                <w:rFonts w:ascii="Times New Roman" w:eastAsia="Times New Roman" w:hAnsi="Times New Roman" w:cs="Times New Roman"/>
                <w:color w:val="000000"/>
                <w:sz w:val="24"/>
                <w:szCs w:val="24"/>
                <w:lang w:eastAsia="lv-LV"/>
              </w:rPr>
              <w:t xml:space="preserve"> vajadzību pēc nepārprotama likumdevēja mandāta</w:t>
            </w:r>
            <w:r w:rsidR="009D4A63">
              <w:rPr>
                <w:rFonts w:ascii="Times New Roman" w:eastAsia="Times New Roman" w:hAnsi="Times New Roman" w:cs="Times New Roman"/>
                <w:color w:val="000000"/>
                <w:sz w:val="24"/>
                <w:szCs w:val="24"/>
                <w:lang w:eastAsia="lv-LV"/>
              </w:rPr>
              <w:t xml:space="preserve"> tādu </w:t>
            </w:r>
            <w:r w:rsidR="004012E1">
              <w:rPr>
                <w:rFonts w:ascii="Times New Roman" w:eastAsia="Times New Roman" w:hAnsi="Times New Roman" w:cs="Times New Roman"/>
                <w:color w:val="000000"/>
                <w:sz w:val="24"/>
                <w:szCs w:val="24"/>
                <w:lang w:eastAsia="lv-LV"/>
              </w:rPr>
              <w:t>aizsardzības industrijas attīstības atbalsta instrumentu ieviešanai, kas vienlaicīgi ņem</w:t>
            </w:r>
            <w:r w:rsidR="005D177A">
              <w:rPr>
                <w:rFonts w:ascii="Times New Roman" w:eastAsia="Times New Roman" w:hAnsi="Times New Roman" w:cs="Times New Roman"/>
                <w:color w:val="000000"/>
                <w:sz w:val="24"/>
                <w:szCs w:val="24"/>
                <w:lang w:eastAsia="lv-LV"/>
              </w:rPr>
              <w:t>tu</w:t>
            </w:r>
            <w:r w:rsidR="004012E1">
              <w:rPr>
                <w:rFonts w:ascii="Times New Roman" w:eastAsia="Times New Roman" w:hAnsi="Times New Roman" w:cs="Times New Roman"/>
                <w:color w:val="000000"/>
                <w:sz w:val="24"/>
                <w:szCs w:val="24"/>
                <w:lang w:eastAsia="lv-LV"/>
              </w:rPr>
              <w:t xml:space="preserve"> vērā </w:t>
            </w:r>
            <w:r w:rsidR="00935DEA">
              <w:rPr>
                <w:rFonts w:ascii="Times New Roman" w:eastAsia="Times New Roman" w:hAnsi="Times New Roman" w:cs="Times New Roman"/>
                <w:color w:val="000000"/>
                <w:sz w:val="24"/>
                <w:szCs w:val="24"/>
                <w:lang w:eastAsia="lv-LV"/>
              </w:rPr>
              <w:t xml:space="preserve">gan </w:t>
            </w:r>
            <w:r w:rsidR="004012E1">
              <w:rPr>
                <w:rFonts w:ascii="Times New Roman" w:eastAsia="Times New Roman" w:hAnsi="Times New Roman" w:cs="Times New Roman"/>
                <w:color w:val="000000"/>
                <w:sz w:val="24"/>
                <w:szCs w:val="24"/>
                <w:lang w:eastAsia="lv-LV"/>
              </w:rPr>
              <w:t>ar militāro ražošanu saistītās paaugstinātās informācijas aprites</w:t>
            </w:r>
            <w:r w:rsidR="00347CB6">
              <w:rPr>
                <w:rFonts w:ascii="Times New Roman" w:eastAsia="Times New Roman" w:hAnsi="Times New Roman" w:cs="Times New Roman"/>
                <w:color w:val="000000"/>
                <w:sz w:val="24"/>
                <w:szCs w:val="24"/>
                <w:lang w:eastAsia="lv-LV"/>
              </w:rPr>
              <w:t xml:space="preserve">, </w:t>
            </w:r>
            <w:r w:rsidR="004865D1">
              <w:rPr>
                <w:rFonts w:ascii="Times New Roman" w:eastAsia="Times New Roman" w:hAnsi="Times New Roman" w:cs="Times New Roman"/>
                <w:color w:val="000000"/>
                <w:sz w:val="24"/>
                <w:szCs w:val="24"/>
                <w:lang w:eastAsia="lv-LV"/>
              </w:rPr>
              <w:t xml:space="preserve"> industriālās drošības, fiziskās </w:t>
            </w:r>
            <w:r w:rsidR="004012E1">
              <w:rPr>
                <w:rFonts w:ascii="Times New Roman" w:eastAsia="Times New Roman" w:hAnsi="Times New Roman" w:cs="Times New Roman"/>
                <w:color w:val="000000"/>
                <w:sz w:val="24"/>
                <w:szCs w:val="24"/>
                <w:lang w:eastAsia="lv-LV"/>
              </w:rPr>
              <w:t xml:space="preserve">drošības </w:t>
            </w:r>
            <w:r w:rsidR="00347CB6">
              <w:rPr>
                <w:rFonts w:ascii="Times New Roman" w:eastAsia="Times New Roman" w:hAnsi="Times New Roman" w:cs="Times New Roman"/>
                <w:color w:val="000000"/>
                <w:sz w:val="24"/>
                <w:szCs w:val="24"/>
                <w:lang w:eastAsia="lv-LV"/>
              </w:rPr>
              <w:t xml:space="preserve">un pastiprinātas kontroles </w:t>
            </w:r>
            <w:r w:rsidR="004012E1">
              <w:rPr>
                <w:rFonts w:ascii="Times New Roman" w:eastAsia="Times New Roman" w:hAnsi="Times New Roman" w:cs="Times New Roman"/>
                <w:color w:val="000000"/>
                <w:sz w:val="24"/>
                <w:szCs w:val="24"/>
                <w:lang w:eastAsia="lv-LV"/>
              </w:rPr>
              <w:t xml:space="preserve">prasības, gan </w:t>
            </w:r>
            <w:r w:rsidR="00C707E5">
              <w:rPr>
                <w:rFonts w:ascii="Times New Roman" w:eastAsia="Times New Roman" w:hAnsi="Times New Roman" w:cs="Times New Roman"/>
                <w:color w:val="000000"/>
                <w:sz w:val="24"/>
                <w:szCs w:val="24"/>
                <w:lang w:eastAsia="lv-LV"/>
              </w:rPr>
              <w:t>snie</w:t>
            </w:r>
            <w:r w:rsidR="00935DEA">
              <w:rPr>
                <w:rFonts w:ascii="Times New Roman" w:eastAsia="Times New Roman" w:hAnsi="Times New Roman" w:cs="Times New Roman"/>
                <w:color w:val="000000"/>
                <w:sz w:val="24"/>
                <w:szCs w:val="24"/>
                <w:lang w:eastAsia="lv-LV"/>
              </w:rPr>
              <w:t>gtu</w:t>
            </w:r>
            <w:r w:rsidR="00C707E5">
              <w:rPr>
                <w:rFonts w:ascii="Times New Roman" w:eastAsia="Times New Roman" w:hAnsi="Times New Roman" w:cs="Times New Roman"/>
                <w:color w:val="000000"/>
                <w:sz w:val="24"/>
                <w:szCs w:val="24"/>
                <w:lang w:eastAsia="lv-LV"/>
              </w:rPr>
              <w:t xml:space="preserve"> skaidru pamatojumu ai</w:t>
            </w:r>
            <w:r w:rsidR="004865D1">
              <w:rPr>
                <w:rFonts w:ascii="Times New Roman" w:eastAsia="Times New Roman" w:hAnsi="Times New Roman" w:cs="Times New Roman"/>
                <w:color w:val="000000"/>
                <w:sz w:val="24"/>
                <w:szCs w:val="24"/>
                <w:lang w:eastAsia="lv-LV"/>
              </w:rPr>
              <w:t>zsardzības nozares ieguldījumu lietderībai</w:t>
            </w:r>
            <w:r w:rsidR="00C707E5">
              <w:rPr>
                <w:rFonts w:ascii="Times New Roman" w:eastAsia="Times New Roman" w:hAnsi="Times New Roman" w:cs="Times New Roman"/>
                <w:color w:val="000000"/>
                <w:sz w:val="24"/>
                <w:szCs w:val="24"/>
                <w:lang w:eastAsia="lv-LV"/>
              </w:rPr>
              <w:t xml:space="preserve"> šajā </w:t>
            </w:r>
            <w:r w:rsidR="0022707D">
              <w:rPr>
                <w:rFonts w:ascii="Times New Roman" w:eastAsia="Times New Roman" w:hAnsi="Times New Roman" w:cs="Times New Roman"/>
                <w:color w:val="000000"/>
                <w:sz w:val="24"/>
                <w:szCs w:val="24"/>
                <w:lang w:eastAsia="lv-LV"/>
              </w:rPr>
              <w:t>jomā.</w:t>
            </w:r>
          </w:p>
          <w:p w14:paraId="39F716DD" w14:textId="77777777" w:rsidR="0022707D" w:rsidRDefault="0022707D" w:rsidP="00C707E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iepriekšminēto, </w:t>
            </w:r>
            <w:r w:rsidR="000C74A8">
              <w:rPr>
                <w:rFonts w:ascii="Times New Roman" w:eastAsia="Times New Roman" w:hAnsi="Times New Roman" w:cs="Times New Roman"/>
                <w:color w:val="000000"/>
                <w:sz w:val="24"/>
                <w:szCs w:val="24"/>
                <w:lang w:eastAsia="lv-LV"/>
              </w:rPr>
              <w:t>šajā tiesību akta projektā</w:t>
            </w:r>
            <w:r>
              <w:rPr>
                <w:rFonts w:ascii="Times New Roman" w:eastAsia="Times New Roman" w:hAnsi="Times New Roman" w:cs="Times New Roman"/>
                <w:color w:val="000000"/>
                <w:sz w:val="24"/>
                <w:szCs w:val="24"/>
                <w:lang w:eastAsia="lv-LV"/>
              </w:rPr>
              <w:t>:</w:t>
            </w:r>
          </w:p>
          <w:p w14:paraId="5734FA9E" w14:textId="77777777" w:rsidR="007C7C80" w:rsidRPr="00A25193" w:rsidRDefault="005D177A" w:rsidP="00A25193">
            <w:pPr>
              <w:pStyle w:val="ListParagraph"/>
              <w:numPr>
                <w:ilvl w:val="1"/>
                <w:numId w:val="9"/>
              </w:numPr>
              <w:spacing w:before="100" w:beforeAutospacing="1" w:line="240" w:lineRule="auto"/>
              <w:ind w:left="535" w:hanging="50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ir paredzēta skaidra</w:t>
            </w:r>
            <w:r w:rsidR="0022707D" w:rsidRPr="00A25193">
              <w:rPr>
                <w:rFonts w:ascii="Times New Roman" w:eastAsia="Times New Roman" w:hAnsi="Times New Roman" w:cs="Times New Roman"/>
                <w:color w:val="000000"/>
                <w:sz w:val="24"/>
                <w:szCs w:val="24"/>
                <w:lang w:eastAsia="lv-LV"/>
              </w:rPr>
              <w:t xml:space="preserve"> </w:t>
            </w:r>
            <w:r w:rsidR="00C707E5" w:rsidRPr="00A25193">
              <w:rPr>
                <w:rFonts w:ascii="Times New Roman" w:eastAsia="Times New Roman" w:hAnsi="Times New Roman" w:cs="Times New Roman"/>
                <w:color w:val="000000"/>
                <w:sz w:val="24"/>
                <w:szCs w:val="24"/>
                <w:lang w:eastAsia="lv-LV"/>
              </w:rPr>
              <w:t xml:space="preserve"> </w:t>
            </w:r>
            <w:r w:rsidR="0022707D" w:rsidRPr="00A25193">
              <w:rPr>
                <w:rFonts w:ascii="Times New Roman" w:eastAsia="Times New Roman" w:hAnsi="Times New Roman" w:cs="Times New Roman"/>
                <w:b/>
                <w:color w:val="000000"/>
                <w:sz w:val="24"/>
                <w:szCs w:val="24"/>
                <w:lang w:eastAsia="lv-LV"/>
              </w:rPr>
              <w:t>aizsardzības industrijas definīcij</w:t>
            </w:r>
            <w:r>
              <w:rPr>
                <w:rFonts w:ascii="Times New Roman" w:eastAsia="Times New Roman" w:hAnsi="Times New Roman" w:cs="Times New Roman"/>
                <w:b/>
                <w:color w:val="000000"/>
                <w:sz w:val="24"/>
                <w:szCs w:val="24"/>
                <w:lang w:eastAsia="lv-LV"/>
              </w:rPr>
              <w:t>a</w:t>
            </w:r>
            <w:r w:rsidR="007C7C80" w:rsidRPr="00A25193">
              <w:rPr>
                <w:rFonts w:ascii="Times New Roman" w:eastAsia="Times New Roman" w:hAnsi="Times New Roman" w:cs="Times New Roman"/>
                <w:color w:val="000000"/>
                <w:sz w:val="24"/>
                <w:szCs w:val="24"/>
                <w:lang w:eastAsia="lv-LV"/>
              </w:rPr>
              <w:t>, aptverot gan komersantus, gan pētniecības iestādes, kas veic specifiskas, ar militāra vai divējāda pielietojuma produktiem saistītas darbības jebkurā no šo produktu dzīves cikliem (sākot ar tehnoloģijas attīstību un beidzot ar utilizāciju)</w:t>
            </w:r>
            <w:r w:rsidR="00C242DA" w:rsidRPr="00A25193">
              <w:rPr>
                <w:rFonts w:ascii="Times New Roman" w:eastAsia="Times New Roman" w:hAnsi="Times New Roman" w:cs="Times New Roman"/>
                <w:color w:val="000000"/>
                <w:sz w:val="24"/>
                <w:szCs w:val="24"/>
                <w:lang w:eastAsia="lv-LV"/>
              </w:rPr>
              <w:t>;</w:t>
            </w:r>
          </w:p>
          <w:p w14:paraId="267F738A" w14:textId="5CBC266D" w:rsidR="00A25193" w:rsidRDefault="00C242DA"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ir</w:t>
            </w:r>
            <w:r w:rsidR="007C7C80" w:rsidRPr="00A25193">
              <w:rPr>
                <w:rFonts w:ascii="Times New Roman" w:eastAsia="Times New Roman" w:hAnsi="Times New Roman" w:cs="Times New Roman"/>
                <w:color w:val="000000"/>
                <w:sz w:val="24"/>
                <w:szCs w:val="24"/>
                <w:lang w:eastAsia="lv-LV"/>
              </w:rPr>
              <w:t xml:space="preserve"> </w:t>
            </w:r>
            <w:r w:rsidR="007C7C80" w:rsidRPr="00A25193">
              <w:rPr>
                <w:rFonts w:ascii="Times New Roman" w:eastAsia="Times New Roman" w:hAnsi="Times New Roman" w:cs="Times New Roman"/>
                <w:b/>
                <w:color w:val="000000"/>
                <w:sz w:val="24"/>
                <w:szCs w:val="24"/>
                <w:lang w:eastAsia="lv-LV"/>
              </w:rPr>
              <w:t>definēts aizsardzības industrijas attīstības atbalsts</w:t>
            </w:r>
            <w:r w:rsidRPr="00A25193">
              <w:rPr>
                <w:rFonts w:ascii="Times New Roman" w:eastAsia="Times New Roman" w:hAnsi="Times New Roman" w:cs="Times New Roman"/>
                <w:color w:val="000000"/>
                <w:sz w:val="24"/>
                <w:szCs w:val="24"/>
                <w:lang w:eastAsia="lv-LV"/>
              </w:rPr>
              <w:t xml:space="preserve">, nosakot </w:t>
            </w:r>
            <w:r w:rsidR="004D6593">
              <w:rPr>
                <w:rFonts w:ascii="Times New Roman" w:eastAsia="Times New Roman" w:hAnsi="Times New Roman" w:cs="Times New Roman"/>
                <w:color w:val="000000"/>
                <w:sz w:val="24"/>
                <w:szCs w:val="24"/>
                <w:lang w:eastAsia="lv-LV"/>
              </w:rPr>
              <w:t>pasākumus</w:t>
            </w:r>
            <w:r w:rsidRPr="00A25193">
              <w:rPr>
                <w:rFonts w:ascii="Times New Roman" w:eastAsia="Times New Roman" w:hAnsi="Times New Roman" w:cs="Times New Roman"/>
                <w:color w:val="000000"/>
                <w:sz w:val="24"/>
                <w:szCs w:val="24"/>
                <w:lang w:eastAsia="lv-LV"/>
              </w:rPr>
              <w:t xml:space="preserve"> jeb virzienus, kuru ietvaros tiks mērķtiecīgi realizēti attīstības atbalsta instrumenti;</w:t>
            </w:r>
          </w:p>
          <w:p w14:paraId="02803D71" w14:textId="77777777" w:rsidR="00A25193" w:rsidRDefault="00C242DA"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tiek noteikta </w:t>
            </w:r>
            <w:r w:rsidRPr="00A25193">
              <w:rPr>
                <w:rFonts w:ascii="Times New Roman" w:eastAsia="Times New Roman" w:hAnsi="Times New Roman" w:cs="Times New Roman"/>
                <w:b/>
                <w:color w:val="000000"/>
                <w:sz w:val="24"/>
                <w:szCs w:val="24"/>
                <w:lang w:eastAsia="lv-LV"/>
              </w:rPr>
              <w:t>piegāžu drošības definīcija</w:t>
            </w:r>
            <w:r w:rsidR="004865D1">
              <w:rPr>
                <w:rFonts w:ascii="Times New Roman" w:eastAsia="Times New Roman" w:hAnsi="Times New Roman" w:cs="Times New Roman"/>
                <w:color w:val="000000"/>
                <w:sz w:val="24"/>
                <w:szCs w:val="24"/>
                <w:lang w:eastAsia="lv-LV"/>
              </w:rPr>
              <w:t>, cita starpā ņemot vērā Eiropas Komisijas sagatavotos skaidrojumus šajā jomā</w:t>
            </w:r>
            <w:r w:rsidR="004865D1">
              <w:rPr>
                <w:rStyle w:val="FootnoteReference"/>
                <w:rFonts w:ascii="Times New Roman" w:eastAsia="Times New Roman" w:hAnsi="Times New Roman" w:cs="Times New Roman"/>
                <w:color w:val="000000"/>
                <w:sz w:val="24"/>
                <w:szCs w:val="24"/>
                <w:lang w:eastAsia="lv-LV"/>
              </w:rPr>
              <w:footnoteReference w:id="1"/>
            </w:r>
            <w:r w:rsidR="004865D1">
              <w:rPr>
                <w:rFonts w:ascii="Times New Roman" w:eastAsia="Times New Roman" w:hAnsi="Times New Roman" w:cs="Times New Roman"/>
                <w:color w:val="000000"/>
                <w:sz w:val="24"/>
                <w:szCs w:val="24"/>
                <w:lang w:eastAsia="lv-LV"/>
              </w:rPr>
              <w:t>;</w:t>
            </w:r>
          </w:p>
          <w:p w14:paraId="0CC1D665" w14:textId="77777777" w:rsidR="00A25193" w:rsidRDefault="001E0B28"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starp likuma mērķiem tiek iekļauta arī </w:t>
            </w:r>
            <w:r w:rsidRPr="00A25193">
              <w:rPr>
                <w:rFonts w:ascii="Times New Roman" w:eastAsia="Times New Roman" w:hAnsi="Times New Roman" w:cs="Times New Roman"/>
                <w:b/>
                <w:color w:val="000000"/>
                <w:sz w:val="24"/>
                <w:szCs w:val="24"/>
                <w:lang w:eastAsia="lv-LV"/>
              </w:rPr>
              <w:t>mobilizācijas resursu bāzes paplašināšana</w:t>
            </w:r>
            <w:r w:rsidRPr="00A25193">
              <w:rPr>
                <w:rFonts w:ascii="Times New Roman" w:eastAsia="Times New Roman" w:hAnsi="Times New Roman" w:cs="Times New Roman"/>
                <w:color w:val="000000"/>
                <w:sz w:val="24"/>
                <w:szCs w:val="24"/>
                <w:lang w:eastAsia="lv-LV"/>
              </w:rPr>
              <w:t>,</w:t>
            </w:r>
            <w:r w:rsidR="00C242DA" w:rsidRPr="00A25193">
              <w:rPr>
                <w:rFonts w:ascii="Times New Roman" w:eastAsia="Times New Roman" w:hAnsi="Times New Roman" w:cs="Times New Roman"/>
                <w:color w:val="000000"/>
                <w:sz w:val="24"/>
                <w:szCs w:val="24"/>
                <w:lang w:eastAsia="lv-LV"/>
              </w:rPr>
              <w:t xml:space="preserve"> </w:t>
            </w:r>
            <w:r w:rsidRPr="00A25193">
              <w:rPr>
                <w:rFonts w:ascii="Times New Roman" w:eastAsia="Times New Roman" w:hAnsi="Times New Roman" w:cs="Times New Roman"/>
                <w:color w:val="000000"/>
                <w:sz w:val="24"/>
                <w:szCs w:val="24"/>
                <w:lang w:eastAsia="lv-LV"/>
              </w:rPr>
              <w:t>kas pamato valsts ieguldījumus aizsardzības ind</w:t>
            </w:r>
            <w:r w:rsidR="003D7D84">
              <w:rPr>
                <w:rFonts w:ascii="Times New Roman" w:eastAsia="Times New Roman" w:hAnsi="Times New Roman" w:cs="Times New Roman"/>
                <w:color w:val="000000"/>
                <w:sz w:val="24"/>
                <w:szCs w:val="24"/>
                <w:lang w:eastAsia="lv-LV"/>
              </w:rPr>
              <w:t xml:space="preserve">ustrijas attīstības atbalstam, </w:t>
            </w:r>
            <w:r w:rsidR="00AE03B6" w:rsidRPr="00A25193">
              <w:rPr>
                <w:rFonts w:ascii="Times New Roman" w:eastAsia="Times New Roman" w:hAnsi="Times New Roman" w:cs="Times New Roman"/>
                <w:color w:val="000000"/>
                <w:sz w:val="24"/>
                <w:szCs w:val="24"/>
                <w:lang w:eastAsia="lv-LV"/>
              </w:rPr>
              <w:t>t</w:t>
            </w:r>
            <w:r w:rsidRPr="00A25193">
              <w:rPr>
                <w:rFonts w:ascii="Times New Roman" w:eastAsia="Times New Roman" w:hAnsi="Times New Roman" w:cs="Times New Roman"/>
                <w:color w:val="000000"/>
                <w:sz w:val="24"/>
                <w:szCs w:val="24"/>
                <w:lang w:eastAsia="lv-LV"/>
              </w:rPr>
              <w:t xml:space="preserve">ajā skaitā attiecībā uz īpašu </w:t>
            </w:r>
            <w:r w:rsidR="00AE03B6" w:rsidRPr="00A25193">
              <w:rPr>
                <w:rFonts w:ascii="Times New Roman" w:eastAsia="Times New Roman" w:hAnsi="Times New Roman" w:cs="Times New Roman"/>
                <w:color w:val="000000"/>
                <w:sz w:val="24"/>
                <w:szCs w:val="24"/>
                <w:lang w:eastAsia="lv-LV"/>
              </w:rPr>
              <w:t xml:space="preserve">valsts atbalsta sniegšanas </w:t>
            </w:r>
            <w:r w:rsidR="00AE03B6" w:rsidRPr="00A25193">
              <w:rPr>
                <w:rFonts w:ascii="Times New Roman" w:eastAsia="Times New Roman" w:hAnsi="Times New Roman" w:cs="Times New Roman"/>
                <w:color w:val="000000"/>
                <w:sz w:val="24"/>
                <w:szCs w:val="24"/>
                <w:lang w:eastAsia="lv-LV"/>
              </w:rPr>
              <w:lastRenderedPageBreak/>
              <w:t xml:space="preserve">kārtību atbilstoši Līguma par Eiropas Savienības darbību </w:t>
            </w:r>
            <w:r w:rsidR="003D7D84">
              <w:rPr>
                <w:rFonts w:ascii="Times New Roman" w:eastAsia="Times New Roman" w:hAnsi="Times New Roman" w:cs="Times New Roman"/>
                <w:color w:val="000000"/>
                <w:sz w:val="24"/>
                <w:szCs w:val="24"/>
                <w:lang w:eastAsia="lv-LV"/>
              </w:rPr>
              <w:t>noteiktajai kārtībai</w:t>
            </w:r>
            <w:r w:rsidR="003D7D84">
              <w:rPr>
                <w:rStyle w:val="FootnoteReference"/>
                <w:rFonts w:ascii="Times New Roman" w:eastAsia="Times New Roman" w:hAnsi="Times New Roman" w:cs="Times New Roman"/>
                <w:color w:val="000000"/>
                <w:sz w:val="24"/>
                <w:szCs w:val="24"/>
                <w:lang w:eastAsia="lv-LV"/>
              </w:rPr>
              <w:footnoteReference w:id="2"/>
            </w:r>
            <w:r w:rsidR="003D7D84">
              <w:rPr>
                <w:rFonts w:ascii="Times New Roman" w:eastAsia="Times New Roman" w:hAnsi="Times New Roman" w:cs="Times New Roman"/>
                <w:color w:val="000000"/>
                <w:sz w:val="24"/>
                <w:szCs w:val="24"/>
                <w:lang w:eastAsia="lv-LV"/>
              </w:rPr>
              <w:t>;</w:t>
            </w:r>
            <w:r w:rsidR="00AE03B6" w:rsidRPr="00A25193">
              <w:rPr>
                <w:rFonts w:ascii="Times New Roman" w:eastAsia="Times New Roman" w:hAnsi="Times New Roman" w:cs="Times New Roman"/>
                <w:color w:val="000000"/>
                <w:sz w:val="24"/>
                <w:szCs w:val="24"/>
                <w:lang w:eastAsia="lv-LV"/>
              </w:rPr>
              <w:t xml:space="preserve"> </w:t>
            </w:r>
          </w:p>
          <w:p w14:paraId="034A98F8" w14:textId="77777777" w:rsidR="00A25193" w:rsidRDefault="001E0B28"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tiek paredzēta </w:t>
            </w:r>
            <w:r w:rsidRPr="00A25193">
              <w:rPr>
                <w:rFonts w:ascii="Times New Roman" w:eastAsia="Times New Roman" w:hAnsi="Times New Roman" w:cs="Times New Roman"/>
                <w:b/>
                <w:color w:val="000000"/>
                <w:sz w:val="24"/>
                <w:szCs w:val="24"/>
                <w:lang w:eastAsia="lv-LV"/>
              </w:rPr>
              <w:t>starptautiskās sadarbības iespēja aizsardzības industrijas attīstības atbalsta jautājumos</w:t>
            </w:r>
            <w:r w:rsidR="00AE03B6" w:rsidRPr="00A25193">
              <w:rPr>
                <w:rFonts w:ascii="Times New Roman" w:eastAsia="Times New Roman" w:hAnsi="Times New Roman" w:cs="Times New Roman"/>
                <w:color w:val="000000"/>
                <w:sz w:val="24"/>
                <w:szCs w:val="24"/>
                <w:lang w:eastAsia="lv-LV"/>
              </w:rPr>
              <w:t xml:space="preserve">, kas šobrīd ir sevišķi būtiski – gan ņemot vērā aizsardzības industrijas tradicionālo orientēšanos uz eksporta tirgiem, gan Eiropas Komisijas iniciatīvas (piem., topošā Eiropas Aizsardzības fonda ietvaros) attiecībā uz Eiropas aizsardzības industriālās bāzes paplašināšanas aktivitātēm, kur viens no būtiskākajiem priekšnoteikumiem paredzētā atbalsta saņemšanai būs aizsardzības jomas komersantu un </w:t>
            </w:r>
            <w:r w:rsidR="00473AD0" w:rsidRPr="00A25193">
              <w:rPr>
                <w:rFonts w:ascii="Times New Roman" w:eastAsia="Times New Roman" w:hAnsi="Times New Roman" w:cs="Times New Roman"/>
                <w:color w:val="000000"/>
                <w:sz w:val="24"/>
                <w:szCs w:val="24"/>
                <w:lang w:eastAsia="lv-LV"/>
              </w:rPr>
              <w:t>pētniecības iestāžu pārrobežu sadarbība. Līdz ar to aizsardzības nozarei ir pamatota nepieciešamība attiecībā uz šo jautājumu koordinēšanu starptautiskā vidē;</w:t>
            </w:r>
          </w:p>
          <w:p w14:paraId="5FDB1602" w14:textId="77777777" w:rsidR="00A25193" w:rsidRDefault="00473AD0"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paredzēts skaidrs likumdevēja </w:t>
            </w:r>
            <w:r w:rsidRPr="00A25193">
              <w:rPr>
                <w:rFonts w:ascii="Times New Roman" w:eastAsia="Times New Roman" w:hAnsi="Times New Roman" w:cs="Times New Roman"/>
                <w:b/>
                <w:color w:val="000000"/>
                <w:sz w:val="24"/>
                <w:szCs w:val="24"/>
                <w:lang w:eastAsia="lv-LV"/>
              </w:rPr>
              <w:t>pilnvarojums aizsardzības industrijas attīstības atbalsta politikas dokumentu un saistīto normatīvu izstrādei</w:t>
            </w:r>
            <w:r w:rsidRPr="00A25193">
              <w:rPr>
                <w:rFonts w:ascii="Times New Roman" w:eastAsia="Times New Roman" w:hAnsi="Times New Roman" w:cs="Times New Roman"/>
                <w:color w:val="000000"/>
                <w:sz w:val="24"/>
                <w:szCs w:val="24"/>
                <w:lang w:eastAsia="lv-LV"/>
              </w:rPr>
              <w:t>, kā arī atbilstošu attīstības atbalsta instrumentu ieviešanai;</w:t>
            </w:r>
            <w:r w:rsidR="001E0B28" w:rsidRPr="00A25193">
              <w:rPr>
                <w:rFonts w:ascii="Times New Roman" w:eastAsia="Times New Roman" w:hAnsi="Times New Roman" w:cs="Times New Roman"/>
                <w:color w:val="000000"/>
                <w:sz w:val="24"/>
                <w:szCs w:val="24"/>
                <w:lang w:eastAsia="lv-LV"/>
              </w:rPr>
              <w:t xml:space="preserve"> </w:t>
            </w:r>
          </w:p>
          <w:p w14:paraId="72E836F3" w14:textId="3621E491" w:rsidR="005D239F" w:rsidRDefault="00473AD0" w:rsidP="005D239F">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paredz</w:t>
            </w:r>
            <w:r w:rsidR="00E01729">
              <w:rPr>
                <w:rFonts w:ascii="Times New Roman" w:eastAsia="Times New Roman" w:hAnsi="Times New Roman" w:cs="Times New Roman"/>
                <w:color w:val="000000"/>
                <w:sz w:val="24"/>
                <w:szCs w:val="24"/>
                <w:lang w:eastAsia="lv-LV"/>
              </w:rPr>
              <w:t>ēts</w:t>
            </w:r>
            <w:r w:rsidRPr="00A25193">
              <w:rPr>
                <w:rFonts w:ascii="Times New Roman" w:eastAsia="Times New Roman" w:hAnsi="Times New Roman" w:cs="Times New Roman"/>
                <w:color w:val="000000"/>
                <w:sz w:val="24"/>
                <w:szCs w:val="24"/>
                <w:lang w:eastAsia="lv-LV"/>
              </w:rPr>
              <w:t xml:space="preserve"> pilnvarojum</w:t>
            </w:r>
            <w:r w:rsidR="00E01729">
              <w:rPr>
                <w:rFonts w:ascii="Times New Roman" w:eastAsia="Times New Roman" w:hAnsi="Times New Roman" w:cs="Times New Roman"/>
                <w:color w:val="000000"/>
                <w:sz w:val="24"/>
                <w:szCs w:val="24"/>
                <w:lang w:eastAsia="lv-LV"/>
              </w:rPr>
              <w:t>s</w:t>
            </w:r>
            <w:r w:rsidRPr="00A25193">
              <w:rPr>
                <w:rFonts w:ascii="Times New Roman" w:eastAsia="Times New Roman" w:hAnsi="Times New Roman" w:cs="Times New Roman"/>
                <w:color w:val="000000"/>
                <w:sz w:val="24"/>
                <w:szCs w:val="24"/>
                <w:lang w:eastAsia="lv-LV"/>
              </w:rPr>
              <w:t xml:space="preserve"> MK izstrādāt </w:t>
            </w:r>
            <w:r w:rsidRPr="00A25193">
              <w:rPr>
                <w:rFonts w:ascii="Times New Roman" w:eastAsia="Times New Roman" w:hAnsi="Times New Roman" w:cs="Times New Roman"/>
                <w:b/>
                <w:color w:val="000000"/>
                <w:sz w:val="24"/>
                <w:szCs w:val="24"/>
                <w:lang w:eastAsia="lv-LV"/>
              </w:rPr>
              <w:t>kārtību, kādā Aizsardzības ministrija īsteno projektu konkursus militāru vai divējāda pielietojuma produktu attīstības atbalstam</w:t>
            </w:r>
            <w:r w:rsidR="002838F5">
              <w:rPr>
                <w:rFonts w:ascii="Times New Roman" w:eastAsia="Times New Roman" w:hAnsi="Times New Roman" w:cs="Times New Roman"/>
                <w:color w:val="000000"/>
                <w:sz w:val="24"/>
                <w:szCs w:val="24"/>
                <w:lang w:eastAsia="lv-LV"/>
              </w:rPr>
              <w:t>. Atbilstoši</w:t>
            </w:r>
            <w:r w:rsidRPr="00A25193">
              <w:rPr>
                <w:rFonts w:ascii="Times New Roman" w:eastAsia="Times New Roman" w:hAnsi="Times New Roman" w:cs="Times New Roman"/>
                <w:color w:val="000000"/>
                <w:sz w:val="24"/>
                <w:szCs w:val="24"/>
                <w:lang w:eastAsia="lv-LV"/>
              </w:rPr>
              <w:t xml:space="preserve"> </w:t>
            </w:r>
            <w:r w:rsidR="002838F5" w:rsidRPr="002838F5">
              <w:rPr>
                <w:rFonts w:ascii="Times New Roman" w:eastAsia="Times New Roman" w:hAnsi="Times New Roman" w:cs="Times New Roman"/>
                <w:color w:val="000000"/>
                <w:sz w:val="24"/>
                <w:szCs w:val="24"/>
                <w:lang w:eastAsia="lv-LV"/>
              </w:rPr>
              <w:t xml:space="preserve">MK </w:t>
            </w:r>
            <w:r w:rsidR="002838F5">
              <w:rPr>
                <w:rFonts w:ascii="Times New Roman" w:eastAsia="Times New Roman" w:hAnsi="Times New Roman" w:cs="Times New Roman"/>
                <w:color w:val="000000"/>
                <w:sz w:val="24"/>
                <w:szCs w:val="24"/>
                <w:lang w:eastAsia="lv-LV"/>
              </w:rPr>
              <w:t>noteikumi (</w:t>
            </w:r>
            <w:r w:rsidR="002838F5" w:rsidRPr="002838F5">
              <w:rPr>
                <w:rFonts w:ascii="Times New Roman" w:hAnsi="Times New Roman" w:cs="Times New Roman"/>
                <w:sz w:val="24"/>
                <w:szCs w:val="24"/>
              </w:rPr>
              <w:t>2018.</w:t>
            </w:r>
            <w:r w:rsidR="00E01729">
              <w:rPr>
                <w:rFonts w:ascii="Times New Roman" w:hAnsi="Times New Roman" w:cs="Times New Roman"/>
                <w:sz w:val="24"/>
                <w:szCs w:val="24"/>
              </w:rPr>
              <w:t> </w:t>
            </w:r>
            <w:r w:rsidR="002838F5" w:rsidRPr="002838F5">
              <w:rPr>
                <w:rFonts w:ascii="Times New Roman" w:hAnsi="Times New Roman" w:cs="Times New Roman"/>
                <w:sz w:val="24"/>
                <w:szCs w:val="24"/>
              </w:rPr>
              <w:t>gada 28.</w:t>
            </w:r>
            <w:r w:rsidR="00E01729">
              <w:rPr>
                <w:rFonts w:ascii="Times New Roman" w:hAnsi="Times New Roman" w:cs="Times New Roman"/>
                <w:sz w:val="24"/>
                <w:szCs w:val="24"/>
              </w:rPr>
              <w:t> </w:t>
            </w:r>
            <w:r w:rsidR="002838F5" w:rsidRPr="002838F5">
              <w:rPr>
                <w:rFonts w:ascii="Times New Roman" w:hAnsi="Times New Roman" w:cs="Times New Roman"/>
                <w:sz w:val="24"/>
                <w:szCs w:val="24"/>
              </w:rPr>
              <w:t xml:space="preserve">augusta </w:t>
            </w:r>
            <w:r w:rsidR="002838F5">
              <w:rPr>
                <w:rFonts w:ascii="Times New Roman" w:hAnsi="Times New Roman" w:cs="Times New Roman"/>
                <w:sz w:val="24"/>
                <w:szCs w:val="24"/>
              </w:rPr>
              <w:t xml:space="preserve">MK </w:t>
            </w:r>
            <w:r w:rsidR="002838F5" w:rsidRPr="002838F5">
              <w:rPr>
                <w:rFonts w:ascii="Times New Roman" w:hAnsi="Times New Roman" w:cs="Times New Roman"/>
                <w:sz w:val="24"/>
                <w:szCs w:val="24"/>
              </w:rPr>
              <w:t>noteikumi Nr.</w:t>
            </w:r>
            <w:r w:rsidR="00E01729">
              <w:rPr>
                <w:rFonts w:ascii="Times New Roman" w:hAnsi="Times New Roman" w:cs="Times New Roman"/>
                <w:sz w:val="24"/>
                <w:szCs w:val="24"/>
              </w:rPr>
              <w:t> </w:t>
            </w:r>
            <w:r w:rsidR="002838F5" w:rsidRPr="002838F5">
              <w:rPr>
                <w:rFonts w:ascii="Times New Roman" w:hAnsi="Times New Roman" w:cs="Times New Roman"/>
                <w:sz w:val="24"/>
                <w:szCs w:val="24"/>
              </w:rPr>
              <w:t>544 “Kārtība, kādā Aizsardzības ministrija īsteno projektu konkursu militāru vai divējāda lietojuma produktu attīstības atbalstam”</w:t>
            </w:r>
            <w:r w:rsidR="002838F5">
              <w:rPr>
                <w:rFonts w:ascii="Times New Roman" w:hAnsi="Times New Roman" w:cs="Times New Roman"/>
                <w:sz w:val="24"/>
                <w:szCs w:val="24"/>
              </w:rPr>
              <w:t>) jau ir izstrādāti</w:t>
            </w:r>
            <w:r w:rsidRPr="00A25193">
              <w:rPr>
                <w:rFonts w:ascii="Times New Roman" w:eastAsia="Times New Roman" w:hAnsi="Times New Roman" w:cs="Times New Roman"/>
                <w:color w:val="000000"/>
                <w:sz w:val="24"/>
                <w:szCs w:val="24"/>
                <w:lang w:eastAsia="lv-LV"/>
              </w:rPr>
              <w:t xml:space="preserve">, taču </w:t>
            </w:r>
            <w:r w:rsidR="002838F5">
              <w:rPr>
                <w:rFonts w:ascii="Times New Roman" w:eastAsia="Times New Roman" w:hAnsi="Times New Roman" w:cs="Times New Roman"/>
                <w:color w:val="000000"/>
                <w:sz w:val="24"/>
                <w:szCs w:val="24"/>
                <w:lang w:eastAsia="lv-LV"/>
              </w:rPr>
              <w:t xml:space="preserve">to </w:t>
            </w:r>
            <w:r w:rsidRPr="00A25193">
              <w:rPr>
                <w:rFonts w:ascii="Times New Roman" w:eastAsia="Times New Roman" w:hAnsi="Times New Roman" w:cs="Times New Roman"/>
                <w:color w:val="000000"/>
                <w:sz w:val="24"/>
                <w:szCs w:val="24"/>
                <w:lang w:eastAsia="lv-LV"/>
              </w:rPr>
              <w:t>starpministriju saskaņošanas</w:t>
            </w:r>
            <w:r w:rsidR="0058000C" w:rsidRPr="00A25193">
              <w:rPr>
                <w:rFonts w:ascii="Times New Roman" w:eastAsia="Times New Roman" w:hAnsi="Times New Roman" w:cs="Times New Roman"/>
                <w:color w:val="000000"/>
                <w:sz w:val="24"/>
                <w:szCs w:val="24"/>
                <w:lang w:eastAsia="lv-LV"/>
              </w:rPr>
              <w:t xml:space="preserve"> procesa</w:t>
            </w:r>
            <w:r w:rsidRPr="00A25193">
              <w:rPr>
                <w:rFonts w:ascii="Times New Roman" w:eastAsia="Times New Roman" w:hAnsi="Times New Roman" w:cs="Times New Roman"/>
                <w:color w:val="000000"/>
                <w:sz w:val="24"/>
                <w:szCs w:val="24"/>
                <w:lang w:eastAsia="lv-LV"/>
              </w:rPr>
              <w:t xml:space="preserve"> laikā tika konstatēta nepieciešamība </w:t>
            </w:r>
            <w:r w:rsidR="0058000C" w:rsidRPr="00A25193">
              <w:rPr>
                <w:rFonts w:ascii="Times New Roman" w:eastAsia="Times New Roman" w:hAnsi="Times New Roman" w:cs="Times New Roman"/>
                <w:color w:val="000000"/>
                <w:sz w:val="24"/>
                <w:szCs w:val="24"/>
                <w:lang w:eastAsia="lv-LV"/>
              </w:rPr>
              <w:t xml:space="preserve">pilnvarojumu </w:t>
            </w:r>
            <w:r w:rsidRPr="00A25193">
              <w:rPr>
                <w:rFonts w:ascii="Times New Roman" w:eastAsia="Times New Roman" w:hAnsi="Times New Roman" w:cs="Times New Roman"/>
                <w:color w:val="000000"/>
                <w:sz w:val="24"/>
                <w:szCs w:val="24"/>
                <w:lang w:eastAsia="lv-LV"/>
              </w:rPr>
              <w:t xml:space="preserve">attiecīgu </w:t>
            </w:r>
            <w:r w:rsidR="0058000C" w:rsidRPr="00A25193">
              <w:rPr>
                <w:rFonts w:ascii="Times New Roman" w:eastAsia="Times New Roman" w:hAnsi="Times New Roman" w:cs="Times New Roman"/>
                <w:color w:val="000000"/>
                <w:sz w:val="24"/>
                <w:szCs w:val="24"/>
                <w:lang w:eastAsia="lv-LV"/>
              </w:rPr>
              <w:t xml:space="preserve">MK noteikumu izstrādei iekļaut kādā no </w:t>
            </w:r>
            <w:r w:rsidR="00347CB6" w:rsidRPr="00A25193">
              <w:rPr>
                <w:rFonts w:ascii="Times New Roman" w:eastAsia="Times New Roman" w:hAnsi="Times New Roman" w:cs="Times New Roman"/>
                <w:color w:val="000000"/>
                <w:sz w:val="24"/>
                <w:szCs w:val="24"/>
                <w:lang w:eastAsia="lv-LV"/>
              </w:rPr>
              <w:t>a</w:t>
            </w:r>
            <w:r w:rsidR="0058000C" w:rsidRPr="00A25193">
              <w:rPr>
                <w:rFonts w:ascii="Times New Roman" w:eastAsia="Times New Roman" w:hAnsi="Times New Roman" w:cs="Times New Roman"/>
                <w:color w:val="000000"/>
                <w:sz w:val="24"/>
                <w:szCs w:val="24"/>
                <w:lang w:eastAsia="lv-LV"/>
              </w:rPr>
              <w:t xml:space="preserve">izsardzības </w:t>
            </w:r>
            <w:r w:rsidR="00347CB6" w:rsidRPr="00A25193">
              <w:rPr>
                <w:rFonts w:ascii="Times New Roman" w:eastAsia="Times New Roman" w:hAnsi="Times New Roman" w:cs="Times New Roman"/>
                <w:color w:val="000000"/>
                <w:sz w:val="24"/>
                <w:szCs w:val="24"/>
                <w:lang w:eastAsia="lv-LV"/>
              </w:rPr>
              <w:t>nozares</w:t>
            </w:r>
            <w:r w:rsidR="002838F5">
              <w:rPr>
                <w:rFonts w:ascii="Times New Roman" w:eastAsia="Times New Roman" w:hAnsi="Times New Roman" w:cs="Times New Roman"/>
                <w:color w:val="000000"/>
                <w:sz w:val="24"/>
                <w:szCs w:val="24"/>
                <w:lang w:eastAsia="lv-LV"/>
              </w:rPr>
              <w:t xml:space="preserve"> pārziņā esošajiem likumiem un Aizsardzības ministrija kā atbilstošāko identificēja tieši Mobilizācijas likumu, kas tika akceptēts arī no citu saskaņošanā iesaistīto (t.</w:t>
            </w:r>
            <w:r w:rsidR="00E01729">
              <w:rPr>
                <w:rFonts w:ascii="Times New Roman" w:eastAsia="Times New Roman" w:hAnsi="Times New Roman" w:cs="Times New Roman"/>
                <w:color w:val="000000"/>
                <w:sz w:val="24"/>
                <w:szCs w:val="24"/>
                <w:lang w:eastAsia="lv-LV"/>
              </w:rPr>
              <w:t> </w:t>
            </w:r>
            <w:r w:rsidR="002838F5">
              <w:rPr>
                <w:rFonts w:ascii="Times New Roman" w:eastAsia="Times New Roman" w:hAnsi="Times New Roman" w:cs="Times New Roman"/>
                <w:color w:val="000000"/>
                <w:sz w:val="24"/>
                <w:szCs w:val="24"/>
                <w:lang w:eastAsia="lv-LV"/>
              </w:rPr>
              <w:t>sk., Tieslietu ministrijas) institūciju pārstāvju puses</w:t>
            </w:r>
            <w:r w:rsidR="00E01729">
              <w:rPr>
                <w:rFonts w:ascii="Times New Roman" w:eastAsia="Times New Roman" w:hAnsi="Times New Roman" w:cs="Times New Roman"/>
                <w:color w:val="000000"/>
                <w:sz w:val="24"/>
                <w:szCs w:val="24"/>
                <w:lang w:eastAsia="lv-LV"/>
              </w:rPr>
              <w:t>;</w:t>
            </w:r>
            <w:r w:rsidR="002838F5">
              <w:rPr>
                <w:rFonts w:ascii="Times New Roman" w:eastAsia="Times New Roman" w:hAnsi="Times New Roman" w:cs="Times New Roman"/>
                <w:color w:val="000000"/>
                <w:sz w:val="24"/>
                <w:szCs w:val="24"/>
                <w:lang w:eastAsia="lv-LV"/>
              </w:rPr>
              <w:t xml:space="preserve"> </w:t>
            </w:r>
          </w:p>
          <w:p w14:paraId="51910BA0" w14:textId="381FFE14" w:rsidR="005D239F" w:rsidRPr="005D239F" w:rsidRDefault="005D239F" w:rsidP="005D239F">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5D239F">
              <w:rPr>
                <w:rFonts w:ascii="Times New Roman" w:eastAsia="Times New Roman" w:hAnsi="Times New Roman" w:cs="Times New Roman"/>
                <w:color w:val="000000"/>
                <w:sz w:val="24"/>
                <w:szCs w:val="24"/>
                <w:lang w:eastAsia="lv-LV"/>
              </w:rPr>
              <w:t xml:space="preserve">tiek </w:t>
            </w:r>
            <w:r w:rsidRPr="005D239F">
              <w:rPr>
                <w:rFonts w:ascii="Times New Roman" w:eastAsia="Times New Roman" w:hAnsi="Times New Roman" w:cs="Times New Roman"/>
                <w:b/>
                <w:color w:val="000000"/>
                <w:sz w:val="24"/>
                <w:szCs w:val="24"/>
                <w:lang w:eastAsia="lv-LV"/>
              </w:rPr>
              <w:t>reglamentēta aizsardzības nozares sadarbība ar aizsardzības industrijas organizācijām</w:t>
            </w:r>
            <w:r w:rsidRPr="005D239F">
              <w:rPr>
                <w:rFonts w:ascii="Times New Roman" w:eastAsia="Times New Roman" w:hAnsi="Times New Roman" w:cs="Times New Roman"/>
                <w:color w:val="000000"/>
                <w:sz w:val="24"/>
                <w:szCs w:val="24"/>
                <w:lang w:eastAsia="lv-LV"/>
              </w:rPr>
              <w:t>, ievērojot Valsts pārvaldes iekārtas likuma 48.</w:t>
            </w:r>
            <w:r w:rsidR="00E01729">
              <w:rPr>
                <w:rFonts w:ascii="Times New Roman" w:eastAsia="Times New Roman" w:hAnsi="Times New Roman" w:cs="Times New Roman"/>
                <w:color w:val="000000"/>
                <w:sz w:val="24"/>
                <w:szCs w:val="24"/>
                <w:lang w:eastAsia="lv-LV"/>
              </w:rPr>
              <w:t> </w:t>
            </w:r>
            <w:r w:rsidRPr="005D239F">
              <w:rPr>
                <w:rFonts w:ascii="Times New Roman" w:eastAsia="Times New Roman" w:hAnsi="Times New Roman" w:cs="Times New Roman"/>
                <w:color w:val="000000"/>
                <w:sz w:val="24"/>
                <w:szCs w:val="24"/>
                <w:lang w:eastAsia="lv-LV"/>
              </w:rPr>
              <w:t xml:space="preserve">panta pirmajā daļā noteikto par sabiedrības līdzdalības veidiem valsts pārvaldē un nosakot, ka Aizsardzības ministrija, izstrādājot un īstenojot aizsardzības industrijas </w:t>
            </w:r>
            <w:r w:rsidRPr="005D239F">
              <w:rPr>
                <w:rFonts w:ascii="Times New Roman" w:eastAsia="Times New Roman" w:hAnsi="Times New Roman" w:cs="Times New Roman"/>
                <w:color w:val="000000"/>
                <w:sz w:val="24"/>
                <w:szCs w:val="24"/>
                <w:lang w:eastAsia="lv-LV"/>
              </w:rPr>
              <w:lastRenderedPageBreak/>
              <w:t>attīstības atbalsta politiku, konsultējas ar Latvijas drošības un aizsardzības industrijas organizācijām, savukārt lielākā no šādām organizācijām (kura apvieno nozares uzņēmumus ar lielāko nodarbināto skaitu)</w:t>
            </w:r>
            <w:r w:rsidRPr="005D239F">
              <w:rPr>
                <w:rFonts w:ascii="Times New Roman" w:eastAsia="Times New Roman" w:hAnsi="Times New Roman" w:cs="Times New Roman"/>
                <w:color w:val="000000"/>
                <w:sz w:val="28"/>
                <w:szCs w:val="28"/>
                <w:lang w:eastAsia="lv-LV"/>
              </w:rPr>
              <w:t xml:space="preserve"> </w:t>
            </w:r>
            <w:r w:rsidRPr="005D239F">
              <w:rPr>
                <w:rFonts w:ascii="Times New Roman" w:eastAsia="Times New Roman" w:hAnsi="Times New Roman" w:cs="Times New Roman"/>
                <w:color w:val="000000"/>
                <w:sz w:val="24"/>
                <w:szCs w:val="24"/>
                <w:lang w:eastAsia="lv-LV"/>
              </w:rPr>
              <w:t xml:space="preserve">izvirza pārstāvjus dalībai NATO Industriāli konsultatīvajā grupā (angļu. val. </w:t>
            </w:r>
            <w:r w:rsidR="00E01729">
              <w:rPr>
                <w:rFonts w:ascii="Times New Roman" w:eastAsia="Times New Roman" w:hAnsi="Times New Roman" w:cs="Times New Roman"/>
                <w:color w:val="000000"/>
                <w:sz w:val="24"/>
                <w:szCs w:val="24"/>
                <w:lang w:eastAsia="lv-LV"/>
              </w:rPr>
              <w:t xml:space="preserve">– </w:t>
            </w:r>
            <w:r w:rsidRPr="005D239F">
              <w:rPr>
                <w:rFonts w:ascii="Times New Roman" w:eastAsia="Times New Roman" w:hAnsi="Times New Roman" w:cs="Times New Roman"/>
                <w:i/>
                <w:color w:val="000000"/>
                <w:sz w:val="24"/>
                <w:szCs w:val="24"/>
                <w:lang w:eastAsia="lv-LV"/>
              </w:rPr>
              <w:t>NATO Industrial Advisory Group jeb NIAG</w:t>
            </w:r>
            <w:r w:rsidRPr="005D239F">
              <w:rPr>
                <w:rFonts w:ascii="Times New Roman" w:eastAsia="Times New Roman" w:hAnsi="Times New Roman" w:cs="Times New Roman"/>
                <w:color w:val="000000"/>
                <w:sz w:val="24"/>
                <w:szCs w:val="24"/>
                <w:lang w:eastAsia="lv-LV"/>
              </w:rPr>
              <w:t xml:space="preserve">), tādā veidā nodrošinot Latvijas industriālo pārstāvniecību starptautiskā līmenī. </w:t>
            </w:r>
          </w:p>
          <w:p w14:paraId="4477E300" w14:textId="63C43B06" w:rsidR="005D239F" w:rsidRDefault="005D239F" w:rsidP="005D239F">
            <w:pPr>
              <w:pStyle w:val="ListParagraph"/>
              <w:spacing w:before="100" w:beforeAutospacing="1" w:line="240" w:lineRule="auto"/>
              <w:ind w:left="535"/>
              <w:jc w:val="both"/>
              <w:rPr>
                <w:rFonts w:ascii="Times New Roman" w:hAnsi="Times New Roman" w:cs="Times New Roman"/>
                <w:sz w:val="24"/>
                <w:szCs w:val="24"/>
              </w:rPr>
            </w:pPr>
            <w:r w:rsidRPr="005977B0">
              <w:rPr>
                <w:rFonts w:ascii="Times New Roman" w:hAnsi="Times New Roman" w:cs="Times New Roman"/>
                <w:sz w:val="24"/>
                <w:szCs w:val="24"/>
              </w:rPr>
              <w:t>Latvijas Drošības un aizsardzības industriju federācija (turpmāk – DAIF Latvija)</w:t>
            </w:r>
            <w:r>
              <w:rPr>
                <w:rFonts w:ascii="Times New Roman" w:hAnsi="Times New Roman" w:cs="Times New Roman"/>
                <w:sz w:val="24"/>
                <w:szCs w:val="24"/>
              </w:rPr>
              <w:t xml:space="preserve"> šobrīd</w:t>
            </w:r>
            <w:r w:rsidRPr="005977B0">
              <w:rPr>
                <w:rFonts w:ascii="Times New Roman" w:hAnsi="Times New Roman" w:cs="Times New Roman"/>
                <w:sz w:val="24"/>
                <w:szCs w:val="24"/>
              </w:rPr>
              <w:t>  ir vienīgā Latvijas drošības un aizsardzības industriju un zinātni pārstāvošā organizācija nacionālā un starptautiskā līmenī. DAIF Latvija apvieno 80</w:t>
            </w:r>
            <w:r w:rsidR="00E01729">
              <w:rPr>
                <w:rFonts w:ascii="Times New Roman" w:hAnsi="Times New Roman" w:cs="Times New Roman"/>
                <w:sz w:val="24"/>
                <w:szCs w:val="24"/>
              </w:rPr>
              <w:t> </w:t>
            </w:r>
            <w:r w:rsidRPr="005977B0">
              <w:rPr>
                <w:rFonts w:ascii="Times New Roman" w:hAnsi="Times New Roman" w:cs="Times New Roman"/>
                <w:sz w:val="24"/>
                <w:szCs w:val="24"/>
              </w:rPr>
              <w:t>uzņēmumus, t</w:t>
            </w:r>
            <w:r w:rsidR="00E01729">
              <w:rPr>
                <w:rFonts w:ascii="Times New Roman" w:hAnsi="Times New Roman" w:cs="Times New Roman"/>
                <w:sz w:val="24"/>
                <w:szCs w:val="24"/>
              </w:rPr>
              <w:t> </w:t>
            </w:r>
            <w:r w:rsidRPr="005977B0">
              <w:rPr>
                <w:rFonts w:ascii="Times New Roman" w:hAnsi="Times New Roman" w:cs="Times New Roman"/>
                <w:sz w:val="24"/>
                <w:szCs w:val="24"/>
              </w:rPr>
              <w:t xml:space="preserve">.sk. vadošās Latvijas pētniecības universitātes un asociētos biedrus </w:t>
            </w:r>
            <w:r>
              <w:rPr>
                <w:rFonts w:ascii="Times New Roman" w:hAnsi="Times New Roman" w:cs="Times New Roman"/>
                <w:sz w:val="24"/>
                <w:szCs w:val="24"/>
              </w:rPr>
              <w:t>–</w:t>
            </w:r>
            <w:r w:rsidRPr="005977B0">
              <w:rPr>
                <w:rFonts w:ascii="Times New Roman" w:hAnsi="Times New Roman" w:cs="Times New Roman"/>
                <w:sz w:val="24"/>
                <w:szCs w:val="24"/>
              </w:rPr>
              <w:t xml:space="preserve"> ārvalstu</w:t>
            </w:r>
            <w:r>
              <w:rPr>
                <w:rFonts w:ascii="Times New Roman" w:hAnsi="Times New Roman" w:cs="Times New Roman"/>
                <w:sz w:val="24"/>
                <w:szCs w:val="24"/>
              </w:rPr>
              <w:t xml:space="preserve"> militāros</w:t>
            </w:r>
            <w:r w:rsidRPr="005977B0">
              <w:rPr>
                <w:rFonts w:ascii="Times New Roman" w:hAnsi="Times New Roman" w:cs="Times New Roman"/>
                <w:sz w:val="24"/>
                <w:szCs w:val="24"/>
              </w:rPr>
              <w:t xml:space="preserve"> uzņēmumus, kas iesaistīti Latvija</w:t>
            </w:r>
            <w:r>
              <w:rPr>
                <w:rFonts w:ascii="Times New Roman" w:hAnsi="Times New Roman" w:cs="Times New Roman"/>
                <w:sz w:val="24"/>
                <w:szCs w:val="24"/>
              </w:rPr>
              <w:t>s aizsardzības spēju attīstībā.</w:t>
            </w:r>
            <w:r w:rsidRPr="005977B0">
              <w:rPr>
                <w:rFonts w:ascii="Times New Roman" w:hAnsi="Times New Roman" w:cs="Times New Roman"/>
                <w:sz w:val="24"/>
                <w:szCs w:val="24"/>
              </w:rPr>
              <w:t> DAIF Latvija pārstāvēto Latvijas uzņēmumu apgrozījums 2017.</w:t>
            </w:r>
            <w:r w:rsidR="00E01729">
              <w:rPr>
                <w:rFonts w:ascii="Times New Roman" w:hAnsi="Times New Roman" w:cs="Times New Roman"/>
                <w:sz w:val="24"/>
                <w:szCs w:val="24"/>
              </w:rPr>
              <w:t> </w:t>
            </w:r>
            <w:r w:rsidRPr="005977B0">
              <w:rPr>
                <w:rFonts w:ascii="Times New Roman" w:hAnsi="Times New Roman" w:cs="Times New Roman"/>
                <w:sz w:val="24"/>
                <w:szCs w:val="24"/>
              </w:rPr>
              <w:t xml:space="preserve">gadā pārsniedza 450 miljonus </w:t>
            </w:r>
            <w:r w:rsidRPr="004D6593">
              <w:rPr>
                <w:rFonts w:ascii="Times New Roman" w:hAnsi="Times New Roman" w:cs="Times New Roman"/>
                <w:i/>
                <w:sz w:val="24"/>
                <w:szCs w:val="24"/>
              </w:rPr>
              <w:t>e</w:t>
            </w:r>
            <w:r w:rsidR="00E01729" w:rsidRPr="004D6593">
              <w:rPr>
                <w:rFonts w:ascii="Times New Roman" w:hAnsi="Times New Roman" w:cs="Times New Roman"/>
                <w:i/>
                <w:sz w:val="24"/>
                <w:szCs w:val="24"/>
              </w:rPr>
              <w:t>u</w:t>
            </w:r>
            <w:r w:rsidRPr="004D6593">
              <w:rPr>
                <w:rFonts w:ascii="Times New Roman" w:hAnsi="Times New Roman" w:cs="Times New Roman"/>
                <w:i/>
                <w:sz w:val="24"/>
                <w:szCs w:val="24"/>
              </w:rPr>
              <w:t>ro</w:t>
            </w:r>
            <w:r w:rsidRPr="005977B0">
              <w:rPr>
                <w:rFonts w:ascii="Times New Roman" w:hAnsi="Times New Roman" w:cs="Times New Roman"/>
                <w:sz w:val="24"/>
                <w:szCs w:val="24"/>
              </w:rPr>
              <w:t xml:space="preserve"> un </w:t>
            </w:r>
            <w:r w:rsidR="00315398">
              <w:rPr>
                <w:rFonts w:ascii="Times New Roman" w:hAnsi="Times New Roman" w:cs="Times New Roman"/>
                <w:sz w:val="24"/>
                <w:szCs w:val="24"/>
              </w:rPr>
              <w:t xml:space="preserve">tā </w:t>
            </w:r>
            <w:r w:rsidRPr="005977B0">
              <w:rPr>
                <w:rFonts w:ascii="Times New Roman" w:hAnsi="Times New Roman" w:cs="Times New Roman"/>
                <w:sz w:val="24"/>
                <w:szCs w:val="24"/>
              </w:rPr>
              <w:t xml:space="preserve">nodarbināja vairāk </w:t>
            </w:r>
            <w:r w:rsidR="00315398">
              <w:rPr>
                <w:rFonts w:ascii="Times New Roman" w:hAnsi="Times New Roman" w:cs="Times New Roman"/>
                <w:sz w:val="24"/>
                <w:szCs w:val="24"/>
              </w:rPr>
              <w:t>ne</w:t>
            </w:r>
            <w:r w:rsidRPr="005977B0">
              <w:rPr>
                <w:rFonts w:ascii="Times New Roman" w:hAnsi="Times New Roman" w:cs="Times New Roman"/>
                <w:sz w:val="24"/>
                <w:szCs w:val="24"/>
              </w:rPr>
              <w:t>kā 4200 darbiniekus. DAIF Latvija nacionālā līmenī aktīvi sadarbojas ar Aizsardzības ministriju, Iekšlietu ministriju, Ārlietu ministriju, Ekonomikas ministriju un Saeimu. Starptautiski DAIF Latvija pārstāv Latvijas</w:t>
            </w:r>
            <w:r>
              <w:rPr>
                <w:rFonts w:ascii="Times New Roman" w:hAnsi="Times New Roman" w:cs="Times New Roman"/>
                <w:sz w:val="24"/>
                <w:szCs w:val="24"/>
              </w:rPr>
              <w:t xml:space="preserve"> aizsardzības</w:t>
            </w:r>
            <w:r w:rsidRPr="005977B0">
              <w:rPr>
                <w:rFonts w:ascii="Times New Roman" w:hAnsi="Times New Roman" w:cs="Times New Roman"/>
                <w:sz w:val="24"/>
                <w:szCs w:val="24"/>
              </w:rPr>
              <w:t xml:space="preserve"> industriju NATO Industrijas padomnieku grupā un Eiropas Aizsardzības aģentūras konsultatīvajās struktūrās, kā arī nodrošina divpusēju sadarbību ar atbilstoš</w:t>
            </w:r>
            <w:r w:rsidR="00315398">
              <w:rPr>
                <w:rFonts w:ascii="Times New Roman" w:hAnsi="Times New Roman" w:cs="Times New Roman"/>
                <w:sz w:val="24"/>
                <w:szCs w:val="24"/>
              </w:rPr>
              <w:t>aj</w:t>
            </w:r>
            <w:r w:rsidRPr="005977B0">
              <w:rPr>
                <w:rFonts w:ascii="Times New Roman" w:hAnsi="Times New Roman" w:cs="Times New Roman"/>
                <w:sz w:val="24"/>
                <w:szCs w:val="24"/>
              </w:rPr>
              <w:t xml:space="preserve">ām organizācijām ārvalstīs. DAIF Latvija īsteno ES fondu līdzfinansētu projektu </w:t>
            </w:r>
            <w:r w:rsidR="00315398">
              <w:rPr>
                <w:rFonts w:ascii="Times New Roman" w:hAnsi="Times New Roman" w:cs="Times New Roman"/>
                <w:sz w:val="24"/>
                <w:szCs w:val="24"/>
              </w:rPr>
              <w:t>“</w:t>
            </w:r>
            <w:r w:rsidRPr="005977B0">
              <w:rPr>
                <w:rFonts w:ascii="Times New Roman" w:hAnsi="Times New Roman" w:cs="Times New Roman"/>
                <w:sz w:val="24"/>
                <w:szCs w:val="24"/>
              </w:rPr>
              <w:t>Latvijas Drošības un aizsardzības klastera izveide</w:t>
            </w:r>
            <w:r w:rsidR="00315398">
              <w:rPr>
                <w:rFonts w:ascii="Times New Roman" w:hAnsi="Times New Roman" w:cs="Times New Roman"/>
                <w:sz w:val="24"/>
                <w:szCs w:val="24"/>
              </w:rPr>
              <w:t>”</w:t>
            </w:r>
            <w:r>
              <w:rPr>
                <w:rFonts w:ascii="Times New Roman" w:hAnsi="Times New Roman" w:cs="Times New Roman"/>
                <w:sz w:val="24"/>
                <w:szCs w:val="24"/>
              </w:rPr>
              <w:t>.</w:t>
            </w:r>
          </w:p>
          <w:p w14:paraId="464C43BA" w14:textId="1B955B30" w:rsidR="00473AD0" w:rsidRPr="000C74A8" w:rsidRDefault="005D239F" w:rsidP="00315398">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Projekts tāpat paredz kārtību, kādā </w:t>
            </w:r>
            <w:r w:rsidRPr="00645E66">
              <w:rPr>
                <w:rFonts w:ascii="Times New Roman" w:eastAsia="Times New Roman" w:hAnsi="Times New Roman" w:cs="Times New Roman"/>
                <w:color w:val="000000"/>
                <w:sz w:val="24"/>
                <w:szCs w:val="24"/>
                <w:lang w:eastAsia="lv-LV"/>
              </w:rPr>
              <w:t>NATO Industriāli konsultatīvajā grupā</w:t>
            </w:r>
            <w:r>
              <w:rPr>
                <w:rFonts w:ascii="Times New Roman" w:eastAsia="Times New Roman" w:hAnsi="Times New Roman" w:cs="Times New Roman"/>
                <w:color w:val="000000"/>
                <w:sz w:val="24"/>
                <w:szCs w:val="24"/>
                <w:lang w:eastAsia="lv-LV"/>
              </w:rPr>
              <w:t xml:space="preserve"> deleģētiem nacionālās industrijas pārstāvjiem</w:t>
            </w:r>
            <w:r w:rsidR="00315398">
              <w:rPr>
                <w:rFonts w:ascii="Times New Roman" w:eastAsia="Times New Roman" w:hAnsi="Times New Roman" w:cs="Times New Roman"/>
                <w:color w:val="000000"/>
                <w:sz w:val="24"/>
                <w:szCs w:val="24"/>
                <w:lang w:eastAsia="lv-LV"/>
              </w:rPr>
              <w:t>, kuri</w:t>
            </w:r>
            <w:r>
              <w:rPr>
                <w:rFonts w:ascii="Times New Roman" w:eastAsia="Times New Roman" w:hAnsi="Times New Roman" w:cs="Times New Roman"/>
                <w:color w:val="000000"/>
                <w:sz w:val="24"/>
                <w:szCs w:val="24"/>
                <w:lang w:eastAsia="lv-LV"/>
              </w:rPr>
              <w:t xml:space="preserve"> </w:t>
            </w:r>
            <w:r w:rsidR="00315398">
              <w:rPr>
                <w:rFonts w:ascii="Times New Roman" w:eastAsia="Times New Roman" w:hAnsi="Times New Roman" w:cs="Times New Roman"/>
                <w:color w:val="000000"/>
                <w:sz w:val="24"/>
                <w:szCs w:val="24"/>
                <w:lang w:eastAsia="lv-LV"/>
              </w:rPr>
              <w:t xml:space="preserve">pastiprināti sadarbojas ar aizsardzības nozari, </w:t>
            </w:r>
            <w:r>
              <w:rPr>
                <w:rFonts w:ascii="Times New Roman" w:eastAsia="Times New Roman" w:hAnsi="Times New Roman" w:cs="Times New Roman"/>
                <w:color w:val="000000"/>
                <w:sz w:val="24"/>
                <w:szCs w:val="24"/>
                <w:lang w:eastAsia="lv-LV"/>
              </w:rPr>
              <w:t>var pieprasīt pielaidi valsts noslēpuma objektiem</w:t>
            </w:r>
            <w:r w:rsidR="0031539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Šī prasība ir nepieciešama, ņemot vērā</w:t>
            </w:r>
            <w:r w:rsidR="0031539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ka daudziem ar aizsardzības nozares apgādi, mobilizācijas plānošanu, starptautisko sadarbību saistīti</w:t>
            </w:r>
            <w:r w:rsidR="00315398">
              <w:rPr>
                <w:rFonts w:ascii="Times New Roman" w:eastAsia="Times New Roman" w:hAnsi="Times New Roman" w:cs="Times New Roman"/>
                <w:color w:val="000000"/>
                <w:sz w:val="24"/>
                <w:szCs w:val="24"/>
                <w:lang w:eastAsia="lv-LV"/>
              </w:rPr>
              <w:t>em</w:t>
            </w:r>
            <w:r>
              <w:rPr>
                <w:rFonts w:ascii="Times New Roman" w:eastAsia="Times New Roman" w:hAnsi="Times New Roman" w:cs="Times New Roman"/>
                <w:color w:val="000000"/>
                <w:sz w:val="24"/>
                <w:szCs w:val="24"/>
                <w:lang w:eastAsia="lv-LV"/>
              </w:rPr>
              <w:t xml:space="preserve"> vai cita veida nozares pārziņā esošiem jautājumiem ir noteiktas paaugstinātas informācijas drošības prasības, </w:t>
            </w:r>
            <w:r w:rsidR="00315398">
              <w:rPr>
                <w:rFonts w:ascii="Times New Roman" w:eastAsia="Times New Roman" w:hAnsi="Times New Roman" w:cs="Times New Roman"/>
                <w:color w:val="000000"/>
                <w:sz w:val="24"/>
                <w:szCs w:val="24"/>
                <w:lang w:eastAsia="lv-LV"/>
              </w:rPr>
              <w:t xml:space="preserve">tādēļ </w:t>
            </w:r>
            <w:r>
              <w:rPr>
                <w:rFonts w:ascii="Times New Roman" w:eastAsia="Times New Roman" w:hAnsi="Times New Roman" w:cs="Times New Roman"/>
                <w:color w:val="000000"/>
                <w:sz w:val="24"/>
                <w:szCs w:val="24"/>
                <w:lang w:eastAsia="lv-LV"/>
              </w:rPr>
              <w:t>aizsardzības nozar</w:t>
            </w:r>
            <w:r w:rsidR="00315398">
              <w:rPr>
                <w:rFonts w:ascii="Times New Roman" w:eastAsia="Times New Roman" w:hAnsi="Times New Roman" w:cs="Times New Roman"/>
                <w:color w:val="000000"/>
                <w:sz w:val="24"/>
                <w:szCs w:val="24"/>
                <w:lang w:eastAsia="lv-LV"/>
              </w:rPr>
              <w:t>ē</w:t>
            </w:r>
            <w:r>
              <w:rPr>
                <w:rFonts w:ascii="Times New Roman" w:eastAsia="Times New Roman" w:hAnsi="Times New Roman" w:cs="Times New Roman"/>
                <w:color w:val="000000"/>
                <w:sz w:val="24"/>
                <w:szCs w:val="24"/>
                <w:lang w:eastAsia="lv-LV"/>
              </w:rPr>
              <w:t xml:space="preserve"> nav iespējama pilnvērtīga informācijas apmaiņa un sadarbības attīstīšana ilgtermiņā bez iespējas pārliecināties par industrijas deleģēt</w:t>
            </w:r>
            <w:r w:rsidR="00315398">
              <w:rPr>
                <w:rFonts w:ascii="Times New Roman" w:eastAsia="Times New Roman" w:hAnsi="Times New Roman" w:cs="Times New Roman"/>
                <w:color w:val="000000"/>
                <w:sz w:val="24"/>
                <w:szCs w:val="24"/>
                <w:lang w:eastAsia="lv-LV"/>
              </w:rPr>
              <w:t>o</w:t>
            </w:r>
            <w:r>
              <w:rPr>
                <w:rFonts w:ascii="Times New Roman" w:eastAsia="Times New Roman" w:hAnsi="Times New Roman" w:cs="Times New Roman"/>
                <w:color w:val="000000"/>
                <w:sz w:val="24"/>
                <w:szCs w:val="24"/>
                <w:lang w:eastAsia="lv-LV"/>
              </w:rPr>
              <w:t xml:space="preserve"> priekšstāvju atbilstību darbam ar sensitīvu informāciju. Tāpat nacionālās industrijas pārstāvju līdzdalība NATO industriāli konsultatīvās grupas formātos var paredzēt darbu </w:t>
            </w:r>
            <w:r>
              <w:rPr>
                <w:rFonts w:ascii="Times New Roman" w:eastAsia="Times New Roman" w:hAnsi="Times New Roman" w:cs="Times New Roman"/>
                <w:color w:val="000000"/>
                <w:sz w:val="24"/>
                <w:szCs w:val="24"/>
                <w:lang w:eastAsia="lv-LV"/>
              </w:rPr>
              <w:lastRenderedPageBreak/>
              <w:t xml:space="preserve">ar sensitīvu informāciju vai noritēt ierobežotas pieejamības darba telpās, </w:t>
            </w:r>
            <w:r w:rsidR="00315398">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 xml:space="preserve">arī šādos gadījumos ir jābūt iespējai pārliecināties par attiecīgo industrijas priekšstāvju atbilstību šādu uzdevumu veikšanai.  </w:t>
            </w:r>
          </w:p>
        </w:tc>
      </w:tr>
      <w:tr w:rsidR="003F77C7" w:rsidRPr="00DD5481" w14:paraId="6527D2AA" w14:textId="77777777"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B55DD2"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8DCF477"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F9B5564"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Aizsardzības ministrija, Nacionālie bruņotie spēki.</w:t>
            </w:r>
          </w:p>
        </w:tc>
      </w:tr>
      <w:tr w:rsidR="003F77C7" w:rsidRPr="00DD5481" w14:paraId="33E7E63A" w14:textId="77777777"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C9AED5"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B44EA83"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0DE561DC" w14:textId="77777777" w:rsidR="003F77C7" w:rsidRPr="00DD5481" w:rsidRDefault="002F2CF4"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14:paraId="6278067A"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14:paraId="7BB15FB5" w14:textId="77777777"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9D5422" w14:textId="77777777" w:rsidR="003F77C7" w:rsidRPr="00DD5481" w:rsidRDefault="003F77C7" w:rsidP="003F77C7">
            <w:pPr>
              <w:spacing w:before="100" w:beforeAutospacing="1" w:after="0" w:line="240" w:lineRule="auto"/>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3F77C7" w:rsidRPr="00DD5481" w14:paraId="1173F4CA" w14:textId="77777777"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B1AE45"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776F4C"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DF59578" w14:textId="77777777"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Militārajai mobilizācijai būs pakļauti zemessargi un rezerves karavīri.</w:t>
            </w:r>
          </w:p>
        </w:tc>
      </w:tr>
      <w:tr w:rsidR="003F77C7" w:rsidRPr="00DD5481" w14:paraId="63B4A633" w14:textId="77777777"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294D8"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94E36F"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EE5DF4F" w14:textId="4BD811BA"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Atkarībā no apdraudējuma </w:t>
            </w:r>
            <w:r w:rsidR="0088137E">
              <w:rPr>
                <w:rFonts w:ascii="Times New Roman" w:eastAsia="Times New Roman" w:hAnsi="Times New Roman" w:cs="Times New Roman"/>
                <w:iCs/>
                <w:color w:val="000000"/>
                <w:sz w:val="24"/>
                <w:szCs w:val="24"/>
                <w:lang w:eastAsia="lv-LV"/>
              </w:rPr>
              <w:t>apjoma</w:t>
            </w:r>
            <w:r w:rsidRPr="00DD5481">
              <w:rPr>
                <w:rFonts w:ascii="Times New Roman" w:eastAsia="Times New Roman" w:hAnsi="Times New Roman" w:cs="Times New Roman"/>
                <w:iCs/>
                <w:color w:val="000000"/>
                <w:sz w:val="24"/>
                <w:szCs w:val="24"/>
                <w:lang w:eastAsia="lv-LV"/>
              </w:rPr>
              <w:t xml:space="preserve"> un intensitātes tiesību akts ietekmēs ikvienu sabiedrības daļu, kura būs pakļauta militāro apdraudējumu regulējošiem normatīvajiem aktiem un plāniem.</w:t>
            </w:r>
          </w:p>
        </w:tc>
      </w:tr>
      <w:tr w:rsidR="003F77C7" w:rsidRPr="00DD5481" w14:paraId="4581A8AF" w14:textId="77777777"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58DDD4"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42C5B1"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A6C935" w14:textId="77777777"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Tiesiskā regulējuma finansiālo ietekmi nav iespējams noteikt, jo nav iespējams paredzēt noteiktu apdraudējuma situāciju un tās atstātās sekas.</w:t>
            </w:r>
          </w:p>
        </w:tc>
      </w:tr>
      <w:tr w:rsidR="003F77C7" w:rsidRPr="00DD5481" w14:paraId="43CA7D22" w14:textId="77777777"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10CCE"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C4FC65"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13AC6C"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 attiecināms.</w:t>
            </w:r>
          </w:p>
        </w:tc>
      </w:tr>
      <w:tr w:rsidR="003F77C7" w:rsidRPr="00DD5481" w14:paraId="297C6B19" w14:textId="77777777"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F4948"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1B3762"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28777B"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14:paraId="25256784"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225"/>
        <w:gridCol w:w="1135"/>
        <w:gridCol w:w="1184"/>
        <w:gridCol w:w="1020"/>
        <w:gridCol w:w="1069"/>
        <w:gridCol w:w="1069"/>
      </w:tblGrid>
      <w:tr w:rsidR="00A55A30" w:rsidRPr="00A55A30" w14:paraId="68A05B1D" w14:textId="77777777" w:rsidTr="00A55A30">
        <w:trPr>
          <w:trHeight w:val="652"/>
          <w:jc w:val="center"/>
        </w:trPr>
        <w:tc>
          <w:tcPr>
            <w:tcW w:w="9107" w:type="dxa"/>
            <w:gridSpan w:val="8"/>
            <w:vAlign w:val="center"/>
          </w:tcPr>
          <w:p w14:paraId="2700E6BB" w14:textId="77777777" w:rsidR="00A55A30" w:rsidRPr="00A55A30" w:rsidRDefault="00A55A30" w:rsidP="00D2093A">
            <w:pPr>
              <w:pStyle w:val="NormalWeb"/>
              <w:spacing w:before="0" w:beforeAutospacing="0" w:after="0" w:afterAutospacing="0"/>
              <w:jc w:val="center"/>
              <w:rPr>
                <w:b/>
                <w:color w:val="000000" w:themeColor="text1"/>
              </w:rPr>
            </w:pPr>
            <w:r w:rsidRPr="00A55A30">
              <w:rPr>
                <w:b/>
                <w:color w:val="000000" w:themeColor="text1"/>
              </w:rPr>
              <w:t>III. Tiesību akta projekta ietekme uz valsts budžetu un pašvaldību budžetiem</w:t>
            </w:r>
          </w:p>
        </w:tc>
      </w:tr>
      <w:tr w:rsidR="00A55A30" w:rsidRPr="00A55A30" w14:paraId="50C71C8A" w14:textId="77777777" w:rsidTr="00A55A30">
        <w:trPr>
          <w:jc w:val="center"/>
        </w:trPr>
        <w:tc>
          <w:tcPr>
            <w:tcW w:w="1271" w:type="dxa"/>
            <w:vMerge w:val="restart"/>
            <w:vAlign w:val="center"/>
          </w:tcPr>
          <w:p w14:paraId="6AD456CD"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Rādītāji</w:t>
            </w:r>
          </w:p>
        </w:tc>
        <w:tc>
          <w:tcPr>
            <w:tcW w:w="2359" w:type="dxa"/>
            <w:gridSpan w:val="2"/>
            <w:vMerge w:val="restart"/>
            <w:vAlign w:val="center"/>
          </w:tcPr>
          <w:p w14:paraId="6F12EC8F" w14:textId="77777777" w:rsidR="00A55A30" w:rsidRPr="00A55A30" w:rsidRDefault="00160669" w:rsidP="00D2093A">
            <w:pPr>
              <w:pStyle w:val="naisf"/>
              <w:spacing w:before="0" w:beforeAutospacing="0" w:after="0" w:afterAutospacing="0"/>
              <w:jc w:val="center"/>
              <w:rPr>
                <w:b/>
                <w:color w:val="000000" w:themeColor="text1"/>
              </w:rPr>
            </w:pPr>
            <w:r>
              <w:rPr>
                <w:b/>
                <w:color w:val="000000" w:themeColor="text1"/>
              </w:rPr>
              <w:t>2019</w:t>
            </w:r>
            <w:r w:rsidR="0088137E">
              <w:rPr>
                <w:b/>
                <w:color w:val="000000" w:themeColor="text1"/>
              </w:rPr>
              <w:t>.</w:t>
            </w:r>
          </w:p>
        </w:tc>
        <w:tc>
          <w:tcPr>
            <w:tcW w:w="5477" w:type="dxa"/>
            <w:gridSpan w:val="5"/>
            <w:vAlign w:val="center"/>
          </w:tcPr>
          <w:p w14:paraId="440A0DFB" w14:textId="77777777"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Turpmākie trīs gadi (</w:t>
            </w:r>
            <w:r w:rsidRPr="00A55A30">
              <w:rPr>
                <w:i/>
                <w:color w:val="000000" w:themeColor="text1"/>
              </w:rPr>
              <w:t>euro</w:t>
            </w:r>
            <w:r w:rsidRPr="00A55A30">
              <w:rPr>
                <w:color w:val="000000" w:themeColor="text1"/>
              </w:rPr>
              <w:t>)</w:t>
            </w:r>
          </w:p>
        </w:tc>
      </w:tr>
      <w:tr w:rsidR="00A55A30" w:rsidRPr="00A55A30" w14:paraId="086BB9F3" w14:textId="77777777" w:rsidTr="00A55A30">
        <w:trPr>
          <w:jc w:val="center"/>
        </w:trPr>
        <w:tc>
          <w:tcPr>
            <w:tcW w:w="1271" w:type="dxa"/>
            <w:vMerge/>
            <w:vAlign w:val="center"/>
          </w:tcPr>
          <w:p w14:paraId="019EC97B" w14:textId="77777777" w:rsidR="00A55A30" w:rsidRPr="00A55A30" w:rsidRDefault="00A55A30" w:rsidP="00D2093A">
            <w:pPr>
              <w:pStyle w:val="naisf"/>
              <w:spacing w:before="0" w:beforeAutospacing="0" w:after="0" w:afterAutospacing="0"/>
              <w:jc w:val="center"/>
              <w:rPr>
                <w:b/>
                <w:i/>
                <w:color w:val="000000" w:themeColor="text1"/>
              </w:rPr>
            </w:pPr>
          </w:p>
        </w:tc>
        <w:tc>
          <w:tcPr>
            <w:tcW w:w="2359" w:type="dxa"/>
            <w:gridSpan w:val="2"/>
            <w:vMerge/>
            <w:vAlign w:val="center"/>
          </w:tcPr>
          <w:p w14:paraId="43A42403" w14:textId="77777777" w:rsidR="00A55A30" w:rsidRPr="00A55A30" w:rsidRDefault="00A55A30" w:rsidP="00D2093A">
            <w:pPr>
              <w:pStyle w:val="naisf"/>
              <w:spacing w:before="0" w:beforeAutospacing="0" w:after="0" w:afterAutospacing="0"/>
              <w:jc w:val="center"/>
              <w:rPr>
                <w:b/>
                <w:i/>
                <w:color w:val="000000" w:themeColor="text1"/>
              </w:rPr>
            </w:pPr>
          </w:p>
        </w:tc>
        <w:tc>
          <w:tcPr>
            <w:tcW w:w="2319" w:type="dxa"/>
            <w:gridSpan w:val="2"/>
            <w:vAlign w:val="center"/>
          </w:tcPr>
          <w:p w14:paraId="0B066701" w14:textId="77777777" w:rsidR="00A55A30" w:rsidRPr="00A55A30" w:rsidRDefault="00160669" w:rsidP="00D2093A">
            <w:pPr>
              <w:pStyle w:val="naisf"/>
              <w:spacing w:before="0" w:beforeAutospacing="0" w:after="0" w:afterAutospacing="0"/>
              <w:jc w:val="center"/>
              <w:rPr>
                <w:b/>
                <w:i/>
                <w:color w:val="000000" w:themeColor="text1"/>
              </w:rPr>
            </w:pPr>
            <w:r>
              <w:rPr>
                <w:b/>
                <w:bCs/>
                <w:color w:val="000000" w:themeColor="text1"/>
              </w:rPr>
              <w:t>2020</w:t>
            </w:r>
            <w:r w:rsidR="0088137E">
              <w:rPr>
                <w:b/>
                <w:bCs/>
                <w:color w:val="000000" w:themeColor="text1"/>
              </w:rPr>
              <w:t>.</w:t>
            </w:r>
          </w:p>
        </w:tc>
        <w:tc>
          <w:tcPr>
            <w:tcW w:w="2089" w:type="dxa"/>
            <w:gridSpan w:val="2"/>
            <w:vAlign w:val="center"/>
          </w:tcPr>
          <w:p w14:paraId="0FAA3D20" w14:textId="77777777" w:rsidR="00A55A30" w:rsidRPr="005D239F" w:rsidRDefault="00160669" w:rsidP="00D2093A">
            <w:pPr>
              <w:pStyle w:val="naisf"/>
              <w:spacing w:before="0" w:beforeAutospacing="0" w:after="0" w:afterAutospacing="0"/>
              <w:jc w:val="center"/>
              <w:rPr>
                <w:b/>
                <w:i/>
                <w:color w:val="000000" w:themeColor="text1"/>
                <w:vertAlign w:val="superscript"/>
              </w:rPr>
            </w:pPr>
            <w:r>
              <w:rPr>
                <w:b/>
                <w:bCs/>
                <w:color w:val="000000" w:themeColor="text1"/>
              </w:rPr>
              <w:t>2021</w:t>
            </w:r>
            <w:r w:rsidR="0088137E">
              <w:rPr>
                <w:b/>
                <w:bCs/>
                <w:color w:val="000000" w:themeColor="text1"/>
              </w:rPr>
              <w:t>.</w:t>
            </w:r>
          </w:p>
        </w:tc>
        <w:tc>
          <w:tcPr>
            <w:tcW w:w="1069" w:type="dxa"/>
            <w:vAlign w:val="center"/>
          </w:tcPr>
          <w:p w14:paraId="10F7AB1A" w14:textId="77777777" w:rsidR="00A55A30" w:rsidRPr="00A55A30" w:rsidRDefault="00160669" w:rsidP="00D2093A">
            <w:pPr>
              <w:pStyle w:val="naisf"/>
              <w:spacing w:before="0" w:beforeAutospacing="0" w:after="0" w:afterAutospacing="0"/>
              <w:jc w:val="center"/>
              <w:rPr>
                <w:b/>
                <w:i/>
                <w:color w:val="000000" w:themeColor="text1"/>
              </w:rPr>
            </w:pPr>
            <w:r>
              <w:rPr>
                <w:b/>
                <w:bCs/>
                <w:color w:val="000000" w:themeColor="text1"/>
              </w:rPr>
              <w:t>2022</w:t>
            </w:r>
            <w:r w:rsidR="0088137E">
              <w:rPr>
                <w:b/>
                <w:bCs/>
                <w:color w:val="000000" w:themeColor="text1"/>
              </w:rPr>
              <w:t>.</w:t>
            </w:r>
          </w:p>
        </w:tc>
      </w:tr>
      <w:tr w:rsidR="00A55A30" w:rsidRPr="00A55A30" w14:paraId="34A416BB" w14:textId="77777777" w:rsidTr="00A55A30">
        <w:trPr>
          <w:jc w:val="center"/>
        </w:trPr>
        <w:tc>
          <w:tcPr>
            <w:tcW w:w="1271" w:type="dxa"/>
            <w:vMerge/>
            <w:vAlign w:val="center"/>
          </w:tcPr>
          <w:p w14:paraId="27C946EB" w14:textId="77777777" w:rsidR="00A55A30" w:rsidRPr="00A55A30" w:rsidRDefault="00A55A30" w:rsidP="00D2093A">
            <w:pPr>
              <w:pStyle w:val="naisf"/>
              <w:spacing w:before="0" w:beforeAutospacing="0" w:after="0" w:afterAutospacing="0"/>
              <w:jc w:val="center"/>
              <w:rPr>
                <w:b/>
                <w:i/>
                <w:color w:val="000000" w:themeColor="text1"/>
              </w:rPr>
            </w:pPr>
          </w:p>
        </w:tc>
        <w:tc>
          <w:tcPr>
            <w:tcW w:w="1134" w:type="dxa"/>
            <w:vAlign w:val="center"/>
          </w:tcPr>
          <w:p w14:paraId="6FB25C37" w14:textId="77777777"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valsts budžetu kārtējam gadam</w:t>
            </w:r>
          </w:p>
        </w:tc>
        <w:tc>
          <w:tcPr>
            <w:tcW w:w="1225" w:type="dxa"/>
            <w:vAlign w:val="center"/>
          </w:tcPr>
          <w:p w14:paraId="2888A8B0" w14:textId="77777777"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Izmaiņas kārtējā gadā, salīdzinot ar budžetu kārtējam gadam</w:t>
            </w:r>
          </w:p>
        </w:tc>
        <w:tc>
          <w:tcPr>
            <w:tcW w:w="1135" w:type="dxa"/>
            <w:vAlign w:val="center"/>
          </w:tcPr>
          <w:p w14:paraId="1DBC2169" w14:textId="77777777"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vidēja termiņa budžeta ietvaru</w:t>
            </w:r>
          </w:p>
        </w:tc>
        <w:tc>
          <w:tcPr>
            <w:tcW w:w="1184" w:type="dxa"/>
            <w:vAlign w:val="center"/>
          </w:tcPr>
          <w:p w14:paraId="555A78D5" w14:textId="77777777" w:rsidR="00A55A30" w:rsidRPr="00A55A30" w:rsidRDefault="00A55A30" w:rsidP="00794FFA">
            <w:pPr>
              <w:pStyle w:val="naisf"/>
              <w:spacing w:before="0" w:beforeAutospacing="0" w:after="0" w:afterAutospacing="0"/>
              <w:jc w:val="center"/>
              <w:rPr>
                <w:b/>
                <w:color w:val="000000" w:themeColor="text1"/>
              </w:rPr>
            </w:pPr>
            <w:r w:rsidRPr="00A55A30">
              <w:rPr>
                <w:bCs/>
                <w:iCs/>
              </w:rPr>
              <w:t xml:space="preserve">Izmaiņas, salīdzinot ar vidējā termiņa budžeta ietvaru </w:t>
            </w:r>
            <w:r w:rsidR="009F207F" w:rsidRPr="00A55A30">
              <w:rPr>
                <w:bCs/>
                <w:iCs/>
              </w:rPr>
              <w:t>20</w:t>
            </w:r>
            <w:r w:rsidR="009F207F">
              <w:rPr>
                <w:bCs/>
                <w:iCs/>
              </w:rPr>
              <w:t>20</w:t>
            </w:r>
            <w:r w:rsidRPr="00A55A30">
              <w:rPr>
                <w:bCs/>
                <w:iCs/>
              </w:rPr>
              <w:t>. gadam</w:t>
            </w:r>
          </w:p>
        </w:tc>
        <w:tc>
          <w:tcPr>
            <w:tcW w:w="1020" w:type="dxa"/>
            <w:vAlign w:val="center"/>
          </w:tcPr>
          <w:p w14:paraId="0ADA6C5B" w14:textId="77777777"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vidēja termiņa budžeta ietvaru</w:t>
            </w:r>
            <w:r w:rsidR="009F207F">
              <w:rPr>
                <w:color w:val="000000" w:themeColor="text1"/>
              </w:rPr>
              <w:t>*</w:t>
            </w:r>
          </w:p>
        </w:tc>
        <w:tc>
          <w:tcPr>
            <w:tcW w:w="1069" w:type="dxa"/>
            <w:vAlign w:val="center"/>
          </w:tcPr>
          <w:p w14:paraId="787BA4E3" w14:textId="77777777" w:rsidR="00A55A30" w:rsidRPr="00A55A30" w:rsidRDefault="00A55A30" w:rsidP="00D2093A">
            <w:pPr>
              <w:pStyle w:val="naisf"/>
              <w:spacing w:before="0" w:beforeAutospacing="0" w:after="0" w:afterAutospacing="0"/>
              <w:jc w:val="center"/>
              <w:rPr>
                <w:b/>
                <w:color w:val="000000" w:themeColor="text1"/>
              </w:rPr>
            </w:pPr>
            <w:r w:rsidRPr="00A55A30">
              <w:rPr>
                <w:bCs/>
                <w:iCs/>
              </w:rPr>
              <w:t>Izmaiņas, salīdzinot ar vidējā termiņa budžeta ietvaru 202</w:t>
            </w:r>
            <w:r w:rsidR="009F207F">
              <w:rPr>
                <w:bCs/>
                <w:iCs/>
              </w:rPr>
              <w:t>1</w:t>
            </w:r>
            <w:r w:rsidRPr="00A55A30">
              <w:rPr>
                <w:bCs/>
                <w:iCs/>
              </w:rPr>
              <w:t>. gadam</w:t>
            </w:r>
          </w:p>
        </w:tc>
        <w:tc>
          <w:tcPr>
            <w:tcW w:w="1069" w:type="dxa"/>
            <w:vAlign w:val="center"/>
          </w:tcPr>
          <w:p w14:paraId="3A71A3C2" w14:textId="77777777" w:rsidR="00A55A30" w:rsidRPr="00A55A30" w:rsidRDefault="00A55A30" w:rsidP="00D2093A">
            <w:pPr>
              <w:pStyle w:val="naisf"/>
              <w:spacing w:before="0" w:beforeAutospacing="0" w:after="0" w:afterAutospacing="0"/>
              <w:jc w:val="center"/>
              <w:rPr>
                <w:b/>
                <w:i/>
                <w:color w:val="000000" w:themeColor="text1"/>
              </w:rPr>
            </w:pPr>
            <w:r w:rsidRPr="00A55A30">
              <w:rPr>
                <w:bCs/>
                <w:iCs/>
              </w:rPr>
              <w:t>Izmaiņas, salīdzinot ar vidējā termiņa budžeta ietvaru 202</w:t>
            </w:r>
            <w:r w:rsidR="009F207F">
              <w:rPr>
                <w:bCs/>
                <w:iCs/>
              </w:rPr>
              <w:t>1</w:t>
            </w:r>
            <w:r w:rsidRPr="00A55A30">
              <w:rPr>
                <w:bCs/>
                <w:iCs/>
              </w:rPr>
              <w:t>. gadam</w:t>
            </w:r>
          </w:p>
        </w:tc>
      </w:tr>
      <w:tr w:rsidR="00A55A30" w:rsidRPr="00A55A30" w14:paraId="5FD11BC3" w14:textId="77777777" w:rsidTr="00A55A30">
        <w:trPr>
          <w:jc w:val="center"/>
        </w:trPr>
        <w:tc>
          <w:tcPr>
            <w:tcW w:w="1271" w:type="dxa"/>
            <w:vAlign w:val="center"/>
          </w:tcPr>
          <w:p w14:paraId="1608C1D4"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1</w:t>
            </w:r>
          </w:p>
        </w:tc>
        <w:tc>
          <w:tcPr>
            <w:tcW w:w="1134" w:type="dxa"/>
            <w:vAlign w:val="center"/>
          </w:tcPr>
          <w:p w14:paraId="690096D7"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2</w:t>
            </w:r>
          </w:p>
        </w:tc>
        <w:tc>
          <w:tcPr>
            <w:tcW w:w="1225" w:type="dxa"/>
            <w:vAlign w:val="center"/>
          </w:tcPr>
          <w:p w14:paraId="56A7921E"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3</w:t>
            </w:r>
          </w:p>
        </w:tc>
        <w:tc>
          <w:tcPr>
            <w:tcW w:w="1135" w:type="dxa"/>
            <w:vAlign w:val="center"/>
          </w:tcPr>
          <w:p w14:paraId="759D64D5"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4</w:t>
            </w:r>
          </w:p>
        </w:tc>
        <w:tc>
          <w:tcPr>
            <w:tcW w:w="1184" w:type="dxa"/>
            <w:vAlign w:val="center"/>
          </w:tcPr>
          <w:p w14:paraId="32323AB6"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5</w:t>
            </w:r>
          </w:p>
        </w:tc>
        <w:tc>
          <w:tcPr>
            <w:tcW w:w="1020" w:type="dxa"/>
            <w:vAlign w:val="center"/>
          </w:tcPr>
          <w:p w14:paraId="4C03315B"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6</w:t>
            </w:r>
          </w:p>
        </w:tc>
        <w:tc>
          <w:tcPr>
            <w:tcW w:w="1069" w:type="dxa"/>
            <w:vAlign w:val="center"/>
          </w:tcPr>
          <w:p w14:paraId="318956B6"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7</w:t>
            </w:r>
          </w:p>
        </w:tc>
        <w:tc>
          <w:tcPr>
            <w:tcW w:w="1069" w:type="dxa"/>
            <w:vAlign w:val="center"/>
          </w:tcPr>
          <w:p w14:paraId="7CD0581C" w14:textId="77777777"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8</w:t>
            </w:r>
          </w:p>
        </w:tc>
      </w:tr>
      <w:tr w:rsidR="00A55A30" w:rsidRPr="00A55A30" w14:paraId="1744A878" w14:textId="77777777" w:rsidTr="00A55A30">
        <w:trPr>
          <w:jc w:val="center"/>
        </w:trPr>
        <w:tc>
          <w:tcPr>
            <w:tcW w:w="1271" w:type="dxa"/>
            <w:shd w:val="clear" w:color="auto" w:fill="E6E6E6"/>
            <w:vAlign w:val="center"/>
          </w:tcPr>
          <w:p w14:paraId="7422EFC3" w14:textId="77777777" w:rsidR="00A55A30" w:rsidRPr="00A55A30" w:rsidRDefault="00A55A30" w:rsidP="00D2093A">
            <w:pPr>
              <w:pStyle w:val="naisf"/>
              <w:spacing w:before="0" w:beforeAutospacing="0" w:after="0" w:afterAutospacing="0"/>
              <w:rPr>
                <w:i/>
                <w:color w:val="000000" w:themeColor="text1"/>
              </w:rPr>
            </w:pPr>
            <w:r w:rsidRPr="00A55A30">
              <w:rPr>
                <w:color w:val="000000" w:themeColor="text1"/>
              </w:rPr>
              <w:t>1.Budžeta ieņēmumi:</w:t>
            </w:r>
          </w:p>
        </w:tc>
        <w:tc>
          <w:tcPr>
            <w:tcW w:w="1134" w:type="dxa"/>
            <w:shd w:val="clear" w:color="auto" w:fill="E6E6E6"/>
            <w:vAlign w:val="center"/>
          </w:tcPr>
          <w:p w14:paraId="7B550991" w14:textId="77777777" w:rsidR="00A55A30" w:rsidRPr="00A55A30" w:rsidRDefault="00160669" w:rsidP="00D2093A">
            <w:pPr>
              <w:pStyle w:val="naisf"/>
              <w:spacing w:before="0" w:beforeAutospacing="0" w:after="0" w:afterAutospacing="0"/>
              <w:jc w:val="center"/>
              <w:rPr>
                <w:b/>
                <w:color w:val="000000" w:themeColor="text1"/>
              </w:rPr>
            </w:pPr>
            <w:r>
              <w:rPr>
                <w:b/>
                <w:color w:val="000000" w:themeColor="text1"/>
              </w:rPr>
              <w:t>40</w:t>
            </w:r>
            <w:r w:rsidR="00A55A30" w:rsidRPr="00A55A30">
              <w:rPr>
                <w:b/>
                <w:color w:val="000000" w:themeColor="text1"/>
              </w:rPr>
              <w:t>0 000</w:t>
            </w:r>
          </w:p>
        </w:tc>
        <w:tc>
          <w:tcPr>
            <w:tcW w:w="1225" w:type="dxa"/>
            <w:shd w:val="clear" w:color="auto" w:fill="E6E6E6"/>
            <w:vAlign w:val="center"/>
          </w:tcPr>
          <w:p w14:paraId="085CF817"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14:paraId="71A639EF"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400 000</w:t>
            </w:r>
          </w:p>
        </w:tc>
        <w:tc>
          <w:tcPr>
            <w:tcW w:w="1184" w:type="dxa"/>
            <w:shd w:val="clear" w:color="auto" w:fill="E6E6E6"/>
            <w:vAlign w:val="center"/>
          </w:tcPr>
          <w:p w14:paraId="11096CC7"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14:paraId="319ED7F3"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400 000</w:t>
            </w:r>
          </w:p>
        </w:tc>
        <w:tc>
          <w:tcPr>
            <w:tcW w:w="1069" w:type="dxa"/>
            <w:shd w:val="clear" w:color="auto" w:fill="E6E6E6"/>
            <w:vAlign w:val="center"/>
          </w:tcPr>
          <w:p w14:paraId="35CF4DF5"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14:paraId="6CEE912F"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r>
      <w:tr w:rsidR="00A55A30" w:rsidRPr="00A55A30" w14:paraId="15C6C2D1" w14:textId="77777777" w:rsidTr="00A55A30">
        <w:trPr>
          <w:jc w:val="center"/>
        </w:trPr>
        <w:tc>
          <w:tcPr>
            <w:tcW w:w="1271" w:type="dxa"/>
            <w:shd w:val="clear" w:color="auto" w:fill="auto"/>
            <w:vAlign w:val="center"/>
          </w:tcPr>
          <w:p w14:paraId="3FFFC8C1" w14:textId="77777777" w:rsidR="00A55A30" w:rsidRPr="00A55A30" w:rsidRDefault="00A55A30" w:rsidP="00D2093A">
            <w:pPr>
              <w:pStyle w:val="naisf"/>
              <w:spacing w:before="0" w:beforeAutospacing="0" w:after="0" w:afterAutospacing="0"/>
              <w:rPr>
                <w:color w:val="000000" w:themeColor="text1"/>
              </w:rPr>
            </w:pPr>
            <w:r w:rsidRPr="00A55A30">
              <w:rPr>
                <w:color w:val="000000" w:themeColor="text1"/>
              </w:rPr>
              <w:lastRenderedPageBreak/>
              <w:t>1.1. valsts pamatbudžets, tai skaitā ieņēmumi no maksas pakalpojumiem un citi pašu ieņēmumi</w:t>
            </w:r>
          </w:p>
        </w:tc>
        <w:tc>
          <w:tcPr>
            <w:tcW w:w="1134" w:type="dxa"/>
            <w:shd w:val="clear" w:color="auto" w:fill="auto"/>
            <w:vAlign w:val="center"/>
          </w:tcPr>
          <w:p w14:paraId="52C560B0" w14:textId="77777777" w:rsidR="00A55A30" w:rsidRPr="00A55A30" w:rsidRDefault="00160669" w:rsidP="00D2093A">
            <w:pPr>
              <w:pStyle w:val="naisf"/>
              <w:spacing w:before="0" w:beforeAutospacing="0" w:after="0" w:afterAutospacing="0"/>
              <w:jc w:val="center"/>
              <w:rPr>
                <w:iCs/>
                <w:color w:val="000000" w:themeColor="text1"/>
              </w:rPr>
            </w:pPr>
            <w:r>
              <w:rPr>
                <w:iCs/>
                <w:color w:val="000000" w:themeColor="text1"/>
              </w:rPr>
              <w:t>40</w:t>
            </w:r>
            <w:r w:rsidR="00A55A30" w:rsidRPr="00A55A30">
              <w:rPr>
                <w:iCs/>
                <w:color w:val="000000" w:themeColor="text1"/>
              </w:rPr>
              <w:t>0 000</w:t>
            </w:r>
          </w:p>
        </w:tc>
        <w:tc>
          <w:tcPr>
            <w:tcW w:w="1225" w:type="dxa"/>
            <w:shd w:val="clear" w:color="auto" w:fill="auto"/>
            <w:vAlign w:val="center"/>
          </w:tcPr>
          <w:p w14:paraId="791B3233"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shd w:val="clear" w:color="auto" w:fill="auto"/>
            <w:vAlign w:val="center"/>
          </w:tcPr>
          <w:p w14:paraId="2361CECF" w14:textId="77777777" w:rsidR="00A55A30" w:rsidRPr="00A55A30" w:rsidRDefault="00A55A30" w:rsidP="00D2093A">
            <w:pPr>
              <w:pStyle w:val="naisf"/>
              <w:spacing w:before="0" w:beforeAutospacing="0" w:after="0" w:afterAutospacing="0"/>
              <w:jc w:val="center"/>
              <w:rPr>
                <w:iCs/>
                <w:color w:val="000000" w:themeColor="text1"/>
              </w:rPr>
            </w:pPr>
            <w:r w:rsidRPr="00A55A30">
              <w:rPr>
                <w:iCs/>
                <w:color w:val="000000" w:themeColor="text1"/>
              </w:rPr>
              <w:t>400 000</w:t>
            </w:r>
          </w:p>
        </w:tc>
        <w:tc>
          <w:tcPr>
            <w:tcW w:w="1184" w:type="dxa"/>
            <w:shd w:val="clear" w:color="auto" w:fill="auto"/>
            <w:vAlign w:val="center"/>
          </w:tcPr>
          <w:p w14:paraId="7A478D79" w14:textId="77777777" w:rsidR="00A55A30" w:rsidRPr="00A55A30" w:rsidRDefault="00A55A30" w:rsidP="00D2093A">
            <w:pPr>
              <w:pStyle w:val="naisf"/>
              <w:spacing w:before="0" w:beforeAutospacing="0" w:after="0" w:afterAutospacing="0"/>
              <w:jc w:val="center"/>
              <w:rPr>
                <w:iCs/>
                <w:color w:val="000000" w:themeColor="text1"/>
              </w:rPr>
            </w:pPr>
            <w:r w:rsidRPr="00A55A30">
              <w:rPr>
                <w:iCs/>
                <w:color w:val="000000" w:themeColor="text1"/>
              </w:rPr>
              <w:t>0</w:t>
            </w:r>
          </w:p>
        </w:tc>
        <w:tc>
          <w:tcPr>
            <w:tcW w:w="1020" w:type="dxa"/>
            <w:shd w:val="clear" w:color="auto" w:fill="auto"/>
            <w:vAlign w:val="center"/>
          </w:tcPr>
          <w:p w14:paraId="260B569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069" w:type="dxa"/>
            <w:shd w:val="clear" w:color="auto" w:fill="auto"/>
            <w:vAlign w:val="center"/>
          </w:tcPr>
          <w:p w14:paraId="1C05AD9C"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shd w:val="clear" w:color="auto" w:fill="auto"/>
            <w:vAlign w:val="center"/>
          </w:tcPr>
          <w:p w14:paraId="20E1E97A"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4524981F" w14:textId="77777777" w:rsidTr="00A55A30">
        <w:trPr>
          <w:jc w:val="center"/>
        </w:trPr>
        <w:tc>
          <w:tcPr>
            <w:tcW w:w="1271" w:type="dxa"/>
            <w:vAlign w:val="center"/>
          </w:tcPr>
          <w:p w14:paraId="052C8912" w14:textId="77777777" w:rsidR="00A55A30" w:rsidRPr="00A55A30" w:rsidRDefault="00A55A30" w:rsidP="00D2093A">
            <w:pPr>
              <w:pStyle w:val="naisf"/>
              <w:spacing w:before="0" w:beforeAutospacing="0" w:after="0" w:afterAutospacing="0"/>
              <w:rPr>
                <w:i/>
                <w:color w:val="000000" w:themeColor="text1"/>
              </w:rPr>
            </w:pPr>
            <w:r w:rsidRPr="00A55A30">
              <w:rPr>
                <w:color w:val="000000" w:themeColor="text1"/>
              </w:rPr>
              <w:t>1.2. valsts speciālais budžets</w:t>
            </w:r>
          </w:p>
        </w:tc>
        <w:tc>
          <w:tcPr>
            <w:tcW w:w="1134" w:type="dxa"/>
            <w:vAlign w:val="center"/>
          </w:tcPr>
          <w:p w14:paraId="18933369"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6227FBA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32ED9AC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60574963"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0FA7424B"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1EA6FD3B"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074D8CF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66C42074" w14:textId="77777777" w:rsidTr="00A55A30">
        <w:trPr>
          <w:jc w:val="center"/>
        </w:trPr>
        <w:tc>
          <w:tcPr>
            <w:tcW w:w="1271" w:type="dxa"/>
            <w:vAlign w:val="center"/>
          </w:tcPr>
          <w:p w14:paraId="27ECBB4C" w14:textId="77777777" w:rsidR="00A55A30" w:rsidRPr="00A55A30" w:rsidRDefault="00A55A30" w:rsidP="00D2093A">
            <w:pPr>
              <w:pStyle w:val="naisf"/>
              <w:spacing w:before="0" w:beforeAutospacing="0" w:after="0" w:afterAutospacing="0"/>
              <w:rPr>
                <w:i/>
                <w:color w:val="000000" w:themeColor="text1"/>
              </w:rPr>
            </w:pPr>
            <w:r w:rsidRPr="00A55A30">
              <w:rPr>
                <w:color w:val="000000" w:themeColor="text1"/>
              </w:rPr>
              <w:t>1.3. pašvaldību budžets</w:t>
            </w:r>
          </w:p>
        </w:tc>
        <w:tc>
          <w:tcPr>
            <w:tcW w:w="1134" w:type="dxa"/>
            <w:vAlign w:val="center"/>
          </w:tcPr>
          <w:p w14:paraId="3FDA2AE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2FABAC2B"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67F8AA76"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49B05D96"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0E0332D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2BC2127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4F4A0C3B"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3C08D990" w14:textId="77777777" w:rsidTr="00A55A30">
        <w:trPr>
          <w:jc w:val="center"/>
        </w:trPr>
        <w:tc>
          <w:tcPr>
            <w:tcW w:w="1271" w:type="dxa"/>
            <w:shd w:val="clear" w:color="auto" w:fill="E6E6E6"/>
            <w:vAlign w:val="center"/>
          </w:tcPr>
          <w:p w14:paraId="0D1DE6FF"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 Budžeta izdevumi:</w:t>
            </w:r>
          </w:p>
        </w:tc>
        <w:tc>
          <w:tcPr>
            <w:tcW w:w="1134" w:type="dxa"/>
            <w:shd w:val="clear" w:color="auto" w:fill="E6E6E6"/>
            <w:vAlign w:val="center"/>
          </w:tcPr>
          <w:p w14:paraId="4F338AD8" w14:textId="77777777" w:rsidR="00A55A30" w:rsidRPr="00A55A30" w:rsidRDefault="00160669" w:rsidP="00D2093A">
            <w:pPr>
              <w:pStyle w:val="naisf"/>
              <w:spacing w:before="0" w:beforeAutospacing="0" w:after="0" w:afterAutospacing="0"/>
              <w:jc w:val="center"/>
              <w:rPr>
                <w:b/>
                <w:color w:val="000000" w:themeColor="text1"/>
              </w:rPr>
            </w:pPr>
            <w:r>
              <w:rPr>
                <w:b/>
                <w:color w:val="000000" w:themeColor="text1"/>
              </w:rPr>
              <w:t>40</w:t>
            </w:r>
            <w:r w:rsidR="00A55A30" w:rsidRPr="00A55A30">
              <w:rPr>
                <w:b/>
                <w:color w:val="000000" w:themeColor="text1"/>
              </w:rPr>
              <w:t>0 000</w:t>
            </w:r>
          </w:p>
        </w:tc>
        <w:tc>
          <w:tcPr>
            <w:tcW w:w="1225" w:type="dxa"/>
            <w:shd w:val="clear" w:color="auto" w:fill="E6E6E6"/>
            <w:vAlign w:val="center"/>
          </w:tcPr>
          <w:p w14:paraId="076261E1" w14:textId="77777777" w:rsidR="00A55A30" w:rsidRPr="00A55A30" w:rsidRDefault="00A55A30" w:rsidP="00D2093A">
            <w:pPr>
              <w:pStyle w:val="naisf"/>
              <w:spacing w:before="0" w:beforeAutospacing="0" w:after="0" w:afterAutospacing="0"/>
              <w:jc w:val="center"/>
              <w:rPr>
                <w:b/>
              </w:rPr>
            </w:pPr>
            <w:r w:rsidRPr="00A55A30">
              <w:rPr>
                <w:b/>
              </w:rPr>
              <w:t>0</w:t>
            </w:r>
          </w:p>
        </w:tc>
        <w:tc>
          <w:tcPr>
            <w:tcW w:w="1135" w:type="dxa"/>
            <w:shd w:val="clear" w:color="auto" w:fill="E6E6E6"/>
            <w:vAlign w:val="center"/>
          </w:tcPr>
          <w:p w14:paraId="6451AD4F"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400 000</w:t>
            </w:r>
          </w:p>
        </w:tc>
        <w:tc>
          <w:tcPr>
            <w:tcW w:w="1184" w:type="dxa"/>
            <w:shd w:val="clear" w:color="auto" w:fill="E6E6E6"/>
            <w:vAlign w:val="center"/>
          </w:tcPr>
          <w:p w14:paraId="2C728EDC"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14:paraId="41DF5B9F"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400 000</w:t>
            </w:r>
          </w:p>
        </w:tc>
        <w:tc>
          <w:tcPr>
            <w:tcW w:w="1069" w:type="dxa"/>
            <w:shd w:val="clear" w:color="auto" w:fill="E6E6E6"/>
            <w:vAlign w:val="center"/>
          </w:tcPr>
          <w:p w14:paraId="30CACA77"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14:paraId="6EC5F9B0"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r>
      <w:tr w:rsidR="00A55A30" w:rsidRPr="00A55A30" w14:paraId="38E9B2E6" w14:textId="77777777" w:rsidTr="00A55A30">
        <w:trPr>
          <w:jc w:val="center"/>
        </w:trPr>
        <w:tc>
          <w:tcPr>
            <w:tcW w:w="1271" w:type="dxa"/>
            <w:vAlign w:val="center"/>
          </w:tcPr>
          <w:p w14:paraId="3A8F3045"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2.1. valsts pamatbudžets</w:t>
            </w:r>
          </w:p>
        </w:tc>
        <w:tc>
          <w:tcPr>
            <w:tcW w:w="1134" w:type="dxa"/>
            <w:vAlign w:val="center"/>
          </w:tcPr>
          <w:p w14:paraId="223BA16F" w14:textId="77777777" w:rsidR="00A55A30" w:rsidRPr="00A55A30" w:rsidRDefault="00160669" w:rsidP="00D2093A">
            <w:pPr>
              <w:pStyle w:val="naisf"/>
              <w:spacing w:before="0" w:beforeAutospacing="0" w:after="0" w:afterAutospacing="0"/>
              <w:jc w:val="center"/>
              <w:rPr>
                <w:color w:val="000000" w:themeColor="text1"/>
              </w:rPr>
            </w:pPr>
            <w:r>
              <w:rPr>
                <w:color w:val="000000" w:themeColor="text1"/>
              </w:rPr>
              <w:t>40</w:t>
            </w:r>
            <w:r w:rsidR="00A55A30" w:rsidRPr="00A55A30">
              <w:rPr>
                <w:color w:val="000000" w:themeColor="text1"/>
              </w:rPr>
              <w:t>0 000</w:t>
            </w:r>
          </w:p>
        </w:tc>
        <w:tc>
          <w:tcPr>
            <w:tcW w:w="1225" w:type="dxa"/>
            <w:vAlign w:val="center"/>
          </w:tcPr>
          <w:p w14:paraId="64ACD50C" w14:textId="77777777" w:rsidR="00A55A30" w:rsidRPr="00A55A30" w:rsidRDefault="00A55A30" w:rsidP="00D2093A">
            <w:pPr>
              <w:pStyle w:val="naisf"/>
              <w:spacing w:before="0" w:beforeAutospacing="0" w:after="0" w:afterAutospacing="0"/>
              <w:jc w:val="center"/>
            </w:pPr>
            <w:r w:rsidRPr="00A55A30">
              <w:t>0</w:t>
            </w:r>
          </w:p>
        </w:tc>
        <w:tc>
          <w:tcPr>
            <w:tcW w:w="1135" w:type="dxa"/>
            <w:vAlign w:val="center"/>
          </w:tcPr>
          <w:p w14:paraId="5576104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184" w:type="dxa"/>
            <w:vAlign w:val="center"/>
          </w:tcPr>
          <w:p w14:paraId="2D5AD18D"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1025E7B1"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069" w:type="dxa"/>
            <w:vAlign w:val="center"/>
          </w:tcPr>
          <w:p w14:paraId="19362022"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4C7B7FFC"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5558528C" w14:textId="77777777" w:rsidTr="00A55A30">
        <w:trPr>
          <w:jc w:val="center"/>
        </w:trPr>
        <w:tc>
          <w:tcPr>
            <w:tcW w:w="1271" w:type="dxa"/>
            <w:vAlign w:val="center"/>
          </w:tcPr>
          <w:p w14:paraId="7880FEEA"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2.2. valsts speciālais budžets</w:t>
            </w:r>
          </w:p>
        </w:tc>
        <w:tc>
          <w:tcPr>
            <w:tcW w:w="1134" w:type="dxa"/>
            <w:vAlign w:val="center"/>
          </w:tcPr>
          <w:p w14:paraId="07C03D4A"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74FBF11C"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005DA5FA"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23B5236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771B765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7396D21F"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7C07E139"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11C59D46" w14:textId="77777777" w:rsidTr="00A55A30">
        <w:trPr>
          <w:jc w:val="center"/>
        </w:trPr>
        <w:tc>
          <w:tcPr>
            <w:tcW w:w="1271" w:type="dxa"/>
            <w:vAlign w:val="center"/>
          </w:tcPr>
          <w:p w14:paraId="3863B507"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2.3. pašvaldību budžets </w:t>
            </w:r>
          </w:p>
        </w:tc>
        <w:tc>
          <w:tcPr>
            <w:tcW w:w="1134" w:type="dxa"/>
            <w:vAlign w:val="center"/>
          </w:tcPr>
          <w:p w14:paraId="6424A428"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6CBA91D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4C79898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6D9D97F1"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51DAF69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583279AF"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23731A53"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75AE74C7" w14:textId="77777777" w:rsidTr="00A55A30">
        <w:trPr>
          <w:jc w:val="center"/>
        </w:trPr>
        <w:tc>
          <w:tcPr>
            <w:tcW w:w="1271" w:type="dxa"/>
            <w:shd w:val="clear" w:color="auto" w:fill="E6E6E6"/>
            <w:vAlign w:val="center"/>
          </w:tcPr>
          <w:p w14:paraId="652F45F8"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 Finansiālā ietekme:</w:t>
            </w:r>
          </w:p>
        </w:tc>
        <w:tc>
          <w:tcPr>
            <w:tcW w:w="1134" w:type="dxa"/>
            <w:shd w:val="clear" w:color="auto" w:fill="E6E6E6"/>
            <w:vAlign w:val="center"/>
          </w:tcPr>
          <w:p w14:paraId="619C1621"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225" w:type="dxa"/>
            <w:shd w:val="clear" w:color="auto" w:fill="E6E6E6"/>
            <w:vAlign w:val="center"/>
          </w:tcPr>
          <w:p w14:paraId="3C09E46D"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14:paraId="628D0DC6"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184" w:type="dxa"/>
            <w:shd w:val="clear" w:color="auto" w:fill="E6E6E6"/>
            <w:vAlign w:val="center"/>
          </w:tcPr>
          <w:p w14:paraId="58565F83"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14:paraId="049B04BA"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069" w:type="dxa"/>
            <w:shd w:val="clear" w:color="auto" w:fill="E6E6E6"/>
            <w:vAlign w:val="center"/>
          </w:tcPr>
          <w:p w14:paraId="4A1108C5"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14:paraId="0A8A460F"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r>
      <w:tr w:rsidR="00A55A30" w:rsidRPr="00A55A30" w14:paraId="385B770C" w14:textId="77777777" w:rsidTr="00A55A30">
        <w:trPr>
          <w:jc w:val="center"/>
        </w:trPr>
        <w:tc>
          <w:tcPr>
            <w:tcW w:w="1271" w:type="dxa"/>
            <w:vAlign w:val="center"/>
          </w:tcPr>
          <w:p w14:paraId="40C2F380"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3.1. valsts pamatbudžets</w:t>
            </w:r>
          </w:p>
        </w:tc>
        <w:tc>
          <w:tcPr>
            <w:tcW w:w="1134" w:type="dxa"/>
            <w:shd w:val="clear" w:color="auto" w:fill="auto"/>
            <w:vAlign w:val="center"/>
          </w:tcPr>
          <w:p w14:paraId="12043D0F"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47A72DD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739625DC"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62374ED3"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7ED7CFB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3847876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2B21523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7A1916C0" w14:textId="77777777" w:rsidTr="00A55A30">
        <w:trPr>
          <w:jc w:val="center"/>
        </w:trPr>
        <w:tc>
          <w:tcPr>
            <w:tcW w:w="1271" w:type="dxa"/>
            <w:vAlign w:val="center"/>
          </w:tcPr>
          <w:p w14:paraId="27F2DF41"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3.2. speciālais budžets</w:t>
            </w:r>
          </w:p>
        </w:tc>
        <w:tc>
          <w:tcPr>
            <w:tcW w:w="1134" w:type="dxa"/>
            <w:shd w:val="clear" w:color="auto" w:fill="auto"/>
            <w:vAlign w:val="center"/>
          </w:tcPr>
          <w:p w14:paraId="2B6B769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54B043C2"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0924545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51C3CEBD"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5FDF19A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0CE7F23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3943D39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2FFD60FE" w14:textId="77777777" w:rsidTr="00A55A30">
        <w:trPr>
          <w:jc w:val="center"/>
        </w:trPr>
        <w:tc>
          <w:tcPr>
            <w:tcW w:w="1271" w:type="dxa"/>
            <w:vAlign w:val="center"/>
          </w:tcPr>
          <w:p w14:paraId="2F8ACE38"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3.3. pašvaldību budžets </w:t>
            </w:r>
          </w:p>
        </w:tc>
        <w:tc>
          <w:tcPr>
            <w:tcW w:w="1134" w:type="dxa"/>
            <w:shd w:val="clear" w:color="auto" w:fill="auto"/>
            <w:vAlign w:val="center"/>
          </w:tcPr>
          <w:p w14:paraId="7B16079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172E367A"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62EC9B4B"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2A0E7632"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07D92FDD"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320DE0A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596FC5A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3326F43C" w14:textId="77777777" w:rsidTr="00A55A30">
        <w:trPr>
          <w:trHeight w:val="2760"/>
          <w:jc w:val="center"/>
        </w:trPr>
        <w:tc>
          <w:tcPr>
            <w:tcW w:w="1271" w:type="dxa"/>
            <w:vAlign w:val="center"/>
          </w:tcPr>
          <w:p w14:paraId="267ED042"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lastRenderedPageBreak/>
              <w:t>4. Finanšu līdzekļi papildu izde</w:t>
            </w:r>
            <w:r w:rsidRPr="00A55A30">
              <w:rPr>
                <w:rFonts w:ascii="Times New Roman" w:hAnsi="Times New Roman" w:cs="Times New Roman"/>
                <w:color w:val="000000" w:themeColor="text1"/>
                <w:sz w:val="24"/>
                <w:szCs w:val="24"/>
              </w:rPr>
              <w:softHyphen/>
              <w:t>vumu finansēšanai (kompensējošu izdevumu samazinājumu norāda ar „+” zīmi)</w:t>
            </w:r>
          </w:p>
        </w:tc>
        <w:tc>
          <w:tcPr>
            <w:tcW w:w="1134" w:type="dxa"/>
            <w:shd w:val="clear" w:color="auto" w:fill="auto"/>
            <w:vAlign w:val="center"/>
          </w:tcPr>
          <w:p w14:paraId="6A08419A"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14:paraId="59C991AD" w14:textId="77777777"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135" w:type="dxa"/>
            <w:vAlign w:val="center"/>
          </w:tcPr>
          <w:p w14:paraId="24E686CC" w14:textId="77777777"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184" w:type="dxa"/>
            <w:vAlign w:val="center"/>
          </w:tcPr>
          <w:p w14:paraId="3ACDF7A2"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0AA1CC2F" w14:textId="77777777"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069" w:type="dxa"/>
            <w:vAlign w:val="center"/>
          </w:tcPr>
          <w:p w14:paraId="7C22E1BD"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613B187A" w14:textId="77777777" w:rsidR="00A55A30" w:rsidRPr="00A55A30" w:rsidRDefault="00A55A30" w:rsidP="00D2093A">
            <w:pPr>
              <w:pStyle w:val="naisf"/>
              <w:spacing w:before="0" w:after="0"/>
              <w:jc w:val="center"/>
              <w:rPr>
                <w:color w:val="000000" w:themeColor="text1"/>
              </w:rPr>
            </w:pPr>
            <w:r w:rsidRPr="00A55A30">
              <w:rPr>
                <w:color w:val="000000" w:themeColor="text1"/>
              </w:rPr>
              <w:t>0</w:t>
            </w:r>
          </w:p>
        </w:tc>
      </w:tr>
      <w:tr w:rsidR="00A55A30" w:rsidRPr="00A55A30" w14:paraId="1300E84C" w14:textId="77777777" w:rsidTr="00A55A30">
        <w:trPr>
          <w:jc w:val="center"/>
        </w:trPr>
        <w:tc>
          <w:tcPr>
            <w:tcW w:w="1271" w:type="dxa"/>
            <w:shd w:val="clear" w:color="auto" w:fill="E6E6E6"/>
            <w:vAlign w:val="center"/>
          </w:tcPr>
          <w:p w14:paraId="78747B8F"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 Precizēta finansiālā ietekme:</w:t>
            </w:r>
          </w:p>
        </w:tc>
        <w:tc>
          <w:tcPr>
            <w:tcW w:w="1134" w:type="dxa"/>
            <w:vMerge w:val="restart"/>
            <w:shd w:val="clear" w:color="auto" w:fill="auto"/>
            <w:vAlign w:val="center"/>
          </w:tcPr>
          <w:p w14:paraId="27B50E0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shd w:val="clear" w:color="auto" w:fill="E6E6E6"/>
            <w:vAlign w:val="center"/>
          </w:tcPr>
          <w:p w14:paraId="67E78D09"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14:paraId="391A8D74"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184" w:type="dxa"/>
            <w:shd w:val="clear" w:color="auto" w:fill="E6E6E6"/>
            <w:vAlign w:val="center"/>
          </w:tcPr>
          <w:p w14:paraId="4AB1664B"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14:paraId="12AE2C35" w14:textId="77777777"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069" w:type="dxa"/>
            <w:shd w:val="clear" w:color="auto" w:fill="E6E6E6"/>
            <w:vAlign w:val="center"/>
          </w:tcPr>
          <w:p w14:paraId="3EE2A261" w14:textId="77777777"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14:paraId="177C34C3" w14:textId="77777777" w:rsidR="00A55A30" w:rsidRPr="00A55A30" w:rsidRDefault="00A55A30" w:rsidP="00D2093A">
            <w:pPr>
              <w:pStyle w:val="naisf"/>
              <w:spacing w:before="0" w:beforeAutospacing="0" w:after="0" w:afterAutospacing="0"/>
              <w:jc w:val="center"/>
              <w:rPr>
                <w:b/>
              </w:rPr>
            </w:pPr>
            <w:r w:rsidRPr="00A55A30">
              <w:rPr>
                <w:b/>
                <w:bCs/>
                <w:color w:val="000000" w:themeColor="text1"/>
              </w:rPr>
              <w:t>0</w:t>
            </w:r>
          </w:p>
        </w:tc>
      </w:tr>
      <w:tr w:rsidR="00A55A30" w:rsidRPr="00A55A30" w14:paraId="03CF93BB" w14:textId="77777777" w:rsidTr="00A55A30">
        <w:trPr>
          <w:jc w:val="center"/>
        </w:trPr>
        <w:tc>
          <w:tcPr>
            <w:tcW w:w="1271" w:type="dxa"/>
            <w:vAlign w:val="center"/>
          </w:tcPr>
          <w:p w14:paraId="24DC5BB7"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5.1. valsts pamatbudžets</w:t>
            </w:r>
          </w:p>
        </w:tc>
        <w:tc>
          <w:tcPr>
            <w:tcW w:w="1134" w:type="dxa"/>
            <w:vMerge/>
            <w:shd w:val="clear" w:color="auto" w:fill="auto"/>
            <w:vAlign w:val="center"/>
          </w:tcPr>
          <w:p w14:paraId="34B7467C" w14:textId="77777777"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14:paraId="7617D61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0B7C2DE9"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35F9EE21"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5031417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0CA8D456"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43E6AEE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3301BB2C" w14:textId="77777777" w:rsidTr="00A55A30">
        <w:trPr>
          <w:jc w:val="center"/>
        </w:trPr>
        <w:tc>
          <w:tcPr>
            <w:tcW w:w="1271" w:type="dxa"/>
            <w:vAlign w:val="center"/>
          </w:tcPr>
          <w:p w14:paraId="4D6323EE"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5.2. speciālais budžets</w:t>
            </w:r>
          </w:p>
        </w:tc>
        <w:tc>
          <w:tcPr>
            <w:tcW w:w="1134" w:type="dxa"/>
            <w:vMerge/>
            <w:shd w:val="clear" w:color="auto" w:fill="auto"/>
            <w:vAlign w:val="center"/>
          </w:tcPr>
          <w:p w14:paraId="6F6647BC" w14:textId="77777777"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14:paraId="41DAF52D"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07FC9F2F"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01738DC4"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49125AD0"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6032C9C2"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177307DF"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4A9638CD" w14:textId="77777777" w:rsidTr="00A55A30">
        <w:trPr>
          <w:jc w:val="center"/>
        </w:trPr>
        <w:tc>
          <w:tcPr>
            <w:tcW w:w="1271" w:type="dxa"/>
            <w:vAlign w:val="center"/>
          </w:tcPr>
          <w:p w14:paraId="6476538F"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5.3. pašvaldību budžets </w:t>
            </w:r>
          </w:p>
        </w:tc>
        <w:tc>
          <w:tcPr>
            <w:tcW w:w="1134" w:type="dxa"/>
            <w:vMerge/>
            <w:shd w:val="clear" w:color="auto" w:fill="auto"/>
            <w:vAlign w:val="center"/>
          </w:tcPr>
          <w:p w14:paraId="2A708737" w14:textId="77777777"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14:paraId="3A0022E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14:paraId="324783D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14:paraId="7C9957A5"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14:paraId="21C449E8"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02541197"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14:paraId="6E338C31"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14:paraId="1E151109" w14:textId="77777777" w:rsidTr="00A55A30">
        <w:trPr>
          <w:jc w:val="center"/>
        </w:trPr>
        <w:tc>
          <w:tcPr>
            <w:tcW w:w="1271" w:type="dxa"/>
            <w:vAlign w:val="center"/>
          </w:tcPr>
          <w:p w14:paraId="000DEAC4"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 Detalizēts ieņēmumu un izdevu</w:t>
            </w:r>
            <w:r w:rsidRPr="00A55A30">
              <w:rPr>
                <w:rFonts w:ascii="Times New Roman" w:hAnsi="Times New Roman" w:cs="Times New Roman"/>
                <w:color w:val="000000" w:themeColor="text1"/>
                <w:sz w:val="24"/>
                <w:szCs w:val="24"/>
              </w:rPr>
              <w:softHyphen/>
              <w:t xml:space="preserve">mu aprēķins (ja nepieciešams, detalizētu ieņēmumu un izdevumu aprēķinu var pievienot anotācijas </w:t>
            </w:r>
            <w:r w:rsidRPr="00A55A30">
              <w:rPr>
                <w:rFonts w:ascii="Times New Roman" w:hAnsi="Times New Roman" w:cs="Times New Roman"/>
                <w:color w:val="000000" w:themeColor="text1"/>
                <w:sz w:val="24"/>
                <w:szCs w:val="24"/>
              </w:rPr>
              <w:lastRenderedPageBreak/>
              <w:t>pielikumā):</w:t>
            </w:r>
          </w:p>
        </w:tc>
        <w:tc>
          <w:tcPr>
            <w:tcW w:w="7836" w:type="dxa"/>
            <w:gridSpan w:val="7"/>
            <w:vMerge w:val="restart"/>
            <w:vAlign w:val="center"/>
          </w:tcPr>
          <w:p w14:paraId="30F40FF6" w14:textId="77777777" w:rsidR="00A55A30" w:rsidRPr="00A55A30" w:rsidRDefault="00A55A30" w:rsidP="00D2093A">
            <w:pPr>
              <w:pStyle w:val="naisf"/>
              <w:spacing w:before="0" w:beforeAutospacing="0" w:after="0" w:afterAutospacing="0"/>
              <w:jc w:val="center"/>
              <w:rPr>
                <w:color w:val="000000" w:themeColor="text1"/>
              </w:rPr>
            </w:pPr>
          </w:p>
        </w:tc>
      </w:tr>
      <w:tr w:rsidR="00A55A30" w:rsidRPr="00A55A30" w14:paraId="4D257A9B" w14:textId="77777777" w:rsidTr="00A55A30">
        <w:trPr>
          <w:jc w:val="center"/>
        </w:trPr>
        <w:tc>
          <w:tcPr>
            <w:tcW w:w="1271" w:type="dxa"/>
            <w:vAlign w:val="center"/>
          </w:tcPr>
          <w:p w14:paraId="293B3E05"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6.1. detalizēts ieņēmumu aprēķins</w:t>
            </w:r>
          </w:p>
        </w:tc>
        <w:tc>
          <w:tcPr>
            <w:tcW w:w="7836" w:type="dxa"/>
            <w:gridSpan w:val="7"/>
            <w:vMerge/>
            <w:vAlign w:val="center"/>
          </w:tcPr>
          <w:p w14:paraId="60C6FEAF" w14:textId="77777777" w:rsidR="00A55A30" w:rsidRPr="00A55A30" w:rsidRDefault="00A55A30" w:rsidP="00D2093A">
            <w:pPr>
              <w:pStyle w:val="naisf"/>
              <w:spacing w:before="0" w:beforeAutospacing="0" w:after="0" w:afterAutospacing="0"/>
              <w:rPr>
                <w:color w:val="000000" w:themeColor="text1"/>
              </w:rPr>
            </w:pPr>
          </w:p>
        </w:tc>
      </w:tr>
      <w:tr w:rsidR="00A55A30" w:rsidRPr="00A55A30" w14:paraId="652F947E" w14:textId="77777777" w:rsidTr="00A55A30">
        <w:trPr>
          <w:trHeight w:val="727"/>
          <w:jc w:val="center"/>
        </w:trPr>
        <w:tc>
          <w:tcPr>
            <w:tcW w:w="1271" w:type="dxa"/>
            <w:vAlign w:val="center"/>
          </w:tcPr>
          <w:p w14:paraId="31DD6FE4"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6.2. detalizēts izdevumu aprēķins</w:t>
            </w:r>
          </w:p>
        </w:tc>
        <w:tc>
          <w:tcPr>
            <w:tcW w:w="7836" w:type="dxa"/>
            <w:gridSpan w:val="7"/>
            <w:vMerge/>
            <w:vAlign w:val="center"/>
          </w:tcPr>
          <w:p w14:paraId="171A40AB" w14:textId="77777777" w:rsidR="00A55A30" w:rsidRPr="00A55A30" w:rsidRDefault="00A55A30" w:rsidP="00D2093A">
            <w:pPr>
              <w:pStyle w:val="naisf"/>
              <w:spacing w:before="0" w:beforeAutospacing="0" w:after="0" w:afterAutospacing="0"/>
              <w:jc w:val="center"/>
              <w:rPr>
                <w:b/>
                <w:color w:val="000000" w:themeColor="text1"/>
              </w:rPr>
            </w:pPr>
          </w:p>
        </w:tc>
      </w:tr>
      <w:tr w:rsidR="00A55A30" w:rsidRPr="00A55A30" w14:paraId="76196818" w14:textId="77777777" w:rsidTr="00A55A30">
        <w:trPr>
          <w:trHeight w:val="727"/>
          <w:jc w:val="center"/>
        </w:trPr>
        <w:tc>
          <w:tcPr>
            <w:tcW w:w="1271" w:type="dxa"/>
            <w:vAlign w:val="center"/>
          </w:tcPr>
          <w:p w14:paraId="6D60A4B3" w14:textId="77777777"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7. Amata vietu skaita izmaiņas</w:t>
            </w:r>
          </w:p>
        </w:tc>
        <w:tc>
          <w:tcPr>
            <w:tcW w:w="7836" w:type="dxa"/>
            <w:gridSpan w:val="7"/>
            <w:vAlign w:val="center"/>
          </w:tcPr>
          <w:p w14:paraId="2F9B5BB1" w14:textId="77777777"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Nav plānotas.</w:t>
            </w:r>
          </w:p>
        </w:tc>
      </w:tr>
      <w:tr w:rsidR="00A55A30" w:rsidRPr="00A55A30" w14:paraId="30298912" w14:textId="77777777" w:rsidTr="00A55A30">
        <w:trPr>
          <w:jc w:val="center"/>
        </w:trPr>
        <w:tc>
          <w:tcPr>
            <w:tcW w:w="1271" w:type="dxa"/>
            <w:vAlign w:val="center"/>
          </w:tcPr>
          <w:p w14:paraId="47BB55E8" w14:textId="77777777" w:rsidR="00A55A30" w:rsidRPr="00A55A30" w:rsidRDefault="00A55A30" w:rsidP="00D2093A">
            <w:pPr>
              <w:jc w:val="both"/>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 8.Cita informācija</w:t>
            </w:r>
          </w:p>
        </w:tc>
        <w:tc>
          <w:tcPr>
            <w:tcW w:w="7836" w:type="dxa"/>
            <w:gridSpan w:val="7"/>
            <w:vAlign w:val="center"/>
          </w:tcPr>
          <w:p w14:paraId="78DB826A" w14:textId="77777777" w:rsidR="00E601C6" w:rsidRPr="00160669" w:rsidRDefault="00667B6D" w:rsidP="00667B6D">
            <w:pPr>
              <w:pStyle w:val="naisf"/>
              <w:spacing w:before="0" w:beforeAutospacing="0" w:after="0" w:afterAutospacing="0"/>
              <w:jc w:val="both"/>
              <w:rPr>
                <w:color w:val="000000"/>
              </w:rPr>
            </w:pPr>
            <w:r>
              <w:t xml:space="preserve">Aizsardzības ministrijas budžetā ir ieplānoti līdzekļi, kuri paredzēti, lai realizētu militāra vai divējāda pielietojuma produktu atbalsta sistēmas ieviešanu, saskaņā ar likumprojekta pilnvaroto </w:t>
            </w:r>
            <w:r w:rsidRPr="00E601C6">
              <w:rPr>
                <w:color w:val="000000"/>
              </w:rPr>
              <w:t>kārtību, kādā Aizsardzības ministrija īsteno projektu konkursus militāru vai divējāda pielietojuma produktu attīstības atbalstam</w:t>
            </w:r>
            <w:r w:rsidR="00160669">
              <w:rPr>
                <w:color w:val="000000"/>
              </w:rPr>
              <w:t xml:space="preserve"> (šobrīd tas tiek veikts</w:t>
            </w:r>
            <w:r w:rsidR="0088137E">
              <w:rPr>
                <w:color w:val="000000"/>
              </w:rPr>
              <w:t>,</w:t>
            </w:r>
            <w:r w:rsidR="00160669">
              <w:rPr>
                <w:color w:val="000000"/>
              </w:rPr>
              <w:t xml:space="preserve"> organizējot grantu konkursu</w:t>
            </w:r>
            <w:r w:rsidR="0088137E">
              <w:rPr>
                <w:color w:val="000000"/>
              </w:rPr>
              <w:t>,</w:t>
            </w:r>
            <w:r w:rsidR="00160669">
              <w:rPr>
                <w:color w:val="000000"/>
              </w:rPr>
              <w:t xml:space="preserve"> pamatojoties uz </w:t>
            </w:r>
            <w:r w:rsidR="002838F5" w:rsidRPr="002838F5">
              <w:t>2018. gada 28. augusta noteikumi</w:t>
            </w:r>
            <w:r w:rsidR="00160669">
              <w:t>em</w:t>
            </w:r>
            <w:r w:rsidR="002838F5" w:rsidRPr="002838F5">
              <w:t xml:space="preserve"> Nr.</w:t>
            </w:r>
            <w:r w:rsidR="0088137E">
              <w:t> </w:t>
            </w:r>
            <w:r w:rsidR="002838F5" w:rsidRPr="002838F5">
              <w:t>544 “Kārtība, kādā Aizsardzības ministrija īsteno projektu konkursu militāru vai divējāda lietojuma produktu attīstības atbalstam”</w:t>
            </w:r>
            <w:r w:rsidR="001A31AA">
              <w:t>).</w:t>
            </w:r>
          </w:p>
          <w:p w14:paraId="1827143F" w14:textId="77777777" w:rsidR="00160669" w:rsidRDefault="00160669" w:rsidP="00667B6D">
            <w:pPr>
              <w:pStyle w:val="naisf"/>
              <w:spacing w:before="0" w:beforeAutospacing="0" w:after="0" w:afterAutospacing="0"/>
              <w:jc w:val="both"/>
            </w:pPr>
          </w:p>
          <w:p w14:paraId="2E40728E" w14:textId="6D50972A" w:rsidR="00A55A30" w:rsidRDefault="00A55A30" w:rsidP="001A31AA">
            <w:pPr>
              <w:pStyle w:val="naisf"/>
              <w:spacing w:before="0" w:beforeAutospacing="0" w:after="0" w:afterAutospacing="0"/>
              <w:jc w:val="both"/>
            </w:pPr>
            <w:r w:rsidRPr="00A55A30">
              <w:t>Militāra vai divējāda pielietojuma pr</w:t>
            </w:r>
            <w:r w:rsidR="00160669">
              <w:t>oduktu atbalsts no 2019.–2022</w:t>
            </w:r>
            <w:r w:rsidRPr="00A55A30">
              <w:t>.</w:t>
            </w:r>
            <w:r w:rsidR="0088137E">
              <w:t> </w:t>
            </w:r>
            <w:r w:rsidRPr="00A55A30">
              <w:t xml:space="preserve">gadam tiks īstenots no Aizsardzības ministrijas budžeta apakšprogrammas 22.12.00 “Nacionālo bruņoto spēku uzturēšana”, ik gadu plānojot atbalstīt 6–8 militāra vai divējāda pielietojuma produktu atbalsta pieteikumus par vidējo summu 50 000 </w:t>
            </w:r>
            <w:r w:rsidR="00160669">
              <w:rPr>
                <w:i/>
              </w:rPr>
              <w:t xml:space="preserve">euro </w:t>
            </w:r>
            <w:r w:rsidR="001A31AA">
              <w:t>(2019.</w:t>
            </w:r>
            <w:r w:rsidR="0088137E">
              <w:t> </w:t>
            </w:r>
            <w:r w:rsidR="001A31AA">
              <w:t>gada 16.</w:t>
            </w:r>
            <w:r w:rsidR="0088137E">
              <w:t> </w:t>
            </w:r>
            <w:r w:rsidR="001A31AA">
              <w:t>janvārī noslēdzās pirmā grantu uzsaukuma projektu pieņemšana, kuras laikā kopumā iesniegti 15</w:t>
            </w:r>
            <w:r w:rsidR="0088137E">
              <w:t> </w:t>
            </w:r>
            <w:r w:rsidR="001A31AA">
              <w:t xml:space="preserve">projekti un to realizēšanai tiek prasīts Aizsardzības ministrijas līdzfinansējums amplitūdā no 2000 līdz 75 000 </w:t>
            </w:r>
            <w:r w:rsidR="001A31AA" w:rsidRPr="001A31AA">
              <w:rPr>
                <w:i/>
              </w:rPr>
              <w:t>euro</w:t>
            </w:r>
            <w:r w:rsidR="001A31AA">
              <w:rPr>
                <w:i/>
              </w:rPr>
              <w:t xml:space="preserve">. </w:t>
            </w:r>
            <w:r w:rsidR="001A31AA">
              <w:t>Aizsardzības ministrija šobrīd turpina vērtēt iesniegto projektu atbilstību MK 2018.</w:t>
            </w:r>
            <w:r w:rsidR="0088137E">
              <w:t> </w:t>
            </w:r>
            <w:r w:rsidR="001A31AA">
              <w:t>gada 28.</w:t>
            </w:r>
            <w:r w:rsidR="0088137E">
              <w:t> </w:t>
            </w:r>
            <w:r w:rsidR="001A31AA">
              <w:t>augusta noteikumos</w:t>
            </w:r>
            <w:r w:rsidR="001A31AA" w:rsidRPr="002838F5">
              <w:t xml:space="preserve"> Nr.</w:t>
            </w:r>
            <w:r w:rsidR="0088137E">
              <w:t> </w:t>
            </w:r>
            <w:r w:rsidR="001A31AA" w:rsidRPr="002838F5">
              <w:t>544</w:t>
            </w:r>
            <w:r w:rsidR="001A31AA">
              <w:t xml:space="preserve"> noteiktajiem vērtēšanas kritērijiem). </w:t>
            </w:r>
          </w:p>
          <w:p w14:paraId="797777DE" w14:textId="77777777" w:rsidR="005D239F" w:rsidRDefault="005D239F" w:rsidP="001A31AA">
            <w:pPr>
              <w:pStyle w:val="naisf"/>
              <w:spacing w:before="0" w:beforeAutospacing="0" w:after="0" w:afterAutospacing="0"/>
              <w:jc w:val="both"/>
            </w:pPr>
          </w:p>
          <w:p w14:paraId="773E6805" w14:textId="77777777" w:rsidR="005D239F" w:rsidRPr="001A31AA" w:rsidRDefault="005D239F" w:rsidP="00794FFA">
            <w:pPr>
              <w:pStyle w:val="naisf"/>
              <w:spacing w:before="0" w:beforeAutospacing="0" w:after="0" w:afterAutospacing="0"/>
              <w:jc w:val="both"/>
            </w:pPr>
            <w:r>
              <w:t xml:space="preserve">* </w:t>
            </w:r>
            <w:r w:rsidR="00794FFA">
              <w:t xml:space="preserve">Atbilstoši </w:t>
            </w:r>
            <w:r>
              <w:t xml:space="preserve">Aizsardzības ministrijas </w:t>
            </w:r>
            <w:r w:rsidR="00794FFA">
              <w:t xml:space="preserve">pamatbudžeta </w:t>
            </w:r>
            <w:r>
              <w:t xml:space="preserve">bāzes </w:t>
            </w:r>
            <w:r w:rsidR="00794FFA">
              <w:t>izdevumos 2021.</w:t>
            </w:r>
            <w:r w:rsidR="0088137E">
              <w:t> </w:t>
            </w:r>
            <w:r w:rsidR="00794FFA">
              <w:t xml:space="preserve">gadā plānotajam finansējumam 400 000 </w:t>
            </w:r>
            <w:r w:rsidR="00794FFA" w:rsidRPr="00D8621D">
              <w:rPr>
                <w:i/>
              </w:rPr>
              <w:t>euro</w:t>
            </w:r>
            <w:r w:rsidR="00794FFA">
              <w:t xml:space="preserve"> apmērā.</w:t>
            </w:r>
          </w:p>
        </w:tc>
      </w:tr>
    </w:tbl>
    <w:p w14:paraId="447C37C1"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3F77C7" w:rsidRPr="00DD5481" w14:paraId="2DD2986E" w14:textId="77777777"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3B423"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3F77C7" w:rsidRPr="00DD5481" w14:paraId="2853ED91" w14:textId="77777777" w:rsidTr="003F77C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2E753A" w14:textId="77777777" w:rsidR="003F77C7" w:rsidRPr="00DD5481" w:rsidRDefault="003F77C7" w:rsidP="003F77C7">
            <w:pPr>
              <w:spacing w:before="100" w:beforeAutospacing="1" w:after="0" w:line="240" w:lineRule="auto"/>
              <w:jc w:val="center"/>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Projekts šo jomu neskar.</w:t>
            </w:r>
          </w:p>
        </w:tc>
      </w:tr>
    </w:tbl>
    <w:p w14:paraId="36CD8FB2"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3F77C7" w:rsidRPr="00DD5481" w14:paraId="51E21554" w14:textId="77777777"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E7D1A"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2F2CF4" w:rsidRPr="00DD5481" w14:paraId="18046CDB" w14:textId="77777777"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590AE9" w14:textId="77777777" w:rsidR="002F2CF4" w:rsidRPr="00DD5481" w:rsidRDefault="002F2CF4" w:rsidP="002F2CF4">
            <w:pPr>
              <w:spacing w:before="100" w:beforeAutospacing="1" w:after="0" w:line="240" w:lineRule="auto"/>
              <w:jc w:val="center"/>
              <w:rPr>
                <w:rFonts w:ascii="Times New Roman" w:eastAsia="Times New Roman" w:hAnsi="Times New Roman" w:cs="Times New Roman"/>
                <w:bCs/>
                <w:iCs/>
                <w:color w:val="000000"/>
                <w:sz w:val="24"/>
                <w:szCs w:val="24"/>
                <w:lang w:eastAsia="lv-LV"/>
              </w:rPr>
            </w:pPr>
            <w:r w:rsidRPr="00DD5481">
              <w:rPr>
                <w:rFonts w:ascii="Times New Roman" w:eastAsia="Times New Roman" w:hAnsi="Times New Roman" w:cs="Times New Roman"/>
                <w:bCs/>
                <w:iCs/>
                <w:color w:val="000000"/>
                <w:sz w:val="24"/>
                <w:szCs w:val="24"/>
                <w:lang w:eastAsia="lv-LV"/>
              </w:rPr>
              <w:t>Projekts šo jomu neskar.</w:t>
            </w:r>
          </w:p>
        </w:tc>
      </w:tr>
    </w:tbl>
    <w:p w14:paraId="7CD0C9B9"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14:paraId="1EDEBD69" w14:textId="77777777"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7B8F0"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VI. Sabiedrības līdzdalība un komunikācijas aktivitātes</w:t>
            </w:r>
          </w:p>
        </w:tc>
      </w:tr>
      <w:tr w:rsidR="003F77C7" w:rsidRPr="00DD5481" w14:paraId="44AF42FB" w14:textId="77777777"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15201D"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F7DD080"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8B4A1C7" w14:textId="47C41CA5" w:rsidR="003F77C7" w:rsidRPr="009858DF" w:rsidRDefault="009858DF" w:rsidP="009858DF">
            <w:pPr>
              <w:spacing w:before="100" w:beforeAutospacing="1" w:after="0" w:line="240" w:lineRule="auto"/>
              <w:jc w:val="both"/>
              <w:rPr>
                <w:rFonts w:ascii="Times New Roman" w:hAnsi="Times New Roman" w:cs="Times New Roman"/>
                <w:bCs/>
                <w:sz w:val="24"/>
                <w:szCs w:val="24"/>
              </w:rPr>
            </w:pPr>
            <w:r w:rsidRPr="009858DF">
              <w:rPr>
                <w:rFonts w:ascii="Times New Roman" w:hAnsi="Times New Roman" w:cs="Times New Roman"/>
                <w:bCs/>
                <w:sz w:val="24"/>
                <w:szCs w:val="24"/>
              </w:rPr>
              <w:t xml:space="preserve">Projekta izstrādes laikā organizētas konsultācijas ar Latvijas Drošības un aizsardzības federācijas </w:t>
            </w:r>
            <w:r>
              <w:rPr>
                <w:rFonts w:ascii="Times New Roman" w:hAnsi="Times New Roman" w:cs="Times New Roman"/>
                <w:bCs/>
                <w:sz w:val="24"/>
                <w:szCs w:val="24"/>
              </w:rPr>
              <w:t>pārstāvjiem</w:t>
            </w:r>
            <w:r w:rsidRPr="009858DF">
              <w:rPr>
                <w:rFonts w:ascii="Times New Roman" w:hAnsi="Times New Roman" w:cs="Times New Roman"/>
                <w:bCs/>
                <w:sz w:val="24"/>
                <w:szCs w:val="24"/>
              </w:rPr>
              <w:t>, kā arī projekts izvietots Aizsardzības ministrijas mājaslap</w:t>
            </w:r>
            <w:r w:rsidR="0088137E">
              <w:rPr>
                <w:rFonts w:ascii="Times New Roman" w:hAnsi="Times New Roman" w:cs="Times New Roman"/>
                <w:bCs/>
                <w:sz w:val="24"/>
                <w:szCs w:val="24"/>
              </w:rPr>
              <w:t>as</w:t>
            </w:r>
            <w:r w:rsidRPr="009858DF">
              <w:rPr>
                <w:rFonts w:ascii="Times New Roman" w:hAnsi="Times New Roman" w:cs="Times New Roman"/>
                <w:bCs/>
                <w:sz w:val="24"/>
                <w:szCs w:val="24"/>
              </w:rPr>
              <w:t xml:space="preserve"> sadaļā “Sabiedrības līdzdalība”.</w:t>
            </w:r>
          </w:p>
        </w:tc>
      </w:tr>
      <w:tr w:rsidR="009858DF" w:rsidRPr="00DD5481" w14:paraId="3EA62C34" w14:textId="77777777"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A98269"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FCA6DA"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699AF37" w14:textId="77777777" w:rsidR="009858DF" w:rsidRPr="009858DF" w:rsidRDefault="009858DF" w:rsidP="009858DF">
            <w:pPr>
              <w:jc w:val="both"/>
              <w:rPr>
                <w:rFonts w:ascii="Times New Roman" w:hAnsi="Times New Roman" w:cs="Times New Roman"/>
                <w:bCs/>
                <w:sz w:val="24"/>
                <w:szCs w:val="24"/>
              </w:rPr>
            </w:pPr>
            <w:r w:rsidRPr="009858DF">
              <w:rPr>
                <w:rFonts w:ascii="Times New Roman" w:hAnsi="Times New Roman" w:cs="Times New Roman"/>
                <w:bCs/>
                <w:sz w:val="24"/>
                <w:szCs w:val="24"/>
              </w:rPr>
              <w:t>Projekta izstrādes gaitā organizētas konsultācijas ar Latvijas Drošības un aizsardzības industriju federācijas pārstāvjiem.</w:t>
            </w:r>
          </w:p>
          <w:p w14:paraId="00E3CFC3" w14:textId="498BBF7B" w:rsidR="009858DF" w:rsidRPr="009858DF" w:rsidRDefault="009858DF" w:rsidP="009858DF">
            <w:pPr>
              <w:rPr>
                <w:rFonts w:ascii="Times New Roman" w:hAnsi="Times New Roman" w:cs="Times New Roman"/>
                <w:sz w:val="24"/>
                <w:szCs w:val="24"/>
              </w:rPr>
            </w:pPr>
            <w:r w:rsidRPr="009858DF">
              <w:rPr>
                <w:rFonts w:ascii="Times New Roman" w:hAnsi="Times New Roman" w:cs="Times New Roman"/>
                <w:bCs/>
                <w:sz w:val="24"/>
                <w:szCs w:val="24"/>
              </w:rPr>
              <w:t xml:space="preserve">Projekts publicēts Aizsardzības ministrijas tīmekļvietnē </w:t>
            </w:r>
            <w:r w:rsidRPr="009858DF">
              <w:rPr>
                <w:rFonts w:ascii="Times New Roman" w:hAnsi="Times New Roman" w:cs="Times New Roman"/>
                <w:bCs/>
                <w:i/>
                <w:sz w:val="24"/>
                <w:szCs w:val="24"/>
              </w:rPr>
              <w:t>www.mod.gov.lv</w:t>
            </w:r>
            <w:r w:rsidR="0088137E">
              <w:rPr>
                <w:rFonts w:ascii="Times New Roman" w:hAnsi="Times New Roman" w:cs="Times New Roman"/>
                <w:bCs/>
                <w:sz w:val="24"/>
                <w:szCs w:val="24"/>
              </w:rPr>
              <w:t>,</w:t>
            </w:r>
            <w:r w:rsidRPr="009858DF">
              <w:rPr>
                <w:rFonts w:ascii="Times New Roman" w:hAnsi="Times New Roman" w:cs="Times New Roman"/>
                <w:bCs/>
                <w:i/>
                <w:sz w:val="24"/>
                <w:szCs w:val="24"/>
              </w:rPr>
              <w:t xml:space="preserve"> </w:t>
            </w:r>
            <w:r w:rsidRPr="009858DF">
              <w:rPr>
                <w:rFonts w:ascii="Times New Roman" w:hAnsi="Times New Roman" w:cs="Times New Roman"/>
                <w:bCs/>
                <w:sz w:val="24"/>
                <w:szCs w:val="24"/>
              </w:rPr>
              <w:t xml:space="preserve">sadaļā “Sabiedrības līdzdalība” </w:t>
            </w:r>
            <w:r w:rsidR="00BB5037" w:rsidRPr="00BB5037">
              <w:rPr>
                <w:rFonts w:ascii="Times New Roman" w:hAnsi="Times New Roman" w:cs="Times New Roman"/>
                <w:bCs/>
                <w:sz w:val="24"/>
                <w:szCs w:val="24"/>
              </w:rPr>
              <w:t>2018.</w:t>
            </w:r>
            <w:r w:rsidR="0088137E">
              <w:rPr>
                <w:rFonts w:ascii="Times New Roman" w:hAnsi="Times New Roman" w:cs="Times New Roman"/>
                <w:bCs/>
                <w:sz w:val="24"/>
                <w:szCs w:val="24"/>
              </w:rPr>
              <w:t> </w:t>
            </w:r>
            <w:r w:rsidR="00BB5037" w:rsidRPr="00BB5037">
              <w:rPr>
                <w:rFonts w:ascii="Times New Roman" w:hAnsi="Times New Roman" w:cs="Times New Roman"/>
                <w:bCs/>
                <w:sz w:val="24"/>
                <w:szCs w:val="24"/>
              </w:rPr>
              <w:t>gada 2.</w:t>
            </w:r>
            <w:r w:rsidR="0088137E">
              <w:rPr>
                <w:rFonts w:ascii="Times New Roman" w:hAnsi="Times New Roman" w:cs="Times New Roman"/>
                <w:bCs/>
                <w:sz w:val="24"/>
                <w:szCs w:val="24"/>
              </w:rPr>
              <w:t> </w:t>
            </w:r>
            <w:r w:rsidRPr="00BB5037">
              <w:rPr>
                <w:rFonts w:ascii="Times New Roman" w:hAnsi="Times New Roman" w:cs="Times New Roman"/>
                <w:bCs/>
                <w:sz w:val="24"/>
                <w:szCs w:val="24"/>
              </w:rPr>
              <w:t>augustā.</w:t>
            </w:r>
          </w:p>
        </w:tc>
      </w:tr>
      <w:tr w:rsidR="009858DF" w:rsidRPr="00DD5481" w14:paraId="23537391" w14:textId="77777777"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FAA1DC"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202121"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CA3CF46" w14:textId="77777777" w:rsidR="009858DF" w:rsidRPr="009858DF" w:rsidRDefault="009858DF" w:rsidP="009858DF">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9858DF">
              <w:rPr>
                <w:rFonts w:ascii="Times New Roman" w:hAnsi="Times New Roman" w:cs="Times New Roman"/>
                <w:bCs/>
                <w:sz w:val="24"/>
                <w:szCs w:val="24"/>
              </w:rPr>
              <w:t>Sabiedrības priekšlikumi, atsaucoties uz Aizsardzības ministrijas mājaslapā publicēto informāciju, noteiktajā laika periodā netika sniegti.</w:t>
            </w:r>
          </w:p>
        </w:tc>
      </w:tr>
      <w:tr w:rsidR="009858DF" w:rsidRPr="00DD5481" w14:paraId="1EEB0B3A" w14:textId="77777777"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8551EC"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CA4B92E" w14:textId="77777777"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0E983" w14:textId="5862F9B2" w:rsidR="009858DF" w:rsidRPr="00DD5481" w:rsidRDefault="009858DF" w:rsidP="009858DF">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Sabiedrība pēc projekta pieņemšanas tiks informēta ar publikāciju oficiālajā izdevumā </w:t>
            </w:r>
            <w:r w:rsidR="0088137E">
              <w:rPr>
                <w:rFonts w:ascii="Times New Roman" w:eastAsia="Times New Roman" w:hAnsi="Times New Roman" w:cs="Times New Roman"/>
                <w:iCs/>
                <w:color w:val="000000"/>
                <w:sz w:val="24"/>
                <w:szCs w:val="24"/>
                <w:lang w:eastAsia="lv-LV"/>
              </w:rPr>
              <w:t>“</w:t>
            </w:r>
            <w:r w:rsidRPr="00DD5481">
              <w:rPr>
                <w:rFonts w:ascii="Times New Roman" w:eastAsia="Times New Roman" w:hAnsi="Times New Roman" w:cs="Times New Roman"/>
                <w:iCs/>
                <w:color w:val="000000"/>
                <w:sz w:val="24"/>
                <w:szCs w:val="24"/>
                <w:lang w:eastAsia="lv-LV"/>
              </w:rPr>
              <w:t>Latvijas Vēstnesis</w:t>
            </w:r>
            <w:r w:rsidR="0088137E">
              <w:rPr>
                <w:rFonts w:ascii="Times New Roman" w:eastAsia="Times New Roman" w:hAnsi="Times New Roman" w:cs="Times New Roman"/>
                <w:iCs/>
                <w:color w:val="000000"/>
                <w:sz w:val="24"/>
                <w:szCs w:val="24"/>
                <w:lang w:eastAsia="lv-LV"/>
              </w:rPr>
              <w:t>”</w:t>
            </w:r>
            <w:r w:rsidRPr="00DD5481">
              <w:rPr>
                <w:rFonts w:ascii="Times New Roman" w:eastAsia="Times New Roman" w:hAnsi="Times New Roman" w:cs="Times New Roman"/>
                <w:iCs/>
                <w:color w:val="000000"/>
                <w:sz w:val="24"/>
                <w:szCs w:val="24"/>
                <w:lang w:eastAsia="lv-LV"/>
              </w:rPr>
              <w:t>, kā arī ievietojot to bezmaksas normatī</w:t>
            </w:r>
            <w:r w:rsidR="00BB5037">
              <w:rPr>
                <w:rFonts w:ascii="Times New Roman" w:eastAsia="Times New Roman" w:hAnsi="Times New Roman" w:cs="Times New Roman"/>
                <w:iCs/>
                <w:color w:val="000000"/>
                <w:sz w:val="24"/>
                <w:szCs w:val="24"/>
                <w:lang w:eastAsia="lv-LV"/>
              </w:rPr>
              <w:t xml:space="preserve">vo aktu datubāzē </w:t>
            </w:r>
            <w:r w:rsidR="00BB5037" w:rsidRPr="004D6593">
              <w:rPr>
                <w:rFonts w:ascii="Times New Roman" w:eastAsia="Times New Roman" w:hAnsi="Times New Roman" w:cs="Times New Roman"/>
                <w:i/>
                <w:iCs/>
                <w:color w:val="000000"/>
                <w:sz w:val="24"/>
                <w:szCs w:val="24"/>
                <w:lang w:eastAsia="lv-LV"/>
              </w:rPr>
              <w:t>www.likumi.lv</w:t>
            </w:r>
            <w:r w:rsidR="0088137E">
              <w:rPr>
                <w:rFonts w:ascii="Times New Roman" w:eastAsia="Times New Roman" w:hAnsi="Times New Roman" w:cs="Times New Roman"/>
                <w:iCs/>
                <w:color w:val="000000"/>
                <w:sz w:val="24"/>
                <w:szCs w:val="24"/>
                <w:lang w:eastAsia="lv-LV"/>
              </w:rPr>
              <w:t>.</w:t>
            </w:r>
          </w:p>
        </w:tc>
      </w:tr>
    </w:tbl>
    <w:p w14:paraId="3A1A723C"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14:paraId="5F68245D" w14:textId="77777777"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9D2A2F" w14:textId="77777777"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3F77C7" w:rsidRPr="00DD5481" w14:paraId="4CE79F31" w14:textId="77777777" w:rsidTr="003B2E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47F514"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891CC52"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C582747" w14:textId="77777777" w:rsidR="003F77C7" w:rsidRPr="00DD5481" w:rsidRDefault="009858DF"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 xml:space="preserve">Aizsardzības ministrija, Nacionālie bruņotie spēki </w:t>
            </w:r>
          </w:p>
        </w:tc>
      </w:tr>
      <w:tr w:rsidR="003F77C7" w:rsidRPr="00DD5481" w14:paraId="70670868" w14:textId="77777777" w:rsidTr="003B2E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D2F0D1"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6D6FD8"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izpildes ietekme uz pārvaldes funkcijām un institucionālo struktūru.</w:t>
            </w:r>
            <w:r w:rsidRPr="00DD5481">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8689D4A" w14:textId="77777777"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Projekta izpilde notiks esošo pārvaldes funkciju un institucionālās struktūras ietvaros.</w:t>
            </w:r>
          </w:p>
        </w:tc>
      </w:tr>
      <w:tr w:rsidR="003F77C7" w:rsidRPr="00DD5481" w14:paraId="2E3155FD" w14:textId="77777777" w:rsidTr="003B2E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A6688"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FC46D8" w14:textId="77777777"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36CBB3" w14:textId="77777777"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14:paraId="35BC9B16" w14:textId="77777777" w:rsidR="009858DF" w:rsidRDefault="003B2E20" w:rsidP="00E77156">
      <w:pPr>
        <w:tabs>
          <w:tab w:val="left" w:pos="6521"/>
        </w:tabs>
        <w:spacing w:before="100" w:beforeAutospacing="1" w:after="0" w:line="240" w:lineRule="auto"/>
        <w:jc w:val="both"/>
        <w:rPr>
          <w:rFonts w:ascii="Times New Roman" w:eastAsia="Times New Roman" w:hAnsi="Times New Roman" w:cs="Times New Roman"/>
          <w:color w:val="000000"/>
          <w:sz w:val="24"/>
          <w:szCs w:val="24"/>
          <w:lang w:eastAsia="lv-LV"/>
        </w:rPr>
      </w:pPr>
      <w:r w:rsidRPr="003B2E20">
        <w:rPr>
          <w:rFonts w:ascii="Times New Roman" w:eastAsia="Times New Roman" w:hAnsi="Times New Roman" w:cs="Times New Roman"/>
          <w:color w:val="000000"/>
          <w:sz w:val="24"/>
          <w:szCs w:val="24"/>
          <w:lang w:eastAsia="lv-LV"/>
        </w:rPr>
        <w:t>Ministru prezidenta biedrs, aizsardzības ministrs</w:t>
      </w:r>
      <w:r w:rsidR="003F77C7" w:rsidRPr="009858DF">
        <w:rPr>
          <w:rFonts w:ascii="Times New Roman" w:eastAsia="Times New Roman" w:hAnsi="Times New Roman" w:cs="Times New Roman"/>
          <w:color w:val="000000"/>
          <w:sz w:val="24"/>
          <w:szCs w:val="24"/>
          <w:lang w:eastAsia="lv-LV"/>
        </w:rPr>
        <w:tab/>
      </w:r>
      <w:r w:rsidR="009858DF">
        <w:rPr>
          <w:rFonts w:ascii="Times New Roman" w:eastAsia="Times New Roman" w:hAnsi="Times New Roman" w:cs="Times New Roman"/>
          <w:color w:val="000000"/>
          <w:sz w:val="24"/>
          <w:szCs w:val="24"/>
          <w:lang w:eastAsia="lv-LV"/>
        </w:rPr>
        <w:t xml:space="preserve">                    </w:t>
      </w:r>
      <w:bookmarkStart w:id="2" w:name="_GoBack"/>
      <w:bookmarkEnd w:id="2"/>
      <w:r w:rsidR="009858DF">
        <w:rPr>
          <w:rFonts w:ascii="Times New Roman" w:eastAsia="Times New Roman" w:hAnsi="Times New Roman" w:cs="Times New Roman"/>
          <w:color w:val="000000"/>
          <w:sz w:val="24"/>
          <w:szCs w:val="24"/>
          <w:lang w:eastAsia="lv-LV"/>
        </w:rPr>
        <w:t xml:space="preserve"> </w:t>
      </w:r>
      <w:r w:rsidR="002838F5">
        <w:rPr>
          <w:rFonts w:ascii="Times New Roman" w:eastAsia="Times New Roman" w:hAnsi="Times New Roman" w:cs="Times New Roman"/>
          <w:color w:val="000000"/>
          <w:sz w:val="24"/>
          <w:szCs w:val="24"/>
          <w:lang w:eastAsia="lv-LV"/>
        </w:rPr>
        <w:t>A</w:t>
      </w:r>
      <w:r w:rsidR="009858DF">
        <w:rPr>
          <w:rFonts w:ascii="Times New Roman" w:eastAsia="Times New Roman" w:hAnsi="Times New Roman" w:cs="Times New Roman"/>
          <w:color w:val="000000"/>
          <w:sz w:val="24"/>
          <w:szCs w:val="24"/>
          <w:lang w:eastAsia="lv-LV"/>
        </w:rPr>
        <w:t>.</w:t>
      </w:r>
      <w:r w:rsidR="003F77C7" w:rsidRPr="009858DF">
        <w:rPr>
          <w:rFonts w:ascii="Times New Roman" w:eastAsia="Times New Roman" w:hAnsi="Times New Roman" w:cs="Times New Roman"/>
          <w:color w:val="000000"/>
          <w:sz w:val="24"/>
          <w:szCs w:val="24"/>
          <w:lang w:eastAsia="lv-LV"/>
        </w:rPr>
        <w:t xml:space="preserve"> </w:t>
      </w:r>
      <w:r w:rsidR="002838F5">
        <w:rPr>
          <w:rFonts w:ascii="Times New Roman" w:eastAsia="Times New Roman" w:hAnsi="Times New Roman" w:cs="Times New Roman"/>
          <w:color w:val="000000"/>
          <w:sz w:val="24"/>
          <w:szCs w:val="24"/>
          <w:lang w:eastAsia="lv-LV"/>
        </w:rPr>
        <w:t>Pabriks</w:t>
      </w:r>
    </w:p>
    <w:p w14:paraId="1F96679C" w14:textId="77777777" w:rsidR="00E77156" w:rsidRPr="009858DF" w:rsidRDefault="00E77156" w:rsidP="005D239F">
      <w:pPr>
        <w:tabs>
          <w:tab w:val="left" w:pos="6521"/>
        </w:tabs>
        <w:spacing w:before="100" w:beforeAutospacing="1" w:after="0" w:line="240" w:lineRule="auto"/>
        <w:jc w:val="both"/>
        <w:rPr>
          <w:rFonts w:ascii="Times New Roman" w:eastAsia="Times New Roman" w:hAnsi="Times New Roman" w:cs="Times New Roman"/>
          <w:color w:val="000000"/>
          <w:sz w:val="24"/>
          <w:szCs w:val="24"/>
          <w:lang w:eastAsia="lv-LV"/>
        </w:rPr>
      </w:pPr>
    </w:p>
    <w:p w14:paraId="681187E9" w14:textId="6811FB80" w:rsidR="009858DF" w:rsidRPr="009858DF" w:rsidRDefault="009858DF" w:rsidP="009858DF">
      <w:pPr>
        <w:tabs>
          <w:tab w:val="right" w:pos="9000"/>
        </w:tabs>
        <w:jc w:val="both"/>
        <w:rPr>
          <w:rFonts w:ascii="Times New Roman" w:hAnsi="Times New Roman" w:cs="Times New Roman"/>
          <w:sz w:val="24"/>
          <w:szCs w:val="24"/>
        </w:rPr>
      </w:pPr>
      <w:r w:rsidRPr="009858DF">
        <w:rPr>
          <w:rFonts w:ascii="Times New Roman" w:hAnsi="Times New Roman" w:cs="Times New Roman"/>
          <w:sz w:val="24"/>
          <w:szCs w:val="24"/>
        </w:rPr>
        <w:t>Valsts sekretārs</w:t>
      </w:r>
      <w:r w:rsidRPr="009858DF">
        <w:rPr>
          <w:rFonts w:ascii="Times New Roman" w:hAnsi="Times New Roman" w:cs="Times New Roman"/>
          <w:sz w:val="24"/>
          <w:szCs w:val="24"/>
        </w:rPr>
        <w:tab/>
        <w:t>J.</w:t>
      </w:r>
      <w:r w:rsidR="0088137E">
        <w:rPr>
          <w:rFonts w:ascii="Times New Roman" w:hAnsi="Times New Roman" w:cs="Times New Roman"/>
          <w:sz w:val="24"/>
          <w:szCs w:val="24"/>
        </w:rPr>
        <w:t> </w:t>
      </w:r>
      <w:r w:rsidRPr="009858DF">
        <w:rPr>
          <w:rFonts w:ascii="Times New Roman" w:hAnsi="Times New Roman" w:cs="Times New Roman"/>
          <w:sz w:val="24"/>
          <w:szCs w:val="24"/>
        </w:rPr>
        <w:t>Garisons</w:t>
      </w:r>
    </w:p>
    <w:p w14:paraId="0397F759" w14:textId="77777777" w:rsidR="005D239F" w:rsidRDefault="005D239F" w:rsidP="009858DF">
      <w:pPr>
        <w:pStyle w:val="Header"/>
        <w:rPr>
          <w:sz w:val="16"/>
          <w:szCs w:val="16"/>
          <w:lang w:eastAsia="en-US" w:bidi="lo-LA"/>
        </w:rPr>
      </w:pPr>
    </w:p>
    <w:p w14:paraId="77F8D4EA" w14:textId="77777777" w:rsidR="00E53D00" w:rsidRDefault="00E53D00" w:rsidP="009858DF">
      <w:pPr>
        <w:pStyle w:val="Header"/>
        <w:rPr>
          <w:sz w:val="16"/>
          <w:szCs w:val="16"/>
          <w:lang w:eastAsia="en-US" w:bidi="lo-LA"/>
        </w:rPr>
      </w:pPr>
    </w:p>
    <w:p w14:paraId="200D0F11" w14:textId="77777777" w:rsidR="009858DF" w:rsidRDefault="005D239F" w:rsidP="009858DF">
      <w:pPr>
        <w:pStyle w:val="Header"/>
        <w:rPr>
          <w:sz w:val="16"/>
          <w:szCs w:val="16"/>
          <w:lang w:eastAsia="en-US" w:bidi="lo-LA"/>
        </w:rPr>
      </w:pPr>
      <w:r>
        <w:rPr>
          <w:sz w:val="16"/>
          <w:szCs w:val="16"/>
          <w:lang w:eastAsia="en-US" w:bidi="lo-LA"/>
        </w:rPr>
        <w:t>29.04</w:t>
      </w:r>
      <w:r w:rsidR="002838F5">
        <w:rPr>
          <w:sz w:val="16"/>
          <w:szCs w:val="16"/>
          <w:lang w:eastAsia="en-US" w:bidi="lo-LA"/>
        </w:rPr>
        <w:t>.2019</w:t>
      </w:r>
    </w:p>
    <w:p w14:paraId="3007D4F8" w14:textId="2FC48C27" w:rsidR="00BB5037" w:rsidRDefault="009858DF" w:rsidP="009858DF">
      <w:pPr>
        <w:pStyle w:val="Header"/>
        <w:rPr>
          <w:sz w:val="16"/>
          <w:szCs w:val="16"/>
          <w:lang w:eastAsia="en-US" w:bidi="lo-LA"/>
        </w:rPr>
      </w:pPr>
      <w:r>
        <w:rPr>
          <w:sz w:val="16"/>
          <w:szCs w:val="16"/>
          <w:lang w:val="en-AU" w:eastAsia="en-US" w:bidi="lo-LA"/>
        </w:rPr>
        <w:fldChar w:fldCharType="begin"/>
      </w:r>
      <w:r w:rsidRPr="009858DF">
        <w:rPr>
          <w:sz w:val="16"/>
          <w:szCs w:val="16"/>
          <w:lang w:eastAsia="en-US" w:bidi="lo-LA"/>
        </w:rPr>
        <w:instrText xml:space="preserve"> NUMWORDS   \* MERGEFORMAT </w:instrText>
      </w:r>
      <w:r>
        <w:rPr>
          <w:sz w:val="16"/>
          <w:szCs w:val="16"/>
          <w:lang w:val="en-AU" w:eastAsia="en-US" w:bidi="lo-LA"/>
        </w:rPr>
        <w:fldChar w:fldCharType="separate"/>
      </w:r>
      <w:r w:rsidR="004D6593">
        <w:rPr>
          <w:noProof/>
          <w:sz w:val="16"/>
          <w:szCs w:val="16"/>
          <w:lang w:eastAsia="en-US" w:bidi="lo-LA"/>
        </w:rPr>
        <w:t>2649</w:t>
      </w:r>
      <w:r>
        <w:rPr>
          <w:sz w:val="16"/>
          <w:szCs w:val="16"/>
          <w:lang w:val="en-AU" w:eastAsia="en-US" w:bidi="lo-LA"/>
        </w:rPr>
        <w:fldChar w:fldCharType="end"/>
      </w:r>
    </w:p>
    <w:p w14:paraId="3782071C" w14:textId="77777777" w:rsidR="005408BD" w:rsidRPr="00015C2A" w:rsidRDefault="005408BD" w:rsidP="005408BD">
      <w:pPr>
        <w:pStyle w:val="Header"/>
        <w:rPr>
          <w:sz w:val="16"/>
          <w:szCs w:val="16"/>
        </w:rPr>
      </w:pPr>
      <w:r>
        <w:rPr>
          <w:sz w:val="16"/>
          <w:szCs w:val="16"/>
        </w:rPr>
        <w:t>M.</w:t>
      </w:r>
      <w:r w:rsidR="0088137E">
        <w:rPr>
          <w:sz w:val="16"/>
          <w:szCs w:val="16"/>
        </w:rPr>
        <w:t> </w:t>
      </w:r>
      <w:r>
        <w:rPr>
          <w:sz w:val="16"/>
          <w:szCs w:val="16"/>
        </w:rPr>
        <w:t>Mežulis</w:t>
      </w:r>
    </w:p>
    <w:p w14:paraId="12578EEC" w14:textId="77777777" w:rsidR="0088137E" w:rsidRDefault="0088137E" w:rsidP="005408BD">
      <w:pPr>
        <w:pStyle w:val="Header"/>
        <w:rPr>
          <w:sz w:val="16"/>
          <w:szCs w:val="16"/>
        </w:rPr>
      </w:pPr>
      <w:r>
        <w:rPr>
          <w:sz w:val="16"/>
          <w:szCs w:val="16"/>
        </w:rPr>
        <w:t>67335166</w:t>
      </w:r>
    </w:p>
    <w:p w14:paraId="4412ADBB" w14:textId="77777777" w:rsidR="005408BD" w:rsidRDefault="0088137E" w:rsidP="005408BD">
      <w:pPr>
        <w:pStyle w:val="Header"/>
        <w:rPr>
          <w:sz w:val="16"/>
          <w:szCs w:val="16"/>
        </w:rPr>
      </w:pPr>
      <w:hyperlink r:id="rId8" w:history="1">
        <w:r w:rsidR="005408BD" w:rsidRPr="00EB3583">
          <w:rPr>
            <w:rStyle w:val="Hyperlink"/>
            <w:sz w:val="16"/>
            <w:szCs w:val="16"/>
          </w:rPr>
          <w:t>Martins.Mezulis@mod.gov.lv</w:t>
        </w:r>
      </w:hyperlink>
      <w:r w:rsidR="005408BD">
        <w:rPr>
          <w:rStyle w:val="Hyperlink"/>
          <w:sz w:val="16"/>
          <w:szCs w:val="16"/>
        </w:rPr>
        <w:t xml:space="preserve">  </w:t>
      </w:r>
    </w:p>
    <w:p w14:paraId="1B9FA90A" w14:textId="77777777" w:rsidR="00E77156" w:rsidRPr="00E77156" w:rsidRDefault="00E77156">
      <w:pPr>
        <w:pStyle w:val="Header"/>
        <w:rPr>
          <w:sz w:val="16"/>
          <w:szCs w:val="16"/>
        </w:rPr>
      </w:pPr>
    </w:p>
    <w:sectPr w:rsidR="00E77156" w:rsidRPr="00E77156" w:rsidSect="00E77156">
      <w:headerReference w:type="default" r:id="rId9"/>
      <w:footerReference w:type="default" r:id="rId10"/>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AFA4" w14:textId="77777777" w:rsidR="00591397" w:rsidRDefault="00591397" w:rsidP="003F77C7">
      <w:pPr>
        <w:spacing w:after="0" w:line="240" w:lineRule="auto"/>
      </w:pPr>
      <w:r>
        <w:separator/>
      </w:r>
    </w:p>
  </w:endnote>
  <w:endnote w:type="continuationSeparator" w:id="0">
    <w:p w14:paraId="38F6EC14" w14:textId="77777777" w:rsidR="00591397" w:rsidRDefault="00591397" w:rsidP="003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12C7" w14:textId="77777777" w:rsidR="00BB5037" w:rsidRPr="004713E1" w:rsidRDefault="00BB5037" w:rsidP="00BB5037">
    <w:pPr>
      <w:pStyle w:val="Footer"/>
      <w:rPr>
        <w:rFonts w:ascii="Times New Roman" w:hAnsi="Times New Roman" w:cs="Times New Roman"/>
        <w:sz w:val="20"/>
        <w:szCs w:val="20"/>
      </w:rPr>
    </w:pPr>
    <w:r w:rsidRPr="004713E1">
      <w:rPr>
        <w:rFonts w:ascii="Times New Roman" w:hAnsi="Times New Roman" w:cs="Times New Roman"/>
        <w:sz w:val="20"/>
        <w:szCs w:val="20"/>
      </w:rPr>
      <w:t>AiManot_</w:t>
    </w:r>
    <w:r w:rsidR="005D239F">
      <w:rPr>
        <w:rFonts w:ascii="Times New Roman" w:hAnsi="Times New Roman" w:cs="Times New Roman"/>
        <w:sz w:val="20"/>
        <w:szCs w:val="20"/>
      </w:rPr>
      <w:t>29</w:t>
    </w:r>
    <w:r w:rsidR="009A3BEC" w:rsidRPr="004713E1">
      <w:rPr>
        <w:rFonts w:ascii="Times New Roman" w:hAnsi="Times New Roman" w:cs="Times New Roman"/>
        <w:sz w:val="20"/>
        <w:szCs w:val="20"/>
      </w:rPr>
      <w:t>0</w:t>
    </w:r>
    <w:r w:rsidR="005D239F">
      <w:rPr>
        <w:rFonts w:ascii="Times New Roman" w:hAnsi="Times New Roman" w:cs="Times New Roman"/>
        <w:sz w:val="20"/>
        <w:szCs w:val="20"/>
      </w:rPr>
      <w:t>4</w:t>
    </w:r>
    <w:r w:rsidR="009A3BEC" w:rsidRPr="004713E1">
      <w:rPr>
        <w:rFonts w:ascii="Times New Roman" w:hAnsi="Times New Roman" w:cs="Times New Roman"/>
        <w:sz w:val="20"/>
        <w:szCs w:val="20"/>
      </w:rPr>
      <w:t>1</w:t>
    </w:r>
    <w:r w:rsidR="002838F5">
      <w:rPr>
        <w:rFonts w:ascii="Times New Roman" w:hAnsi="Times New Roman" w:cs="Times New Roman"/>
        <w:sz w:val="20"/>
        <w:szCs w:val="20"/>
      </w:rPr>
      <w:t>9</w:t>
    </w:r>
    <w:r w:rsidR="009A3BEC" w:rsidRPr="004713E1">
      <w:rPr>
        <w:rFonts w:ascii="Times New Roman" w:hAnsi="Times New Roman" w:cs="Times New Roman"/>
        <w:sz w:val="20"/>
        <w:szCs w:val="20"/>
      </w:rPr>
      <w:t>_</w:t>
    </w:r>
    <w:r w:rsidR="00466E23" w:rsidRPr="004713E1">
      <w:rPr>
        <w:rFonts w:ascii="Times New Roman" w:hAnsi="Times New Roman" w:cs="Times New Roman"/>
        <w:sz w:val="20"/>
        <w:szCs w:val="20"/>
      </w:rPr>
      <w:t>m</w:t>
    </w:r>
    <w:r w:rsidRPr="004713E1">
      <w:rPr>
        <w:rFonts w:ascii="Times New Roman" w:hAnsi="Times New Roman" w:cs="Times New Roman"/>
        <w:sz w:val="20"/>
        <w:szCs w:val="20"/>
      </w:rPr>
      <w:t>obilizācija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95CB" w14:textId="77777777" w:rsidR="00591397" w:rsidRDefault="00591397" w:rsidP="003F77C7">
      <w:pPr>
        <w:spacing w:after="0" w:line="240" w:lineRule="auto"/>
      </w:pPr>
      <w:r>
        <w:separator/>
      </w:r>
    </w:p>
  </w:footnote>
  <w:footnote w:type="continuationSeparator" w:id="0">
    <w:p w14:paraId="318B2156" w14:textId="77777777" w:rsidR="00591397" w:rsidRDefault="00591397" w:rsidP="003F77C7">
      <w:pPr>
        <w:spacing w:after="0" w:line="240" w:lineRule="auto"/>
      </w:pPr>
      <w:r>
        <w:continuationSeparator/>
      </w:r>
    </w:p>
  </w:footnote>
  <w:footnote w:id="1">
    <w:p w14:paraId="001205E4" w14:textId="7CE04228" w:rsidR="004865D1" w:rsidRPr="004D6593" w:rsidRDefault="004865D1">
      <w:pPr>
        <w:pStyle w:val="FootnoteText"/>
        <w:rPr>
          <w:rFonts w:ascii="Times New Roman" w:hAnsi="Times New Roman" w:cs="Times New Roman"/>
          <w:i/>
          <w:lang w:val="en-GB"/>
        </w:rPr>
      </w:pPr>
      <w:r w:rsidRPr="00BB5037">
        <w:rPr>
          <w:rStyle w:val="FootnoteReference"/>
          <w:rFonts w:ascii="Times New Roman" w:hAnsi="Times New Roman" w:cs="Times New Roman"/>
        </w:rPr>
        <w:footnoteRef/>
      </w:r>
      <w:r w:rsidRPr="00BB5037">
        <w:rPr>
          <w:rFonts w:ascii="Times New Roman" w:hAnsi="Times New Roman" w:cs="Times New Roman"/>
        </w:rPr>
        <w:t xml:space="preserve"> </w:t>
      </w:r>
      <w:r w:rsidR="003D7D84" w:rsidRPr="004D6593">
        <w:rPr>
          <w:rFonts w:ascii="Times New Roman" w:hAnsi="Times New Roman" w:cs="Times New Roman"/>
          <w:i/>
          <w:lang w:val="en-GB"/>
        </w:rPr>
        <w:t xml:space="preserve">Directive 2009/81/EC on the award of contract in the fields of defence and security, Guidance Note </w:t>
      </w:r>
      <w:r w:rsidR="00E01729" w:rsidRPr="00E01729">
        <w:rPr>
          <w:rFonts w:ascii="Times New Roman" w:hAnsi="Times New Roman" w:cs="Times New Roman"/>
          <w:i/>
          <w:lang w:val="en-GB"/>
        </w:rPr>
        <w:t>“</w:t>
      </w:r>
      <w:r w:rsidR="003D7D84" w:rsidRPr="00E01729">
        <w:rPr>
          <w:rFonts w:ascii="Times New Roman" w:hAnsi="Times New Roman" w:cs="Times New Roman"/>
          <w:i/>
          <w:lang w:val="en-GB"/>
        </w:rPr>
        <w:t>Security of Supply</w:t>
      </w:r>
      <w:r w:rsidR="00E01729" w:rsidRPr="00E01729">
        <w:rPr>
          <w:rFonts w:ascii="Times New Roman" w:hAnsi="Times New Roman" w:cs="Times New Roman"/>
          <w:i/>
          <w:lang w:val="en-GB"/>
        </w:rPr>
        <w:t>”</w:t>
      </w:r>
      <w:r w:rsidR="003D7D84" w:rsidRPr="004D6593">
        <w:rPr>
          <w:rFonts w:ascii="Times New Roman" w:hAnsi="Times New Roman" w:cs="Times New Roman"/>
          <w:i/>
          <w:lang w:val="en-GB"/>
        </w:rPr>
        <w:t>, Directorate General Internal Market and Services</w:t>
      </w:r>
    </w:p>
  </w:footnote>
  <w:footnote w:id="2">
    <w:p w14:paraId="4E78B5BF" w14:textId="4256ED1F" w:rsidR="003D7D84" w:rsidRDefault="003D7D84" w:rsidP="003D7D84">
      <w:pPr>
        <w:pStyle w:val="FootnoteText"/>
        <w:jc w:val="both"/>
      </w:pPr>
      <w:r w:rsidRPr="00BB5037">
        <w:rPr>
          <w:rStyle w:val="FootnoteReference"/>
          <w:rFonts w:ascii="Times New Roman" w:hAnsi="Times New Roman" w:cs="Times New Roman"/>
        </w:rPr>
        <w:footnoteRef/>
      </w:r>
      <w:r w:rsidRPr="00BB5037">
        <w:rPr>
          <w:rFonts w:ascii="Times New Roman" w:hAnsi="Times New Roman" w:cs="Times New Roman"/>
        </w:rPr>
        <w:t xml:space="preserve"> </w:t>
      </w:r>
      <w:r w:rsidRPr="00BB5037">
        <w:rPr>
          <w:rFonts w:ascii="Times New Roman" w:eastAsia="Times New Roman" w:hAnsi="Times New Roman" w:cs="Times New Roman"/>
          <w:lang w:eastAsia="lv-LV"/>
        </w:rPr>
        <w:t xml:space="preserve">Līguma par Eiropas Savienības darbību 346. panta pirmās daļas b) punkts: </w:t>
      </w:r>
      <w:r w:rsidRPr="00BB5037">
        <w:rPr>
          <w:rFonts w:ascii="Times New Roman" w:eastAsia="Times New Roman" w:hAnsi="Times New Roman" w:cs="Times New Roman"/>
          <w:i/>
          <w:lang w:eastAsia="lv-LV"/>
        </w:rPr>
        <w:t>“</w:t>
      </w:r>
      <w:r w:rsidR="00E01729">
        <w:rPr>
          <w:rFonts w:ascii="Times New Roman" w:hAnsi="Times New Roman" w:cs="Times New Roman"/>
          <w:i/>
        </w:rPr>
        <w:t>D</w:t>
      </w:r>
      <w:r w:rsidRPr="00BB5037">
        <w:rPr>
          <w:rFonts w:ascii="Times New Roman" w:hAnsi="Times New Roman" w:cs="Times New Roman"/>
          <w:i/>
        </w:rPr>
        <w:t>alībvalstis var veikt pasākumus, ko uzskata par vajadzīgiem, lai aizsargātu savas būtiskās drošības intereses, kas saistītas ar ieroču, munīcijas un militārā aprīkojuma ražošanu vai tirdzniecību; šādi pasākumi iekšējā tirgū nedrīkst nelabvēlīgi ietekmēt tādu ražojumu konkurenci, kuri nav tieši paredzēti militāriem nolūkiem.</w:t>
      </w:r>
      <w:r w:rsidRPr="00BB5037">
        <w:rPr>
          <w:rFonts w:ascii="Times New Roman" w:eastAsia="Times New Roman" w:hAnsi="Times New Roman" w:cs="Times New Roman"/>
          <w:i/>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048904"/>
      <w:docPartObj>
        <w:docPartGallery w:val="Page Numbers (Top of Page)"/>
        <w:docPartUnique/>
      </w:docPartObj>
    </w:sdtPr>
    <w:sdtEndPr>
      <w:rPr>
        <w:noProof/>
      </w:rPr>
    </w:sdtEndPr>
    <w:sdtContent>
      <w:p w14:paraId="60DCA43E" w14:textId="77A4C3A2" w:rsidR="00BB5037" w:rsidRDefault="00BB5037">
        <w:pPr>
          <w:pStyle w:val="Header"/>
          <w:jc w:val="center"/>
        </w:pPr>
        <w:r>
          <w:fldChar w:fldCharType="begin"/>
        </w:r>
        <w:r>
          <w:instrText xml:space="preserve"> PAGE   \* MERGEFORMAT </w:instrText>
        </w:r>
        <w:r>
          <w:fldChar w:fldCharType="separate"/>
        </w:r>
        <w:r w:rsidR="004D6593">
          <w:rPr>
            <w:noProof/>
          </w:rPr>
          <w:t>11</w:t>
        </w:r>
        <w:r>
          <w:rPr>
            <w:noProof/>
          </w:rPr>
          <w:fldChar w:fldCharType="end"/>
        </w:r>
      </w:p>
    </w:sdtContent>
  </w:sdt>
  <w:p w14:paraId="0B95C627" w14:textId="77777777" w:rsidR="00BB5037" w:rsidRDefault="00BB5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80"/>
    <w:multiLevelType w:val="multilevel"/>
    <w:tmpl w:val="59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95C3B"/>
    <w:multiLevelType w:val="multilevel"/>
    <w:tmpl w:val="FA7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075FA"/>
    <w:multiLevelType w:val="multilevel"/>
    <w:tmpl w:val="27320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D07DBB"/>
    <w:multiLevelType w:val="hybridMultilevel"/>
    <w:tmpl w:val="2154009C"/>
    <w:lvl w:ilvl="0" w:tplc="CA0E38E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BF4443"/>
    <w:multiLevelType w:val="multilevel"/>
    <w:tmpl w:val="132E33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D42EF7"/>
    <w:multiLevelType w:val="hybridMultilevel"/>
    <w:tmpl w:val="8098B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8405A2"/>
    <w:multiLevelType w:val="multilevel"/>
    <w:tmpl w:val="B592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C185D"/>
    <w:multiLevelType w:val="hybridMultilevel"/>
    <w:tmpl w:val="63ECEE14"/>
    <w:lvl w:ilvl="0" w:tplc="ACCCBC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84388A"/>
    <w:multiLevelType w:val="multilevel"/>
    <w:tmpl w:val="8CB0A3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2A6114"/>
    <w:multiLevelType w:val="multilevel"/>
    <w:tmpl w:val="27320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5"/>
  </w:num>
  <w:num w:numId="5">
    <w:abstractNumId w:val="7"/>
  </w:num>
  <w:num w:numId="6">
    <w:abstractNumId w:val="8"/>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C7"/>
    <w:rsid w:val="00056FC4"/>
    <w:rsid w:val="000C74A8"/>
    <w:rsid w:val="000E2980"/>
    <w:rsid w:val="00104F12"/>
    <w:rsid w:val="00127FC8"/>
    <w:rsid w:val="00160669"/>
    <w:rsid w:val="001930D5"/>
    <w:rsid w:val="001A31AA"/>
    <w:rsid w:val="001D0574"/>
    <w:rsid w:val="001D7669"/>
    <w:rsid w:val="001E0B28"/>
    <w:rsid w:val="001E4AB3"/>
    <w:rsid w:val="00214056"/>
    <w:rsid w:val="0022707D"/>
    <w:rsid w:val="002838F5"/>
    <w:rsid w:val="002D0291"/>
    <w:rsid w:val="002D3F65"/>
    <w:rsid w:val="002F2CF4"/>
    <w:rsid w:val="00315398"/>
    <w:rsid w:val="003170C1"/>
    <w:rsid w:val="0032233D"/>
    <w:rsid w:val="003344EA"/>
    <w:rsid w:val="00347CB6"/>
    <w:rsid w:val="00374438"/>
    <w:rsid w:val="00386298"/>
    <w:rsid w:val="003941D8"/>
    <w:rsid w:val="003B2E20"/>
    <w:rsid w:val="003B6FC1"/>
    <w:rsid w:val="003D7D84"/>
    <w:rsid w:val="003F6427"/>
    <w:rsid w:val="003F77C7"/>
    <w:rsid w:val="004012E1"/>
    <w:rsid w:val="0042260C"/>
    <w:rsid w:val="004236F4"/>
    <w:rsid w:val="00466E23"/>
    <w:rsid w:val="004711AB"/>
    <w:rsid w:val="004713E1"/>
    <w:rsid w:val="00473AD0"/>
    <w:rsid w:val="004865D1"/>
    <w:rsid w:val="00494F6B"/>
    <w:rsid w:val="004A0CEE"/>
    <w:rsid w:val="004D4CC9"/>
    <w:rsid w:val="004D6593"/>
    <w:rsid w:val="004E4689"/>
    <w:rsid w:val="005408BD"/>
    <w:rsid w:val="0054320B"/>
    <w:rsid w:val="00554D77"/>
    <w:rsid w:val="0056748F"/>
    <w:rsid w:val="0058000C"/>
    <w:rsid w:val="00591397"/>
    <w:rsid w:val="005977B0"/>
    <w:rsid w:val="005B41E9"/>
    <w:rsid w:val="005D177A"/>
    <w:rsid w:val="005D239F"/>
    <w:rsid w:val="005D2D30"/>
    <w:rsid w:val="005D38B9"/>
    <w:rsid w:val="00607481"/>
    <w:rsid w:val="00624967"/>
    <w:rsid w:val="0063735A"/>
    <w:rsid w:val="006578C5"/>
    <w:rsid w:val="00667B6D"/>
    <w:rsid w:val="006C1AAC"/>
    <w:rsid w:val="00726F27"/>
    <w:rsid w:val="00733D50"/>
    <w:rsid w:val="007372F7"/>
    <w:rsid w:val="007529CC"/>
    <w:rsid w:val="00764D46"/>
    <w:rsid w:val="0077060F"/>
    <w:rsid w:val="0077321E"/>
    <w:rsid w:val="00785986"/>
    <w:rsid w:val="00786447"/>
    <w:rsid w:val="00794FFA"/>
    <w:rsid w:val="007C18F5"/>
    <w:rsid w:val="007C7C80"/>
    <w:rsid w:val="007E3FE2"/>
    <w:rsid w:val="0080018F"/>
    <w:rsid w:val="00831FB7"/>
    <w:rsid w:val="00833136"/>
    <w:rsid w:val="0088137E"/>
    <w:rsid w:val="008C3FC1"/>
    <w:rsid w:val="008D783D"/>
    <w:rsid w:val="008E0C43"/>
    <w:rsid w:val="008E4EF1"/>
    <w:rsid w:val="00935DEA"/>
    <w:rsid w:val="00940A85"/>
    <w:rsid w:val="009858DF"/>
    <w:rsid w:val="009A3BEC"/>
    <w:rsid w:val="009D4A63"/>
    <w:rsid w:val="009F207F"/>
    <w:rsid w:val="00A25193"/>
    <w:rsid w:val="00A55A30"/>
    <w:rsid w:val="00A56A23"/>
    <w:rsid w:val="00AB789C"/>
    <w:rsid w:val="00AC5C84"/>
    <w:rsid w:val="00AE03B6"/>
    <w:rsid w:val="00B011B2"/>
    <w:rsid w:val="00B04949"/>
    <w:rsid w:val="00B20E87"/>
    <w:rsid w:val="00BB19D3"/>
    <w:rsid w:val="00BB5037"/>
    <w:rsid w:val="00C242DA"/>
    <w:rsid w:val="00C707E5"/>
    <w:rsid w:val="00CE5D2D"/>
    <w:rsid w:val="00D428C5"/>
    <w:rsid w:val="00D6119D"/>
    <w:rsid w:val="00D66500"/>
    <w:rsid w:val="00D71FD7"/>
    <w:rsid w:val="00D8621D"/>
    <w:rsid w:val="00DB2D6D"/>
    <w:rsid w:val="00DC4415"/>
    <w:rsid w:val="00DD5481"/>
    <w:rsid w:val="00DE403E"/>
    <w:rsid w:val="00E01729"/>
    <w:rsid w:val="00E53D00"/>
    <w:rsid w:val="00E601C6"/>
    <w:rsid w:val="00E62376"/>
    <w:rsid w:val="00E77156"/>
    <w:rsid w:val="00EA58E7"/>
    <w:rsid w:val="00EA79B5"/>
    <w:rsid w:val="00EB3355"/>
    <w:rsid w:val="00F63DA9"/>
    <w:rsid w:val="00FF3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7136"/>
  <w15:chartTrackingRefBased/>
  <w15:docId w15:val="{F28709BC-5B9F-4EC2-BB41-3D2F852A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F4"/>
    <w:rPr>
      <w:rFonts w:ascii="Segoe UI" w:hAnsi="Segoe UI" w:cs="Segoe UI"/>
      <w:sz w:val="18"/>
      <w:szCs w:val="18"/>
    </w:rPr>
  </w:style>
  <w:style w:type="paragraph" w:styleId="ListParagraph">
    <w:name w:val="List Paragraph"/>
    <w:basedOn w:val="Normal"/>
    <w:uiPriority w:val="34"/>
    <w:qFormat/>
    <w:rsid w:val="00DE403E"/>
    <w:pPr>
      <w:ind w:left="720"/>
      <w:contextualSpacing/>
    </w:pPr>
  </w:style>
  <w:style w:type="paragraph" w:styleId="FootnoteText">
    <w:name w:val="footnote text"/>
    <w:basedOn w:val="Normal"/>
    <w:link w:val="FootnoteTextChar"/>
    <w:uiPriority w:val="99"/>
    <w:semiHidden/>
    <w:unhideWhenUsed/>
    <w:rsid w:val="00486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D1"/>
    <w:rPr>
      <w:sz w:val="20"/>
      <w:szCs w:val="20"/>
    </w:rPr>
  </w:style>
  <w:style w:type="character" w:styleId="FootnoteReference">
    <w:name w:val="footnote reference"/>
    <w:basedOn w:val="DefaultParagraphFont"/>
    <w:uiPriority w:val="99"/>
    <w:semiHidden/>
    <w:unhideWhenUsed/>
    <w:rsid w:val="004865D1"/>
    <w:rPr>
      <w:vertAlign w:val="superscript"/>
    </w:rPr>
  </w:style>
  <w:style w:type="paragraph" w:styleId="NormalWeb">
    <w:name w:val="Normal (Web)"/>
    <w:basedOn w:val="Normal"/>
    <w:uiPriority w:val="99"/>
    <w:unhideWhenUsed/>
    <w:rsid w:val="00A55A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55A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9858DF"/>
    <w:rPr>
      <w:color w:val="0000FF"/>
      <w:u w:val="single"/>
    </w:rPr>
  </w:style>
  <w:style w:type="paragraph" w:styleId="Header">
    <w:name w:val="header"/>
    <w:basedOn w:val="Normal"/>
    <w:link w:val="HeaderChar"/>
    <w:uiPriority w:val="99"/>
    <w:unhideWhenUsed/>
    <w:rsid w:val="009858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858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B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037"/>
  </w:style>
  <w:style w:type="character" w:styleId="CommentReference">
    <w:name w:val="annotation reference"/>
    <w:basedOn w:val="DefaultParagraphFont"/>
    <w:uiPriority w:val="99"/>
    <w:semiHidden/>
    <w:unhideWhenUsed/>
    <w:rsid w:val="005B41E9"/>
    <w:rPr>
      <w:sz w:val="16"/>
      <w:szCs w:val="16"/>
    </w:rPr>
  </w:style>
  <w:style w:type="paragraph" w:styleId="CommentText">
    <w:name w:val="annotation text"/>
    <w:basedOn w:val="Normal"/>
    <w:link w:val="CommentTextChar"/>
    <w:uiPriority w:val="99"/>
    <w:semiHidden/>
    <w:unhideWhenUsed/>
    <w:rsid w:val="005B41E9"/>
    <w:pPr>
      <w:spacing w:line="240" w:lineRule="auto"/>
    </w:pPr>
    <w:rPr>
      <w:sz w:val="20"/>
      <w:szCs w:val="20"/>
    </w:rPr>
  </w:style>
  <w:style w:type="character" w:customStyle="1" w:styleId="CommentTextChar">
    <w:name w:val="Comment Text Char"/>
    <w:basedOn w:val="DefaultParagraphFont"/>
    <w:link w:val="CommentText"/>
    <w:uiPriority w:val="99"/>
    <w:semiHidden/>
    <w:rsid w:val="005B41E9"/>
    <w:rPr>
      <w:sz w:val="20"/>
      <w:szCs w:val="20"/>
    </w:rPr>
  </w:style>
  <w:style w:type="paragraph" w:styleId="CommentSubject">
    <w:name w:val="annotation subject"/>
    <w:basedOn w:val="CommentText"/>
    <w:next w:val="CommentText"/>
    <w:link w:val="CommentSubjectChar"/>
    <w:uiPriority w:val="99"/>
    <w:semiHidden/>
    <w:unhideWhenUsed/>
    <w:rsid w:val="005B41E9"/>
    <w:rPr>
      <w:b/>
      <w:bCs/>
    </w:rPr>
  </w:style>
  <w:style w:type="character" w:customStyle="1" w:styleId="CommentSubjectChar">
    <w:name w:val="Comment Subject Char"/>
    <w:basedOn w:val="CommentTextChar"/>
    <w:link w:val="CommentSubject"/>
    <w:uiPriority w:val="99"/>
    <w:semiHidden/>
    <w:rsid w:val="005B4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252">
      <w:bodyDiv w:val="1"/>
      <w:marLeft w:val="0"/>
      <w:marRight w:val="0"/>
      <w:marTop w:val="0"/>
      <w:marBottom w:val="0"/>
      <w:divBdr>
        <w:top w:val="none" w:sz="0" w:space="0" w:color="auto"/>
        <w:left w:val="none" w:sz="0" w:space="0" w:color="auto"/>
        <w:bottom w:val="none" w:sz="0" w:space="0" w:color="auto"/>
        <w:right w:val="none" w:sz="0" w:space="0" w:color="auto"/>
      </w:divBdr>
      <w:divsChild>
        <w:div w:id="1265844316">
          <w:marLeft w:val="0"/>
          <w:marRight w:val="0"/>
          <w:marTop w:val="0"/>
          <w:marBottom w:val="0"/>
          <w:divBdr>
            <w:top w:val="none" w:sz="0" w:space="0" w:color="auto"/>
            <w:left w:val="none" w:sz="0" w:space="0" w:color="auto"/>
            <w:bottom w:val="none" w:sz="0" w:space="0" w:color="auto"/>
            <w:right w:val="none" w:sz="0" w:space="0" w:color="auto"/>
          </w:divBdr>
          <w:divsChild>
            <w:div w:id="1832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ezulis@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F670-6FA8-4D0D-95EE-991260DF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2672</Words>
  <Characters>18865</Characters>
  <Application>Microsoft Office Word</Application>
  <DocSecurity>0</DocSecurity>
  <Lines>786</Lines>
  <Paragraphs>299</Paragraphs>
  <ScaleCrop>false</ScaleCrop>
  <HeadingPairs>
    <vt:vector size="2" baseType="variant">
      <vt:variant>
        <vt:lpstr>Title</vt:lpstr>
      </vt:variant>
      <vt:variant>
        <vt:i4>1</vt:i4>
      </vt:variant>
    </vt:vector>
  </HeadingPairs>
  <TitlesOfParts>
    <vt:vector size="1" baseType="lpstr">
      <vt:lpstr>Likumprojekta “Grozījumi Mobilizācijas likumā” sākotnējās ietekmes novērtējuma ziņojums (anotācija)</vt:lpstr>
    </vt:vector>
  </TitlesOfParts>
  <Company>Aizsardzības ministrija</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Mobilizācijas likumā” sākotnējās ietekmes novērtējuma ziņojums (anotācija)</dc:title>
  <dc:subject/>
  <dc:creator>Olevs Nikers, Mārtiņš Mežulis</dc:creator>
  <cp:keywords/>
  <dc:description/>
  <cp:lastModifiedBy>Mārtiņš Mežulis</cp:lastModifiedBy>
  <cp:revision>6</cp:revision>
  <cp:lastPrinted>2019-04-29T08:38:00Z</cp:lastPrinted>
  <dcterms:created xsi:type="dcterms:W3CDTF">2019-05-03T10:39:00Z</dcterms:created>
  <dcterms:modified xsi:type="dcterms:W3CDTF">2019-05-17T06:10:00Z</dcterms:modified>
</cp:coreProperties>
</file>