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17CB" w14:textId="77777777" w:rsidR="00437EC6" w:rsidRPr="00C72236" w:rsidRDefault="00437EC6" w:rsidP="00437EC6">
      <w:pPr>
        <w:jc w:val="center"/>
        <w:rPr>
          <w:b/>
          <w:sz w:val="26"/>
          <w:szCs w:val="26"/>
        </w:rPr>
      </w:pPr>
      <w:r w:rsidRPr="00C72236">
        <w:rPr>
          <w:b/>
          <w:sz w:val="26"/>
          <w:szCs w:val="26"/>
        </w:rPr>
        <w:t xml:space="preserve">Informatīvais ziņojums </w:t>
      </w:r>
    </w:p>
    <w:p w14:paraId="36DAA934" w14:textId="77777777" w:rsidR="00437EC6" w:rsidRPr="00C72236" w:rsidRDefault="00437EC6" w:rsidP="00437EC6">
      <w:pPr>
        <w:jc w:val="center"/>
        <w:rPr>
          <w:rFonts w:cs="Times New Roman"/>
          <w:b/>
          <w:sz w:val="26"/>
          <w:szCs w:val="26"/>
        </w:rPr>
      </w:pPr>
      <w:r w:rsidRPr="00C72236">
        <w:rPr>
          <w:b/>
          <w:sz w:val="26"/>
          <w:szCs w:val="26"/>
        </w:rPr>
        <w:t>“</w:t>
      </w:r>
      <w:r w:rsidRPr="009E3637">
        <w:rPr>
          <w:rFonts w:cs="Times New Roman"/>
          <w:b/>
          <w:sz w:val="26"/>
          <w:szCs w:val="26"/>
        </w:rPr>
        <w:t xml:space="preserve">Par </w:t>
      </w:r>
      <w:r>
        <w:rPr>
          <w:rFonts w:cs="Times New Roman"/>
          <w:b/>
          <w:sz w:val="26"/>
          <w:szCs w:val="26"/>
        </w:rPr>
        <w:t xml:space="preserve">2019.gada </w:t>
      </w:r>
      <w:r w:rsidRPr="009E3637">
        <w:rPr>
          <w:rFonts w:cs="Times New Roman"/>
          <w:b/>
          <w:sz w:val="26"/>
          <w:szCs w:val="26"/>
        </w:rPr>
        <w:t>kopējo pašvaldību aizņēmumu limitu</w:t>
      </w:r>
      <w:r>
        <w:rPr>
          <w:b/>
          <w:sz w:val="26"/>
          <w:szCs w:val="26"/>
        </w:rPr>
        <w:t xml:space="preserve"> un </w:t>
      </w:r>
      <w:r>
        <w:rPr>
          <w:rFonts w:cs="Times New Roman"/>
          <w:b/>
          <w:sz w:val="26"/>
          <w:szCs w:val="26"/>
        </w:rPr>
        <w:t>pašvaldību aizņēmumu pieprasījumiem</w:t>
      </w:r>
      <w:r w:rsidRPr="00C72236">
        <w:rPr>
          <w:rFonts w:cs="Times New Roman"/>
          <w:b/>
          <w:sz w:val="26"/>
          <w:szCs w:val="26"/>
        </w:rPr>
        <w:t>”</w:t>
      </w:r>
    </w:p>
    <w:p w14:paraId="7D99FD4A" w14:textId="77777777" w:rsidR="00437EC6" w:rsidRPr="00C72236" w:rsidRDefault="00437EC6" w:rsidP="00437EC6">
      <w:pPr>
        <w:ind w:right="-370" w:firstLine="567"/>
        <w:jc w:val="both"/>
        <w:rPr>
          <w:sz w:val="26"/>
          <w:szCs w:val="26"/>
        </w:rPr>
      </w:pPr>
    </w:p>
    <w:p w14:paraId="1796F214" w14:textId="77777777" w:rsidR="00437EC6" w:rsidRDefault="00437EC6" w:rsidP="00437EC6">
      <w:pPr>
        <w:pStyle w:val="ListParagraph"/>
        <w:numPr>
          <w:ilvl w:val="0"/>
          <w:numId w:val="1"/>
        </w:numPr>
        <w:jc w:val="center"/>
        <w:rPr>
          <w:b/>
          <w:sz w:val="26"/>
          <w:szCs w:val="26"/>
        </w:rPr>
      </w:pPr>
      <w:r w:rsidRPr="00652111">
        <w:rPr>
          <w:b/>
          <w:sz w:val="26"/>
          <w:szCs w:val="26"/>
        </w:rPr>
        <w:t>Situācijas raksturojums.</w:t>
      </w:r>
    </w:p>
    <w:p w14:paraId="14D195DA" w14:textId="77777777" w:rsidR="00437EC6" w:rsidRDefault="00437EC6" w:rsidP="00437EC6">
      <w:pPr>
        <w:pStyle w:val="ListParagraph"/>
        <w:ind w:left="1080"/>
        <w:rPr>
          <w:b/>
          <w:sz w:val="26"/>
          <w:szCs w:val="26"/>
        </w:rPr>
      </w:pPr>
    </w:p>
    <w:p w14:paraId="476E8298" w14:textId="77777777" w:rsidR="00437EC6" w:rsidRPr="0082238B" w:rsidRDefault="00437EC6" w:rsidP="00437EC6">
      <w:pPr>
        <w:ind w:right="-397" w:firstLine="567"/>
        <w:jc w:val="both"/>
        <w:rPr>
          <w:iCs/>
        </w:rPr>
      </w:pPr>
      <w:r w:rsidRPr="0082238B">
        <w:rPr>
          <w:rFonts w:cs="Times New Roman"/>
          <w:sz w:val="26"/>
          <w:szCs w:val="26"/>
        </w:rPr>
        <w:t xml:space="preserve">Katru gadu valsts budžeta likumā tiek noteikts </w:t>
      </w:r>
      <w:r w:rsidRPr="0082238B">
        <w:rPr>
          <w:iCs/>
          <w:sz w:val="26"/>
          <w:szCs w:val="26"/>
        </w:rPr>
        <w:t>pieļaujamais vispārējās valdības budžeta defic</w:t>
      </w:r>
      <w:r>
        <w:rPr>
          <w:iCs/>
          <w:sz w:val="26"/>
          <w:szCs w:val="26"/>
        </w:rPr>
        <w:t xml:space="preserve">īts, ko ietekmē arī pašvaldību aizņēmumi. </w:t>
      </w:r>
      <w:r w:rsidRPr="0082238B">
        <w:rPr>
          <w:iCs/>
          <w:sz w:val="26"/>
          <w:szCs w:val="26"/>
        </w:rPr>
        <w:t xml:space="preserve">Tāpēc katru gadu </w:t>
      </w:r>
      <w:r w:rsidRPr="0082238B">
        <w:rPr>
          <w:rFonts w:cs="Times New Roman"/>
          <w:sz w:val="26"/>
          <w:szCs w:val="26"/>
        </w:rPr>
        <w:t>valsts budžeta likumā ti</w:t>
      </w:r>
      <w:r>
        <w:rPr>
          <w:rFonts w:cs="Times New Roman"/>
          <w:sz w:val="26"/>
          <w:szCs w:val="26"/>
        </w:rPr>
        <w:t>e</w:t>
      </w:r>
      <w:r w:rsidRPr="0082238B">
        <w:rPr>
          <w:rFonts w:cs="Times New Roman"/>
          <w:sz w:val="26"/>
          <w:szCs w:val="26"/>
        </w:rPr>
        <w:t xml:space="preserve">k noteikts </w:t>
      </w:r>
      <w:r w:rsidRPr="0082238B">
        <w:rPr>
          <w:rFonts w:eastAsia="Times New Roman" w:cs="Times New Roman"/>
          <w:sz w:val="26"/>
          <w:szCs w:val="26"/>
          <w:lang w:eastAsia="lv-LV"/>
        </w:rPr>
        <w:t xml:space="preserve">kopējais pieļaujamais pašvaldību aizņēmumu  palielinājums un aizņēmuma nosacījumi. </w:t>
      </w:r>
      <w:r w:rsidRPr="0082238B">
        <w:rPr>
          <w:sz w:val="26"/>
          <w:szCs w:val="26"/>
        </w:rPr>
        <w:t>P</w:t>
      </w:r>
      <w:r w:rsidRPr="0082238B">
        <w:rPr>
          <w:rFonts w:cs="Times New Roman"/>
          <w:sz w:val="26"/>
          <w:szCs w:val="26"/>
        </w:rPr>
        <w:t>ašvaldībām ir tiesības ņemt aizņēmumus tikai gadskārtējā valsts budžeta likumā paredzētajos kopējo pieļaujamo palielinājumu apjomos.</w:t>
      </w:r>
    </w:p>
    <w:p w14:paraId="7594D61C" w14:textId="45AFD91C" w:rsidR="00437EC6" w:rsidRPr="0017705F" w:rsidRDefault="00437EC6" w:rsidP="00437EC6">
      <w:pPr>
        <w:ind w:right="-397" w:firstLine="567"/>
        <w:contextualSpacing/>
        <w:jc w:val="both"/>
        <w:rPr>
          <w:color w:val="000000"/>
          <w:sz w:val="26"/>
          <w:szCs w:val="26"/>
        </w:rPr>
      </w:pPr>
      <w:r w:rsidRPr="0082238B">
        <w:rPr>
          <w:rFonts w:cs="Times New Roman"/>
          <w:sz w:val="26"/>
          <w:szCs w:val="26"/>
        </w:rPr>
        <w:t>Kopējo pašvaldību aizņēmuma limitu veido minētais palielinājums un pašvaldību aizņēmumu atmaksas. 2019.gada kopējais pašvaldību aizņēmuma limits, salīdzinot ar 2018.gada sākotnējo plānu, ir palielināts par 52,2 milj. EUR.</w:t>
      </w:r>
      <w:r>
        <w:rPr>
          <w:rFonts w:cs="Times New Roman"/>
          <w:sz w:val="26"/>
          <w:szCs w:val="26"/>
        </w:rPr>
        <w:t xml:space="preserve"> </w:t>
      </w:r>
      <w:r w:rsidR="000420A5">
        <w:rPr>
          <w:rFonts w:cs="Times New Roman"/>
          <w:sz w:val="26"/>
          <w:szCs w:val="26"/>
        </w:rPr>
        <w:t xml:space="preserve"> </w:t>
      </w:r>
      <w:r w:rsidR="0017705F" w:rsidRPr="0017705F">
        <w:rPr>
          <w:rFonts w:cs="Times New Roman"/>
          <w:sz w:val="26"/>
          <w:szCs w:val="26"/>
        </w:rPr>
        <w:t>Informācija par</w:t>
      </w:r>
      <w:r w:rsidR="0017705F" w:rsidRPr="0017705F">
        <w:rPr>
          <w:sz w:val="26"/>
          <w:szCs w:val="26"/>
        </w:rPr>
        <w:t xml:space="preserve"> pašvaldību aizņēmumu kopējo limitu ietverta tabulā Nr.1. </w:t>
      </w:r>
    </w:p>
    <w:p w14:paraId="69E6E8A8" w14:textId="77777777" w:rsidR="00437EC6" w:rsidRPr="00C72236" w:rsidRDefault="00437EC6" w:rsidP="00437EC6">
      <w:pPr>
        <w:pStyle w:val="NormalWeb"/>
        <w:spacing w:before="0" w:beforeAutospacing="0" w:after="0" w:afterAutospacing="0"/>
        <w:ind w:left="720" w:right="-370"/>
        <w:jc w:val="right"/>
        <w:textAlignment w:val="baseline"/>
        <w:rPr>
          <w:sz w:val="26"/>
          <w:szCs w:val="26"/>
        </w:rPr>
      </w:pPr>
      <w:r w:rsidRPr="00C72236">
        <w:rPr>
          <w:sz w:val="26"/>
          <w:szCs w:val="26"/>
        </w:rPr>
        <w:t>Tabula Nr.1</w:t>
      </w:r>
    </w:p>
    <w:p w14:paraId="5A7851DE" w14:textId="6F24E5E0" w:rsidR="00437EC6" w:rsidRDefault="00437EC6" w:rsidP="00437EC6">
      <w:pPr>
        <w:pStyle w:val="NormalWeb"/>
        <w:spacing w:before="0" w:beforeAutospacing="0" w:after="0" w:afterAutospacing="0"/>
        <w:ind w:left="720" w:right="-370"/>
        <w:jc w:val="center"/>
        <w:textAlignment w:val="baseline"/>
        <w:rPr>
          <w:b/>
          <w:i/>
          <w:sz w:val="26"/>
          <w:szCs w:val="26"/>
        </w:rPr>
      </w:pPr>
      <w:r w:rsidRPr="00C72236">
        <w:rPr>
          <w:b/>
          <w:sz w:val="26"/>
          <w:szCs w:val="26"/>
        </w:rPr>
        <w:t xml:space="preserve">Pašvaldību aizņēmumu kopējais </w:t>
      </w:r>
      <w:r>
        <w:rPr>
          <w:b/>
          <w:sz w:val="26"/>
          <w:szCs w:val="26"/>
        </w:rPr>
        <w:t xml:space="preserve">limits, </w:t>
      </w:r>
      <w:r w:rsidRPr="00A2007E">
        <w:rPr>
          <w:b/>
          <w:i/>
          <w:sz w:val="26"/>
          <w:szCs w:val="26"/>
        </w:rPr>
        <w:t>milj. EUR</w:t>
      </w:r>
    </w:p>
    <w:tbl>
      <w:tblPr>
        <w:tblpPr w:leftFromText="180" w:rightFromText="180" w:vertAnchor="page" w:horzAnchor="margin" w:tblpY="6601"/>
        <w:tblW w:w="8834" w:type="dxa"/>
        <w:tblLook w:val="04A0" w:firstRow="1" w:lastRow="0" w:firstColumn="1" w:lastColumn="0" w:noHBand="0" w:noVBand="1"/>
      </w:tblPr>
      <w:tblGrid>
        <w:gridCol w:w="4656"/>
        <w:gridCol w:w="222"/>
        <w:gridCol w:w="1272"/>
        <w:gridCol w:w="1412"/>
        <w:gridCol w:w="1272"/>
      </w:tblGrid>
      <w:tr w:rsidR="0017705F" w:rsidRPr="00BB054D" w14:paraId="152B52B7" w14:textId="77777777" w:rsidTr="0017705F">
        <w:trPr>
          <w:trHeight w:val="315"/>
        </w:trPr>
        <w:tc>
          <w:tcPr>
            <w:tcW w:w="46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AB8877" w14:textId="77777777" w:rsidR="0017705F" w:rsidRPr="006E55D2" w:rsidRDefault="0017705F" w:rsidP="0017705F">
            <w:pPr>
              <w:jc w:val="center"/>
              <w:rPr>
                <w:rFonts w:eastAsia="Times New Roman" w:cs="Times New Roman"/>
                <w:b/>
                <w:color w:val="000000"/>
                <w:szCs w:val="24"/>
                <w:lang w:eastAsia="lv-LV"/>
              </w:rPr>
            </w:pPr>
            <w:r w:rsidRPr="006E55D2">
              <w:rPr>
                <w:rFonts w:eastAsia="Times New Roman" w:cs="Times New Roman"/>
                <w:b/>
                <w:color w:val="000000"/>
                <w:szCs w:val="24"/>
                <w:lang w:eastAsia="lv-LV"/>
              </w:rPr>
              <w:t xml:space="preserve">Gads </w:t>
            </w:r>
          </w:p>
        </w:tc>
        <w:tc>
          <w:tcPr>
            <w:tcW w:w="222" w:type="dxa"/>
            <w:tcBorders>
              <w:top w:val="single" w:sz="4" w:space="0" w:color="auto"/>
              <w:left w:val="nil"/>
              <w:bottom w:val="single" w:sz="4" w:space="0" w:color="auto"/>
              <w:right w:val="nil"/>
            </w:tcBorders>
            <w:shd w:val="clear" w:color="000000" w:fill="D9D9D9"/>
          </w:tcPr>
          <w:p w14:paraId="6A9F1AD0" w14:textId="77777777" w:rsidR="0017705F" w:rsidRPr="00BB054D" w:rsidRDefault="0017705F" w:rsidP="0017705F">
            <w:pPr>
              <w:jc w:val="center"/>
              <w:rPr>
                <w:rFonts w:eastAsia="Times New Roman" w:cs="Times New Roman"/>
                <w:b/>
                <w:bCs/>
                <w:color w:val="000000"/>
                <w:szCs w:val="24"/>
                <w:lang w:eastAsia="lv-LV"/>
              </w:rPr>
            </w:pPr>
          </w:p>
        </w:tc>
        <w:tc>
          <w:tcPr>
            <w:tcW w:w="1272" w:type="dxa"/>
            <w:tcBorders>
              <w:top w:val="single" w:sz="4" w:space="0" w:color="auto"/>
              <w:left w:val="nil"/>
              <w:bottom w:val="single" w:sz="4" w:space="0" w:color="auto"/>
              <w:right w:val="single" w:sz="4" w:space="0" w:color="auto"/>
            </w:tcBorders>
            <w:shd w:val="clear" w:color="000000" w:fill="D9D9D9"/>
            <w:noWrap/>
            <w:vAlign w:val="center"/>
            <w:hideMark/>
          </w:tcPr>
          <w:p w14:paraId="74D498BE"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2018</w:t>
            </w:r>
          </w:p>
        </w:tc>
        <w:tc>
          <w:tcPr>
            <w:tcW w:w="1412" w:type="dxa"/>
            <w:tcBorders>
              <w:top w:val="single" w:sz="4" w:space="0" w:color="auto"/>
              <w:left w:val="nil"/>
              <w:bottom w:val="single" w:sz="4" w:space="0" w:color="auto"/>
              <w:right w:val="single" w:sz="4" w:space="0" w:color="auto"/>
            </w:tcBorders>
            <w:shd w:val="clear" w:color="000000" w:fill="D9D9D9"/>
            <w:noWrap/>
            <w:vAlign w:val="center"/>
            <w:hideMark/>
          </w:tcPr>
          <w:p w14:paraId="1AF4A28B"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2019</w:t>
            </w:r>
          </w:p>
        </w:tc>
        <w:tc>
          <w:tcPr>
            <w:tcW w:w="1272" w:type="dxa"/>
            <w:tcBorders>
              <w:top w:val="single" w:sz="4" w:space="0" w:color="auto"/>
              <w:left w:val="nil"/>
              <w:bottom w:val="single" w:sz="4" w:space="0" w:color="auto"/>
              <w:right w:val="single" w:sz="4" w:space="0" w:color="auto"/>
            </w:tcBorders>
            <w:shd w:val="clear" w:color="000000" w:fill="D9D9D9"/>
            <w:noWrap/>
            <w:vAlign w:val="center"/>
            <w:hideMark/>
          </w:tcPr>
          <w:p w14:paraId="360C692A"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2019/2018</w:t>
            </w:r>
          </w:p>
        </w:tc>
      </w:tr>
      <w:tr w:rsidR="0017705F" w:rsidRPr="00BB054D" w14:paraId="1E90E687" w14:textId="77777777" w:rsidTr="0017705F">
        <w:trPr>
          <w:trHeight w:val="315"/>
        </w:trPr>
        <w:tc>
          <w:tcPr>
            <w:tcW w:w="4656" w:type="dxa"/>
            <w:tcBorders>
              <w:top w:val="nil"/>
              <w:left w:val="single" w:sz="4" w:space="0" w:color="auto"/>
              <w:bottom w:val="single" w:sz="4" w:space="0" w:color="auto"/>
              <w:right w:val="single" w:sz="4" w:space="0" w:color="auto"/>
            </w:tcBorders>
            <w:shd w:val="clear" w:color="auto" w:fill="auto"/>
            <w:vAlign w:val="center"/>
            <w:hideMark/>
          </w:tcPr>
          <w:p w14:paraId="3A1103E2" w14:textId="77777777" w:rsidR="0017705F" w:rsidRPr="00BB054D" w:rsidRDefault="0017705F" w:rsidP="0017705F">
            <w:pPr>
              <w:rPr>
                <w:rFonts w:eastAsia="Times New Roman" w:cs="Times New Roman"/>
                <w:b/>
                <w:bCs/>
                <w:szCs w:val="24"/>
                <w:lang w:eastAsia="lv-LV"/>
              </w:rPr>
            </w:pPr>
            <w:r w:rsidRPr="00BB054D">
              <w:rPr>
                <w:rFonts w:eastAsia="Times New Roman" w:cs="Times New Roman"/>
                <w:b/>
                <w:bCs/>
                <w:szCs w:val="24"/>
                <w:lang w:eastAsia="lv-LV"/>
              </w:rPr>
              <w:t xml:space="preserve">Aizņēmuma limits kopā </w:t>
            </w:r>
          </w:p>
        </w:tc>
        <w:tc>
          <w:tcPr>
            <w:tcW w:w="222" w:type="dxa"/>
            <w:tcBorders>
              <w:top w:val="nil"/>
              <w:left w:val="nil"/>
              <w:bottom w:val="single" w:sz="4" w:space="0" w:color="auto"/>
              <w:right w:val="nil"/>
            </w:tcBorders>
          </w:tcPr>
          <w:p w14:paraId="39CEC0EE" w14:textId="77777777" w:rsidR="0017705F" w:rsidRPr="00BB054D" w:rsidRDefault="0017705F" w:rsidP="0017705F">
            <w:pPr>
              <w:jc w:val="center"/>
              <w:rPr>
                <w:rFonts w:eastAsia="Times New Roman" w:cs="Times New Roman"/>
                <w:b/>
                <w:bCs/>
                <w:color w:val="000000"/>
                <w:szCs w:val="24"/>
                <w:lang w:eastAsia="lv-LV"/>
              </w:rPr>
            </w:pPr>
          </w:p>
        </w:tc>
        <w:tc>
          <w:tcPr>
            <w:tcW w:w="1272" w:type="dxa"/>
            <w:tcBorders>
              <w:top w:val="nil"/>
              <w:left w:val="nil"/>
              <w:bottom w:val="single" w:sz="4" w:space="0" w:color="auto"/>
              <w:right w:val="single" w:sz="4" w:space="0" w:color="auto"/>
            </w:tcBorders>
            <w:shd w:val="clear" w:color="auto" w:fill="auto"/>
            <w:noWrap/>
            <w:vAlign w:val="center"/>
            <w:hideMark/>
          </w:tcPr>
          <w:p w14:paraId="4BCC3D68"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204,0</w:t>
            </w:r>
          </w:p>
        </w:tc>
        <w:tc>
          <w:tcPr>
            <w:tcW w:w="1412" w:type="dxa"/>
            <w:tcBorders>
              <w:top w:val="nil"/>
              <w:left w:val="nil"/>
              <w:bottom w:val="single" w:sz="4" w:space="0" w:color="auto"/>
              <w:right w:val="single" w:sz="4" w:space="0" w:color="auto"/>
            </w:tcBorders>
            <w:shd w:val="clear" w:color="auto" w:fill="auto"/>
            <w:noWrap/>
            <w:vAlign w:val="center"/>
            <w:hideMark/>
          </w:tcPr>
          <w:p w14:paraId="755C9B8A"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256,2</w:t>
            </w:r>
          </w:p>
        </w:tc>
        <w:tc>
          <w:tcPr>
            <w:tcW w:w="1272" w:type="dxa"/>
            <w:tcBorders>
              <w:top w:val="nil"/>
              <w:left w:val="nil"/>
              <w:bottom w:val="single" w:sz="4" w:space="0" w:color="auto"/>
              <w:right w:val="single" w:sz="4" w:space="0" w:color="auto"/>
            </w:tcBorders>
            <w:shd w:val="clear" w:color="auto" w:fill="auto"/>
            <w:noWrap/>
            <w:vAlign w:val="center"/>
            <w:hideMark/>
          </w:tcPr>
          <w:p w14:paraId="7CC7F863" w14:textId="77777777" w:rsidR="0017705F" w:rsidRPr="00BB054D" w:rsidRDefault="0017705F" w:rsidP="0017705F">
            <w:pPr>
              <w:jc w:val="center"/>
              <w:rPr>
                <w:rFonts w:eastAsia="Times New Roman" w:cs="Times New Roman"/>
                <w:b/>
                <w:bCs/>
                <w:color w:val="000000"/>
                <w:szCs w:val="24"/>
                <w:lang w:eastAsia="lv-LV"/>
              </w:rPr>
            </w:pPr>
            <w:r w:rsidRPr="00BB054D">
              <w:rPr>
                <w:rFonts w:eastAsia="Times New Roman" w:cs="Times New Roman"/>
                <w:b/>
                <w:bCs/>
                <w:color w:val="000000"/>
                <w:szCs w:val="24"/>
                <w:lang w:eastAsia="lv-LV"/>
              </w:rPr>
              <w:t>52,2</w:t>
            </w:r>
          </w:p>
        </w:tc>
      </w:tr>
      <w:tr w:rsidR="0017705F" w:rsidRPr="00BB054D" w14:paraId="163C577D" w14:textId="77777777" w:rsidTr="0017705F">
        <w:trPr>
          <w:trHeight w:val="315"/>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14:paraId="37E8868F" w14:textId="77777777" w:rsidR="0017705F" w:rsidRPr="00BB054D" w:rsidRDefault="0017705F" w:rsidP="0017705F">
            <w:pPr>
              <w:rPr>
                <w:rFonts w:eastAsia="Times New Roman" w:cs="Times New Roman"/>
                <w:szCs w:val="24"/>
                <w:lang w:eastAsia="lv-LV"/>
              </w:rPr>
            </w:pPr>
            <w:r>
              <w:rPr>
                <w:rFonts w:eastAsia="Times New Roman" w:cs="Times New Roman"/>
                <w:szCs w:val="24"/>
                <w:lang w:eastAsia="lv-LV"/>
              </w:rPr>
              <w:t>Plānotās aizņēmumu</w:t>
            </w:r>
            <w:r w:rsidRPr="00BB054D">
              <w:rPr>
                <w:rFonts w:eastAsia="Times New Roman" w:cs="Times New Roman"/>
                <w:szCs w:val="24"/>
                <w:lang w:eastAsia="lv-LV"/>
              </w:rPr>
              <w:t xml:space="preserve"> gada atmaksas </w:t>
            </w:r>
          </w:p>
        </w:tc>
        <w:tc>
          <w:tcPr>
            <w:tcW w:w="222" w:type="dxa"/>
            <w:tcBorders>
              <w:top w:val="nil"/>
              <w:left w:val="nil"/>
              <w:bottom w:val="single" w:sz="4" w:space="0" w:color="auto"/>
              <w:right w:val="nil"/>
            </w:tcBorders>
          </w:tcPr>
          <w:p w14:paraId="6E7EFAA8" w14:textId="77777777" w:rsidR="0017705F" w:rsidRPr="00BB054D" w:rsidRDefault="0017705F" w:rsidP="0017705F">
            <w:pPr>
              <w:jc w:val="center"/>
              <w:rPr>
                <w:rFonts w:eastAsia="Times New Roman" w:cs="Times New Roman"/>
                <w:color w:val="000000"/>
                <w:szCs w:val="24"/>
                <w:lang w:eastAsia="lv-LV"/>
              </w:rPr>
            </w:pPr>
          </w:p>
        </w:tc>
        <w:tc>
          <w:tcPr>
            <w:tcW w:w="1272" w:type="dxa"/>
            <w:tcBorders>
              <w:top w:val="nil"/>
              <w:left w:val="nil"/>
              <w:bottom w:val="single" w:sz="4" w:space="0" w:color="auto"/>
              <w:right w:val="single" w:sz="4" w:space="0" w:color="auto"/>
            </w:tcBorders>
            <w:shd w:val="clear" w:color="auto" w:fill="auto"/>
            <w:noWrap/>
            <w:vAlign w:val="center"/>
            <w:hideMark/>
          </w:tcPr>
          <w:p w14:paraId="1862EFA7"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85,9</w:t>
            </w:r>
          </w:p>
        </w:tc>
        <w:tc>
          <w:tcPr>
            <w:tcW w:w="1412" w:type="dxa"/>
            <w:tcBorders>
              <w:top w:val="nil"/>
              <w:left w:val="nil"/>
              <w:bottom w:val="single" w:sz="4" w:space="0" w:color="auto"/>
              <w:right w:val="single" w:sz="4" w:space="0" w:color="auto"/>
            </w:tcBorders>
            <w:shd w:val="clear" w:color="auto" w:fill="auto"/>
            <w:noWrap/>
            <w:vAlign w:val="center"/>
            <w:hideMark/>
          </w:tcPr>
          <w:p w14:paraId="26908D72"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112,6</w:t>
            </w:r>
          </w:p>
        </w:tc>
        <w:tc>
          <w:tcPr>
            <w:tcW w:w="1272" w:type="dxa"/>
            <w:tcBorders>
              <w:top w:val="nil"/>
              <w:left w:val="nil"/>
              <w:bottom w:val="single" w:sz="4" w:space="0" w:color="auto"/>
              <w:right w:val="single" w:sz="4" w:space="0" w:color="auto"/>
            </w:tcBorders>
            <w:shd w:val="clear" w:color="auto" w:fill="auto"/>
            <w:noWrap/>
            <w:vAlign w:val="center"/>
            <w:hideMark/>
          </w:tcPr>
          <w:p w14:paraId="128F1599"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26,7</w:t>
            </w:r>
          </w:p>
        </w:tc>
      </w:tr>
      <w:tr w:rsidR="0017705F" w:rsidRPr="00BB054D" w14:paraId="145B57E3" w14:textId="77777777" w:rsidTr="0017705F">
        <w:trPr>
          <w:trHeight w:val="315"/>
        </w:trPr>
        <w:tc>
          <w:tcPr>
            <w:tcW w:w="4656" w:type="dxa"/>
            <w:tcBorders>
              <w:top w:val="nil"/>
              <w:left w:val="single" w:sz="4" w:space="0" w:color="auto"/>
              <w:bottom w:val="single" w:sz="4" w:space="0" w:color="auto"/>
              <w:right w:val="single" w:sz="4" w:space="0" w:color="auto"/>
            </w:tcBorders>
            <w:shd w:val="clear" w:color="auto" w:fill="auto"/>
            <w:vAlign w:val="center"/>
            <w:hideMark/>
          </w:tcPr>
          <w:p w14:paraId="23F52623" w14:textId="77777777" w:rsidR="0017705F" w:rsidRPr="00BB054D" w:rsidRDefault="0017705F" w:rsidP="0017705F">
            <w:pPr>
              <w:rPr>
                <w:rFonts w:eastAsia="Times New Roman" w:cs="Times New Roman"/>
                <w:szCs w:val="24"/>
                <w:lang w:eastAsia="lv-LV"/>
              </w:rPr>
            </w:pPr>
            <w:r w:rsidRPr="00BB054D">
              <w:rPr>
                <w:rFonts w:eastAsia="Times New Roman" w:cs="Times New Roman"/>
                <w:szCs w:val="24"/>
                <w:lang w:eastAsia="lv-LV"/>
              </w:rPr>
              <w:t>Kopējais pieļaujamais pašv</w:t>
            </w:r>
            <w:r>
              <w:rPr>
                <w:rFonts w:eastAsia="Times New Roman" w:cs="Times New Roman"/>
                <w:szCs w:val="24"/>
                <w:lang w:eastAsia="lv-LV"/>
              </w:rPr>
              <w:t>aldību aizņēmumu   palielinājums</w:t>
            </w:r>
          </w:p>
        </w:tc>
        <w:tc>
          <w:tcPr>
            <w:tcW w:w="222" w:type="dxa"/>
            <w:tcBorders>
              <w:top w:val="nil"/>
              <w:left w:val="nil"/>
              <w:bottom w:val="single" w:sz="4" w:space="0" w:color="auto"/>
              <w:right w:val="nil"/>
            </w:tcBorders>
          </w:tcPr>
          <w:p w14:paraId="0EC4CA62" w14:textId="77777777" w:rsidR="0017705F" w:rsidRPr="00BB054D" w:rsidRDefault="0017705F" w:rsidP="0017705F">
            <w:pPr>
              <w:jc w:val="center"/>
              <w:rPr>
                <w:rFonts w:eastAsia="Times New Roman" w:cs="Times New Roman"/>
                <w:color w:val="000000"/>
                <w:szCs w:val="24"/>
                <w:lang w:eastAsia="lv-LV"/>
              </w:rPr>
            </w:pPr>
          </w:p>
        </w:tc>
        <w:tc>
          <w:tcPr>
            <w:tcW w:w="1272" w:type="dxa"/>
            <w:tcBorders>
              <w:top w:val="nil"/>
              <w:left w:val="nil"/>
              <w:bottom w:val="single" w:sz="4" w:space="0" w:color="auto"/>
              <w:right w:val="single" w:sz="4" w:space="0" w:color="auto"/>
            </w:tcBorders>
            <w:shd w:val="clear" w:color="auto" w:fill="auto"/>
            <w:noWrap/>
            <w:vAlign w:val="center"/>
            <w:hideMark/>
          </w:tcPr>
          <w:p w14:paraId="2E94D7E3"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118,1</w:t>
            </w:r>
          </w:p>
        </w:tc>
        <w:tc>
          <w:tcPr>
            <w:tcW w:w="1412" w:type="dxa"/>
            <w:tcBorders>
              <w:top w:val="nil"/>
              <w:left w:val="nil"/>
              <w:bottom w:val="single" w:sz="4" w:space="0" w:color="auto"/>
              <w:right w:val="single" w:sz="4" w:space="0" w:color="auto"/>
            </w:tcBorders>
            <w:shd w:val="clear" w:color="auto" w:fill="auto"/>
            <w:noWrap/>
            <w:vAlign w:val="center"/>
            <w:hideMark/>
          </w:tcPr>
          <w:p w14:paraId="1F2AE17B"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143,6</w:t>
            </w:r>
          </w:p>
        </w:tc>
        <w:tc>
          <w:tcPr>
            <w:tcW w:w="1272" w:type="dxa"/>
            <w:tcBorders>
              <w:top w:val="nil"/>
              <w:left w:val="nil"/>
              <w:bottom w:val="single" w:sz="4" w:space="0" w:color="auto"/>
              <w:right w:val="single" w:sz="4" w:space="0" w:color="auto"/>
            </w:tcBorders>
            <w:shd w:val="clear" w:color="auto" w:fill="auto"/>
            <w:noWrap/>
            <w:vAlign w:val="center"/>
            <w:hideMark/>
          </w:tcPr>
          <w:p w14:paraId="4B18E022" w14:textId="77777777" w:rsidR="0017705F" w:rsidRPr="00BB054D" w:rsidRDefault="0017705F" w:rsidP="0017705F">
            <w:pPr>
              <w:jc w:val="center"/>
              <w:rPr>
                <w:rFonts w:eastAsia="Times New Roman" w:cs="Times New Roman"/>
                <w:color w:val="000000"/>
                <w:szCs w:val="24"/>
                <w:lang w:eastAsia="lv-LV"/>
              </w:rPr>
            </w:pPr>
            <w:r w:rsidRPr="00BB054D">
              <w:rPr>
                <w:rFonts w:eastAsia="Times New Roman" w:cs="Times New Roman"/>
                <w:color w:val="000000"/>
                <w:szCs w:val="24"/>
                <w:lang w:eastAsia="lv-LV"/>
              </w:rPr>
              <w:t>25,5</w:t>
            </w:r>
          </w:p>
        </w:tc>
      </w:tr>
    </w:tbl>
    <w:p w14:paraId="01EFC201" w14:textId="77777777" w:rsidR="00437EC6" w:rsidRDefault="00437EC6" w:rsidP="00437EC6">
      <w:pPr>
        <w:ind w:right="-370" w:firstLine="567"/>
        <w:contextualSpacing/>
        <w:jc w:val="both"/>
        <w:rPr>
          <w:rFonts w:cs="Times New Roman"/>
          <w:color w:val="000000"/>
          <w:sz w:val="26"/>
          <w:szCs w:val="26"/>
        </w:rPr>
      </w:pPr>
    </w:p>
    <w:p w14:paraId="65F245E6" w14:textId="3C9A457F" w:rsidR="00437EC6" w:rsidRPr="0082238B" w:rsidRDefault="0011600C" w:rsidP="00437EC6">
      <w:pPr>
        <w:ind w:right="-370" w:firstLine="567"/>
        <w:contextualSpacing/>
        <w:jc w:val="both"/>
        <w:rPr>
          <w:sz w:val="26"/>
          <w:szCs w:val="26"/>
        </w:rPr>
      </w:pPr>
      <w:r>
        <w:rPr>
          <w:rFonts w:eastAsia="Times New Roman" w:cs="Times New Roman"/>
          <w:bCs/>
          <w:sz w:val="26"/>
          <w:szCs w:val="26"/>
        </w:rPr>
        <w:t xml:space="preserve">Attēlā Nr.1. redzams, ka </w:t>
      </w:r>
      <w:r w:rsidRPr="0082238B">
        <w:rPr>
          <w:rFonts w:cs="Times New Roman"/>
          <w:color w:val="000000"/>
          <w:sz w:val="26"/>
          <w:szCs w:val="26"/>
        </w:rPr>
        <w:t>p</w:t>
      </w:r>
      <w:r w:rsidRPr="0082238B">
        <w:rPr>
          <w:rFonts w:eastAsia="Times New Roman" w:cs="Times New Roman"/>
          <w:bCs/>
          <w:sz w:val="26"/>
          <w:szCs w:val="26"/>
        </w:rPr>
        <w:t xml:space="preserve">ēdējos gados </w:t>
      </w:r>
      <w:r w:rsidR="00437EC6" w:rsidRPr="0082238B">
        <w:rPr>
          <w:rFonts w:eastAsia="Times New Roman" w:cs="Times New Roman"/>
          <w:bCs/>
          <w:sz w:val="26"/>
          <w:szCs w:val="26"/>
        </w:rPr>
        <w:t xml:space="preserve">būtiski ir pieaudzis pašvaldību aizņēmumu pieprasījumu skaits un  aizņēmumu apjomi, kas </w:t>
      </w:r>
      <w:r w:rsidR="00437EC6" w:rsidRPr="0082238B">
        <w:rPr>
          <w:rFonts w:eastAsia="Times New Roman"/>
          <w:sz w:val="26"/>
          <w:szCs w:val="26"/>
          <w:lang w:eastAsia="lv-LV"/>
        </w:rPr>
        <w:t xml:space="preserve">skaidrojams gan ar aktīvu </w:t>
      </w:r>
      <w:r w:rsidR="00437EC6" w:rsidRPr="0082238B">
        <w:rPr>
          <w:rFonts w:cs="Times New Roman"/>
          <w:sz w:val="26"/>
          <w:szCs w:val="26"/>
        </w:rPr>
        <w:t>Eiropas Savienības</w:t>
      </w:r>
      <w:r w:rsidR="00437EC6" w:rsidRPr="0082238B">
        <w:rPr>
          <w:rFonts w:eastAsia="Times New Roman"/>
          <w:sz w:val="26"/>
          <w:szCs w:val="26"/>
          <w:lang w:eastAsia="lv-LV"/>
        </w:rPr>
        <w:t xml:space="preserve"> fondu un citu ārvalstu finanšu palīdzības līdzfinansētu projektu īstenošanu (turpmāk </w:t>
      </w:r>
      <w:r w:rsidR="00437EC6">
        <w:rPr>
          <w:rFonts w:eastAsia="Times New Roman"/>
          <w:sz w:val="26"/>
          <w:szCs w:val="26"/>
          <w:lang w:eastAsia="lv-LV"/>
        </w:rPr>
        <w:t xml:space="preserve">- </w:t>
      </w:r>
      <w:r w:rsidR="00437EC6" w:rsidRPr="0082238B">
        <w:rPr>
          <w:rFonts w:eastAsia="Times New Roman"/>
          <w:sz w:val="26"/>
          <w:szCs w:val="26"/>
          <w:lang w:eastAsia="lv-LV"/>
        </w:rPr>
        <w:t xml:space="preserve">ES projekti), gan ar pašvaldību </w:t>
      </w:r>
      <w:r w:rsidR="00437EC6" w:rsidRPr="0082238B">
        <w:rPr>
          <w:rFonts w:cs="Times New Roman"/>
          <w:sz w:val="26"/>
          <w:szCs w:val="26"/>
          <w:lang w:eastAsia="lv-LV"/>
        </w:rPr>
        <w:t xml:space="preserve">vēlmi aktīvāk īstenot </w:t>
      </w:r>
      <w:r w:rsidR="00437EC6" w:rsidRPr="0082238B">
        <w:rPr>
          <w:rFonts w:cs="Times New Roman"/>
          <w:sz w:val="26"/>
          <w:szCs w:val="26"/>
        </w:rPr>
        <w:t xml:space="preserve">pārējos investīciju projektus, </w:t>
      </w:r>
      <w:r>
        <w:rPr>
          <w:rFonts w:cs="Times New Roman"/>
          <w:sz w:val="26"/>
          <w:szCs w:val="26"/>
        </w:rPr>
        <w:t xml:space="preserve">gan </w:t>
      </w:r>
      <w:r w:rsidR="00437EC6" w:rsidRPr="0082238B">
        <w:rPr>
          <w:rFonts w:cs="Times New Roman"/>
          <w:sz w:val="26"/>
          <w:szCs w:val="26"/>
        </w:rPr>
        <w:t xml:space="preserve">ar projektu izmaksu sadārdzinājumu. </w:t>
      </w:r>
    </w:p>
    <w:p w14:paraId="1A7088D6" w14:textId="77777777" w:rsidR="00437EC6" w:rsidRPr="003C15C4" w:rsidRDefault="00437EC6" w:rsidP="00437EC6">
      <w:pPr>
        <w:ind w:firstLine="567"/>
        <w:jc w:val="right"/>
        <w:rPr>
          <w:rFonts w:eastAsia="Times New Roman"/>
          <w:bCs/>
          <w:sz w:val="26"/>
          <w:szCs w:val="26"/>
        </w:rPr>
      </w:pPr>
      <w:r>
        <w:rPr>
          <w:rFonts w:eastAsia="Times New Roman"/>
          <w:bCs/>
          <w:sz w:val="26"/>
          <w:szCs w:val="26"/>
        </w:rPr>
        <w:t xml:space="preserve"> </w:t>
      </w:r>
      <w:r w:rsidRPr="003C15C4">
        <w:rPr>
          <w:rFonts w:eastAsia="Times New Roman"/>
          <w:bCs/>
          <w:sz w:val="26"/>
          <w:szCs w:val="26"/>
        </w:rPr>
        <w:t>Attēls Nr.1</w:t>
      </w:r>
    </w:p>
    <w:p w14:paraId="6A3E4305" w14:textId="3F905B40" w:rsidR="00437EC6" w:rsidRDefault="00437EC6" w:rsidP="00437EC6">
      <w:pPr>
        <w:pStyle w:val="NormalWeb"/>
        <w:spacing w:before="0" w:beforeAutospacing="0" w:after="0" w:afterAutospacing="0"/>
        <w:jc w:val="center"/>
        <w:rPr>
          <w:rFonts w:eastAsiaTheme="minorEastAsia"/>
          <w:b/>
          <w:bCs/>
          <w:i/>
          <w:color w:val="000000" w:themeColor="text1"/>
          <w:kern w:val="24"/>
          <w:sz w:val="26"/>
          <w:szCs w:val="26"/>
        </w:rPr>
      </w:pPr>
      <w:r w:rsidRPr="003C15C4">
        <w:rPr>
          <w:rFonts w:eastAsiaTheme="minorEastAsia"/>
          <w:b/>
          <w:bCs/>
          <w:color w:val="000000" w:themeColor="text1"/>
          <w:kern w:val="24"/>
          <w:sz w:val="26"/>
          <w:szCs w:val="26"/>
        </w:rPr>
        <w:t>Pašvaldību aizņēmumu piep</w:t>
      </w:r>
      <w:r>
        <w:rPr>
          <w:rFonts w:eastAsiaTheme="minorEastAsia"/>
          <w:b/>
          <w:bCs/>
          <w:color w:val="000000" w:themeColor="text1"/>
          <w:kern w:val="24"/>
          <w:sz w:val="26"/>
          <w:szCs w:val="26"/>
        </w:rPr>
        <w:t xml:space="preserve">rasījumu kopējais apmērs, </w:t>
      </w:r>
      <w:r w:rsidRPr="00A2007E">
        <w:rPr>
          <w:rFonts w:eastAsiaTheme="minorEastAsia"/>
          <w:b/>
          <w:bCs/>
          <w:i/>
          <w:color w:val="000000" w:themeColor="text1"/>
          <w:kern w:val="24"/>
          <w:sz w:val="26"/>
          <w:szCs w:val="26"/>
        </w:rPr>
        <w:t>milj.</w:t>
      </w:r>
      <w:r>
        <w:rPr>
          <w:rFonts w:eastAsiaTheme="minorEastAsia"/>
          <w:b/>
          <w:bCs/>
          <w:i/>
          <w:color w:val="000000" w:themeColor="text1"/>
          <w:kern w:val="24"/>
          <w:sz w:val="26"/>
          <w:szCs w:val="26"/>
        </w:rPr>
        <w:t xml:space="preserve"> </w:t>
      </w:r>
      <w:r w:rsidRPr="00A2007E">
        <w:rPr>
          <w:rFonts w:eastAsiaTheme="minorEastAsia"/>
          <w:b/>
          <w:bCs/>
          <w:i/>
          <w:color w:val="000000" w:themeColor="text1"/>
          <w:kern w:val="24"/>
          <w:sz w:val="26"/>
          <w:szCs w:val="26"/>
        </w:rPr>
        <w:t>EUR</w:t>
      </w:r>
    </w:p>
    <w:p w14:paraId="200972D4" w14:textId="77777777" w:rsidR="0017705F" w:rsidRDefault="0017705F" w:rsidP="00437EC6">
      <w:pPr>
        <w:pStyle w:val="NormalWeb"/>
        <w:spacing w:before="0" w:beforeAutospacing="0" w:after="0" w:afterAutospacing="0"/>
        <w:jc w:val="center"/>
        <w:rPr>
          <w:rFonts w:eastAsiaTheme="minorEastAsia"/>
          <w:b/>
          <w:bCs/>
          <w:i/>
          <w:color w:val="000000" w:themeColor="text1"/>
          <w:kern w:val="24"/>
          <w:sz w:val="26"/>
          <w:szCs w:val="26"/>
        </w:rPr>
      </w:pPr>
    </w:p>
    <w:p w14:paraId="56DAC406" w14:textId="3F0BA6A7" w:rsidR="00437EC6" w:rsidRPr="003C15C4" w:rsidRDefault="000E4627" w:rsidP="00437EC6">
      <w:pPr>
        <w:pStyle w:val="NormalWeb"/>
        <w:spacing w:before="0" w:beforeAutospacing="0" w:after="0" w:afterAutospacing="0"/>
        <w:jc w:val="center"/>
        <w:rPr>
          <w:rFonts w:eastAsiaTheme="minorEastAsia"/>
          <w:b/>
          <w:bCs/>
          <w:i/>
          <w:color w:val="000000" w:themeColor="text1"/>
          <w:kern w:val="24"/>
          <w:sz w:val="26"/>
          <w:szCs w:val="26"/>
        </w:rPr>
      </w:pPr>
      <w:r>
        <w:rPr>
          <w:rFonts w:eastAsiaTheme="minorEastAsia"/>
          <w:b/>
          <w:bCs/>
          <w:i/>
          <w:noProof/>
          <w:color w:val="000000" w:themeColor="text1"/>
          <w:kern w:val="24"/>
          <w:sz w:val="26"/>
          <w:szCs w:val="26"/>
        </w:rPr>
        <w:drawing>
          <wp:inline distT="0" distB="0" distL="0" distR="0" wp14:anchorId="6FC6A94C" wp14:editId="320FF12E">
            <wp:extent cx="4563571" cy="2743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591" cy="2756437"/>
                    </a:xfrm>
                    <a:prstGeom prst="rect">
                      <a:avLst/>
                    </a:prstGeom>
                    <a:noFill/>
                  </pic:spPr>
                </pic:pic>
              </a:graphicData>
            </a:graphic>
          </wp:inline>
        </w:drawing>
      </w:r>
    </w:p>
    <w:p w14:paraId="219F08B3" w14:textId="77777777" w:rsidR="00437EC6" w:rsidRDefault="00437EC6" w:rsidP="00437EC6">
      <w:pPr>
        <w:ind w:right="-370" w:firstLine="567"/>
        <w:contextualSpacing/>
        <w:jc w:val="both"/>
        <w:rPr>
          <w:rFonts w:eastAsia="Times New Roman" w:cs="Times New Roman"/>
          <w:bCs/>
          <w:sz w:val="26"/>
          <w:szCs w:val="26"/>
        </w:rPr>
      </w:pPr>
    </w:p>
    <w:p w14:paraId="6D1D91CB" w14:textId="77777777" w:rsidR="00437EC6" w:rsidRPr="00C82D23" w:rsidRDefault="00437EC6" w:rsidP="00437EC6">
      <w:pPr>
        <w:ind w:right="-370" w:firstLine="567"/>
        <w:contextualSpacing/>
        <w:jc w:val="both"/>
        <w:rPr>
          <w:sz w:val="26"/>
          <w:szCs w:val="26"/>
        </w:rPr>
      </w:pPr>
      <w:r w:rsidRPr="0082238B">
        <w:rPr>
          <w:rFonts w:eastAsia="Times New Roman" w:cs="Times New Roman"/>
          <w:bCs/>
          <w:sz w:val="26"/>
          <w:szCs w:val="26"/>
        </w:rPr>
        <w:lastRenderedPageBreak/>
        <w:t>Finanšu ministrijai jau 2018.gadā nācās secināt, ka būtiski pieaug pašvaldību pieprasījums pēc aizņēmumiem, līdz ar to jau 2018.gada oktobrī Ministru kabinets lēma par pašvaldību aizņēmumu izsniegšanas ierobežošanu 2018.gada 4 ceturksnī</w:t>
      </w:r>
      <w:r w:rsidRPr="0082238B">
        <w:rPr>
          <w:rStyle w:val="FootnoteReference"/>
          <w:rFonts w:eastAsia="Times New Roman" w:cs="Times New Roman"/>
          <w:bCs/>
          <w:sz w:val="26"/>
          <w:szCs w:val="26"/>
        </w:rPr>
        <w:footnoteReference w:id="1"/>
      </w:r>
      <w:r w:rsidRPr="0082238B">
        <w:rPr>
          <w:rFonts w:eastAsia="Times New Roman" w:cs="Times New Roman"/>
          <w:bCs/>
          <w:sz w:val="26"/>
          <w:szCs w:val="26"/>
        </w:rPr>
        <w:t>.</w:t>
      </w:r>
      <w:r>
        <w:rPr>
          <w:rFonts w:eastAsia="Times New Roman" w:cs="Times New Roman"/>
          <w:bCs/>
          <w:sz w:val="26"/>
          <w:szCs w:val="26"/>
        </w:rPr>
        <w:t xml:space="preserve"> </w:t>
      </w:r>
    </w:p>
    <w:p w14:paraId="226EFFA0" w14:textId="19AFC2CF" w:rsidR="00437EC6" w:rsidRDefault="00437EC6" w:rsidP="00437EC6">
      <w:pPr>
        <w:ind w:right="-370" w:firstLine="567"/>
        <w:contextualSpacing/>
        <w:jc w:val="both"/>
        <w:rPr>
          <w:sz w:val="26"/>
          <w:szCs w:val="26"/>
          <w:lang w:eastAsia="lv-LV"/>
        </w:rPr>
      </w:pPr>
      <w:r w:rsidRPr="004E7DFA">
        <w:rPr>
          <w:rFonts w:eastAsia="Times New Roman" w:cs="Times New Roman"/>
          <w:bCs/>
          <w:sz w:val="26"/>
          <w:szCs w:val="26"/>
        </w:rPr>
        <w:t xml:space="preserve">2019.gada aizņēmuma limitu ietekmē ne tikai 2019.gadā piešķirtie aizņēmumi, bet arī </w:t>
      </w:r>
      <w:r>
        <w:rPr>
          <w:sz w:val="26"/>
          <w:szCs w:val="26"/>
          <w:lang w:eastAsia="lv-LV"/>
        </w:rPr>
        <w:t>iepriekšējos gados piešķirtie</w:t>
      </w:r>
      <w:r w:rsidRPr="004E7DFA">
        <w:rPr>
          <w:sz w:val="26"/>
          <w:szCs w:val="26"/>
          <w:lang w:eastAsia="lv-LV"/>
        </w:rPr>
        <w:t xml:space="preserve"> </w:t>
      </w:r>
      <w:r>
        <w:rPr>
          <w:sz w:val="26"/>
          <w:szCs w:val="26"/>
          <w:lang w:eastAsia="lv-LV"/>
        </w:rPr>
        <w:t>vidēja termiņa aizņēmumi, kuru</w:t>
      </w:r>
      <w:r w:rsidRPr="004E7DFA">
        <w:rPr>
          <w:sz w:val="26"/>
          <w:szCs w:val="26"/>
          <w:lang w:eastAsia="lv-LV"/>
        </w:rPr>
        <w:t xml:space="preserve"> izmaksa ir paredzēta 2019.gadā. </w:t>
      </w:r>
      <w:r>
        <w:rPr>
          <w:sz w:val="26"/>
          <w:szCs w:val="26"/>
          <w:lang w:eastAsia="lv-LV"/>
        </w:rPr>
        <w:t xml:space="preserve">No </w:t>
      </w:r>
      <w:r w:rsidRPr="004E7DFA">
        <w:rPr>
          <w:sz w:val="26"/>
          <w:szCs w:val="26"/>
          <w:lang w:eastAsia="lv-LV"/>
        </w:rPr>
        <w:t>201</w:t>
      </w:r>
      <w:r>
        <w:rPr>
          <w:sz w:val="26"/>
          <w:szCs w:val="26"/>
          <w:lang w:eastAsia="lv-LV"/>
        </w:rPr>
        <w:t xml:space="preserve">9.gada kopējā aizņēmuma limita </w:t>
      </w:r>
      <w:r w:rsidR="0011600C">
        <w:rPr>
          <w:rFonts w:eastAsia="Times New Roman" w:cs="Times New Roman"/>
          <w:bCs/>
          <w:sz w:val="26"/>
          <w:szCs w:val="26"/>
        </w:rPr>
        <w:t xml:space="preserve">būtiska daļa, kas ir  </w:t>
      </w:r>
      <w:r w:rsidRPr="004E7DFA">
        <w:rPr>
          <w:rFonts w:eastAsia="Times New Roman" w:cs="Times New Roman"/>
          <w:bCs/>
          <w:sz w:val="26"/>
          <w:szCs w:val="26"/>
        </w:rPr>
        <w:t>85 milj. EUR</w:t>
      </w:r>
      <w:r w:rsidR="0011600C">
        <w:rPr>
          <w:rFonts w:eastAsia="Times New Roman" w:cs="Times New Roman"/>
          <w:bCs/>
          <w:sz w:val="26"/>
          <w:szCs w:val="26"/>
        </w:rPr>
        <w:t>,</w:t>
      </w:r>
      <w:r w:rsidRPr="004E7DFA">
        <w:rPr>
          <w:rFonts w:eastAsia="Times New Roman" w:cs="Times New Roman"/>
          <w:bCs/>
          <w:sz w:val="26"/>
          <w:szCs w:val="26"/>
        </w:rPr>
        <w:t xml:space="preserve"> ir  jānodrošina iepriekšējos </w:t>
      </w:r>
      <w:r>
        <w:rPr>
          <w:rFonts w:eastAsia="Times New Roman" w:cs="Times New Roman"/>
          <w:bCs/>
          <w:sz w:val="26"/>
          <w:szCs w:val="26"/>
        </w:rPr>
        <w:t xml:space="preserve">gados </w:t>
      </w:r>
      <w:r w:rsidRPr="004E7DFA">
        <w:rPr>
          <w:rFonts w:eastAsia="Times New Roman" w:cs="Times New Roman"/>
          <w:bCs/>
          <w:sz w:val="26"/>
          <w:szCs w:val="26"/>
        </w:rPr>
        <w:t>noslēgto aizņēmumu līgumu saistību izpildei.</w:t>
      </w:r>
      <w:r>
        <w:rPr>
          <w:rFonts w:eastAsia="Times New Roman" w:cs="Times New Roman"/>
          <w:bCs/>
          <w:sz w:val="26"/>
          <w:szCs w:val="26"/>
        </w:rPr>
        <w:t xml:space="preserve"> </w:t>
      </w:r>
    </w:p>
    <w:p w14:paraId="17515FBD" w14:textId="13B5F99C" w:rsidR="00437EC6" w:rsidRPr="00953837" w:rsidRDefault="00437EC6" w:rsidP="00437EC6">
      <w:pPr>
        <w:ind w:right="-370" w:firstLine="567"/>
        <w:contextualSpacing/>
        <w:jc w:val="both"/>
        <w:rPr>
          <w:rFonts w:eastAsia="Times New Roman" w:cs="Times New Roman"/>
          <w:bCs/>
          <w:sz w:val="26"/>
          <w:szCs w:val="26"/>
        </w:rPr>
      </w:pPr>
      <w:r w:rsidRPr="00760EDF">
        <w:rPr>
          <w:rFonts w:eastAsia="Times New Roman" w:cs="Times New Roman"/>
          <w:bCs/>
          <w:sz w:val="26"/>
          <w:szCs w:val="26"/>
        </w:rPr>
        <w:t xml:space="preserve">Diemžēl jāsecina, ka joprojām saglabājas tendence </w:t>
      </w:r>
      <w:r>
        <w:rPr>
          <w:rFonts w:eastAsia="Times New Roman" w:cs="Times New Roman"/>
          <w:bCs/>
          <w:sz w:val="26"/>
          <w:szCs w:val="26"/>
        </w:rPr>
        <w:t xml:space="preserve">pašvaldībām </w:t>
      </w:r>
      <w:r w:rsidRPr="00760EDF">
        <w:rPr>
          <w:rFonts w:eastAsia="Times New Roman" w:cs="Times New Roman"/>
          <w:bCs/>
          <w:sz w:val="26"/>
          <w:szCs w:val="26"/>
        </w:rPr>
        <w:t>neapgūt pieprasītos aizņēmumus</w:t>
      </w:r>
      <w:r>
        <w:rPr>
          <w:rFonts w:eastAsia="Times New Roman" w:cs="Times New Roman"/>
          <w:bCs/>
          <w:sz w:val="26"/>
          <w:szCs w:val="26"/>
        </w:rPr>
        <w:t xml:space="preserve"> atbilstoši plānotajiem projektu izpildes grafikiem, tāpēc šo aizņēmumu izmaksa tiek pārcelta</w:t>
      </w:r>
      <w:r w:rsidRPr="00760EDF">
        <w:rPr>
          <w:rFonts w:eastAsia="Times New Roman" w:cs="Times New Roman"/>
          <w:bCs/>
          <w:sz w:val="26"/>
          <w:szCs w:val="26"/>
        </w:rPr>
        <w:t xml:space="preserve"> uz nākamo gadu, kas </w:t>
      </w:r>
      <w:r>
        <w:rPr>
          <w:rFonts w:eastAsia="Times New Roman" w:cs="Times New Roman"/>
          <w:bCs/>
          <w:sz w:val="26"/>
          <w:szCs w:val="26"/>
        </w:rPr>
        <w:t xml:space="preserve">samazina pieejamo aizņēmuma limitu jaunu projektu aizņēmumiem.  Šīs pārceltās </w:t>
      </w:r>
      <w:r w:rsidRPr="00760EDF">
        <w:rPr>
          <w:rFonts w:eastAsia="Times New Roman" w:cs="Times New Roman"/>
          <w:bCs/>
          <w:sz w:val="26"/>
          <w:szCs w:val="26"/>
        </w:rPr>
        <w:t xml:space="preserve">aizņēmumu summas ar katru gadu būtiski pieaug. Uz 2019.gadu ir pārceltas aizņēmumu </w:t>
      </w:r>
      <w:r>
        <w:rPr>
          <w:rFonts w:eastAsia="Times New Roman" w:cs="Times New Roman"/>
          <w:bCs/>
          <w:sz w:val="26"/>
          <w:szCs w:val="26"/>
        </w:rPr>
        <w:t>izmaksas 60,8 milj. EUR apmērā, kas ir par 29,8  milj. EUR vairāk, nekā 2018.gadā</w:t>
      </w:r>
      <w:r>
        <w:rPr>
          <w:sz w:val="26"/>
          <w:szCs w:val="26"/>
          <w:lang w:eastAsia="lv-LV"/>
        </w:rPr>
        <w:t xml:space="preserve">. </w:t>
      </w:r>
      <w:r>
        <w:rPr>
          <w:rFonts w:eastAsia="Times New Roman" w:cs="Times New Roman"/>
          <w:bCs/>
          <w:sz w:val="26"/>
          <w:szCs w:val="26"/>
        </w:rPr>
        <w:t xml:space="preserve">Līdz ar </w:t>
      </w:r>
      <w:r w:rsidR="000420A5">
        <w:rPr>
          <w:rFonts w:eastAsia="Times New Roman" w:cs="Times New Roman"/>
          <w:bCs/>
          <w:sz w:val="26"/>
          <w:szCs w:val="26"/>
        </w:rPr>
        <w:t xml:space="preserve">to </w:t>
      </w:r>
      <w:r>
        <w:rPr>
          <w:rFonts w:eastAsia="Times New Roman" w:cs="Times New Roman"/>
          <w:bCs/>
          <w:sz w:val="26"/>
          <w:szCs w:val="26"/>
        </w:rPr>
        <w:t xml:space="preserve">pašvaldību 2019.gada </w:t>
      </w:r>
      <w:r>
        <w:rPr>
          <w:sz w:val="26"/>
          <w:szCs w:val="26"/>
          <w:lang w:eastAsia="lv-LV"/>
        </w:rPr>
        <w:t xml:space="preserve">aizņēmuma limita atlikums jaunu projektu īstenošanai </w:t>
      </w:r>
      <w:r w:rsidR="0011600C">
        <w:rPr>
          <w:sz w:val="26"/>
          <w:szCs w:val="26"/>
          <w:lang w:eastAsia="lv-LV"/>
        </w:rPr>
        <w:t xml:space="preserve">ir </w:t>
      </w:r>
      <w:r w:rsidRPr="00B06C99">
        <w:rPr>
          <w:sz w:val="26"/>
          <w:szCs w:val="26"/>
          <w:lang w:eastAsia="lv-LV"/>
        </w:rPr>
        <w:t>ierobežots</w:t>
      </w:r>
      <w:r>
        <w:rPr>
          <w:sz w:val="26"/>
          <w:szCs w:val="26"/>
          <w:lang w:eastAsia="lv-LV"/>
        </w:rPr>
        <w:t xml:space="preserve">, neskatoties uz to, ka kopējais pašvaldību aizņēmumu limits 2019.gadam  ir lielāks. </w:t>
      </w:r>
    </w:p>
    <w:p w14:paraId="27D29B7F" w14:textId="1252DB80" w:rsidR="00437EC6" w:rsidRDefault="00437EC6" w:rsidP="00437EC6">
      <w:pPr>
        <w:ind w:right="-370" w:firstLine="567"/>
        <w:contextualSpacing/>
        <w:jc w:val="both"/>
        <w:rPr>
          <w:sz w:val="26"/>
          <w:szCs w:val="26"/>
        </w:rPr>
      </w:pPr>
      <w:r>
        <w:rPr>
          <w:rFonts w:cs="Times New Roman"/>
          <w:sz w:val="26"/>
          <w:szCs w:val="26"/>
          <w:lang w:eastAsia="lv-LV"/>
        </w:rPr>
        <w:t xml:space="preserve">Informācija pašvaldībām par 2019.gada </w:t>
      </w:r>
      <w:r w:rsidRPr="00B06C99">
        <w:rPr>
          <w:sz w:val="26"/>
          <w:szCs w:val="26"/>
        </w:rPr>
        <w:t>pašvaldību</w:t>
      </w:r>
      <w:r>
        <w:rPr>
          <w:sz w:val="26"/>
          <w:szCs w:val="26"/>
        </w:rPr>
        <w:t xml:space="preserve"> </w:t>
      </w:r>
      <w:r w:rsidRPr="00B06C99">
        <w:rPr>
          <w:sz w:val="26"/>
          <w:szCs w:val="26"/>
        </w:rPr>
        <w:t>aizņēmumu nosacījumiem un aiz</w:t>
      </w:r>
      <w:r>
        <w:rPr>
          <w:sz w:val="26"/>
          <w:szCs w:val="26"/>
        </w:rPr>
        <w:t>ņēmuma limitu</w:t>
      </w:r>
      <w:r w:rsidRPr="00B06C99">
        <w:rPr>
          <w:sz w:val="26"/>
          <w:szCs w:val="26"/>
        </w:rPr>
        <w:t xml:space="preserve"> 2019.</w:t>
      </w:r>
      <w:r>
        <w:rPr>
          <w:sz w:val="26"/>
          <w:szCs w:val="26"/>
        </w:rPr>
        <w:t xml:space="preserve">gadam </w:t>
      </w:r>
      <w:r w:rsidRPr="00B06C99">
        <w:rPr>
          <w:sz w:val="26"/>
          <w:szCs w:val="26"/>
        </w:rPr>
        <w:t xml:space="preserve">tika sniegta savlaicīgi: gan </w:t>
      </w:r>
      <w:r>
        <w:rPr>
          <w:sz w:val="26"/>
          <w:szCs w:val="26"/>
        </w:rPr>
        <w:t xml:space="preserve">Finanšu ministrijas </w:t>
      </w:r>
      <w:r w:rsidRPr="00B06C99">
        <w:rPr>
          <w:sz w:val="26"/>
          <w:szCs w:val="26"/>
        </w:rPr>
        <w:t xml:space="preserve"> un Latvijas Pašvaldību savienības 2018. un 2019.gada sarunās, gan vair</w:t>
      </w:r>
      <w:r>
        <w:rPr>
          <w:sz w:val="26"/>
          <w:szCs w:val="26"/>
        </w:rPr>
        <w:t>ā</w:t>
      </w:r>
      <w:r w:rsidRPr="00B06C99">
        <w:rPr>
          <w:sz w:val="26"/>
          <w:szCs w:val="26"/>
        </w:rPr>
        <w:t>kkārt  Latvijas Pašvaldību savienības Finanšu komitejas sēdēs</w:t>
      </w:r>
      <w:r>
        <w:rPr>
          <w:sz w:val="26"/>
          <w:szCs w:val="26"/>
        </w:rPr>
        <w:t xml:space="preserve">. </w:t>
      </w:r>
    </w:p>
    <w:p w14:paraId="55A415B3" w14:textId="0EDBEB92" w:rsidR="00437EC6" w:rsidRPr="00953837" w:rsidRDefault="00437EC6" w:rsidP="00437EC6">
      <w:pPr>
        <w:ind w:right="-370" w:firstLine="567"/>
        <w:contextualSpacing/>
        <w:jc w:val="both"/>
        <w:rPr>
          <w:sz w:val="26"/>
          <w:szCs w:val="26"/>
        </w:rPr>
      </w:pPr>
      <w:r>
        <w:rPr>
          <w:sz w:val="26"/>
          <w:szCs w:val="26"/>
        </w:rPr>
        <w:t>Papildu</w:t>
      </w:r>
      <w:r w:rsidRPr="00953837">
        <w:rPr>
          <w:sz w:val="26"/>
          <w:szCs w:val="26"/>
        </w:rPr>
        <w:t xml:space="preserve"> aizņēmumu </w:t>
      </w:r>
      <w:r w:rsidRPr="00953837">
        <w:rPr>
          <w:bCs/>
          <w:sz w:val="26"/>
          <w:szCs w:val="26"/>
        </w:rPr>
        <w:t>resurss</w:t>
      </w:r>
      <w:r>
        <w:rPr>
          <w:bCs/>
          <w:sz w:val="26"/>
          <w:szCs w:val="26"/>
        </w:rPr>
        <w:t xml:space="preserve"> ir pašvaldību aizņēmumu pirmstermiņa atmaksas, kas pašvaldībām ir jāveic pēc Eiropas Savienības finansējuma saņemšanas, ievērojot  normatīvajos aktos noteiktos nosacījumus</w:t>
      </w:r>
      <w:r>
        <w:rPr>
          <w:rStyle w:val="FootnoteReference"/>
          <w:bCs/>
          <w:sz w:val="26"/>
          <w:szCs w:val="26"/>
        </w:rPr>
        <w:footnoteReference w:id="2"/>
      </w:r>
      <w:r>
        <w:rPr>
          <w:bCs/>
          <w:sz w:val="26"/>
          <w:szCs w:val="26"/>
        </w:rPr>
        <w:t>. Finanšu ministrija regulāri seko līdz situācijai ar pašvaldību pirmstermiņa atmaksām,</w:t>
      </w:r>
      <w:r w:rsidRPr="00D25D6A">
        <w:rPr>
          <w:bCs/>
          <w:sz w:val="26"/>
          <w:szCs w:val="26"/>
        </w:rPr>
        <w:t xml:space="preserve"> </w:t>
      </w:r>
      <w:r>
        <w:rPr>
          <w:bCs/>
          <w:sz w:val="26"/>
          <w:szCs w:val="26"/>
        </w:rPr>
        <w:t xml:space="preserve">uz 2019.gada </w:t>
      </w:r>
      <w:r w:rsidR="001B1CBA">
        <w:rPr>
          <w:bCs/>
          <w:sz w:val="26"/>
          <w:szCs w:val="26"/>
        </w:rPr>
        <w:t xml:space="preserve">31.maiju tās ir </w:t>
      </w:r>
      <w:r w:rsidR="0011600C">
        <w:rPr>
          <w:bCs/>
          <w:sz w:val="26"/>
          <w:szCs w:val="26"/>
        </w:rPr>
        <w:t xml:space="preserve">veiktas </w:t>
      </w:r>
      <w:r w:rsidR="001B1CBA">
        <w:rPr>
          <w:bCs/>
          <w:sz w:val="26"/>
          <w:szCs w:val="26"/>
        </w:rPr>
        <w:t>16,9</w:t>
      </w:r>
      <w:r w:rsidRPr="00953837">
        <w:rPr>
          <w:bCs/>
          <w:sz w:val="26"/>
          <w:szCs w:val="26"/>
        </w:rPr>
        <w:t xml:space="preserve"> milj. EUR apmērā. </w:t>
      </w:r>
      <w:r>
        <w:rPr>
          <w:sz w:val="26"/>
          <w:szCs w:val="26"/>
        </w:rPr>
        <w:t xml:space="preserve"> </w:t>
      </w:r>
      <w:r>
        <w:rPr>
          <w:bCs/>
          <w:sz w:val="26"/>
          <w:szCs w:val="26"/>
        </w:rPr>
        <w:t xml:space="preserve">Pašvaldības ir atbildīgas par atmaksu veikšanu noteiktajos termiņos, tādējādi dodot iespēju  pašvaldībām saņemt aizņēmumus jaunu investīciju projektu īstenošanai. </w:t>
      </w:r>
    </w:p>
    <w:p w14:paraId="12E16792" w14:textId="754AAA72" w:rsidR="00437EC6" w:rsidRDefault="0011600C" w:rsidP="00437EC6">
      <w:pPr>
        <w:ind w:right="-370" w:firstLine="567"/>
        <w:contextualSpacing/>
        <w:jc w:val="both"/>
        <w:rPr>
          <w:rFonts w:cs="Times New Roman"/>
          <w:sz w:val="26"/>
          <w:szCs w:val="26"/>
          <w:lang w:eastAsia="lv-LV"/>
        </w:rPr>
      </w:pPr>
      <w:r>
        <w:rPr>
          <w:rFonts w:cs="Times New Roman"/>
          <w:sz w:val="26"/>
          <w:szCs w:val="26"/>
        </w:rPr>
        <w:t>S</w:t>
      </w:r>
      <w:r w:rsidR="00437EC6" w:rsidRPr="00921370">
        <w:rPr>
          <w:rFonts w:cs="Times New Roman"/>
          <w:sz w:val="26"/>
          <w:szCs w:val="26"/>
        </w:rPr>
        <w:t>askaņā ar Likuma par budžetu un finanšu vadību 15.panta pirmās daļas 3.punktu</w:t>
      </w:r>
      <w:r w:rsidRPr="0011600C">
        <w:rPr>
          <w:rFonts w:cs="Times New Roman"/>
          <w:sz w:val="26"/>
          <w:szCs w:val="26"/>
        </w:rPr>
        <w:t xml:space="preserve"> </w:t>
      </w:r>
      <w:r>
        <w:rPr>
          <w:rFonts w:cs="Times New Roman"/>
          <w:sz w:val="26"/>
          <w:szCs w:val="26"/>
        </w:rPr>
        <w:t>p</w:t>
      </w:r>
      <w:r w:rsidRPr="00921370">
        <w:rPr>
          <w:rFonts w:cs="Times New Roman"/>
          <w:sz w:val="26"/>
          <w:szCs w:val="26"/>
        </w:rPr>
        <w:t>ašvaldībām</w:t>
      </w:r>
      <w:r w:rsidR="00437EC6" w:rsidRPr="00921370">
        <w:rPr>
          <w:rFonts w:cs="Times New Roman"/>
          <w:sz w:val="26"/>
          <w:szCs w:val="26"/>
        </w:rPr>
        <w:t xml:space="preserve"> līdz </w:t>
      </w:r>
      <w:r w:rsidR="00437EC6" w:rsidRPr="00921370">
        <w:rPr>
          <w:rFonts w:cs="Times New Roman"/>
        </w:rPr>
        <w:t>2019.</w:t>
      </w:r>
      <w:r w:rsidR="00437EC6" w:rsidRPr="009513E0">
        <w:rPr>
          <w:rFonts w:cs="Times New Roman"/>
          <w:sz w:val="26"/>
          <w:szCs w:val="26"/>
        </w:rPr>
        <w:t>gada va</w:t>
      </w:r>
      <w:r>
        <w:rPr>
          <w:rFonts w:cs="Times New Roman"/>
          <w:sz w:val="26"/>
          <w:szCs w:val="26"/>
        </w:rPr>
        <w:t>lsts budžeta likuma stāšanā</w:t>
      </w:r>
      <w:r w:rsidR="00437EC6" w:rsidRPr="009513E0">
        <w:rPr>
          <w:rFonts w:cs="Times New Roman"/>
          <w:sz w:val="26"/>
          <w:szCs w:val="26"/>
        </w:rPr>
        <w:t>s spēkā 2019.gadā jaunus aizņēmumus bija iespējams saņemt tikai ES projektiem. Šajā periodā ir atbalstīti aizņēmumi ES projektu īstenošanai</w:t>
      </w:r>
      <w:r w:rsidR="00437EC6">
        <w:rPr>
          <w:rFonts w:cs="Times New Roman"/>
          <w:sz w:val="26"/>
          <w:szCs w:val="26"/>
        </w:rPr>
        <w:t xml:space="preserve"> 43,8 milj. EUR apmērā. </w:t>
      </w:r>
      <w:r w:rsidR="00437EC6" w:rsidRPr="009513E0">
        <w:rPr>
          <w:rFonts w:cs="Times New Roman"/>
          <w:sz w:val="26"/>
          <w:szCs w:val="26"/>
          <w:lang w:eastAsia="lv-LV"/>
        </w:rPr>
        <w:t xml:space="preserve">Savukārt aizņēmumus pārējiem investīciju projektiem </w:t>
      </w:r>
      <w:r w:rsidR="00437EC6">
        <w:rPr>
          <w:rFonts w:cs="Times New Roman"/>
          <w:sz w:val="26"/>
          <w:szCs w:val="26"/>
          <w:lang w:eastAsia="lv-LV"/>
        </w:rPr>
        <w:t xml:space="preserve">bija iespējams saņemt </w:t>
      </w:r>
      <w:r w:rsidR="00437EC6" w:rsidRPr="009513E0">
        <w:rPr>
          <w:rFonts w:cs="Times New Roman"/>
          <w:sz w:val="26"/>
          <w:szCs w:val="26"/>
          <w:lang w:eastAsia="lv-LV"/>
        </w:rPr>
        <w:t>tikai pēc</w:t>
      </w:r>
      <w:r w:rsidR="00437EC6" w:rsidRPr="00921370">
        <w:rPr>
          <w:rFonts w:cs="Times New Roman"/>
          <w:sz w:val="26"/>
          <w:szCs w:val="26"/>
          <w:lang w:eastAsia="lv-LV"/>
        </w:rPr>
        <w:t xml:space="preserve"> likuma “Par valsts bu</w:t>
      </w:r>
      <w:r>
        <w:rPr>
          <w:rFonts w:cs="Times New Roman"/>
          <w:sz w:val="26"/>
          <w:szCs w:val="26"/>
          <w:lang w:eastAsia="lv-LV"/>
        </w:rPr>
        <w:t>džetu 2019.gadam”  spēkā stāšanā</w:t>
      </w:r>
      <w:r w:rsidR="00437EC6" w:rsidRPr="00921370">
        <w:rPr>
          <w:rFonts w:cs="Times New Roman"/>
          <w:sz w:val="26"/>
          <w:szCs w:val="26"/>
          <w:lang w:eastAsia="lv-LV"/>
        </w:rPr>
        <w:t>s.</w:t>
      </w:r>
    </w:p>
    <w:p w14:paraId="6C4F02F6" w14:textId="6B83D556" w:rsidR="00437EC6" w:rsidRPr="008F16C6" w:rsidRDefault="00437EC6" w:rsidP="00437EC6">
      <w:pPr>
        <w:ind w:right="-370" w:firstLine="567"/>
        <w:contextualSpacing/>
        <w:jc w:val="both"/>
        <w:rPr>
          <w:rFonts w:cs="Times New Roman"/>
          <w:sz w:val="26"/>
          <w:szCs w:val="26"/>
          <w:lang w:eastAsia="lv-LV"/>
        </w:rPr>
      </w:pPr>
      <w:r w:rsidRPr="008F16C6">
        <w:rPr>
          <w:rFonts w:cs="Times New Roman"/>
          <w:sz w:val="26"/>
          <w:szCs w:val="26"/>
          <w:lang w:eastAsia="lv-LV"/>
        </w:rPr>
        <w:t xml:space="preserve">Par </w:t>
      </w:r>
      <w:r>
        <w:rPr>
          <w:rFonts w:cs="Times New Roman"/>
          <w:sz w:val="26"/>
          <w:szCs w:val="26"/>
          <w:lang w:eastAsia="lv-LV"/>
        </w:rPr>
        <w:t xml:space="preserve">2019.gada </w:t>
      </w:r>
      <w:r w:rsidRPr="008F16C6">
        <w:rPr>
          <w:rFonts w:cs="Times New Roman"/>
          <w:sz w:val="26"/>
          <w:szCs w:val="26"/>
          <w:lang w:eastAsia="lv-LV"/>
        </w:rPr>
        <w:t>aizņēm</w:t>
      </w:r>
      <w:r w:rsidR="0011600C">
        <w:rPr>
          <w:rFonts w:cs="Times New Roman"/>
          <w:sz w:val="26"/>
          <w:szCs w:val="26"/>
          <w:lang w:eastAsia="lv-LV"/>
        </w:rPr>
        <w:t>umu nosacījumiem un kritērijiem</w:t>
      </w:r>
      <w:r w:rsidRPr="008F16C6">
        <w:rPr>
          <w:rFonts w:cs="Times New Roman"/>
          <w:sz w:val="26"/>
          <w:szCs w:val="26"/>
          <w:lang w:eastAsia="lv-LV"/>
        </w:rPr>
        <w:t xml:space="preserve"> </w:t>
      </w:r>
      <w:r>
        <w:rPr>
          <w:rFonts w:cs="Times New Roman"/>
          <w:sz w:val="26"/>
          <w:szCs w:val="26"/>
          <w:lang w:eastAsia="lv-LV"/>
        </w:rPr>
        <w:t xml:space="preserve">ir </w:t>
      </w:r>
      <w:r w:rsidRPr="008F16C6">
        <w:rPr>
          <w:rFonts w:cs="Times New Roman"/>
          <w:sz w:val="26"/>
          <w:szCs w:val="26"/>
          <w:lang w:eastAsia="lv-LV"/>
        </w:rPr>
        <w:t>panākta vienošanās ar pašvaldībām Latvijas Pašvaldīb</w:t>
      </w:r>
      <w:r>
        <w:rPr>
          <w:rFonts w:cs="Times New Roman"/>
          <w:sz w:val="26"/>
          <w:szCs w:val="26"/>
          <w:lang w:eastAsia="lv-LV"/>
        </w:rPr>
        <w:t>u</w:t>
      </w:r>
      <w:r w:rsidRPr="008F16C6">
        <w:rPr>
          <w:rFonts w:cs="Times New Roman"/>
          <w:sz w:val="26"/>
          <w:szCs w:val="26"/>
          <w:lang w:eastAsia="lv-LV"/>
        </w:rPr>
        <w:t xml:space="preserve"> savienības Domes sēdē 2019.gada 5.martā, fiksējot to Ministru kabineta un Latvijas Pašvaldību savienības 2019.gada domstarpību un vienošanās protokolā</w:t>
      </w:r>
      <w:r>
        <w:rPr>
          <w:rFonts w:cs="Times New Roman"/>
          <w:sz w:val="26"/>
          <w:szCs w:val="26"/>
          <w:lang w:eastAsia="lv-LV"/>
        </w:rPr>
        <w:t xml:space="preserve"> (turpmāk – Protokols). </w:t>
      </w:r>
      <w:r w:rsidRPr="008F16C6">
        <w:rPr>
          <w:rFonts w:cs="Times New Roman"/>
          <w:sz w:val="26"/>
          <w:szCs w:val="26"/>
          <w:lang w:eastAsia="lv-LV"/>
        </w:rPr>
        <w:t xml:space="preserve">Protokolā Puses ir vienojušās: </w:t>
      </w:r>
    </w:p>
    <w:p w14:paraId="2E3176AD" w14:textId="73CA47D7" w:rsidR="00437EC6" w:rsidRPr="008F16C6" w:rsidRDefault="0011600C" w:rsidP="00437EC6">
      <w:pPr>
        <w:pStyle w:val="ListParagraph"/>
        <w:numPr>
          <w:ilvl w:val="0"/>
          <w:numId w:val="5"/>
        </w:numPr>
        <w:ind w:right="-370"/>
        <w:jc w:val="both"/>
        <w:rPr>
          <w:rFonts w:cs="Times New Roman"/>
          <w:sz w:val="26"/>
          <w:szCs w:val="26"/>
          <w:lang w:eastAsia="lv-LV"/>
        </w:rPr>
      </w:pPr>
      <w:r>
        <w:rPr>
          <w:sz w:val="26"/>
          <w:szCs w:val="26"/>
          <w:lang w:eastAsia="lv-LV"/>
        </w:rPr>
        <w:t>b</w:t>
      </w:r>
      <w:r w:rsidR="00437EC6" w:rsidRPr="008F16C6">
        <w:rPr>
          <w:sz w:val="26"/>
          <w:szCs w:val="26"/>
          <w:lang w:eastAsia="lv-LV"/>
        </w:rPr>
        <w:t xml:space="preserve">eidzoties pašvaldību aizņēmumu kopējam limitam, jaunus pašvaldību </w:t>
      </w:r>
      <w:r w:rsidR="00437EC6" w:rsidRPr="008F16C6">
        <w:rPr>
          <w:sz w:val="26"/>
          <w:szCs w:val="26"/>
        </w:rPr>
        <w:t xml:space="preserve">aizņēmumu pieprasījumus var  izskatīt, ja ir saņemtas pašvaldību aizņēmumu pirmstermiņa atmaksas. </w:t>
      </w:r>
    </w:p>
    <w:p w14:paraId="3AA2A67C" w14:textId="2DE26219" w:rsidR="00437EC6" w:rsidRPr="008F16C6" w:rsidRDefault="0011600C" w:rsidP="00437EC6">
      <w:pPr>
        <w:pStyle w:val="ListParagraph"/>
        <w:numPr>
          <w:ilvl w:val="0"/>
          <w:numId w:val="5"/>
        </w:numPr>
        <w:ind w:right="-370"/>
        <w:jc w:val="both"/>
        <w:rPr>
          <w:rFonts w:cs="Times New Roman"/>
          <w:sz w:val="26"/>
          <w:szCs w:val="26"/>
          <w:lang w:eastAsia="lv-LV"/>
        </w:rPr>
      </w:pPr>
      <w:r>
        <w:rPr>
          <w:sz w:val="26"/>
          <w:szCs w:val="26"/>
        </w:rPr>
        <w:t>i</w:t>
      </w:r>
      <w:r w:rsidR="00437EC6" w:rsidRPr="008F16C6">
        <w:rPr>
          <w:sz w:val="26"/>
          <w:szCs w:val="26"/>
        </w:rPr>
        <w:t xml:space="preserve">erobežota aizņēmumu limita ietvaros par prioritāti noteikt aizņēmumus </w:t>
      </w:r>
      <w:r w:rsidR="00437EC6">
        <w:rPr>
          <w:sz w:val="26"/>
          <w:szCs w:val="26"/>
        </w:rPr>
        <w:t xml:space="preserve">ES projektu </w:t>
      </w:r>
      <w:r w:rsidR="00437EC6">
        <w:rPr>
          <w:rFonts w:eastAsia="Calibri"/>
          <w:sz w:val="26"/>
          <w:szCs w:val="26"/>
        </w:rPr>
        <w:t xml:space="preserve">attiecināmajām izmaksām. </w:t>
      </w:r>
    </w:p>
    <w:p w14:paraId="0CD9C282" w14:textId="7F63A02B" w:rsidR="00437EC6" w:rsidRPr="00C56FA7" w:rsidRDefault="00437EC6" w:rsidP="00C56FA7">
      <w:pPr>
        <w:ind w:right="-370" w:firstLine="567"/>
        <w:contextualSpacing/>
        <w:jc w:val="both"/>
        <w:rPr>
          <w:rFonts w:cs="Times New Roman"/>
          <w:sz w:val="26"/>
          <w:szCs w:val="26"/>
          <w:lang w:eastAsia="lv-LV"/>
        </w:rPr>
      </w:pPr>
      <w:r w:rsidRPr="00C56FA7">
        <w:rPr>
          <w:rFonts w:cs="Times New Roman"/>
          <w:sz w:val="26"/>
          <w:szCs w:val="26"/>
          <w:lang w:eastAsia="lv-LV"/>
        </w:rPr>
        <w:lastRenderedPageBreak/>
        <w:t>Ievērojot noteiktos aizņemšanā</w:t>
      </w:r>
      <w:r w:rsidR="001B1CBA">
        <w:rPr>
          <w:rFonts w:cs="Times New Roman"/>
          <w:sz w:val="26"/>
          <w:szCs w:val="26"/>
          <w:lang w:eastAsia="lv-LV"/>
        </w:rPr>
        <w:t>s nosacījumus, uz 2019.gada 31</w:t>
      </w:r>
      <w:r w:rsidRPr="00C56FA7">
        <w:rPr>
          <w:rFonts w:cs="Times New Roman"/>
          <w:sz w:val="26"/>
          <w:szCs w:val="26"/>
          <w:lang w:eastAsia="lv-LV"/>
        </w:rPr>
        <w:t>.maiju ir atbalstīti pašvaldību  aizņēmumu pieprasījumi  201</w:t>
      </w:r>
      <w:r w:rsidR="001B1CBA">
        <w:rPr>
          <w:rFonts w:cs="Times New Roman"/>
          <w:sz w:val="26"/>
          <w:szCs w:val="26"/>
          <w:lang w:eastAsia="lv-LV"/>
        </w:rPr>
        <w:t>9.gadam 121</w:t>
      </w:r>
      <w:r w:rsidR="00C56FA7" w:rsidRPr="00C56FA7">
        <w:rPr>
          <w:rFonts w:cs="Times New Roman"/>
          <w:sz w:val="26"/>
          <w:szCs w:val="26"/>
          <w:lang w:eastAsia="lv-LV"/>
        </w:rPr>
        <w:t xml:space="preserve"> milj. EUR apmērā. Informācija par aizņēmumu </w:t>
      </w:r>
      <w:r w:rsidR="000420A5" w:rsidRPr="00C56FA7">
        <w:rPr>
          <w:rFonts w:cs="Times New Roman"/>
          <w:sz w:val="26"/>
          <w:szCs w:val="26"/>
          <w:lang w:eastAsia="lv-LV"/>
        </w:rPr>
        <w:t xml:space="preserve"> </w:t>
      </w:r>
      <w:r w:rsidR="00C56FA7" w:rsidRPr="00C56FA7">
        <w:rPr>
          <w:rFonts w:cs="Times New Roman"/>
          <w:sz w:val="26"/>
          <w:szCs w:val="26"/>
          <w:lang w:eastAsia="lv-LV"/>
        </w:rPr>
        <w:t>sadalījumu</w:t>
      </w:r>
      <w:r w:rsidR="000420A5" w:rsidRPr="00C56FA7">
        <w:rPr>
          <w:rFonts w:cs="Times New Roman"/>
          <w:sz w:val="26"/>
          <w:szCs w:val="26"/>
          <w:lang w:eastAsia="lv-LV"/>
        </w:rPr>
        <w:t xml:space="preserve"> pa</w:t>
      </w:r>
      <w:r w:rsidR="00C56FA7" w:rsidRPr="00C56FA7">
        <w:rPr>
          <w:rFonts w:eastAsiaTheme="majorEastAsia" w:cs="Times New Roman"/>
          <w:bCs/>
          <w:kern w:val="24"/>
          <w:sz w:val="26"/>
          <w:szCs w:val="26"/>
          <w14:shadow w14:blurRad="63500" w14:dist="50800" w14:dir="13500000" w14:sx="0" w14:sy="0" w14:kx="0" w14:ky="0" w14:algn="none">
            <w14:srgbClr w14:val="000000">
              <w14:alpha w14:val="50000"/>
            </w14:srgbClr>
          </w14:shadow>
        </w:rPr>
        <w:t xml:space="preserve"> valsts budžeta likumā noteiktajiem mērķiem</w:t>
      </w:r>
      <w:r w:rsidR="000420A5" w:rsidRPr="00C56FA7">
        <w:rPr>
          <w:rFonts w:cs="Times New Roman"/>
          <w:sz w:val="26"/>
          <w:szCs w:val="26"/>
          <w:lang w:eastAsia="lv-LV"/>
        </w:rPr>
        <w:t xml:space="preserve"> </w:t>
      </w:r>
      <w:r w:rsidR="00C56FA7" w:rsidRPr="00C56FA7">
        <w:rPr>
          <w:rFonts w:cs="Times New Roman"/>
          <w:sz w:val="26"/>
          <w:szCs w:val="26"/>
          <w:lang w:eastAsia="lv-LV"/>
        </w:rPr>
        <w:t xml:space="preserve">ir </w:t>
      </w:r>
      <w:r w:rsidR="000420A5" w:rsidRPr="00C56FA7">
        <w:rPr>
          <w:rFonts w:cs="Times New Roman"/>
          <w:sz w:val="26"/>
          <w:szCs w:val="26"/>
          <w:lang w:eastAsia="lv-LV"/>
        </w:rPr>
        <w:t xml:space="preserve">attēlā Nr.2. </w:t>
      </w:r>
    </w:p>
    <w:p w14:paraId="6F527B5F" w14:textId="77777777" w:rsidR="00C56FA7" w:rsidRDefault="00C56FA7" w:rsidP="00437EC6">
      <w:pPr>
        <w:pStyle w:val="NormalWeb"/>
        <w:spacing w:before="0" w:beforeAutospacing="0" w:after="0" w:afterAutospacing="0"/>
        <w:ind w:left="927"/>
        <w:jc w:val="right"/>
        <w:textAlignment w:val="baseline"/>
        <w:rPr>
          <w:sz w:val="26"/>
          <w:szCs w:val="26"/>
        </w:rPr>
      </w:pPr>
    </w:p>
    <w:p w14:paraId="583B77E7" w14:textId="148FE50A" w:rsidR="00437EC6" w:rsidRDefault="00437EC6" w:rsidP="00437EC6">
      <w:pPr>
        <w:pStyle w:val="NormalWeb"/>
        <w:spacing w:before="0" w:beforeAutospacing="0" w:after="0" w:afterAutospacing="0"/>
        <w:ind w:left="927"/>
        <w:jc w:val="right"/>
        <w:textAlignment w:val="baseline"/>
        <w:rPr>
          <w:sz w:val="26"/>
          <w:szCs w:val="26"/>
        </w:rPr>
      </w:pPr>
      <w:r>
        <w:rPr>
          <w:sz w:val="26"/>
          <w:szCs w:val="26"/>
        </w:rPr>
        <w:t>Attēls Nr.2</w:t>
      </w:r>
    </w:p>
    <w:p w14:paraId="7C73C33D" w14:textId="77777777" w:rsidR="00437EC6" w:rsidRDefault="00437EC6" w:rsidP="00437EC6">
      <w:pPr>
        <w:ind w:left="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r>
        <w:rPr>
          <w:rFonts w:eastAsiaTheme="majorEastAsia" w:cs="Times New Roman"/>
          <w:b/>
          <w:bCs/>
          <w:kern w:val="24"/>
          <w:sz w:val="26"/>
          <w:szCs w:val="26"/>
          <w14:shadow w14:blurRad="63500" w14:dist="50800" w14:dir="13500000" w14:sx="0" w14:sy="0" w14:kx="0" w14:ky="0" w14:algn="none">
            <w14:srgbClr w14:val="000000">
              <w14:alpha w14:val="50000"/>
            </w14:srgbClr>
          </w14:shadow>
        </w:rPr>
        <w:t xml:space="preserve">2019.gadā piešķirto aizņēmumu </w:t>
      </w:r>
      <w:r w:rsidRPr="00617BFA">
        <w:rPr>
          <w:rFonts w:eastAsiaTheme="majorEastAsia" w:cs="Times New Roman"/>
          <w:b/>
          <w:bCs/>
          <w:kern w:val="24"/>
          <w:sz w:val="26"/>
          <w:szCs w:val="26"/>
          <w14:shadow w14:blurRad="63500" w14:dist="50800" w14:dir="13500000" w14:sx="0" w14:sy="0" w14:kx="0" w14:ky="0" w14:algn="none">
            <w14:srgbClr w14:val="000000">
              <w14:alpha w14:val="50000"/>
            </w14:srgbClr>
          </w14:shadow>
        </w:rPr>
        <w:t xml:space="preserve">kopējie apmēri sadalījumā pa valsts budžeta likumā noteiktajiem mērķiem </w:t>
      </w:r>
      <w: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t>milj. EUR</w:t>
      </w:r>
    </w:p>
    <w:p w14:paraId="0015F1B3" w14:textId="05716AB1" w:rsidR="00437EC6" w:rsidRDefault="00437EC6" w:rsidP="00C56FA7">
      <w:pPr>
        <w:ind w:firstLine="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p>
    <w:p w14:paraId="6B16B3AF" w14:textId="71F2F4A8" w:rsidR="0006702C" w:rsidRDefault="0006702C" w:rsidP="00C56FA7">
      <w:pPr>
        <w:ind w:firstLine="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r>
        <w:rPr>
          <w:rFonts w:eastAsiaTheme="majorEastAsia" w:cs="Times New Roman"/>
          <w:b/>
          <w:bCs/>
          <w:i/>
          <w:iCs/>
          <w:noProof/>
          <w:kern w:val="24"/>
          <w:sz w:val="26"/>
          <w:szCs w:val="26"/>
          <w:lang w:eastAsia="lv-LV"/>
          <w14:shadow w14:blurRad="63500" w14:dist="50800" w14:dir="13500000" w14:sx="0" w14:sy="0" w14:kx="0" w14:ky="0" w14:algn="none">
            <w14:srgbClr w14:val="000000">
              <w14:alpha w14:val="50000"/>
            </w14:srgbClr>
          </w14:shadow>
        </w:rPr>
        <w:drawing>
          <wp:inline distT="0" distB="0" distL="0" distR="0" wp14:anchorId="76D51859" wp14:editId="0807075F">
            <wp:extent cx="5237973" cy="3534771"/>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520" cy="3541214"/>
                    </a:xfrm>
                    <a:prstGeom prst="rect">
                      <a:avLst/>
                    </a:prstGeom>
                    <a:noFill/>
                  </pic:spPr>
                </pic:pic>
              </a:graphicData>
            </a:graphic>
          </wp:inline>
        </w:drawing>
      </w:r>
    </w:p>
    <w:p w14:paraId="59F83495" w14:textId="77777777" w:rsidR="0006702C" w:rsidRDefault="0006702C" w:rsidP="00C56FA7">
      <w:pPr>
        <w:ind w:firstLine="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p>
    <w:p w14:paraId="6B97F5BD" w14:textId="59CC49CD" w:rsidR="00437EC6" w:rsidRPr="00E73117" w:rsidRDefault="000420A5" w:rsidP="005A6B5F">
      <w:pPr>
        <w:ind w:right="-370" w:firstLine="567"/>
        <w:rPr>
          <w:rFonts w:eastAsia="Times New Roman" w:cs="Times New Roman"/>
          <w:bCs/>
          <w:sz w:val="26"/>
          <w:szCs w:val="26"/>
        </w:rPr>
      </w:pPr>
      <w:r>
        <w:rPr>
          <w:rFonts w:eastAsia="Times New Roman" w:cs="Times New Roman"/>
          <w:bCs/>
          <w:sz w:val="26"/>
          <w:szCs w:val="26"/>
        </w:rPr>
        <w:t xml:space="preserve">Informācija par pašvaldību 2019.gada aizņēmuma limita atlikumu </w:t>
      </w:r>
      <w:r w:rsidR="0017705F">
        <w:rPr>
          <w:rFonts w:eastAsia="Times New Roman" w:cs="Times New Roman"/>
          <w:bCs/>
          <w:sz w:val="26"/>
          <w:szCs w:val="26"/>
        </w:rPr>
        <w:t xml:space="preserve">ietverta </w:t>
      </w:r>
      <w:r>
        <w:rPr>
          <w:rFonts w:eastAsia="Times New Roman" w:cs="Times New Roman"/>
          <w:bCs/>
          <w:sz w:val="26"/>
          <w:szCs w:val="26"/>
        </w:rPr>
        <w:t xml:space="preserve">tabulā Nr.2. </w:t>
      </w:r>
    </w:p>
    <w:p w14:paraId="1BE51A51" w14:textId="77777777" w:rsidR="005A6B5F" w:rsidRPr="005A6B5F" w:rsidRDefault="00437EC6" w:rsidP="005A6B5F">
      <w:pPr>
        <w:pStyle w:val="Heading2"/>
        <w:jc w:val="right"/>
        <w:rPr>
          <w:sz w:val="26"/>
          <w:szCs w:val="26"/>
        </w:rPr>
      </w:pPr>
      <w:r w:rsidRPr="005A6B5F">
        <w:rPr>
          <w:sz w:val="26"/>
          <w:szCs w:val="26"/>
        </w:rPr>
        <w:t>Tabula Nr.2</w:t>
      </w:r>
    </w:p>
    <w:p w14:paraId="0E2032F8" w14:textId="74669539" w:rsidR="00437EC6" w:rsidRDefault="00437EC6" w:rsidP="005A6B5F">
      <w:pPr>
        <w:pStyle w:val="Heading2"/>
        <w:jc w:val="center"/>
        <w:rPr>
          <w:rFonts w:eastAsiaTheme="minorEastAsia"/>
          <w:b/>
          <w:bCs/>
          <w:i/>
          <w:color w:val="000000" w:themeColor="text1"/>
          <w:kern w:val="24"/>
          <w:sz w:val="26"/>
          <w:szCs w:val="26"/>
        </w:rPr>
      </w:pPr>
      <w:r w:rsidRPr="005A6B5F">
        <w:rPr>
          <w:b/>
          <w:sz w:val="26"/>
          <w:szCs w:val="26"/>
        </w:rPr>
        <w:t xml:space="preserve">Pašvaldību 2019.gada aizņēmuma limits, </w:t>
      </w:r>
      <w:r w:rsidRPr="005A6B5F">
        <w:rPr>
          <w:rFonts w:eastAsiaTheme="minorEastAsia"/>
          <w:b/>
          <w:bCs/>
          <w:i/>
          <w:color w:val="000000" w:themeColor="text1"/>
          <w:kern w:val="24"/>
          <w:sz w:val="26"/>
          <w:szCs w:val="26"/>
        </w:rPr>
        <w:t>milj. EUR</w:t>
      </w:r>
    </w:p>
    <w:p w14:paraId="1E77AB2A" w14:textId="3AB83F01" w:rsidR="001B1CBA" w:rsidRDefault="001B1CBA" w:rsidP="001B1CBA"/>
    <w:tbl>
      <w:tblPr>
        <w:tblW w:w="9420" w:type="dxa"/>
        <w:tblCellMar>
          <w:left w:w="0" w:type="dxa"/>
          <w:right w:w="0" w:type="dxa"/>
        </w:tblCellMar>
        <w:tblLook w:val="04A0" w:firstRow="1" w:lastRow="0" w:firstColumn="1" w:lastColumn="0" w:noHBand="0" w:noVBand="1"/>
      </w:tblPr>
      <w:tblGrid>
        <w:gridCol w:w="8040"/>
        <w:gridCol w:w="1380"/>
      </w:tblGrid>
      <w:tr w:rsidR="00437EC6" w14:paraId="7CED482D" w14:textId="77777777" w:rsidTr="00762156">
        <w:trPr>
          <w:trHeight w:val="390"/>
        </w:trPr>
        <w:tc>
          <w:tcPr>
            <w:tcW w:w="8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644503" w14:textId="77777777" w:rsidR="00437EC6" w:rsidRDefault="00437EC6" w:rsidP="00762156">
            <w:pPr>
              <w:jc w:val="center"/>
              <w:rPr>
                <w:b/>
                <w:bCs/>
                <w:color w:val="000000"/>
              </w:rPr>
            </w:pPr>
            <w:r>
              <w:rPr>
                <w:b/>
                <w:bCs/>
                <w:color w:val="000000"/>
              </w:rPr>
              <w:t xml:space="preserve">I. Aizņēmuma limits </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4B849A0" w14:textId="77777777" w:rsidR="00437EC6" w:rsidRDefault="00437EC6" w:rsidP="00762156">
            <w:pPr>
              <w:jc w:val="center"/>
              <w:rPr>
                <w:b/>
                <w:bCs/>
                <w:color w:val="000000"/>
              </w:rPr>
            </w:pPr>
            <w:r>
              <w:rPr>
                <w:b/>
                <w:bCs/>
                <w:color w:val="000000"/>
              </w:rPr>
              <w:t>256,2</w:t>
            </w:r>
          </w:p>
        </w:tc>
      </w:tr>
      <w:tr w:rsidR="00437EC6" w14:paraId="392582BF" w14:textId="77777777" w:rsidTr="00762156">
        <w:trPr>
          <w:trHeight w:val="360"/>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F6EA5F" w14:textId="77777777" w:rsidR="00437EC6" w:rsidRPr="00921719" w:rsidRDefault="00437EC6" w:rsidP="00762156">
            <w:pPr>
              <w:pStyle w:val="ListParagraph"/>
              <w:numPr>
                <w:ilvl w:val="0"/>
                <w:numId w:val="4"/>
              </w:numPr>
              <w:rPr>
                <w:i/>
                <w:iCs/>
                <w:color w:val="000000"/>
              </w:rPr>
            </w:pPr>
            <w:r w:rsidRPr="00921719">
              <w:rPr>
                <w:i/>
                <w:iCs/>
                <w:color w:val="000000"/>
              </w:rPr>
              <w:t xml:space="preserve">Pašvaldību aizņēmumu kopējais  palielinājums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A1A73" w14:textId="77777777" w:rsidR="00437EC6" w:rsidRDefault="00437EC6" w:rsidP="00762156">
            <w:pPr>
              <w:jc w:val="center"/>
              <w:rPr>
                <w:i/>
                <w:iCs/>
                <w:color w:val="000000"/>
              </w:rPr>
            </w:pPr>
            <w:r>
              <w:rPr>
                <w:i/>
                <w:iCs/>
                <w:color w:val="000000"/>
              </w:rPr>
              <w:t>118,1</w:t>
            </w:r>
          </w:p>
        </w:tc>
      </w:tr>
      <w:tr w:rsidR="00437EC6" w14:paraId="1EB5F482" w14:textId="77777777" w:rsidTr="00762156">
        <w:trPr>
          <w:trHeight w:val="315"/>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15B279" w14:textId="77777777" w:rsidR="00437EC6" w:rsidRPr="00921719" w:rsidRDefault="00437EC6" w:rsidP="00762156">
            <w:pPr>
              <w:pStyle w:val="ListParagraph"/>
              <w:numPr>
                <w:ilvl w:val="0"/>
                <w:numId w:val="4"/>
              </w:numPr>
              <w:rPr>
                <w:i/>
                <w:iCs/>
                <w:color w:val="000000"/>
              </w:rPr>
            </w:pPr>
            <w:r w:rsidRPr="00921719">
              <w:rPr>
                <w:i/>
                <w:iCs/>
                <w:color w:val="000000"/>
              </w:rPr>
              <w:t xml:space="preserve">Aizņēmuma palielinājums Mežaparka Lielās estrādes rekonstrukcijai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CCB09" w14:textId="77777777" w:rsidR="00437EC6" w:rsidRDefault="00437EC6" w:rsidP="00762156">
            <w:pPr>
              <w:jc w:val="center"/>
              <w:rPr>
                <w:i/>
                <w:iCs/>
                <w:color w:val="000000"/>
              </w:rPr>
            </w:pPr>
            <w:r>
              <w:rPr>
                <w:i/>
                <w:iCs/>
                <w:color w:val="000000"/>
              </w:rPr>
              <w:t>25,5</w:t>
            </w:r>
          </w:p>
        </w:tc>
      </w:tr>
      <w:tr w:rsidR="00437EC6" w14:paraId="5B7EDCA2" w14:textId="77777777" w:rsidTr="00762156">
        <w:trPr>
          <w:trHeight w:val="360"/>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71E9B5" w14:textId="77777777" w:rsidR="00437EC6" w:rsidRPr="00921719" w:rsidRDefault="00437EC6" w:rsidP="00762156">
            <w:pPr>
              <w:pStyle w:val="ListParagraph"/>
              <w:numPr>
                <w:ilvl w:val="0"/>
                <w:numId w:val="4"/>
              </w:numPr>
              <w:rPr>
                <w:i/>
                <w:iCs/>
                <w:color w:val="000000"/>
              </w:rPr>
            </w:pPr>
            <w:r w:rsidRPr="00921719">
              <w:rPr>
                <w:i/>
                <w:iCs/>
                <w:color w:val="000000"/>
              </w:rPr>
              <w:t xml:space="preserve">Plānotās pašvaldību aizņēmumu atmaksas 2019.gadā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1F8D5C" w14:textId="77777777" w:rsidR="00437EC6" w:rsidRDefault="00437EC6" w:rsidP="00762156">
            <w:pPr>
              <w:jc w:val="center"/>
              <w:rPr>
                <w:i/>
                <w:iCs/>
                <w:color w:val="000000"/>
              </w:rPr>
            </w:pPr>
            <w:r>
              <w:rPr>
                <w:i/>
                <w:iCs/>
                <w:color w:val="000000"/>
              </w:rPr>
              <w:t>112,6</w:t>
            </w:r>
          </w:p>
        </w:tc>
      </w:tr>
      <w:tr w:rsidR="00437EC6" w14:paraId="7B7271EB" w14:textId="77777777" w:rsidTr="00762156">
        <w:trPr>
          <w:trHeight w:val="420"/>
        </w:trPr>
        <w:tc>
          <w:tcPr>
            <w:tcW w:w="8040" w:type="dxa"/>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CE3275E" w14:textId="715C941C" w:rsidR="00437EC6" w:rsidRPr="001B1CBA" w:rsidRDefault="001B1CBA" w:rsidP="001B1CBA">
            <w:pPr>
              <w:pStyle w:val="ListParagraph"/>
              <w:numPr>
                <w:ilvl w:val="0"/>
                <w:numId w:val="1"/>
              </w:numPr>
              <w:jc w:val="center"/>
              <w:rPr>
                <w:b/>
                <w:bCs/>
              </w:rPr>
            </w:pPr>
            <w:r>
              <w:rPr>
                <w:b/>
                <w:bCs/>
              </w:rPr>
              <w:t>P</w:t>
            </w:r>
            <w:r w:rsidRPr="001B1CBA">
              <w:rPr>
                <w:b/>
                <w:bCs/>
              </w:rPr>
              <w:t>apildu</w:t>
            </w:r>
            <w:r>
              <w:rPr>
                <w:b/>
                <w:bCs/>
              </w:rPr>
              <w:t xml:space="preserve"> aizņēmuma limits - pašvaldību pirmstermiņa aizņēmumu atmaksas uz 2019.gada 31.maiju </w:t>
            </w:r>
          </w:p>
        </w:tc>
        <w:tc>
          <w:tcPr>
            <w:tcW w:w="1380"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16A05EF" w14:textId="66843BE8" w:rsidR="00437EC6" w:rsidRDefault="001B1CBA" w:rsidP="00762156">
            <w:pPr>
              <w:jc w:val="center"/>
              <w:rPr>
                <w:b/>
                <w:bCs/>
                <w:color w:val="000000"/>
              </w:rPr>
            </w:pPr>
            <w:r>
              <w:rPr>
                <w:b/>
                <w:bCs/>
                <w:color w:val="000000"/>
              </w:rPr>
              <w:t>16,9</w:t>
            </w:r>
          </w:p>
        </w:tc>
      </w:tr>
      <w:tr w:rsidR="001B1CBA" w14:paraId="70943F6A" w14:textId="77777777" w:rsidTr="00762156">
        <w:trPr>
          <w:trHeight w:val="420"/>
        </w:trPr>
        <w:tc>
          <w:tcPr>
            <w:tcW w:w="8040" w:type="dxa"/>
            <w:tcBorders>
              <w:top w:val="nil"/>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24354511" w14:textId="0978BF20" w:rsidR="001B1CBA" w:rsidRDefault="001B1CBA" w:rsidP="00762156">
            <w:pPr>
              <w:jc w:val="center"/>
              <w:rPr>
                <w:b/>
                <w:bCs/>
              </w:rPr>
            </w:pPr>
            <w:r>
              <w:rPr>
                <w:b/>
                <w:bCs/>
              </w:rPr>
              <w:t>III. Piešķirtie aizņēmumi ar ietekmi uz 2019.gadu</w:t>
            </w:r>
          </w:p>
        </w:tc>
        <w:tc>
          <w:tcPr>
            <w:tcW w:w="1380"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tcPr>
          <w:p w14:paraId="2AA755D3" w14:textId="0145DF74" w:rsidR="001B1CBA" w:rsidRDefault="001B1CBA" w:rsidP="00762156">
            <w:pPr>
              <w:jc w:val="center"/>
              <w:rPr>
                <w:b/>
                <w:bCs/>
                <w:color w:val="000000"/>
              </w:rPr>
            </w:pPr>
            <w:r>
              <w:rPr>
                <w:b/>
                <w:bCs/>
                <w:color w:val="000000"/>
              </w:rPr>
              <w:t>267,5</w:t>
            </w:r>
          </w:p>
        </w:tc>
      </w:tr>
      <w:tr w:rsidR="00437EC6" w14:paraId="6863BBA2" w14:textId="77777777" w:rsidTr="00762156">
        <w:trPr>
          <w:trHeight w:val="330"/>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894B3D" w14:textId="77777777" w:rsidR="00437EC6" w:rsidRPr="00921719" w:rsidRDefault="00437EC6" w:rsidP="00762156">
            <w:pPr>
              <w:pStyle w:val="ListParagraph"/>
              <w:numPr>
                <w:ilvl w:val="0"/>
                <w:numId w:val="3"/>
              </w:numPr>
              <w:rPr>
                <w:i/>
                <w:iCs/>
                <w:color w:val="000000"/>
              </w:rPr>
            </w:pPr>
            <w:r w:rsidRPr="00921719">
              <w:rPr>
                <w:i/>
                <w:iCs/>
                <w:color w:val="000000"/>
              </w:rPr>
              <w:t>Piešķirto vidēj</w:t>
            </w:r>
            <w:r>
              <w:rPr>
                <w:i/>
                <w:iCs/>
                <w:color w:val="000000"/>
              </w:rPr>
              <w:t>a</w:t>
            </w:r>
            <w:r w:rsidRPr="00921719">
              <w:rPr>
                <w:i/>
                <w:iCs/>
                <w:color w:val="000000"/>
              </w:rPr>
              <w:t xml:space="preserve"> termiņa aizņēmumu izmaksu daļa 2019.gadam</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186190" w14:textId="77777777" w:rsidR="00437EC6" w:rsidRDefault="00437EC6" w:rsidP="00762156">
            <w:pPr>
              <w:jc w:val="center"/>
              <w:rPr>
                <w:i/>
                <w:iCs/>
                <w:color w:val="000000"/>
              </w:rPr>
            </w:pPr>
            <w:r>
              <w:rPr>
                <w:i/>
                <w:iCs/>
                <w:color w:val="000000"/>
              </w:rPr>
              <w:t>85,7</w:t>
            </w:r>
          </w:p>
        </w:tc>
      </w:tr>
      <w:tr w:rsidR="00437EC6" w14:paraId="788FF7F8" w14:textId="77777777" w:rsidTr="00762156">
        <w:trPr>
          <w:trHeight w:val="375"/>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222C63" w14:textId="77777777" w:rsidR="00437EC6" w:rsidRPr="00921719" w:rsidRDefault="00437EC6" w:rsidP="00762156">
            <w:pPr>
              <w:pStyle w:val="ListParagraph"/>
              <w:numPr>
                <w:ilvl w:val="0"/>
                <w:numId w:val="3"/>
              </w:numPr>
              <w:rPr>
                <w:i/>
                <w:iCs/>
                <w:color w:val="000000"/>
              </w:rPr>
            </w:pPr>
            <w:r w:rsidRPr="00921719">
              <w:rPr>
                <w:i/>
                <w:iCs/>
                <w:color w:val="000000"/>
              </w:rPr>
              <w:t xml:space="preserve">2018.gadā neapgūto aizņēmumu daļas pārcelšana uz 2019.gadu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DB972" w14:textId="77777777" w:rsidR="00437EC6" w:rsidRDefault="00437EC6" w:rsidP="00762156">
            <w:pPr>
              <w:jc w:val="center"/>
              <w:rPr>
                <w:i/>
                <w:iCs/>
                <w:color w:val="000000"/>
              </w:rPr>
            </w:pPr>
            <w:r>
              <w:rPr>
                <w:i/>
                <w:iCs/>
                <w:color w:val="000000"/>
              </w:rPr>
              <w:t>60,8</w:t>
            </w:r>
          </w:p>
        </w:tc>
      </w:tr>
      <w:tr w:rsidR="00437EC6" w14:paraId="1DB970E8" w14:textId="77777777" w:rsidTr="00762156">
        <w:trPr>
          <w:trHeight w:val="315"/>
        </w:trPr>
        <w:tc>
          <w:tcPr>
            <w:tcW w:w="8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28CFB7" w14:textId="77777777" w:rsidR="00437EC6" w:rsidRPr="00921719" w:rsidRDefault="00437EC6" w:rsidP="00762156">
            <w:pPr>
              <w:pStyle w:val="ListParagraph"/>
              <w:numPr>
                <w:ilvl w:val="0"/>
                <w:numId w:val="3"/>
              </w:numPr>
              <w:rPr>
                <w:i/>
                <w:iCs/>
                <w:color w:val="000000"/>
              </w:rPr>
            </w:pPr>
            <w:r>
              <w:rPr>
                <w:i/>
                <w:iCs/>
                <w:color w:val="000000"/>
              </w:rPr>
              <w:t>2019.gadā</w:t>
            </w:r>
            <w:r w:rsidRPr="00921719">
              <w:rPr>
                <w:i/>
                <w:iCs/>
                <w:color w:val="000000"/>
              </w:rPr>
              <w:t xml:space="preserve"> atbalstītie aizņēmumi</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58B9B" w14:textId="4E99966D" w:rsidR="00437EC6" w:rsidRDefault="001B1CBA" w:rsidP="00762156">
            <w:pPr>
              <w:jc w:val="center"/>
              <w:rPr>
                <w:i/>
                <w:iCs/>
                <w:color w:val="000000"/>
              </w:rPr>
            </w:pPr>
            <w:r>
              <w:rPr>
                <w:i/>
                <w:iCs/>
                <w:color w:val="000000"/>
              </w:rPr>
              <w:t>121,0</w:t>
            </w:r>
          </w:p>
        </w:tc>
      </w:tr>
      <w:tr w:rsidR="00437EC6" w14:paraId="12D99EAE" w14:textId="77777777" w:rsidTr="00762156">
        <w:trPr>
          <w:trHeight w:val="405"/>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6E2D4593" w14:textId="4DEBF910" w:rsidR="00437EC6" w:rsidRDefault="001B1CBA" w:rsidP="00762156">
            <w:pPr>
              <w:jc w:val="center"/>
              <w:rPr>
                <w:b/>
                <w:bCs/>
                <w:color w:val="000000"/>
              </w:rPr>
            </w:pPr>
            <w:r>
              <w:rPr>
                <w:b/>
                <w:bCs/>
                <w:color w:val="000000"/>
              </w:rPr>
              <w:t>V. Limita atlikums uz 2019.gada 3</w:t>
            </w:r>
            <w:r w:rsidR="00437EC6">
              <w:rPr>
                <w:b/>
                <w:bCs/>
                <w:color w:val="000000"/>
              </w:rPr>
              <w:t>1.maiju</w:t>
            </w:r>
          </w:p>
        </w:tc>
        <w:tc>
          <w:tcPr>
            <w:tcW w:w="0" w:type="auto"/>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59D31BAD" w14:textId="41486454" w:rsidR="00437EC6" w:rsidRDefault="001B1CBA" w:rsidP="00762156">
            <w:pPr>
              <w:jc w:val="center"/>
              <w:rPr>
                <w:b/>
                <w:bCs/>
                <w:color w:val="000000"/>
              </w:rPr>
            </w:pPr>
            <w:r>
              <w:rPr>
                <w:b/>
                <w:bCs/>
                <w:color w:val="000000"/>
              </w:rPr>
              <w:t>5,6</w:t>
            </w:r>
          </w:p>
        </w:tc>
      </w:tr>
    </w:tbl>
    <w:p w14:paraId="140EAEC7" w14:textId="237E2238" w:rsidR="000E4627" w:rsidRDefault="00437EC6" w:rsidP="000E4627">
      <w:pPr>
        <w:pStyle w:val="BodyText2"/>
        <w:tabs>
          <w:tab w:val="left" w:pos="-5387"/>
          <w:tab w:val="left" w:pos="426"/>
          <w:tab w:val="left" w:pos="851"/>
        </w:tabs>
        <w:spacing w:after="0" w:line="240" w:lineRule="auto"/>
        <w:ind w:right="-370" w:firstLine="567"/>
        <w:jc w:val="both"/>
        <w:rPr>
          <w:rFonts w:cs="Times New Roman"/>
          <w:sz w:val="26"/>
          <w:szCs w:val="26"/>
        </w:rPr>
      </w:pPr>
      <w:r w:rsidRPr="00014B05">
        <w:rPr>
          <w:rFonts w:cs="Times New Roman"/>
          <w:sz w:val="26"/>
          <w:szCs w:val="26"/>
        </w:rPr>
        <w:lastRenderedPageBreak/>
        <w:t>Šobrīd</w:t>
      </w:r>
      <w:r w:rsidR="0011600C">
        <w:rPr>
          <w:rFonts w:cs="Times New Roman"/>
          <w:sz w:val="26"/>
          <w:szCs w:val="26"/>
        </w:rPr>
        <w:t xml:space="preserve"> </w:t>
      </w:r>
      <w:r w:rsidRPr="00014B05">
        <w:rPr>
          <w:rFonts w:cs="Times New Roman"/>
          <w:sz w:val="26"/>
          <w:szCs w:val="26"/>
        </w:rPr>
        <w:t xml:space="preserve">ir izveidojusies situācija, kad pašvaldību iesniegtie pieprasījumi aizņēmumiem investīciju projektu īstenošanai būtiski pārsniedz pašvaldību aizņēmuma limita iespējas. </w:t>
      </w:r>
      <w:r w:rsidR="000420A5">
        <w:rPr>
          <w:rFonts w:cs="Times New Roman"/>
          <w:sz w:val="26"/>
          <w:szCs w:val="26"/>
        </w:rPr>
        <w:t xml:space="preserve">Pašvaldību pieprasījumu apjomi </w:t>
      </w:r>
      <w:r w:rsidR="0017705F">
        <w:rPr>
          <w:rFonts w:cs="Times New Roman"/>
          <w:sz w:val="26"/>
          <w:szCs w:val="26"/>
        </w:rPr>
        <w:t xml:space="preserve">ietverti </w:t>
      </w:r>
      <w:r w:rsidR="000420A5">
        <w:rPr>
          <w:rFonts w:cs="Times New Roman"/>
          <w:sz w:val="26"/>
          <w:szCs w:val="26"/>
        </w:rPr>
        <w:t xml:space="preserve">tabulā Nr.3. </w:t>
      </w:r>
    </w:p>
    <w:p w14:paraId="7D085554" w14:textId="77777777" w:rsidR="000E4627" w:rsidRDefault="000E4627" w:rsidP="000E4627">
      <w:pPr>
        <w:pStyle w:val="BodyText2"/>
        <w:tabs>
          <w:tab w:val="left" w:pos="-5387"/>
          <w:tab w:val="left" w:pos="426"/>
          <w:tab w:val="left" w:pos="851"/>
        </w:tabs>
        <w:spacing w:after="0" w:line="240" w:lineRule="auto"/>
        <w:ind w:right="-370" w:firstLine="567"/>
        <w:jc w:val="both"/>
        <w:rPr>
          <w:rFonts w:cs="Times New Roman"/>
          <w:sz w:val="26"/>
          <w:szCs w:val="26"/>
        </w:rPr>
      </w:pPr>
    </w:p>
    <w:p w14:paraId="0B175208" w14:textId="77777777" w:rsidR="000E4627" w:rsidRPr="007E3654" w:rsidRDefault="000E4627" w:rsidP="000E4627">
      <w:pPr>
        <w:jc w:val="right"/>
        <w:rPr>
          <w:sz w:val="26"/>
          <w:szCs w:val="26"/>
        </w:rPr>
      </w:pPr>
      <w:r w:rsidRPr="007E3654">
        <w:rPr>
          <w:sz w:val="26"/>
          <w:szCs w:val="26"/>
        </w:rPr>
        <w:t>Tabula Nr.3</w:t>
      </w:r>
    </w:p>
    <w:p w14:paraId="18B2C571" w14:textId="79FFE41F" w:rsidR="000E4627" w:rsidRDefault="000E4627" w:rsidP="000E4627">
      <w:pPr>
        <w:jc w:val="center"/>
        <w:rPr>
          <w:rFonts w:eastAsiaTheme="minorEastAsia"/>
          <w:b/>
          <w:bCs/>
          <w:i/>
          <w:color w:val="000000" w:themeColor="text1"/>
          <w:kern w:val="24"/>
          <w:sz w:val="26"/>
          <w:szCs w:val="26"/>
        </w:rPr>
      </w:pPr>
      <w:r w:rsidRPr="007E3654">
        <w:rPr>
          <w:b/>
          <w:bCs/>
          <w:color w:val="000000"/>
          <w:sz w:val="26"/>
          <w:szCs w:val="26"/>
        </w:rPr>
        <w:t>Pašvaldību aizņēmuma pieprasījumi uz 2019.</w:t>
      </w:r>
      <w:r w:rsidR="001B1CBA">
        <w:rPr>
          <w:rFonts w:eastAsiaTheme="minorEastAsia"/>
          <w:b/>
          <w:bCs/>
          <w:color w:val="000000" w:themeColor="text1"/>
          <w:kern w:val="24"/>
          <w:sz w:val="26"/>
          <w:szCs w:val="26"/>
        </w:rPr>
        <w:t>gada 3</w:t>
      </w:r>
      <w:r w:rsidRPr="007E3654">
        <w:rPr>
          <w:rFonts w:eastAsiaTheme="minorEastAsia"/>
          <w:b/>
          <w:bCs/>
          <w:color w:val="000000" w:themeColor="text1"/>
          <w:kern w:val="24"/>
          <w:sz w:val="26"/>
          <w:szCs w:val="26"/>
        </w:rPr>
        <w:t>1.maiju</w:t>
      </w:r>
      <w:r w:rsidR="0017705F">
        <w:rPr>
          <w:rFonts w:eastAsiaTheme="minorEastAsia"/>
          <w:b/>
          <w:bCs/>
          <w:color w:val="000000" w:themeColor="text1"/>
          <w:kern w:val="24"/>
          <w:sz w:val="26"/>
          <w:szCs w:val="26"/>
        </w:rPr>
        <w:t>,</w:t>
      </w:r>
      <w:r w:rsidRPr="007E3654">
        <w:rPr>
          <w:rFonts w:eastAsiaTheme="minorEastAsia"/>
          <w:b/>
          <w:bCs/>
          <w:i/>
          <w:color w:val="000000" w:themeColor="text1"/>
          <w:kern w:val="24"/>
          <w:sz w:val="26"/>
          <w:szCs w:val="26"/>
        </w:rPr>
        <w:t xml:space="preserve"> milj. EUR</w:t>
      </w:r>
    </w:p>
    <w:p w14:paraId="68DF738B" w14:textId="77777777" w:rsidR="007725D7" w:rsidRPr="00B82E55" w:rsidRDefault="007725D7" w:rsidP="000E4627">
      <w:pPr>
        <w:jc w:val="center"/>
        <w:rPr>
          <w:rFonts w:eastAsiaTheme="minorEastAsia"/>
          <w:b/>
          <w:bCs/>
          <w:i/>
          <w:color w:val="000000" w:themeColor="text1"/>
          <w:kern w:val="24"/>
          <w:sz w:val="26"/>
          <w:szCs w:val="26"/>
        </w:rPr>
      </w:pPr>
    </w:p>
    <w:tbl>
      <w:tblPr>
        <w:tblStyle w:val="TableGrid"/>
        <w:tblW w:w="9214" w:type="dxa"/>
        <w:tblInd w:w="-5" w:type="dxa"/>
        <w:tblLook w:val="04A0" w:firstRow="1" w:lastRow="0" w:firstColumn="1" w:lastColumn="0" w:noHBand="0" w:noVBand="1"/>
      </w:tblPr>
      <w:tblGrid>
        <w:gridCol w:w="6663"/>
        <w:gridCol w:w="850"/>
        <w:gridCol w:w="851"/>
        <w:gridCol w:w="850"/>
      </w:tblGrid>
      <w:tr w:rsidR="000E4627" w14:paraId="3A004A12" w14:textId="77777777" w:rsidTr="000E4627">
        <w:tc>
          <w:tcPr>
            <w:tcW w:w="6663" w:type="dxa"/>
            <w:shd w:val="clear" w:color="auto" w:fill="D9D9D9" w:themeFill="background1" w:themeFillShade="D9"/>
          </w:tcPr>
          <w:p w14:paraId="30C7BBB1" w14:textId="77777777" w:rsidR="000E4627" w:rsidRPr="00617AC0" w:rsidRDefault="000E4627" w:rsidP="00F9136E">
            <w:pPr>
              <w:pStyle w:val="BodyText2"/>
              <w:tabs>
                <w:tab w:val="left" w:pos="-5387"/>
                <w:tab w:val="left" w:pos="426"/>
                <w:tab w:val="left" w:pos="851"/>
              </w:tabs>
              <w:spacing w:after="0" w:line="240" w:lineRule="auto"/>
              <w:ind w:right="-370"/>
              <w:jc w:val="center"/>
              <w:rPr>
                <w:rFonts w:cs="Times New Roman"/>
                <w:b/>
                <w:sz w:val="26"/>
                <w:szCs w:val="26"/>
              </w:rPr>
            </w:pPr>
            <w:r w:rsidRPr="00617AC0">
              <w:rPr>
                <w:rFonts w:cs="Times New Roman"/>
                <w:b/>
                <w:sz w:val="26"/>
                <w:szCs w:val="26"/>
              </w:rPr>
              <w:t>Mērķis</w:t>
            </w:r>
          </w:p>
        </w:tc>
        <w:tc>
          <w:tcPr>
            <w:tcW w:w="850" w:type="dxa"/>
            <w:shd w:val="clear" w:color="auto" w:fill="D9D9D9" w:themeFill="background1" w:themeFillShade="D9"/>
          </w:tcPr>
          <w:p w14:paraId="79783882" w14:textId="77777777" w:rsidR="000E4627" w:rsidRPr="00617AC0" w:rsidRDefault="000E4627" w:rsidP="00F9136E">
            <w:pPr>
              <w:pStyle w:val="BodyText2"/>
              <w:tabs>
                <w:tab w:val="left" w:pos="-5387"/>
                <w:tab w:val="left" w:pos="426"/>
                <w:tab w:val="left" w:pos="851"/>
              </w:tabs>
              <w:spacing w:after="0" w:line="240" w:lineRule="auto"/>
              <w:ind w:right="-370"/>
              <w:rPr>
                <w:rFonts w:cs="Times New Roman"/>
                <w:b/>
                <w:sz w:val="26"/>
                <w:szCs w:val="26"/>
              </w:rPr>
            </w:pPr>
            <w:r w:rsidRPr="00617AC0">
              <w:rPr>
                <w:rFonts w:cs="Times New Roman"/>
                <w:b/>
                <w:sz w:val="26"/>
                <w:szCs w:val="26"/>
              </w:rPr>
              <w:t>Kopā</w:t>
            </w:r>
          </w:p>
        </w:tc>
        <w:tc>
          <w:tcPr>
            <w:tcW w:w="851" w:type="dxa"/>
            <w:shd w:val="clear" w:color="auto" w:fill="D9D9D9" w:themeFill="background1" w:themeFillShade="D9"/>
          </w:tcPr>
          <w:p w14:paraId="141CD0CF" w14:textId="77777777" w:rsidR="000E4627" w:rsidRPr="00617AC0" w:rsidRDefault="000E4627" w:rsidP="00F9136E">
            <w:pPr>
              <w:pStyle w:val="BodyText2"/>
              <w:tabs>
                <w:tab w:val="left" w:pos="-5387"/>
                <w:tab w:val="left" w:pos="426"/>
                <w:tab w:val="left" w:pos="851"/>
              </w:tabs>
              <w:spacing w:after="0" w:line="240" w:lineRule="auto"/>
              <w:ind w:right="-370"/>
              <w:rPr>
                <w:rFonts w:cs="Times New Roman"/>
                <w:b/>
                <w:sz w:val="26"/>
                <w:szCs w:val="26"/>
              </w:rPr>
            </w:pPr>
            <w:r w:rsidRPr="00617AC0">
              <w:rPr>
                <w:rFonts w:cs="Times New Roman"/>
                <w:b/>
                <w:sz w:val="26"/>
                <w:szCs w:val="26"/>
              </w:rPr>
              <w:t>2019</w:t>
            </w:r>
          </w:p>
        </w:tc>
        <w:tc>
          <w:tcPr>
            <w:tcW w:w="850" w:type="dxa"/>
            <w:shd w:val="clear" w:color="auto" w:fill="D9D9D9" w:themeFill="background1" w:themeFillShade="D9"/>
          </w:tcPr>
          <w:p w14:paraId="30835929" w14:textId="77777777" w:rsidR="000E4627" w:rsidRPr="00617AC0" w:rsidRDefault="000E4627" w:rsidP="00F9136E">
            <w:pPr>
              <w:pStyle w:val="BodyText2"/>
              <w:tabs>
                <w:tab w:val="left" w:pos="-5387"/>
                <w:tab w:val="left" w:pos="426"/>
                <w:tab w:val="left" w:pos="851"/>
              </w:tabs>
              <w:spacing w:after="0" w:line="240" w:lineRule="auto"/>
              <w:ind w:right="-370"/>
              <w:rPr>
                <w:rFonts w:cs="Times New Roman"/>
                <w:b/>
                <w:sz w:val="26"/>
                <w:szCs w:val="26"/>
              </w:rPr>
            </w:pPr>
            <w:r w:rsidRPr="00617AC0">
              <w:rPr>
                <w:rFonts w:cs="Times New Roman"/>
                <w:b/>
                <w:sz w:val="26"/>
                <w:szCs w:val="26"/>
              </w:rPr>
              <w:t>2020</w:t>
            </w:r>
          </w:p>
        </w:tc>
      </w:tr>
      <w:tr w:rsidR="000E4627" w:rsidRPr="00103437" w14:paraId="7767D31E" w14:textId="77777777" w:rsidTr="000E4627">
        <w:tc>
          <w:tcPr>
            <w:tcW w:w="6663" w:type="dxa"/>
          </w:tcPr>
          <w:p w14:paraId="382655A7" w14:textId="77777777" w:rsidR="000E4627" w:rsidRPr="00103437" w:rsidRDefault="000E4627" w:rsidP="00F9136E">
            <w:pPr>
              <w:pStyle w:val="BodyText2"/>
              <w:tabs>
                <w:tab w:val="left" w:pos="-5387"/>
                <w:tab w:val="left" w:pos="426"/>
                <w:tab w:val="left" w:pos="851"/>
              </w:tabs>
              <w:spacing w:after="0" w:line="240" w:lineRule="auto"/>
              <w:ind w:right="-370"/>
              <w:rPr>
                <w:rFonts w:cs="Times New Roman"/>
                <w:szCs w:val="24"/>
              </w:rPr>
            </w:pPr>
            <w:r w:rsidRPr="00103437">
              <w:rPr>
                <w:rFonts w:cs="Times New Roman"/>
                <w:szCs w:val="24"/>
              </w:rPr>
              <w:t xml:space="preserve">ES projektiem </w:t>
            </w:r>
          </w:p>
        </w:tc>
        <w:tc>
          <w:tcPr>
            <w:tcW w:w="850" w:type="dxa"/>
          </w:tcPr>
          <w:p w14:paraId="31B0BB97" w14:textId="2B35CE29" w:rsidR="000E4627" w:rsidRPr="007725D7" w:rsidRDefault="00103437" w:rsidP="00F9136E">
            <w:pPr>
              <w:pStyle w:val="BodyText2"/>
              <w:tabs>
                <w:tab w:val="left" w:pos="-5387"/>
                <w:tab w:val="left" w:pos="426"/>
                <w:tab w:val="left" w:pos="851"/>
              </w:tabs>
              <w:spacing w:after="0" w:line="240" w:lineRule="auto"/>
              <w:ind w:right="-370"/>
              <w:jc w:val="both"/>
              <w:rPr>
                <w:rFonts w:cs="Times New Roman"/>
                <w:b/>
                <w:szCs w:val="24"/>
              </w:rPr>
            </w:pPr>
            <w:r w:rsidRPr="007725D7">
              <w:rPr>
                <w:rFonts w:cs="Times New Roman"/>
                <w:b/>
                <w:szCs w:val="24"/>
              </w:rPr>
              <w:t>65,0</w:t>
            </w:r>
          </w:p>
        </w:tc>
        <w:tc>
          <w:tcPr>
            <w:tcW w:w="851" w:type="dxa"/>
          </w:tcPr>
          <w:p w14:paraId="6419541D" w14:textId="4C6CA0C6" w:rsidR="000E4627" w:rsidRPr="00103437" w:rsidRDefault="00103437" w:rsidP="00F9136E">
            <w:pPr>
              <w:pStyle w:val="BodyText2"/>
              <w:tabs>
                <w:tab w:val="left" w:pos="-5387"/>
                <w:tab w:val="left" w:pos="426"/>
                <w:tab w:val="left" w:pos="851"/>
              </w:tabs>
              <w:spacing w:after="0" w:line="240" w:lineRule="auto"/>
              <w:ind w:right="-370"/>
              <w:jc w:val="both"/>
              <w:rPr>
                <w:rFonts w:cs="Times New Roman"/>
                <w:szCs w:val="24"/>
              </w:rPr>
            </w:pPr>
            <w:r w:rsidRPr="00103437">
              <w:rPr>
                <w:rFonts w:cs="Times New Roman"/>
                <w:szCs w:val="24"/>
              </w:rPr>
              <w:t>34,8</w:t>
            </w:r>
          </w:p>
        </w:tc>
        <w:tc>
          <w:tcPr>
            <w:tcW w:w="850" w:type="dxa"/>
          </w:tcPr>
          <w:p w14:paraId="3ABCC895" w14:textId="237CAD7B" w:rsidR="000E4627" w:rsidRPr="00103437" w:rsidRDefault="00103437" w:rsidP="00F9136E">
            <w:pPr>
              <w:pStyle w:val="BodyText2"/>
              <w:tabs>
                <w:tab w:val="left" w:pos="-5387"/>
                <w:tab w:val="left" w:pos="426"/>
                <w:tab w:val="left" w:pos="851"/>
              </w:tabs>
              <w:spacing w:after="0" w:line="240" w:lineRule="auto"/>
              <w:ind w:right="-370"/>
              <w:jc w:val="both"/>
              <w:rPr>
                <w:rFonts w:cs="Times New Roman"/>
                <w:szCs w:val="24"/>
              </w:rPr>
            </w:pPr>
            <w:r w:rsidRPr="00103437">
              <w:rPr>
                <w:rFonts w:cs="Times New Roman"/>
                <w:szCs w:val="24"/>
              </w:rPr>
              <w:t>30,2</w:t>
            </w:r>
          </w:p>
        </w:tc>
      </w:tr>
      <w:tr w:rsidR="000E4627" w:rsidRPr="00103437" w14:paraId="51013D27" w14:textId="77777777" w:rsidTr="00103437">
        <w:trPr>
          <w:trHeight w:val="562"/>
        </w:trPr>
        <w:tc>
          <w:tcPr>
            <w:tcW w:w="6663" w:type="dxa"/>
          </w:tcPr>
          <w:p w14:paraId="651B21AE" w14:textId="77777777" w:rsidR="000E4627" w:rsidRPr="00103437" w:rsidRDefault="000E4627" w:rsidP="00F9136E">
            <w:pPr>
              <w:pStyle w:val="BodyText2"/>
              <w:tabs>
                <w:tab w:val="left" w:pos="-5387"/>
                <w:tab w:val="left" w:pos="426"/>
                <w:tab w:val="left" w:pos="851"/>
              </w:tabs>
              <w:spacing w:after="0" w:line="240" w:lineRule="auto"/>
              <w:ind w:right="-370"/>
              <w:rPr>
                <w:rFonts w:cs="Times New Roman"/>
                <w:szCs w:val="24"/>
              </w:rPr>
            </w:pPr>
            <w:r w:rsidRPr="00103437">
              <w:rPr>
                <w:rFonts w:cs="Times New Roman"/>
                <w:szCs w:val="24"/>
              </w:rPr>
              <w:t xml:space="preserve">2018.gadā uzsāktajiem valsts budžeta līdzfinansētajiem  projektiem, izglītības iestādes ārkārtas situācijas sakārtošanai </w:t>
            </w:r>
          </w:p>
        </w:tc>
        <w:tc>
          <w:tcPr>
            <w:tcW w:w="850" w:type="dxa"/>
          </w:tcPr>
          <w:p w14:paraId="5CE7ECBF" w14:textId="77777777" w:rsidR="000E4627" w:rsidRPr="007725D7" w:rsidRDefault="000E4627" w:rsidP="00F9136E">
            <w:pPr>
              <w:pStyle w:val="BodyText2"/>
              <w:tabs>
                <w:tab w:val="left" w:pos="-5387"/>
                <w:tab w:val="left" w:pos="426"/>
                <w:tab w:val="left" w:pos="851"/>
              </w:tabs>
              <w:spacing w:after="0" w:line="240" w:lineRule="auto"/>
              <w:ind w:right="-370"/>
              <w:jc w:val="both"/>
              <w:rPr>
                <w:rFonts w:cs="Times New Roman"/>
                <w:b/>
                <w:szCs w:val="24"/>
              </w:rPr>
            </w:pPr>
            <w:r w:rsidRPr="007725D7">
              <w:rPr>
                <w:rFonts w:cs="Times New Roman"/>
                <w:b/>
                <w:szCs w:val="24"/>
              </w:rPr>
              <w:t>10,9</w:t>
            </w:r>
          </w:p>
        </w:tc>
        <w:tc>
          <w:tcPr>
            <w:tcW w:w="851" w:type="dxa"/>
          </w:tcPr>
          <w:p w14:paraId="487241BD" w14:textId="77777777" w:rsidR="000E4627" w:rsidRPr="00103437" w:rsidRDefault="000E4627" w:rsidP="00F9136E">
            <w:pPr>
              <w:pStyle w:val="BodyText2"/>
              <w:tabs>
                <w:tab w:val="left" w:pos="-5387"/>
                <w:tab w:val="left" w:pos="426"/>
                <w:tab w:val="left" w:pos="851"/>
              </w:tabs>
              <w:spacing w:after="0" w:line="240" w:lineRule="auto"/>
              <w:ind w:right="-370"/>
              <w:jc w:val="both"/>
              <w:rPr>
                <w:rFonts w:cs="Times New Roman"/>
                <w:szCs w:val="24"/>
              </w:rPr>
            </w:pPr>
            <w:r w:rsidRPr="00103437">
              <w:rPr>
                <w:rFonts w:cs="Times New Roman"/>
                <w:szCs w:val="24"/>
              </w:rPr>
              <w:t>10,9</w:t>
            </w:r>
          </w:p>
        </w:tc>
        <w:tc>
          <w:tcPr>
            <w:tcW w:w="850" w:type="dxa"/>
          </w:tcPr>
          <w:p w14:paraId="6250CE25" w14:textId="77777777" w:rsidR="000E4627" w:rsidRPr="00103437" w:rsidRDefault="000E4627" w:rsidP="00F9136E">
            <w:pPr>
              <w:pStyle w:val="BodyText2"/>
              <w:tabs>
                <w:tab w:val="left" w:pos="-5387"/>
                <w:tab w:val="left" w:pos="426"/>
                <w:tab w:val="left" w:pos="851"/>
              </w:tabs>
              <w:spacing w:after="0" w:line="240" w:lineRule="auto"/>
              <w:ind w:right="-370"/>
              <w:jc w:val="both"/>
              <w:rPr>
                <w:rFonts w:cs="Times New Roman"/>
                <w:szCs w:val="24"/>
              </w:rPr>
            </w:pPr>
          </w:p>
        </w:tc>
      </w:tr>
      <w:tr w:rsidR="000E4627" w:rsidRPr="00103437" w14:paraId="67F53F52" w14:textId="77777777" w:rsidTr="00103437">
        <w:trPr>
          <w:trHeight w:val="286"/>
        </w:trPr>
        <w:tc>
          <w:tcPr>
            <w:tcW w:w="6663" w:type="dxa"/>
          </w:tcPr>
          <w:p w14:paraId="3793E799" w14:textId="77777777" w:rsidR="000E4627" w:rsidRPr="00103437" w:rsidRDefault="000E4627" w:rsidP="00F9136E">
            <w:pPr>
              <w:pStyle w:val="BodyText2"/>
              <w:tabs>
                <w:tab w:val="left" w:pos="-5387"/>
                <w:tab w:val="left" w:pos="426"/>
                <w:tab w:val="left" w:pos="851"/>
              </w:tabs>
              <w:spacing w:after="0" w:line="240" w:lineRule="auto"/>
              <w:ind w:right="-370"/>
              <w:rPr>
                <w:rFonts w:cs="Times New Roman"/>
                <w:szCs w:val="24"/>
              </w:rPr>
            </w:pPr>
            <w:r w:rsidRPr="00103437">
              <w:rPr>
                <w:rFonts w:cs="Times New Roman"/>
                <w:szCs w:val="24"/>
              </w:rPr>
              <w:t xml:space="preserve">Pārējiem investīciju projektiem </w:t>
            </w:r>
          </w:p>
        </w:tc>
        <w:tc>
          <w:tcPr>
            <w:tcW w:w="850" w:type="dxa"/>
          </w:tcPr>
          <w:p w14:paraId="402897AC" w14:textId="58EBCF7F" w:rsidR="000E4627" w:rsidRPr="007725D7" w:rsidRDefault="007725D7" w:rsidP="00F9136E">
            <w:pPr>
              <w:pStyle w:val="BodyText2"/>
              <w:tabs>
                <w:tab w:val="left" w:pos="-5387"/>
                <w:tab w:val="left" w:pos="426"/>
                <w:tab w:val="left" w:pos="851"/>
              </w:tabs>
              <w:spacing w:after="0" w:line="240" w:lineRule="auto"/>
              <w:ind w:right="-370"/>
              <w:jc w:val="both"/>
              <w:rPr>
                <w:rFonts w:cs="Times New Roman"/>
                <w:b/>
                <w:szCs w:val="24"/>
              </w:rPr>
            </w:pPr>
            <w:r w:rsidRPr="007725D7">
              <w:rPr>
                <w:rFonts w:cs="Times New Roman"/>
                <w:b/>
                <w:szCs w:val="24"/>
              </w:rPr>
              <w:t>29,7</w:t>
            </w:r>
          </w:p>
        </w:tc>
        <w:tc>
          <w:tcPr>
            <w:tcW w:w="851" w:type="dxa"/>
          </w:tcPr>
          <w:p w14:paraId="704F7913" w14:textId="3A8E71E5" w:rsidR="000E4627" w:rsidRPr="00103437" w:rsidRDefault="007725D7" w:rsidP="00F9136E">
            <w:pPr>
              <w:pStyle w:val="BodyText2"/>
              <w:tabs>
                <w:tab w:val="left" w:pos="-5387"/>
                <w:tab w:val="left" w:pos="426"/>
                <w:tab w:val="left" w:pos="851"/>
              </w:tabs>
              <w:spacing w:after="0" w:line="240" w:lineRule="auto"/>
              <w:ind w:right="-370"/>
              <w:jc w:val="both"/>
              <w:rPr>
                <w:rFonts w:cs="Times New Roman"/>
                <w:szCs w:val="24"/>
              </w:rPr>
            </w:pPr>
            <w:r>
              <w:rPr>
                <w:rFonts w:cs="Times New Roman"/>
                <w:szCs w:val="24"/>
              </w:rPr>
              <w:t>25,9</w:t>
            </w:r>
          </w:p>
        </w:tc>
        <w:tc>
          <w:tcPr>
            <w:tcW w:w="850" w:type="dxa"/>
          </w:tcPr>
          <w:p w14:paraId="33E4B4B4" w14:textId="77777777" w:rsidR="000E4627" w:rsidRPr="00103437" w:rsidRDefault="000E4627" w:rsidP="00F9136E">
            <w:pPr>
              <w:pStyle w:val="BodyText2"/>
              <w:tabs>
                <w:tab w:val="left" w:pos="-5387"/>
                <w:tab w:val="left" w:pos="426"/>
                <w:tab w:val="left" w:pos="851"/>
              </w:tabs>
              <w:spacing w:after="0" w:line="240" w:lineRule="auto"/>
              <w:ind w:right="-370"/>
              <w:jc w:val="both"/>
              <w:rPr>
                <w:rFonts w:cs="Times New Roman"/>
                <w:szCs w:val="24"/>
              </w:rPr>
            </w:pPr>
            <w:r w:rsidRPr="00103437">
              <w:rPr>
                <w:rFonts w:cs="Times New Roman"/>
                <w:szCs w:val="24"/>
              </w:rPr>
              <w:t>3,8</w:t>
            </w:r>
          </w:p>
        </w:tc>
      </w:tr>
      <w:tr w:rsidR="000E4627" w:rsidRPr="00103437" w14:paraId="402DA486" w14:textId="77777777" w:rsidTr="000E4627">
        <w:tc>
          <w:tcPr>
            <w:tcW w:w="6663" w:type="dxa"/>
          </w:tcPr>
          <w:p w14:paraId="468B1623" w14:textId="77777777" w:rsidR="000E4627" w:rsidRPr="00103437" w:rsidRDefault="000E4627" w:rsidP="00F9136E">
            <w:pPr>
              <w:pStyle w:val="BodyText2"/>
              <w:tabs>
                <w:tab w:val="left" w:pos="-5387"/>
                <w:tab w:val="left" w:pos="426"/>
                <w:tab w:val="left" w:pos="851"/>
              </w:tabs>
              <w:spacing w:after="0" w:line="240" w:lineRule="auto"/>
              <w:ind w:left="22" w:right="-370"/>
              <w:rPr>
                <w:rFonts w:cs="Times New Roman"/>
                <w:b/>
                <w:szCs w:val="24"/>
              </w:rPr>
            </w:pPr>
            <w:r w:rsidRPr="00103437">
              <w:rPr>
                <w:rFonts w:cs="Times New Roman"/>
                <w:b/>
                <w:szCs w:val="24"/>
              </w:rPr>
              <w:t xml:space="preserve">Kopā: </w:t>
            </w:r>
          </w:p>
        </w:tc>
        <w:tc>
          <w:tcPr>
            <w:tcW w:w="850" w:type="dxa"/>
          </w:tcPr>
          <w:p w14:paraId="60DD2563" w14:textId="6C165ECB" w:rsidR="000E4627" w:rsidRPr="007725D7" w:rsidRDefault="007725D7" w:rsidP="00F9136E">
            <w:pPr>
              <w:pStyle w:val="BodyText2"/>
              <w:tabs>
                <w:tab w:val="left" w:pos="-5387"/>
                <w:tab w:val="left" w:pos="426"/>
                <w:tab w:val="left" w:pos="851"/>
              </w:tabs>
              <w:spacing w:after="0" w:line="240" w:lineRule="auto"/>
              <w:ind w:right="-370"/>
              <w:jc w:val="both"/>
              <w:rPr>
                <w:rFonts w:cs="Times New Roman"/>
                <w:b/>
                <w:szCs w:val="24"/>
              </w:rPr>
            </w:pPr>
            <w:r>
              <w:rPr>
                <w:rFonts w:cs="Times New Roman"/>
                <w:b/>
                <w:szCs w:val="24"/>
              </w:rPr>
              <w:t>105,6</w:t>
            </w:r>
          </w:p>
        </w:tc>
        <w:tc>
          <w:tcPr>
            <w:tcW w:w="851" w:type="dxa"/>
          </w:tcPr>
          <w:p w14:paraId="1EF03DA7" w14:textId="396F5D9F" w:rsidR="000E4627" w:rsidRPr="00103437" w:rsidRDefault="007725D7" w:rsidP="00F9136E">
            <w:pPr>
              <w:pStyle w:val="BodyText2"/>
              <w:tabs>
                <w:tab w:val="left" w:pos="-5387"/>
                <w:tab w:val="left" w:pos="426"/>
                <w:tab w:val="left" w:pos="851"/>
              </w:tabs>
              <w:spacing w:after="0" w:line="240" w:lineRule="auto"/>
              <w:ind w:right="-370"/>
              <w:jc w:val="both"/>
              <w:rPr>
                <w:rFonts w:cs="Times New Roman"/>
                <w:b/>
                <w:szCs w:val="24"/>
              </w:rPr>
            </w:pPr>
            <w:r>
              <w:rPr>
                <w:rFonts w:cs="Times New Roman"/>
                <w:b/>
                <w:szCs w:val="24"/>
              </w:rPr>
              <w:t>71,6</w:t>
            </w:r>
          </w:p>
        </w:tc>
        <w:tc>
          <w:tcPr>
            <w:tcW w:w="850" w:type="dxa"/>
          </w:tcPr>
          <w:p w14:paraId="0179FEB9" w14:textId="188EFCA2" w:rsidR="000E4627" w:rsidRPr="00103437" w:rsidRDefault="007725D7" w:rsidP="00F9136E">
            <w:pPr>
              <w:pStyle w:val="BodyText2"/>
              <w:tabs>
                <w:tab w:val="left" w:pos="-5387"/>
                <w:tab w:val="left" w:pos="426"/>
                <w:tab w:val="left" w:pos="851"/>
              </w:tabs>
              <w:spacing w:after="0" w:line="240" w:lineRule="auto"/>
              <w:ind w:right="-370"/>
              <w:jc w:val="both"/>
              <w:rPr>
                <w:rFonts w:cs="Times New Roman"/>
                <w:b/>
                <w:szCs w:val="24"/>
              </w:rPr>
            </w:pPr>
            <w:r>
              <w:rPr>
                <w:rFonts w:cs="Times New Roman"/>
                <w:b/>
                <w:szCs w:val="24"/>
              </w:rPr>
              <w:t>34,0</w:t>
            </w:r>
          </w:p>
        </w:tc>
      </w:tr>
    </w:tbl>
    <w:p w14:paraId="73B36485" w14:textId="77777777" w:rsidR="007725D7" w:rsidRDefault="007725D7" w:rsidP="000E4627">
      <w:pPr>
        <w:pStyle w:val="BodyText2"/>
        <w:tabs>
          <w:tab w:val="left" w:pos="-5387"/>
          <w:tab w:val="left" w:pos="426"/>
          <w:tab w:val="left" w:pos="851"/>
        </w:tabs>
        <w:spacing w:after="0" w:line="240" w:lineRule="auto"/>
        <w:ind w:right="-370" w:firstLine="567"/>
        <w:jc w:val="both"/>
        <w:rPr>
          <w:sz w:val="26"/>
          <w:szCs w:val="26"/>
          <w:lang w:eastAsia="lv-LV"/>
        </w:rPr>
      </w:pPr>
    </w:p>
    <w:p w14:paraId="078FC85E" w14:textId="0CECCE4F" w:rsidR="00437EC6" w:rsidRPr="000E4627" w:rsidRDefault="00437EC6" w:rsidP="000E4627">
      <w:pPr>
        <w:pStyle w:val="BodyText2"/>
        <w:tabs>
          <w:tab w:val="left" w:pos="-5387"/>
          <w:tab w:val="left" w:pos="426"/>
          <w:tab w:val="left" w:pos="851"/>
        </w:tabs>
        <w:spacing w:after="0" w:line="240" w:lineRule="auto"/>
        <w:ind w:right="-370" w:firstLine="567"/>
        <w:jc w:val="both"/>
        <w:rPr>
          <w:rFonts w:cs="Times New Roman"/>
          <w:sz w:val="26"/>
          <w:szCs w:val="26"/>
        </w:rPr>
      </w:pPr>
      <w:r>
        <w:rPr>
          <w:sz w:val="26"/>
          <w:szCs w:val="26"/>
          <w:lang w:eastAsia="lv-LV"/>
        </w:rPr>
        <w:t xml:space="preserve">Prioritāri ir aizņēmumi ES projektu īstenošanai </w:t>
      </w:r>
      <w:r w:rsidRPr="0008256C">
        <w:rPr>
          <w:rFonts w:cs="Times New Roman"/>
          <w:sz w:val="26"/>
          <w:szCs w:val="26"/>
          <w:lang w:eastAsia="lv-LV"/>
        </w:rPr>
        <w:t>ar aizņēmuma apm</w:t>
      </w:r>
      <w:r w:rsidRPr="0008256C">
        <w:rPr>
          <w:sz w:val="26"/>
          <w:szCs w:val="26"/>
        </w:rPr>
        <w:t xml:space="preserve">ēru, kas </w:t>
      </w:r>
      <w:r w:rsidRPr="0008256C">
        <w:rPr>
          <w:rFonts w:eastAsia="Calibri"/>
          <w:color w:val="000000"/>
          <w:sz w:val="26"/>
          <w:szCs w:val="26"/>
        </w:rPr>
        <w:t>nepārsniedz projekta  attiecināmo izmaksu kopsummu</w:t>
      </w:r>
      <w:r>
        <w:rPr>
          <w:rFonts w:eastAsia="Calibri"/>
          <w:color w:val="000000"/>
          <w:sz w:val="26"/>
          <w:szCs w:val="26"/>
        </w:rPr>
        <w:t xml:space="preserve">, </w:t>
      </w:r>
      <w:r w:rsidRPr="002447DD">
        <w:rPr>
          <w:sz w:val="26"/>
          <w:szCs w:val="26"/>
          <w:lang w:eastAsia="lv-LV"/>
        </w:rPr>
        <w:t xml:space="preserve">kas </w:t>
      </w:r>
      <w:r>
        <w:rPr>
          <w:sz w:val="26"/>
          <w:szCs w:val="26"/>
          <w:lang w:eastAsia="lv-LV"/>
        </w:rPr>
        <w:t xml:space="preserve">kā prioritāte ir </w:t>
      </w:r>
      <w:r w:rsidRPr="002447DD">
        <w:rPr>
          <w:sz w:val="26"/>
          <w:szCs w:val="26"/>
          <w:lang w:eastAsia="lv-LV"/>
        </w:rPr>
        <w:t>noteikta gan Protokolā, gan  likum</w:t>
      </w:r>
      <w:r>
        <w:rPr>
          <w:sz w:val="26"/>
          <w:szCs w:val="26"/>
          <w:lang w:eastAsia="lv-LV"/>
        </w:rPr>
        <w:t>a</w:t>
      </w:r>
      <w:r w:rsidRPr="002447DD">
        <w:rPr>
          <w:sz w:val="26"/>
          <w:szCs w:val="26"/>
          <w:lang w:eastAsia="lv-LV"/>
        </w:rPr>
        <w:t xml:space="preserve"> “Par valsts budžetu 2019.gadam” 15.panta sestajā daļā</w:t>
      </w:r>
      <w:r w:rsidRPr="00E03022">
        <w:rPr>
          <w:rStyle w:val="FootnoteReference"/>
          <w:sz w:val="26"/>
          <w:szCs w:val="26"/>
          <w:lang w:eastAsia="lv-LV"/>
        </w:rPr>
        <w:footnoteReference w:id="3"/>
      </w:r>
      <w:r>
        <w:rPr>
          <w:sz w:val="26"/>
          <w:szCs w:val="26"/>
          <w:lang w:eastAsia="lv-LV"/>
        </w:rPr>
        <w:t xml:space="preserve">. </w:t>
      </w:r>
      <w:r>
        <w:rPr>
          <w:sz w:val="26"/>
          <w:szCs w:val="26"/>
        </w:rPr>
        <w:t xml:space="preserve">Vienlaikus </w:t>
      </w:r>
      <w:r w:rsidRPr="00E03022">
        <w:rPr>
          <w:bCs/>
          <w:sz w:val="26"/>
          <w:szCs w:val="26"/>
        </w:rPr>
        <w:t xml:space="preserve">ES projektu īstenošanai pašvaldībām ir iespēja </w:t>
      </w:r>
      <w:r>
        <w:rPr>
          <w:bCs/>
          <w:sz w:val="26"/>
          <w:szCs w:val="26"/>
        </w:rPr>
        <w:t xml:space="preserve">pieprasīt un </w:t>
      </w:r>
      <w:r w:rsidRPr="00E03022">
        <w:rPr>
          <w:bCs/>
          <w:sz w:val="26"/>
          <w:szCs w:val="26"/>
        </w:rPr>
        <w:t xml:space="preserve">izmantot avansa maksājumus atbilstoši noslēgtajiem līgumiem ar </w:t>
      </w:r>
      <w:r>
        <w:rPr>
          <w:bCs/>
          <w:sz w:val="26"/>
          <w:szCs w:val="26"/>
        </w:rPr>
        <w:t xml:space="preserve">sadarbības </w:t>
      </w:r>
      <w:r w:rsidRPr="00E03022">
        <w:rPr>
          <w:bCs/>
          <w:sz w:val="26"/>
          <w:szCs w:val="26"/>
        </w:rPr>
        <w:t>iestādi, kas ir būtisks resurss projekta izdevumu segšanai</w:t>
      </w:r>
      <w:r>
        <w:rPr>
          <w:bCs/>
          <w:sz w:val="26"/>
          <w:szCs w:val="26"/>
        </w:rPr>
        <w:t xml:space="preserve">. </w:t>
      </w:r>
    </w:p>
    <w:p w14:paraId="3206772C" w14:textId="286A6BAA" w:rsidR="00437EC6" w:rsidRDefault="00437EC6" w:rsidP="00437EC6">
      <w:pPr>
        <w:ind w:right="-370" w:firstLine="851"/>
        <w:jc w:val="both"/>
        <w:rPr>
          <w:rFonts w:eastAsia="Calibri"/>
          <w:sz w:val="26"/>
          <w:szCs w:val="26"/>
        </w:rPr>
      </w:pPr>
      <w:r w:rsidRPr="00911FE7">
        <w:rPr>
          <w:sz w:val="26"/>
          <w:szCs w:val="26"/>
        </w:rPr>
        <w:t>Izvērtējot pašvaldību iesniegtos aizņēmuma pieprasījumus</w:t>
      </w:r>
      <w:r>
        <w:rPr>
          <w:sz w:val="26"/>
          <w:szCs w:val="26"/>
        </w:rPr>
        <w:t xml:space="preserve">, secināms, ka pašvaldības aizņēmumus pieprasa ne tikai ES projektiem, bet arī jauniem investīciju projektiem, tāpat projektiem, kas uzsākti tikai par pašvaldības budžeta finansējumu, kā arī valsts budžeta vai valsts aizdevuma līdzfinansētu uzsākto projektu pabeigšanai. </w:t>
      </w:r>
      <w:r w:rsidR="0011600C">
        <w:rPr>
          <w:sz w:val="26"/>
          <w:szCs w:val="26"/>
        </w:rPr>
        <w:t>T</w:t>
      </w:r>
      <w:r w:rsidRPr="00FD1DF7">
        <w:rPr>
          <w:sz w:val="26"/>
          <w:szCs w:val="26"/>
        </w:rPr>
        <w:t>ikai viens no iesniegtajiem aizņēmuma pieprasījumiem ir 2019.gada sākum</w:t>
      </w:r>
      <w:r>
        <w:rPr>
          <w:sz w:val="26"/>
          <w:szCs w:val="26"/>
        </w:rPr>
        <w:t>ā</w:t>
      </w:r>
      <w:r w:rsidRPr="00FD1DF7">
        <w:rPr>
          <w:sz w:val="26"/>
          <w:szCs w:val="26"/>
        </w:rPr>
        <w:t xml:space="preserve"> uzsākts </w:t>
      </w:r>
      <w:r w:rsidRPr="00FD1DF7">
        <w:rPr>
          <w:bCs/>
          <w:sz w:val="26"/>
          <w:szCs w:val="26"/>
        </w:rPr>
        <w:t>izglītības iestādes investīciju projekts, kur</w:t>
      </w:r>
      <w:r>
        <w:rPr>
          <w:bCs/>
          <w:sz w:val="26"/>
          <w:szCs w:val="26"/>
        </w:rPr>
        <w:t xml:space="preserve">ā </w:t>
      </w:r>
      <w:r w:rsidRPr="00FD1DF7">
        <w:rPr>
          <w:bCs/>
          <w:sz w:val="26"/>
          <w:szCs w:val="26"/>
        </w:rPr>
        <w:t xml:space="preserve">nepieciešams </w:t>
      </w:r>
      <w:r>
        <w:rPr>
          <w:bCs/>
          <w:sz w:val="26"/>
          <w:szCs w:val="26"/>
        </w:rPr>
        <w:t xml:space="preserve">sakārtot izveidojošos </w:t>
      </w:r>
      <w:r w:rsidRPr="00FD1DF7">
        <w:rPr>
          <w:bCs/>
          <w:sz w:val="26"/>
          <w:szCs w:val="26"/>
        </w:rPr>
        <w:t xml:space="preserve">ārkārtas </w:t>
      </w:r>
      <w:r w:rsidR="00C56FA7">
        <w:rPr>
          <w:bCs/>
          <w:sz w:val="26"/>
          <w:szCs w:val="26"/>
        </w:rPr>
        <w:t xml:space="preserve">situāciju. Tas </w:t>
      </w:r>
      <w:r>
        <w:rPr>
          <w:bCs/>
          <w:sz w:val="26"/>
          <w:szCs w:val="26"/>
        </w:rPr>
        <w:t xml:space="preserve">ir Alojas novada pašvaldības investīciju projekts </w:t>
      </w:r>
      <w:r w:rsidRPr="00561709">
        <w:rPr>
          <w:rFonts w:cs="Times New Roman"/>
          <w:sz w:val="26"/>
          <w:szCs w:val="26"/>
        </w:rPr>
        <w:t>“</w:t>
      </w:r>
      <w:r w:rsidRPr="00561709">
        <w:rPr>
          <w:sz w:val="26"/>
          <w:szCs w:val="26"/>
        </w:rPr>
        <w:t>Alojas Ausekļa vidussk</w:t>
      </w:r>
      <w:r>
        <w:rPr>
          <w:sz w:val="26"/>
          <w:szCs w:val="26"/>
        </w:rPr>
        <w:t>olas Lielās skolas ēkas pārbūve</w:t>
      </w:r>
      <w:r w:rsidRPr="008A60E5">
        <w:rPr>
          <w:rFonts w:eastAsia="Calibri"/>
          <w:sz w:val="26"/>
          <w:szCs w:val="26"/>
        </w:rPr>
        <w:t>”</w:t>
      </w:r>
      <w:r>
        <w:rPr>
          <w:rFonts w:eastAsia="Calibri"/>
          <w:sz w:val="26"/>
          <w:szCs w:val="26"/>
        </w:rPr>
        <w:t xml:space="preserve">. </w:t>
      </w:r>
    </w:p>
    <w:p w14:paraId="3D168F3A" w14:textId="11335642" w:rsidR="00437EC6" w:rsidRDefault="00437EC6" w:rsidP="00437EC6">
      <w:pPr>
        <w:pStyle w:val="BodyText2"/>
        <w:tabs>
          <w:tab w:val="left" w:pos="-5387"/>
          <w:tab w:val="left" w:pos="426"/>
          <w:tab w:val="left" w:pos="851"/>
        </w:tabs>
        <w:spacing w:after="0" w:line="240" w:lineRule="auto"/>
        <w:ind w:right="-370" w:firstLine="567"/>
        <w:jc w:val="both"/>
        <w:rPr>
          <w:rFonts w:eastAsia="Times New Roman" w:cs="Times New Roman"/>
          <w:bCs/>
          <w:sz w:val="26"/>
          <w:szCs w:val="26"/>
        </w:rPr>
      </w:pPr>
      <w:r>
        <w:rPr>
          <w:rFonts w:eastAsia="Times New Roman"/>
          <w:bCs/>
          <w:sz w:val="26"/>
          <w:szCs w:val="26"/>
        </w:rPr>
        <w:t xml:space="preserve">Vienlaikus jāsecina, ka </w:t>
      </w:r>
      <w:r w:rsidRPr="003A7E14">
        <w:rPr>
          <w:rFonts w:eastAsia="Times New Roman"/>
          <w:bCs/>
          <w:sz w:val="26"/>
          <w:szCs w:val="26"/>
        </w:rPr>
        <w:t xml:space="preserve">pašvaldības </w:t>
      </w:r>
      <w:r>
        <w:rPr>
          <w:rFonts w:eastAsia="Times New Roman"/>
          <w:bCs/>
          <w:sz w:val="26"/>
          <w:szCs w:val="26"/>
        </w:rPr>
        <w:t>aktīvi</w:t>
      </w:r>
      <w:r w:rsidRPr="003A7E14">
        <w:rPr>
          <w:rFonts w:eastAsia="Times New Roman"/>
          <w:bCs/>
          <w:sz w:val="26"/>
          <w:szCs w:val="26"/>
        </w:rPr>
        <w:t xml:space="preserve"> izmanto normatīvajos aktos noteiktās tiesības izņemt aizņēmumus vidējā termiņā, kā rezultātā </w:t>
      </w:r>
      <w:r w:rsidRPr="003A7E14">
        <w:rPr>
          <w:rFonts w:cs="Times New Roman"/>
          <w:sz w:val="26"/>
          <w:szCs w:val="26"/>
        </w:rPr>
        <w:t xml:space="preserve">pašvaldībām </w:t>
      </w:r>
      <w:r w:rsidRPr="003A7E14">
        <w:rPr>
          <w:rFonts w:eastAsia="Times New Roman" w:cs="Times New Roman"/>
          <w:bCs/>
          <w:sz w:val="26"/>
          <w:szCs w:val="26"/>
        </w:rPr>
        <w:t>noslēgto aizņēmumu līgumu saistību izpildei</w:t>
      </w:r>
      <w:r w:rsidRPr="003A7E14">
        <w:rPr>
          <w:rFonts w:cs="Times New Roman"/>
          <w:sz w:val="26"/>
          <w:szCs w:val="26"/>
        </w:rPr>
        <w:t xml:space="preserve"> 2020.gadā</w:t>
      </w:r>
      <w:r>
        <w:rPr>
          <w:rFonts w:cs="Times New Roman"/>
          <w:sz w:val="26"/>
          <w:szCs w:val="26"/>
        </w:rPr>
        <w:t xml:space="preserve"> jau</w:t>
      </w:r>
      <w:r w:rsidRPr="003A7E14">
        <w:rPr>
          <w:rFonts w:cs="Times New Roman"/>
          <w:sz w:val="26"/>
          <w:szCs w:val="26"/>
        </w:rPr>
        <w:t xml:space="preserve"> </w:t>
      </w:r>
      <w:r w:rsidRPr="003A7E14">
        <w:rPr>
          <w:rFonts w:eastAsia="Times New Roman" w:cs="Times New Roman"/>
          <w:bCs/>
          <w:sz w:val="26"/>
          <w:szCs w:val="26"/>
        </w:rPr>
        <w:t xml:space="preserve">ir  jānodrošina aizņēmumu izmaksa  </w:t>
      </w:r>
      <w:r w:rsidR="001B1CBA">
        <w:rPr>
          <w:rFonts w:cs="Times New Roman"/>
          <w:sz w:val="26"/>
          <w:szCs w:val="26"/>
        </w:rPr>
        <w:t>52</w:t>
      </w:r>
      <w:r w:rsidRPr="003A7E14">
        <w:rPr>
          <w:rFonts w:cs="Times New Roman"/>
          <w:sz w:val="26"/>
          <w:szCs w:val="26"/>
        </w:rPr>
        <w:t xml:space="preserve"> milj. EUR apmērā</w:t>
      </w:r>
      <w:r w:rsidR="001B1CBA">
        <w:rPr>
          <w:rFonts w:eastAsia="Times New Roman" w:cs="Times New Roman"/>
          <w:bCs/>
          <w:sz w:val="26"/>
          <w:szCs w:val="26"/>
        </w:rPr>
        <w:t xml:space="preserve">, tajā skaitā ES projektiem 12,7 </w:t>
      </w:r>
      <w:r>
        <w:rPr>
          <w:rFonts w:eastAsia="Times New Roman" w:cs="Times New Roman"/>
          <w:bCs/>
          <w:sz w:val="26"/>
          <w:szCs w:val="26"/>
        </w:rPr>
        <w:t>milj. EUR, Mežaparka lielās estrādes rekonstrukcijai 10,9 milj. EUR, valsts nozīmes sporta infrastruktūras projektiem ar valsts budžeta līdzfinansējumu 14,3 milj. EUR, izglītības iestāžu investīciju projektiem 8,9 milj. EUR un pārējiem projektiem ar pašvald</w:t>
      </w:r>
      <w:r w:rsidR="005A6B5F">
        <w:rPr>
          <w:rFonts w:eastAsia="Times New Roman" w:cs="Times New Roman"/>
          <w:bCs/>
          <w:sz w:val="26"/>
          <w:szCs w:val="26"/>
        </w:rPr>
        <w:t>ības budžeta līdzfinansējumu 5,2</w:t>
      </w:r>
      <w:r>
        <w:rPr>
          <w:rFonts w:eastAsia="Times New Roman" w:cs="Times New Roman"/>
          <w:bCs/>
          <w:sz w:val="26"/>
          <w:szCs w:val="26"/>
        </w:rPr>
        <w:t xml:space="preserve"> milj. EUR. </w:t>
      </w:r>
    </w:p>
    <w:p w14:paraId="25817F69" w14:textId="7A6DEA0C" w:rsidR="00437EC6" w:rsidRDefault="00437EC6" w:rsidP="00437EC6">
      <w:pPr>
        <w:ind w:right="-370" w:firstLine="567"/>
        <w:contextualSpacing/>
        <w:jc w:val="both"/>
        <w:rPr>
          <w:sz w:val="26"/>
          <w:szCs w:val="26"/>
        </w:rPr>
      </w:pPr>
      <w:r w:rsidRPr="00134DEF">
        <w:rPr>
          <w:rFonts w:cs="Times New Roman"/>
          <w:sz w:val="26"/>
          <w:szCs w:val="26"/>
        </w:rPr>
        <w:t xml:space="preserve">Līdz ar to šobrīd ir nepieciešams </w:t>
      </w:r>
      <w:r>
        <w:rPr>
          <w:rFonts w:cs="Times New Roman"/>
          <w:sz w:val="26"/>
          <w:szCs w:val="26"/>
        </w:rPr>
        <w:t xml:space="preserve">meklēt </w:t>
      </w:r>
      <w:r w:rsidRPr="00134DEF">
        <w:rPr>
          <w:rFonts w:cs="Times New Roman"/>
          <w:sz w:val="26"/>
          <w:szCs w:val="26"/>
        </w:rPr>
        <w:t xml:space="preserve">risinājumu gan 2019.gadā, gan noteikt prioritātes aizņēmumiem 2020.gadā un vidējā termiņā, lai nodrošinātu </w:t>
      </w:r>
      <w:r w:rsidRPr="00134DEF">
        <w:rPr>
          <w:sz w:val="26"/>
          <w:szCs w:val="26"/>
        </w:rPr>
        <w:t>fiskāli atbildīgu pašvaldību aizņēmumu saistību uzņemšanos</w:t>
      </w:r>
      <w:r w:rsidRPr="00134DEF">
        <w:rPr>
          <w:rFonts w:cs="Times New Roman"/>
          <w:sz w:val="26"/>
          <w:szCs w:val="26"/>
        </w:rPr>
        <w:t xml:space="preserve"> un izpildi</w:t>
      </w:r>
      <w:r>
        <w:rPr>
          <w:rFonts w:cs="Times New Roman"/>
          <w:sz w:val="26"/>
          <w:szCs w:val="26"/>
        </w:rPr>
        <w:t xml:space="preserve"> kontekstā ar plānoto administratīvi teritoriālo reformu un </w:t>
      </w:r>
      <w:r w:rsidRPr="00134DEF">
        <w:rPr>
          <w:rFonts w:cs="Times New Roman"/>
          <w:sz w:val="26"/>
          <w:szCs w:val="26"/>
        </w:rPr>
        <w:t xml:space="preserve">ilgtspējīgu projektu īstenošanu, vienlaikus stingri ievērojot noteikto </w:t>
      </w:r>
      <w:r w:rsidRPr="00134DEF">
        <w:rPr>
          <w:sz w:val="26"/>
          <w:szCs w:val="26"/>
        </w:rPr>
        <w:t>vispārējās valdības budžeta deficīta apjomu.</w:t>
      </w:r>
      <w:r w:rsidRPr="00911FE7">
        <w:rPr>
          <w:sz w:val="26"/>
          <w:szCs w:val="26"/>
        </w:rPr>
        <w:t xml:space="preserve"> </w:t>
      </w:r>
    </w:p>
    <w:p w14:paraId="65B8D2AE" w14:textId="77777777" w:rsidR="00103437" w:rsidRDefault="00103437" w:rsidP="00437EC6">
      <w:pPr>
        <w:ind w:right="-370" w:firstLine="567"/>
        <w:contextualSpacing/>
        <w:jc w:val="both"/>
        <w:rPr>
          <w:sz w:val="26"/>
          <w:szCs w:val="26"/>
        </w:rPr>
      </w:pPr>
    </w:p>
    <w:p w14:paraId="3104612F" w14:textId="1EE81D88" w:rsidR="00437EC6" w:rsidRDefault="00437EC6" w:rsidP="0011600C">
      <w:pPr>
        <w:pStyle w:val="NoSpacing"/>
        <w:numPr>
          <w:ilvl w:val="0"/>
          <w:numId w:val="21"/>
        </w:numPr>
        <w:jc w:val="center"/>
        <w:rPr>
          <w:rFonts w:cs="Times New Roman"/>
          <w:b/>
          <w:sz w:val="26"/>
          <w:szCs w:val="26"/>
          <w:lang w:eastAsia="lv-LV"/>
        </w:rPr>
      </w:pPr>
      <w:r>
        <w:rPr>
          <w:rFonts w:cs="Times New Roman"/>
          <w:b/>
          <w:sz w:val="26"/>
          <w:szCs w:val="26"/>
          <w:lang w:eastAsia="lv-LV"/>
        </w:rPr>
        <w:lastRenderedPageBreak/>
        <w:t>Rīcība situācijas apzināšanai</w:t>
      </w:r>
    </w:p>
    <w:p w14:paraId="1011128F" w14:textId="77777777" w:rsidR="00437EC6" w:rsidRPr="00F2698E" w:rsidRDefault="00437EC6" w:rsidP="00437EC6">
      <w:pPr>
        <w:pStyle w:val="NoSpacing"/>
        <w:ind w:left="1080"/>
        <w:rPr>
          <w:rFonts w:cs="Times New Roman"/>
          <w:b/>
          <w:sz w:val="26"/>
          <w:szCs w:val="26"/>
          <w:lang w:eastAsia="lv-LV"/>
        </w:rPr>
      </w:pPr>
    </w:p>
    <w:p w14:paraId="7A01B131" w14:textId="3A6EE2D6" w:rsidR="00437EC6" w:rsidRPr="004D2053" w:rsidRDefault="00437EC6" w:rsidP="00437EC6">
      <w:pPr>
        <w:pStyle w:val="BodyText2"/>
        <w:numPr>
          <w:ilvl w:val="0"/>
          <w:numId w:val="19"/>
        </w:numPr>
        <w:tabs>
          <w:tab w:val="left" w:pos="-5387"/>
          <w:tab w:val="left" w:pos="851"/>
        </w:tabs>
        <w:spacing w:after="0" w:line="240" w:lineRule="auto"/>
        <w:ind w:left="426" w:right="-397" w:hanging="426"/>
        <w:jc w:val="both"/>
        <w:rPr>
          <w:sz w:val="26"/>
          <w:szCs w:val="26"/>
        </w:rPr>
      </w:pPr>
      <w:r w:rsidRPr="002447DD">
        <w:rPr>
          <w:sz w:val="26"/>
          <w:szCs w:val="26"/>
        </w:rPr>
        <w:t xml:space="preserve">Ir apkopota informācija no pašvaldībām par 2019.gadā nepieciešamajiem </w:t>
      </w:r>
      <w:r>
        <w:rPr>
          <w:sz w:val="26"/>
          <w:szCs w:val="26"/>
        </w:rPr>
        <w:t>aizņēmumu</w:t>
      </w:r>
      <w:r w:rsidRPr="002447DD">
        <w:rPr>
          <w:sz w:val="26"/>
          <w:szCs w:val="26"/>
        </w:rPr>
        <w:t xml:space="preserve"> resursiem pašvaldībām 2018.gadā uzņemto saistību izpildei, projektos, kuros 2018.gadā ir uzsākti būvdarbi un kuri tiek realizēti bez E</w:t>
      </w:r>
      <w:r>
        <w:rPr>
          <w:sz w:val="26"/>
          <w:szCs w:val="26"/>
        </w:rPr>
        <w:t>iropas Savienības</w:t>
      </w:r>
      <w:r w:rsidRPr="002447DD">
        <w:rPr>
          <w:sz w:val="26"/>
          <w:szCs w:val="26"/>
        </w:rPr>
        <w:t xml:space="preserve"> finansējuma, bet ar 2018.gada valsts budžeta  līdzfinansējumu vai 2018.gada valsts budžeta aizdevumu. </w:t>
      </w:r>
      <w:r w:rsidRPr="002447DD">
        <w:rPr>
          <w:rFonts w:cs="Times New Roman"/>
          <w:sz w:val="26"/>
          <w:szCs w:val="26"/>
        </w:rPr>
        <w:t xml:space="preserve">Minēto </w:t>
      </w:r>
      <w:r w:rsidRPr="002447DD">
        <w:rPr>
          <w:bCs/>
          <w:sz w:val="26"/>
          <w:szCs w:val="26"/>
        </w:rPr>
        <w:t>projektu pabeigšanai</w:t>
      </w:r>
      <w:r w:rsidR="0011600C">
        <w:rPr>
          <w:rFonts w:cs="Times New Roman"/>
          <w:sz w:val="26"/>
          <w:szCs w:val="26"/>
        </w:rPr>
        <w:t xml:space="preserve"> pašvaldībām </w:t>
      </w:r>
      <w:r w:rsidRPr="002447DD">
        <w:rPr>
          <w:rFonts w:cs="Times New Roman"/>
          <w:sz w:val="26"/>
          <w:szCs w:val="26"/>
        </w:rPr>
        <w:t xml:space="preserve">2019.gadā ir nepieciešami aizņēmumi kopsummā </w:t>
      </w:r>
      <w:r w:rsidRPr="004D2053">
        <w:rPr>
          <w:rFonts w:cs="Times New Roman"/>
          <w:sz w:val="26"/>
          <w:szCs w:val="26"/>
        </w:rPr>
        <w:t>līdz 9,6 milj. EUR. Aizņēmumu apmērs var tikt precizēts (samazināts)</w:t>
      </w:r>
      <w:r w:rsidRPr="004D2053">
        <w:rPr>
          <w:rFonts w:cs="Times New Roman"/>
          <w:sz w:val="26"/>
          <w:szCs w:val="26"/>
          <w:lang w:eastAsia="lv-LV"/>
        </w:rPr>
        <w:t xml:space="preserve"> </w:t>
      </w:r>
      <w:r w:rsidRPr="004D2053">
        <w:rPr>
          <w:rFonts w:cs="Times New Roman"/>
          <w:sz w:val="26"/>
          <w:szCs w:val="26"/>
        </w:rPr>
        <w:t>aizņēmumu pieteikumu vērtēšana procesā, i</w:t>
      </w:r>
      <w:r w:rsidRPr="004D2053">
        <w:rPr>
          <w:rFonts w:cs="Times New Roman"/>
          <w:sz w:val="26"/>
          <w:szCs w:val="26"/>
          <w:lang w:eastAsia="lv-LV"/>
        </w:rPr>
        <w:t xml:space="preserve">evērojot </w:t>
      </w:r>
      <w:r w:rsidRPr="004D2053">
        <w:rPr>
          <w:rFonts w:cs="Times New Roman"/>
          <w:sz w:val="26"/>
          <w:szCs w:val="26"/>
        </w:rPr>
        <w:t>normatīvajos aktos noteikto</w:t>
      </w:r>
      <w:r w:rsidRPr="004D2053">
        <w:rPr>
          <w:sz w:val="26"/>
          <w:szCs w:val="26"/>
        </w:rPr>
        <w:t>s</w:t>
      </w:r>
      <w:r w:rsidRPr="004D2053">
        <w:rPr>
          <w:rFonts w:cs="Times New Roman"/>
          <w:sz w:val="26"/>
          <w:szCs w:val="26"/>
        </w:rPr>
        <w:t xml:space="preserve"> pašvaldību aizņemšanās </w:t>
      </w:r>
      <w:r w:rsidRPr="004D2053">
        <w:rPr>
          <w:sz w:val="26"/>
          <w:szCs w:val="26"/>
        </w:rPr>
        <w:t>nosacījumus un kārtību</w:t>
      </w:r>
      <w:r w:rsidRPr="004D2053">
        <w:rPr>
          <w:bCs/>
          <w:sz w:val="26"/>
          <w:szCs w:val="26"/>
        </w:rPr>
        <w:t xml:space="preserve">. </w:t>
      </w:r>
    </w:p>
    <w:p w14:paraId="2DF79C50" w14:textId="1415E429" w:rsidR="00437EC6" w:rsidRPr="004C5769" w:rsidRDefault="00437EC6" w:rsidP="004C5769">
      <w:pPr>
        <w:pStyle w:val="BodyText2"/>
        <w:numPr>
          <w:ilvl w:val="0"/>
          <w:numId w:val="19"/>
        </w:numPr>
        <w:tabs>
          <w:tab w:val="left" w:pos="-5387"/>
          <w:tab w:val="left" w:pos="851"/>
        </w:tabs>
        <w:spacing w:after="0" w:line="240" w:lineRule="auto"/>
        <w:ind w:left="426" w:right="-370" w:hanging="426"/>
        <w:jc w:val="both"/>
        <w:textAlignment w:val="baseline"/>
        <w:rPr>
          <w:sz w:val="26"/>
          <w:szCs w:val="26"/>
        </w:rPr>
      </w:pPr>
      <w:r>
        <w:rPr>
          <w:rFonts w:cs="Times New Roman"/>
          <w:sz w:val="26"/>
          <w:szCs w:val="26"/>
        </w:rPr>
        <w:t xml:space="preserve">Izvērtēta situācija </w:t>
      </w:r>
      <w:r w:rsidRPr="004D2053">
        <w:rPr>
          <w:rFonts w:cs="Times New Roman"/>
          <w:sz w:val="26"/>
          <w:szCs w:val="26"/>
        </w:rPr>
        <w:t>ar Alojas novada pašvaldības projektu “</w:t>
      </w:r>
      <w:r w:rsidRPr="004D2053">
        <w:rPr>
          <w:sz w:val="26"/>
          <w:szCs w:val="26"/>
        </w:rPr>
        <w:t>Alojas Ausekļa vidusskolas Lielās skolas ēkas pārbūve</w:t>
      </w:r>
      <w:r w:rsidRPr="004D2053">
        <w:rPr>
          <w:rFonts w:eastAsia="Calibri"/>
          <w:sz w:val="26"/>
          <w:szCs w:val="26"/>
        </w:rPr>
        <w:t>”,  kas uzsākts, l</w:t>
      </w:r>
      <w:r w:rsidRPr="004D2053">
        <w:rPr>
          <w:rFonts w:eastAsia="Calibri" w:cs="Times New Roman"/>
          <w:sz w:val="26"/>
          <w:szCs w:val="26"/>
        </w:rPr>
        <w:t xml:space="preserve">ai novērstu konstatēto ārkārtas pirms avārijas situāciju un nodrošinātu skolēnu uzturēšanos drošā mācību vidē. </w:t>
      </w:r>
      <w:r w:rsidRPr="004D2053">
        <w:rPr>
          <w:rFonts w:eastAsia="Times New Roman" w:cs="Times New Roman"/>
          <w:sz w:val="26"/>
          <w:szCs w:val="26"/>
          <w:lang w:eastAsia="lv-LV"/>
        </w:rPr>
        <w:t xml:space="preserve">Skolēni pašlaik ir spiesti mācīties pielāgotās telpās. Mācību process uz doto brīdi tiek organizēts Alojas sporta halles foajē, garderobēs un atpūtas telpās, kā arī Mazās skolas ēkas 3.stāva telpās. </w:t>
      </w:r>
      <w:r w:rsidRPr="004D2053">
        <w:rPr>
          <w:rFonts w:eastAsia="Calibri" w:cs="Times New Roman"/>
          <w:sz w:val="26"/>
          <w:szCs w:val="26"/>
        </w:rPr>
        <w:t>Lai sakārtotu šo situāciju un varētu nodrošinātu skolas funkcionali</w:t>
      </w:r>
      <w:r w:rsidR="0011600C">
        <w:rPr>
          <w:rFonts w:eastAsia="Calibri" w:cs="Times New Roman"/>
          <w:sz w:val="26"/>
          <w:szCs w:val="26"/>
        </w:rPr>
        <w:t>tāti jau 2019.gadā,  pašvaldība</w:t>
      </w:r>
      <w:r w:rsidRPr="004D2053">
        <w:rPr>
          <w:rFonts w:eastAsia="Calibri" w:cs="Times New Roman"/>
          <w:sz w:val="26"/>
          <w:szCs w:val="26"/>
        </w:rPr>
        <w:t xml:space="preserve"> ir pārskatījusi plānoto projektu, samazinot projektā plānotos darbus, kas nav saistīti ar skolas funkcionalitātes nodrošināšanu. </w:t>
      </w:r>
      <w:r w:rsidR="00247830" w:rsidRPr="0011600C">
        <w:rPr>
          <w:rFonts w:eastAsia="Calibri" w:cs="Times New Roman"/>
          <w:sz w:val="26"/>
          <w:szCs w:val="26"/>
        </w:rPr>
        <w:t>Turklāt s</w:t>
      </w:r>
      <w:r w:rsidR="004C5769" w:rsidRPr="0011600C">
        <w:rPr>
          <w:rFonts w:eastAsia="Calibri" w:cs="Times New Roman"/>
          <w:sz w:val="26"/>
          <w:szCs w:val="26"/>
        </w:rPr>
        <w:t xml:space="preserve">askaņā ar </w:t>
      </w:r>
      <w:r w:rsidR="005A15FD" w:rsidRPr="0011600C">
        <w:rPr>
          <w:rFonts w:cs="Times New Roman"/>
          <w:sz w:val="26"/>
          <w:szCs w:val="26"/>
        </w:rPr>
        <w:t xml:space="preserve">Alojas novada domes </w:t>
      </w:r>
      <w:r w:rsidR="004C5769" w:rsidRPr="0011600C">
        <w:rPr>
          <w:rFonts w:cs="Times New Roman"/>
          <w:sz w:val="26"/>
          <w:szCs w:val="26"/>
        </w:rPr>
        <w:t>2019.gada 21.maija lēmumu  Nr. 174 “Par Alojas Ausekļa vidusskolas attīstību nākotnē”, ja netiek izpildīti valstī noteiktie kritēriji par skolēnu ska</w:t>
      </w:r>
      <w:r w:rsidR="00247830" w:rsidRPr="0011600C">
        <w:rPr>
          <w:rFonts w:cs="Times New Roman"/>
          <w:sz w:val="26"/>
          <w:szCs w:val="26"/>
        </w:rPr>
        <w:t>itu vidējās izglītības programmā</w:t>
      </w:r>
      <w:r w:rsidR="004C5769" w:rsidRPr="0011600C">
        <w:rPr>
          <w:rFonts w:cs="Times New Roman"/>
          <w:sz w:val="26"/>
          <w:szCs w:val="26"/>
        </w:rPr>
        <w:t xml:space="preserve"> un kvalitātes radītajiem, </w:t>
      </w:r>
      <w:r w:rsidR="00247830" w:rsidRPr="0011600C">
        <w:rPr>
          <w:rFonts w:cs="Times New Roman"/>
          <w:sz w:val="26"/>
          <w:szCs w:val="26"/>
        </w:rPr>
        <w:t>Alojas novada dome izskatīs un lems</w:t>
      </w:r>
      <w:r w:rsidR="004C5769" w:rsidRPr="0011600C">
        <w:rPr>
          <w:rFonts w:cs="Times New Roman"/>
          <w:sz w:val="26"/>
          <w:szCs w:val="26"/>
        </w:rPr>
        <w:t xml:space="preserve"> jautājumu par Alojas Ausekļa vidusskolas reorganizāciju par pamatskolu. Ņemot</w:t>
      </w:r>
      <w:r w:rsidR="004C5769" w:rsidRPr="004C5769">
        <w:rPr>
          <w:rFonts w:cs="Times New Roman"/>
          <w:sz w:val="26"/>
          <w:szCs w:val="26"/>
        </w:rPr>
        <w:t xml:space="preserve"> vērā minēto domes lēmumu, </w:t>
      </w:r>
      <w:r w:rsidR="004C5769" w:rsidRPr="004C5769">
        <w:rPr>
          <w:rFonts w:eastAsia="Calibri" w:cs="Times New Roman"/>
          <w:sz w:val="26"/>
          <w:szCs w:val="26"/>
        </w:rPr>
        <w:t>p</w:t>
      </w:r>
      <w:r w:rsidRPr="004C5769">
        <w:rPr>
          <w:rFonts w:eastAsia="Calibri" w:cs="Times New Roman"/>
          <w:sz w:val="26"/>
          <w:szCs w:val="26"/>
        </w:rPr>
        <w:t xml:space="preserve">ar projekta ilgtspēju ir sniegts </w:t>
      </w:r>
      <w:r w:rsidRPr="004C5769">
        <w:rPr>
          <w:rFonts w:cs="Times New Roman"/>
          <w:sz w:val="26"/>
          <w:szCs w:val="26"/>
        </w:rPr>
        <w:t xml:space="preserve">Vides aizsardzības un reģionālas attīstības ministrijas </w:t>
      </w:r>
      <w:r w:rsidRPr="004C5769">
        <w:rPr>
          <w:rFonts w:eastAsia="Calibri" w:cs="Times New Roman"/>
          <w:sz w:val="26"/>
          <w:szCs w:val="26"/>
        </w:rPr>
        <w:t xml:space="preserve">un Izglītības un zinātnes ministrijas pozitīvs atzinums par skolas </w:t>
      </w:r>
      <w:r w:rsidRPr="004C5769">
        <w:rPr>
          <w:sz w:val="26"/>
          <w:szCs w:val="26"/>
        </w:rPr>
        <w:t xml:space="preserve">nepieciešamību izglītības pakalpojuma nodrošināšanai un ieguldījumu ilgtspēju izglītības funkciju nodrošināšanā. </w:t>
      </w:r>
      <w:r w:rsidRPr="004C5769">
        <w:rPr>
          <w:bCs/>
          <w:sz w:val="26"/>
          <w:szCs w:val="26"/>
        </w:rPr>
        <w:t xml:space="preserve">Aizņēmuma apmērs </w:t>
      </w:r>
      <w:r w:rsidRPr="004C5769">
        <w:rPr>
          <w:rFonts w:cs="Times New Roman"/>
          <w:sz w:val="26"/>
          <w:szCs w:val="26"/>
        </w:rPr>
        <w:t>2019.gadā ir līdz 1,3 milj. EUR, kas var tikt precizēts (samazināts)</w:t>
      </w:r>
      <w:r w:rsidR="0011600C">
        <w:rPr>
          <w:rFonts w:cs="Times New Roman"/>
          <w:sz w:val="26"/>
          <w:szCs w:val="26"/>
          <w:lang w:eastAsia="lv-LV"/>
        </w:rPr>
        <w:t xml:space="preserve"> </w:t>
      </w:r>
      <w:r w:rsidRPr="004C5769">
        <w:rPr>
          <w:rFonts w:cs="Times New Roman"/>
          <w:sz w:val="26"/>
          <w:szCs w:val="26"/>
        </w:rPr>
        <w:t>aizņēmumu pieteikumu vērtēšana procesā, i</w:t>
      </w:r>
      <w:r w:rsidRPr="004C5769">
        <w:rPr>
          <w:rFonts w:cs="Times New Roman"/>
          <w:sz w:val="26"/>
          <w:szCs w:val="26"/>
          <w:lang w:eastAsia="lv-LV"/>
        </w:rPr>
        <w:t xml:space="preserve">evērojot </w:t>
      </w:r>
      <w:r w:rsidRPr="004C5769">
        <w:rPr>
          <w:rFonts w:cs="Times New Roman"/>
          <w:sz w:val="26"/>
          <w:szCs w:val="26"/>
        </w:rPr>
        <w:t>normatīvajos aktos noteikto</w:t>
      </w:r>
      <w:r w:rsidRPr="004C5769">
        <w:rPr>
          <w:sz w:val="26"/>
          <w:szCs w:val="26"/>
        </w:rPr>
        <w:t>s</w:t>
      </w:r>
      <w:r w:rsidRPr="004C5769">
        <w:rPr>
          <w:rFonts w:cs="Times New Roman"/>
          <w:sz w:val="26"/>
          <w:szCs w:val="26"/>
        </w:rPr>
        <w:t xml:space="preserve"> pašvaldību aizņemšanās </w:t>
      </w:r>
      <w:r w:rsidRPr="004C5769">
        <w:rPr>
          <w:sz w:val="26"/>
          <w:szCs w:val="26"/>
        </w:rPr>
        <w:t xml:space="preserve">nosacījumus un kārtību. </w:t>
      </w:r>
    </w:p>
    <w:p w14:paraId="0F34781D" w14:textId="77777777" w:rsidR="00437EC6" w:rsidRPr="000B0D02" w:rsidRDefault="00437EC6" w:rsidP="00437EC6">
      <w:pPr>
        <w:pStyle w:val="BodyText2"/>
        <w:tabs>
          <w:tab w:val="left" w:pos="-5387"/>
          <w:tab w:val="left" w:pos="851"/>
        </w:tabs>
        <w:spacing w:after="0" w:line="240" w:lineRule="auto"/>
        <w:ind w:left="426" w:right="-370" w:firstLine="708"/>
        <w:jc w:val="both"/>
        <w:textAlignment w:val="baseline"/>
        <w:rPr>
          <w:sz w:val="26"/>
          <w:szCs w:val="26"/>
        </w:rPr>
      </w:pPr>
      <w:r>
        <w:rPr>
          <w:bCs/>
          <w:sz w:val="26"/>
          <w:szCs w:val="26"/>
        </w:rPr>
        <w:t xml:space="preserve">Informācija par katra </w:t>
      </w:r>
      <w:r w:rsidRPr="000B0D02">
        <w:rPr>
          <w:bCs/>
          <w:sz w:val="26"/>
          <w:szCs w:val="26"/>
        </w:rPr>
        <w:t xml:space="preserve">projekta maksimāli pieļaujamo aizņēmuma apmēru  </w:t>
      </w:r>
      <w:r>
        <w:rPr>
          <w:bCs/>
          <w:sz w:val="26"/>
          <w:szCs w:val="26"/>
        </w:rPr>
        <w:t xml:space="preserve">ir ietverta informatīvā ziņojuma </w:t>
      </w:r>
      <w:r w:rsidRPr="000B0D02">
        <w:rPr>
          <w:bCs/>
          <w:sz w:val="26"/>
          <w:szCs w:val="26"/>
        </w:rPr>
        <w:t>pielikumā.</w:t>
      </w:r>
    </w:p>
    <w:p w14:paraId="6AF0BC36" w14:textId="77777777" w:rsidR="00437EC6" w:rsidRPr="00A12955" w:rsidRDefault="00437EC6" w:rsidP="00437EC6">
      <w:pPr>
        <w:pStyle w:val="BodyText2"/>
        <w:tabs>
          <w:tab w:val="left" w:pos="-5387"/>
          <w:tab w:val="left" w:pos="426"/>
          <w:tab w:val="left" w:pos="851"/>
        </w:tabs>
        <w:spacing w:after="0" w:line="240" w:lineRule="auto"/>
        <w:ind w:left="426" w:right="-370"/>
        <w:jc w:val="both"/>
        <w:textAlignment w:val="baseline"/>
        <w:rPr>
          <w:b/>
          <w:sz w:val="26"/>
          <w:szCs w:val="26"/>
        </w:rPr>
      </w:pPr>
    </w:p>
    <w:p w14:paraId="30714EFE" w14:textId="77777777" w:rsidR="00437EC6" w:rsidRDefault="00437EC6" w:rsidP="0011600C">
      <w:pPr>
        <w:pStyle w:val="NormalWeb"/>
        <w:numPr>
          <w:ilvl w:val="0"/>
          <w:numId w:val="21"/>
        </w:numPr>
        <w:tabs>
          <w:tab w:val="left" w:pos="-5387"/>
          <w:tab w:val="left" w:pos="426"/>
        </w:tabs>
        <w:spacing w:before="0" w:beforeAutospacing="0" w:after="0" w:afterAutospacing="0"/>
        <w:ind w:right="-370"/>
        <w:jc w:val="center"/>
        <w:textAlignment w:val="baseline"/>
        <w:rPr>
          <w:b/>
          <w:sz w:val="26"/>
          <w:szCs w:val="26"/>
        </w:rPr>
      </w:pPr>
      <w:r>
        <w:rPr>
          <w:b/>
          <w:sz w:val="26"/>
          <w:szCs w:val="26"/>
        </w:rPr>
        <w:t>Piedāvātais risinājums</w:t>
      </w:r>
    </w:p>
    <w:p w14:paraId="05F024FE" w14:textId="77777777" w:rsidR="00437EC6" w:rsidRDefault="00437EC6" w:rsidP="00437EC6">
      <w:pPr>
        <w:pStyle w:val="NormalWeb"/>
        <w:tabs>
          <w:tab w:val="left" w:pos="-5387"/>
          <w:tab w:val="left" w:pos="426"/>
        </w:tabs>
        <w:spacing w:before="0" w:beforeAutospacing="0" w:after="0" w:afterAutospacing="0"/>
        <w:ind w:left="1080" w:right="-370"/>
        <w:textAlignment w:val="baseline"/>
        <w:rPr>
          <w:b/>
          <w:sz w:val="26"/>
          <w:szCs w:val="26"/>
        </w:rPr>
      </w:pPr>
    </w:p>
    <w:p w14:paraId="68C7D905" w14:textId="77777777" w:rsidR="00437EC6" w:rsidRPr="00C82D23" w:rsidRDefault="00437EC6" w:rsidP="00437EC6">
      <w:pPr>
        <w:pStyle w:val="BodyText2"/>
        <w:numPr>
          <w:ilvl w:val="0"/>
          <w:numId w:val="8"/>
        </w:numPr>
        <w:tabs>
          <w:tab w:val="left" w:pos="-5387"/>
          <w:tab w:val="left" w:pos="426"/>
        </w:tabs>
        <w:spacing w:after="0" w:line="240" w:lineRule="auto"/>
        <w:ind w:left="426" w:right="-397"/>
        <w:jc w:val="both"/>
        <w:rPr>
          <w:sz w:val="26"/>
          <w:szCs w:val="26"/>
        </w:rPr>
      </w:pPr>
      <w:r w:rsidRPr="00C82D23">
        <w:rPr>
          <w:rFonts w:cs="Times New Roman"/>
          <w:sz w:val="26"/>
          <w:szCs w:val="26"/>
          <w:lang w:eastAsia="lv-LV"/>
        </w:rPr>
        <w:t xml:space="preserve">Ievērojot </w:t>
      </w:r>
      <w:r w:rsidRPr="00C82D23">
        <w:rPr>
          <w:rFonts w:cs="Times New Roman"/>
          <w:sz w:val="26"/>
          <w:szCs w:val="26"/>
        </w:rPr>
        <w:t>normatīvajos aktos noteikto</w:t>
      </w:r>
      <w:r w:rsidRPr="00C82D23">
        <w:rPr>
          <w:sz w:val="26"/>
          <w:szCs w:val="26"/>
        </w:rPr>
        <w:t>s</w:t>
      </w:r>
      <w:r w:rsidRPr="00C82D23">
        <w:rPr>
          <w:rFonts w:cs="Times New Roman"/>
          <w:sz w:val="26"/>
          <w:szCs w:val="26"/>
        </w:rPr>
        <w:t xml:space="preserve"> pašvaldību aizņemšanās </w:t>
      </w:r>
      <w:r w:rsidRPr="00C82D23">
        <w:rPr>
          <w:sz w:val="26"/>
          <w:szCs w:val="26"/>
        </w:rPr>
        <w:t>nosacījumus un kārtību, pašvaldībām 2019.gada kopējā aizņēmuma limita ietvaros (p</w:t>
      </w:r>
      <w:r w:rsidRPr="00C82D23">
        <w:rPr>
          <w:rFonts w:eastAsia="Times New Roman"/>
          <w:sz w:val="26"/>
          <w:szCs w:val="26"/>
          <w:lang w:eastAsia="lv-LV"/>
        </w:rPr>
        <w:t xml:space="preserve">ašvaldību </w:t>
      </w:r>
      <w:r w:rsidRPr="00C82D23">
        <w:rPr>
          <w:sz w:val="26"/>
          <w:szCs w:val="26"/>
        </w:rPr>
        <w:t>aizņēmuma limita atlikuma un aizņēmumu pirmstermiņa atmaksu ietvaros) un aizņēmuma limita pārdales iesp</w:t>
      </w:r>
      <w:r>
        <w:rPr>
          <w:sz w:val="26"/>
          <w:szCs w:val="26"/>
        </w:rPr>
        <w:t>ējas</w:t>
      </w:r>
      <w:r w:rsidRPr="00C82D23">
        <w:rPr>
          <w:sz w:val="26"/>
          <w:szCs w:val="26"/>
        </w:rPr>
        <w:t xml:space="preserve"> ietvaros atbilstoši </w:t>
      </w:r>
      <w:r w:rsidRPr="00C82D23">
        <w:rPr>
          <w:rFonts w:cs="Times New Roman"/>
          <w:sz w:val="26"/>
          <w:szCs w:val="26"/>
          <w:lang w:eastAsia="lv-LV"/>
        </w:rPr>
        <w:t xml:space="preserve">likuma “Par valsts budžetu 2019.gadam” 15.panta sestajā daļā </w:t>
      </w:r>
      <w:r w:rsidRPr="00C82D23">
        <w:rPr>
          <w:sz w:val="26"/>
          <w:szCs w:val="26"/>
        </w:rPr>
        <w:t>noteiktajiem nosacījumiem</w:t>
      </w:r>
      <w:r w:rsidRPr="00C82D23">
        <w:rPr>
          <w:color w:val="000000"/>
          <w:sz w:val="26"/>
          <w:szCs w:val="26"/>
        </w:rPr>
        <w:t xml:space="preserve">, </w:t>
      </w:r>
      <w:r w:rsidRPr="00C82D23">
        <w:rPr>
          <w:sz w:val="26"/>
          <w:szCs w:val="26"/>
        </w:rPr>
        <w:t xml:space="preserve">prioritāri izsniegt aizņēmumus: </w:t>
      </w:r>
    </w:p>
    <w:p w14:paraId="55DD9039" w14:textId="77777777" w:rsidR="00437EC6" w:rsidRPr="0008256C" w:rsidRDefault="00437EC6" w:rsidP="00437EC6">
      <w:pPr>
        <w:pStyle w:val="BodyText2"/>
        <w:numPr>
          <w:ilvl w:val="1"/>
          <w:numId w:val="8"/>
        </w:numPr>
        <w:tabs>
          <w:tab w:val="left" w:pos="-5387"/>
          <w:tab w:val="left" w:pos="851"/>
        </w:tabs>
        <w:spacing w:after="0" w:line="240" w:lineRule="auto"/>
        <w:ind w:left="851" w:right="-397" w:hanging="491"/>
        <w:jc w:val="both"/>
        <w:rPr>
          <w:sz w:val="26"/>
          <w:szCs w:val="26"/>
        </w:rPr>
      </w:pPr>
      <w:r w:rsidRPr="0008256C">
        <w:rPr>
          <w:sz w:val="26"/>
          <w:szCs w:val="26"/>
        </w:rPr>
        <w:t>ES projektu īstenošanai</w:t>
      </w:r>
      <w:r w:rsidRPr="0008256C">
        <w:rPr>
          <w:rFonts w:cs="Times New Roman"/>
          <w:sz w:val="26"/>
          <w:szCs w:val="26"/>
          <w:lang w:eastAsia="lv-LV"/>
        </w:rPr>
        <w:t xml:space="preserve"> ar aizņēmuma apm</w:t>
      </w:r>
      <w:r w:rsidRPr="0008256C">
        <w:rPr>
          <w:sz w:val="26"/>
          <w:szCs w:val="26"/>
        </w:rPr>
        <w:t xml:space="preserve">ēru, kas </w:t>
      </w:r>
      <w:r w:rsidRPr="0008256C">
        <w:rPr>
          <w:rFonts w:eastAsia="Calibri"/>
          <w:color w:val="000000"/>
          <w:sz w:val="26"/>
          <w:szCs w:val="26"/>
        </w:rPr>
        <w:t>nepārsniedz projekta  attiecināmo izmaksu kopsummu</w:t>
      </w:r>
      <w:r>
        <w:rPr>
          <w:rFonts w:eastAsia="Calibri"/>
          <w:color w:val="000000"/>
          <w:sz w:val="26"/>
          <w:szCs w:val="26"/>
        </w:rPr>
        <w:t xml:space="preserve">; </w:t>
      </w:r>
    </w:p>
    <w:p w14:paraId="2FF2BAC4" w14:textId="77777777" w:rsidR="00437EC6" w:rsidRDefault="00437EC6" w:rsidP="00437EC6">
      <w:pPr>
        <w:pStyle w:val="BodyText2"/>
        <w:numPr>
          <w:ilvl w:val="1"/>
          <w:numId w:val="8"/>
        </w:numPr>
        <w:tabs>
          <w:tab w:val="left" w:pos="-5387"/>
          <w:tab w:val="left" w:pos="851"/>
        </w:tabs>
        <w:spacing w:after="0" w:line="240" w:lineRule="auto"/>
        <w:ind w:left="851" w:right="-397" w:hanging="491"/>
        <w:jc w:val="both"/>
        <w:rPr>
          <w:sz w:val="26"/>
          <w:szCs w:val="26"/>
        </w:rPr>
      </w:pPr>
      <w:r w:rsidRPr="002447DD">
        <w:rPr>
          <w:sz w:val="26"/>
          <w:szCs w:val="26"/>
        </w:rPr>
        <w:t xml:space="preserve">2018.gadā </w:t>
      </w:r>
      <w:r>
        <w:rPr>
          <w:sz w:val="26"/>
          <w:szCs w:val="26"/>
        </w:rPr>
        <w:t>uzsākto projektu</w:t>
      </w:r>
      <w:r w:rsidRPr="002447DD">
        <w:rPr>
          <w:sz w:val="26"/>
          <w:szCs w:val="26"/>
        </w:rPr>
        <w:t>, kuros 2018.gadā ir</w:t>
      </w:r>
      <w:r>
        <w:rPr>
          <w:sz w:val="26"/>
          <w:szCs w:val="26"/>
        </w:rPr>
        <w:t xml:space="preserve"> uzsākti būvdarbi un kuri tiek īstenoti</w:t>
      </w:r>
      <w:r w:rsidRPr="002447DD">
        <w:rPr>
          <w:sz w:val="26"/>
          <w:szCs w:val="26"/>
        </w:rPr>
        <w:t xml:space="preserve"> bez ES finansējuma, bet ar 2018.gada valsts budžeta  līdzfinansējumu vai 2018.gada val</w:t>
      </w:r>
      <w:r>
        <w:rPr>
          <w:sz w:val="26"/>
          <w:szCs w:val="26"/>
        </w:rPr>
        <w:t xml:space="preserve">sts budžeta aizdevumu, pabeigšanai 2019.gadā atbilstoši </w:t>
      </w:r>
      <w:r>
        <w:rPr>
          <w:bCs/>
          <w:sz w:val="26"/>
          <w:szCs w:val="26"/>
        </w:rPr>
        <w:t xml:space="preserve">informatīvā ziņojuma </w:t>
      </w:r>
      <w:r>
        <w:rPr>
          <w:sz w:val="26"/>
          <w:szCs w:val="26"/>
        </w:rPr>
        <w:t>pielikumam;</w:t>
      </w:r>
    </w:p>
    <w:p w14:paraId="1711BCF0" w14:textId="77777777" w:rsidR="003323D1" w:rsidRDefault="00437EC6" w:rsidP="003323D1">
      <w:pPr>
        <w:pStyle w:val="BodyText2"/>
        <w:numPr>
          <w:ilvl w:val="1"/>
          <w:numId w:val="8"/>
        </w:numPr>
        <w:tabs>
          <w:tab w:val="left" w:pos="-5387"/>
          <w:tab w:val="left" w:pos="851"/>
        </w:tabs>
        <w:spacing w:after="0" w:line="240" w:lineRule="auto"/>
        <w:ind w:left="851" w:right="-397" w:hanging="491"/>
        <w:jc w:val="both"/>
        <w:rPr>
          <w:rFonts w:cs="Times New Roman"/>
          <w:sz w:val="26"/>
          <w:szCs w:val="26"/>
        </w:rPr>
      </w:pPr>
      <w:r w:rsidRPr="0011600C">
        <w:rPr>
          <w:rFonts w:cs="Times New Roman"/>
          <w:sz w:val="26"/>
          <w:szCs w:val="26"/>
        </w:rPr>
        <w:lastRenderedPageBreak/>
        <w:t>izglītības iestādes investīciju  projekta “Alojas Ausekļa vidusskolas Lielās skolas ēkas pārbūve</w:t>
      </w:r>
      <w:r w:rsidRPr="0011600C">
        <w:rPr>
          <w:rFonts w:eastAsia="Calibri" w:cs="Times New Roman"/>
          <w:sz w:val="26"/>
          <w:szCs w:val="26"/>
        </w:rPr>
        <w:t>” ārkārtas situācijas sakārtošanai un skolas funkcionalitātes nodrošināšanai 2019.gadā</w:t>
      </w:r>
      <w:r w:rsidR="00DB33CE" w:rsidRPr="0011600C">
        <w:rPr>
          <w:rFonts w:cs="Times New Roman"/>
          <w:color w:val="000000"/>
          <w:sz w:val="26"/>
          <w:szCs w:val="26"/>
        </w:rPr>
        <w:t xml:space="preserve"> atbilstoši </w:t>
      </w:r>
      <w:r w:rsidR="00DB33CE" w:rsidRPr="0011600C">
        <w:rPr>
          <w:rFonts w:cs="Times New Roman"/>
          <w:bCs/>
          <w:sz w:val="26"/>
          <w:szCs w:val="26"/>
        </w:rPr>
        <w:t xml:space="preserve">informatīvā ziņojuma </w:t>
      </w:r>
      <w:r w:rsidR="00DB33CE" w:rsidRPr="0011600C">
        <w:rPr>
          <w:rFonts w:cs="Times New Roman"/>
          <w:sz w:val="26"/>
          <w:szCs w:val="26"/>
        </w:rPr>
        <w:t xml:space="preserve">pielikumam, </w:t>
      </w:r>
      <w:r w:rsidR="00247830" w:rsidRPr="0011600C">
        <w:rPr>
          <w:rFonts w:cs="Times New Roman"/>
          <w:sz w:val="26"/>
          <w:szCs w:val="26"/>
        </w:rPr>
        <w:t xml:space="preserve"> </w:t>
      </w:r>
      <w:r w:rsidR="00DB33CE" w:rsidRPr="0011600C">
        <w:rPr>
          <w:rFonts w:eastAsia="Times New Roman"/>
          <w:sz w:val="26"/>
          <w:szCs w:val="26"/>
        </w:rPr>
        <w:t xml:space="preserve">ja </w:t>
      </w:r>
      <w:r w:rsidR="00DB33CE" w:rsidRPr="0011600C">
        <w:rPr>
          <w:rFonts w:cs="Times New Roman"/>
          <w:sz w:val="26"/>
          <w:szCs w:val="26"/>
        </w:rPr>
        <w:t xml:space="preserve">Alojas novada dome </w:t>
      </w:r>
      <w:r w:rsidR="00DB33CE" w:rsidRPr="0011600C">
        <w:rPr>
          <w:rFonts w:eastAsia="Times New Roman"/>
          <w:sz w:val="26"/>
          <w:szCs w:val="26"/>
        </w:rPr>
        <w:t xml:space="preserve">nodrošina skolas atbilstību normatīvajos aktos noteiktajiem kritērijiem par vidusskolu vai arī reorganizē to par pamatskolu. </w:t>
      </w:r>
    </w:p>
    <w:p w14:paraId="3CA4E5F5" w14:textId="2BD1581D" w:rsidR="003323D1" w:rsidRPr="003323D1" w:rsidRDefault="00437EC6" w:rsidP="003323D1">
      <w:pPr>
        <w:pStyle w:val="BodyText2"/>
        <w:numPr>
          <w:ilvl w:val="0"/>
          <w:numId w:val="19"/>
        </w:numPr>
        <w:tabs>
          <w:tab w:val="left" w:pos="-5387"/>
          <w:tab w:val="left" w:pos="851"/>
        </w:tabs>
        <w:spacing w:after="0" w:line="240" w:lineRule="auto"/>
        <w:ind w:left="426" w:right="-397" w:hanging="284"/>
        <w:jc w:val="both"/>
        <w:rPr>
          <w:rFonts w:cs="Times New Roman"/>
          <w:sz w:val="26"/>
          <w:szCs w:val="26"/>
        </w:rPr>
      </w:pPr>
      <w:r w:rsidRPr="003323D1">
        <w:rPr>
          <w:rFonts w:cs="Times New Roman"/>
          <w:sz w:val="26"/>
          <w:szCs w:val="26"/>
        </w:rPr>
        <w:t xml:space="preserve">Finanšu ministrijai sadarbībā ar Vides aizsardzības un reģionālas attīstības ministriju </w:t>
      </w:r>
      <w:r w:rsidRPr="003323D1">
        <w:rPr>
          <w:bCs/>
          <w:sz w:val="26"/>
          <w:szCs w:val="26"/>
        </w:rPr>
        <w:t>likumprojekta “Par valsts budžetu 2020.gadam” izstrādes procesā</w:t>
      </w:r>
      <w:r w:rsidRPr="003323D1">
        <w:rPr>
          <w:sz w:val="26"/>
          <w:szCs w:val="26"/>
        </w:rPr>
        <w:t xml:space="preserve"> </w:t>
      </w:r>
      <w:r w:rsidRPr="003323D1">
        <w:rPr>
          <w:rFonts w:cs="Times New Roman"/>
          <w:sz w:val="26"/>
          <w:szCs w:val="26"/>
        </w:rPr>
        <w:t>diskusijai ar Latvijas Pašvaldību savienību izstrādāt fiskāli atbildīgus</w:t>
      </w:r>
      <w:r w:rsidRPr="003323D1">
        <w:rPr>
          <w:sz w:val="26"/>
          <w:szCs w:val="26"/>
        </w:rPr>
        <w:t xml:space="preserve"> </w:t>
      </w:r>
      <w:r w:rsidRPr="003323D1">
        <w:rPr>
          <w:rFonts w:cs="Times New Roman"/>
          <w:sz w:val="26"/>
          <w:szCs w:val="26"/>
        </w:rPr>
        <w:t>priekšlikumus pašvaldību aizņemšanās nosacījumiem</w:t>
      </w:r>
      <w:r w:rsidRPr="003323D1">
        <w:rPr>
          <w:sz w:val="26"/>
          <w:szCs w:val="26"/>
        </w:rPr>
        <w:t xml:space="preserve"> </w:t>
      </w:r>
      <w:r w:rsidRPr="003323D1">
        <w:rPr>
          <w:rFonts w:cs="Times New Roman"/>
          <w:sz w:val="26"/>
          <w:szCs w:val="26"/>
        </w:rPr>
        <w:t xml:space="preserve">un kritērijiem 2020.gadā un vidējā termiņā, </w:t>
      </w:r>
      <w:r w:rsidR="003323D1" w:rsidRPr="003323D1">
        <w:rPr>
          <w:sz w:val="26"/>
          <w:szCs w:val="26"/>
        </w:rPr>
        <w:t xml:space="preserve">lai nodrošinātu ilgtspējīgu projektu īstenošanu ar pašvaldības budžeta </w:t>
      </w:r>
      <w:r w:rsidR="003323D1" w:rsidRPr="003323D1">
        <w:rPr>
          <w:rFonts w:eastAsia="+mn-ea"/>
          <w:sz w:val="26"/>
          <w:szCs w:val="26"/>
        </w:rPr>
        <w:t xml:space="preserve">līdzfinansējumu un </w:t>
      </w:r>
      <w:r w:rsidR="003323D1" w:rsidRPr="003323D1">
        <w:rPr>
          <w:sz w:val="26"/>
          <w:szCs w:val="26"/>
        </w:rPr>
        <w:t xml:space="preserve">fiskāli atbildīgu pašvaldību aizņēmumu saistību uzņemšanos un izpildi, par prioritāti saglabājot aizņēmumus Eiropas Savienības projektu attiecināmo izmaksu apjomā. </w:t>
      </w:r>
    </w:p>
    <w:p w14:paraId="541A232A" w14:textId="05A24104" w:rsidR="00437EC6" w:rsidRPr="003323D1" w:rsidRDefault="00696015" w:rsidP="003323D1">
      <w:pPr>
        <w:pStyle w:val="BodyText2"/>
        <w:numPr>
          <w:ilvl w:val="0"/>
          <w:numId w:val="19"/>
        </w:numPr>
        <w:tabs>
          <w:tab w:val="left" w:pos="-5387"/>
        </w:tabs>
        <w:spacing w:after="0" w:line="240" w:lineRule="auto"/>
        <w:ind w:left="426" w:right="-397" w:hanging="284"/>
        <w:jc w:val="both"/>
        <w:rPr>
          <w:sz w:val="26"/>
          <w:szCs w:val="26"/>
        </w:rPr>
      </w:pPr>
      <w:r w:rsidRPr="003323D1">
        <w:rPr>
          <w:sz w:val="26"/>
          <w:szCs w:val="26"/>
        </w:rPr>
        <w:t>M</w:t>
      </w:r>
      <w:r w:rsidR="00437EC6" w:rsidRPr="003323D1">
        <w:rPr>
          <w:sz w:val="26"/>
          <w:szCs w:val="26"/>
        </w:rPr>
        <w:t>inistrijām</w:t>
      </w:r>
      <w:r w:rsidR="00DB33CE" w:rsidRPr="003323D1">
        <w:rPr>
          <w:sz w:val="26"/>
          <w:szCs w:val="26"/>
        </w:rPr>
        <w:t xml:space="preserve"> un </w:t>
      </w:r>
      <w:r w:rsidR="00DB33CE" w:rsidRPr="003323D1">
        <w:rPr>
          <w:rFonts w:eastAsia="Times New Roman"/>
          <w:sz w:val="26"/>
          <w:szCs w:val="26"/>
          <w:lang w:eastAsia="lv-LV"/>
        </w:rPr>
        <w:t>Centrālai finanšu un līgumu aģentūrai</w:t>
      </w:r>
      <w:r w:rsidR="00437EC6" w:rsidRPr="003323D1">
        <w:rPr>
          <w:sz w:val="26"/>
          <w:szCs w:val="26"/>
        </w:rPr>
        <w:t>, izv</w:t>
      </w:r>
      <w:r w:rsidR="00F4319F" w:rsidRPr="003323D1">
        <w:rPr>
          <w:sz w:val="26"/>
          <w:szCs w:val="26"/>
        </w:rPr>
        <w:t>ērtējot pašvaldību ES projektu iesniegumus</w:t>
      </w:r>
      <w:r w:rsidR="00437EC6" w:rsidRPr="003323D1">
        <w:rPr>
          <w:sz w:val="26"/>
          <w:szCs w:val="26"/>
        </w:rPr>
        <w:t xml:space="preserve">, ņemt vērā noteikto ierobežojumu uz projekta neattecināmajam izmaksām un iespēju pašvaldībām tās finansēt no sava budžeta līdzekļiem. </w:t>
      </w:r>
    </w:p>
    <w:p w14:paraId="09C3DCA0" w14:textId="77777777" w:rsidR="00437EC6" w:rsidRDefault="00437EC6" w:rsidP="00437EC6">
      <w:pPr>
        <w:jc w:val="both"/>
        <w:rPr>
          <w:sz w:val="26"/>
          <w:szCs w:val="26"/>
        </w:rPr>
      </w:pPr>
    </w:p>
    <w:p w14:paraId="39F39BD9" w14:textId="77777777" w:rsidR="00437EC6" w:rsidRDefault="00437EC6" w:rsidP="00437EC6">
      <w:pPr>
        <w:jc w:val="both"/>
        <w:rPr>
          <w:sz w:val="26"/>
          <w:szCs w:val="26"/>
        </w:rPr>
      </w:pPr>
      <w:bookmarkStart w:id="0" w:name="_GoBack"/>
      <w:bookmarkEnd w:id="0"/>
    </w:p>
    <w:p w14:paraId="51AEB6BD" w14:textId="77777777" w:rsidR="00437EC6" w:rsidRDefault="00437EC6" w:rsidP="00437EC6">
      <w:pPr>
        <w:jc w:val="both"/>
        <w:rPr>
          <w:sz w:val="26"/>
          <w:szCs w:val="26"/>
        </w:rPr>
      </w:pPr>
    </w:p>
    <w:p w14:paraId="36A54182" w14:textId="77777777" w:rsidR="00437EC6" w:rsidRDefault="00437EC6" w:rsidP="00437EC6">
      <w:pPr>
        <w:ind w:right="-539"/>
        <w:jc w:val="both"/>
        <w:rPr>
          <w:rFonts w:eastAsia="Calibri" w:cs="Times New Roman"/>
          <w:sz w:val="26"/>
          <w:szCs w:val="26"/>
        </w:rPr>
      </w:pPr>
      <w:r w:rsidRPr="00930B6A">
        <w:rPr>
          <w:sz w:val="26"/>
          <w:szCs w:val="26"/>
        </w:rPr>
        <w:t>Finanšu</w:t>
      </w:r>
      <w:r>
        <w:rPr>
          <w:rFonts w:eastAsia="Calibri" w:cs="Times New Roman"/>
          <w:sz w:val="26"/>
          <w:szCs w:val="26"/>
        </w:rPr>
        <w:t xml:space="preserve"> ministrs  </w:t>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t xml:space="preserve">           </w:t>
      </w:r>
      <w:r>
        <w:rPr>
          <w:rFonts w:eastAsia="Calibri" w:cs="Times New Roman"/>
          <w:sz w:val="26"/>
          <w:szCs w:val="26"/>
        </w:rPr>
        <w:tab/>
      </w:r>
      <w:r>
        <w:rPr>
          <w:rFonts w:eastAsia="Calibri" w:cs="Times New Roman"/>
          <w:sz w:val="26"/>
          <w:szCs w:val="26"/>
        </w:rPr>
        <w:tab/>
        <w:t xml:space="preserve">                               </w:t>
      </w:r>
      <w:proofErr w:type="spellStart"/>
      <w:r>
        <w:rPr>
          <w:rFonts w:eastAsia="Calibri" w:cs="Times New Roman"/>
          <w:sz w:val="26"/>
          <w:szCs w:val="26"/>
        </w:rPr>
        <w:t>J.Reirs</w:t>
      </w:r>
      <w:proofErr w:type="spellEnd"/>
      <w:r w:rsidRPr="005B4AA6">
        <w:rPr>
          <w:rFonts w:eastAsia="Calibri" w:cs="Times New Roman"/>
          <w:sz w:val="26"/>
          <w:szCs w:val="26"/>
        </w:rPr>
        <w:tab/>
      </w:r>
      <w:r w:rsidRPr="005B4AA6">
        <w:rPr>
          <w:rFonts w:eastAsia="Calibri" w:cs="Times New Roman"/>
          <w:sz w:val="26"/>
          <w:szCs w:val="26"/>
        </w:rPr>
        <w:tab/>
      </w:r>
    </w:p>
    <w:p w14:paraId="7CCEF1B0" w14:textId="77777777" w:rsidR="00437EC6" w:rsidRDefault="00437EC6" w:rsidP="00437EC6">
      <w:pPr>
        <w:jc w:val="both"/>
        <w:rPr>
          <w:rFonts w:eastAsia="Calibri" w:cs="Times New Roman"/>
          <w:sz w:val="26"/>
          <w:szCs w:val="26"/>
        </w:rPr>
      </w:pPr>
    </w:p>
    <w:p w14:paraId="2A1AE87F" w14:textId="77777777" w:rsidR="00437EC6" w:rsidRDefault="00437EC6" w:rsidP="00437EC6">
      <w:pPr>
        <w:jc w:val="both"/>
        <w:rPr>
          <w:rFonts w:eastAsia="Calibri" w:cs="Times New Roman"/>
          <w:sz w:val="26"/>
          <w:szCs w:val="26"/>
        </w:rPr>
      </w:pPr>
    </w:p>
    <w:p w14:paraId="32DD8CCA" w14:textId="77777777" w:rsidR="00437EC6" w:rsidRDefault="00437EC6" w:rsidP="00437EC6">
      <w:pPr>
        <w:jc w:val="both"/>
        <w:rPr>
          <w:rFonts w:eastAsia="Calibri" w:cs="Times New Roman"/>
          <w:sz w:val="26"/>
          <w:szCs w:val="26"/>
        </w:rPr>
      </w:pPr>
    </w:p>
    <w:p w14:paraId="54918C6A" w14:textId="77777777" w:rsidR="00437EC6" w:rsidRPr="005B4AA6" w:rsidRDefault="00437EC6" w:rsidP="00437EC6">
      <w:pPr>
        <w:jc w:val="both"/>
        <w:rPr>
          <w:rFonts w:eastAsia="Calibri" w:cs="Times New Roman"/>
          <w:sz w:val="26"/>
          <w:szCs w:val="26"/>
        </w:rPr>
      </w:pPr>
    </w:p>
    <w:p w14:paraId="6EC492A6" w14:textId="77777777" w:rsidR="00437EC6" w:rsidRDefault="00437EC6" w:rsidP="00437EC6">
      <w:pPr>
        <w:ind w:firstLine="360"/>
        <w:jc w:val="both"/>
      </w:pPr>
    </w:p>
    <w:p w14:paraId="063AE9D6" w14:textId="77777777" w:rsidR="00437EC6" w:rsidRDefault="00437EC6" w:rsidP="00437EC6">
      <w:pPr>
        <w:ind w:firstLine="360"/>
        <w:jc w:val="both"/>
      </w:pPr>
    </w:p>
    <w:p w14:paraId="1D297037" w14:textId="77777777" w:rsidR="00437EC6" w:rsidRDefault="00437EC6" w:rsidP="00437EC6">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14:paraId="59C2ADAB" w14:textId="77777777" w:rsidR="00437EC6" w:rsidRPr="00EA7483" w:rsidRDefault="00437EC6" w:rsidP="00437EC6">
      <w:pPr>
        <w:jc w:val="both"/>
        <w:rPr>
          <w:rFonts w:eastAsia="Calibri" w:cs="Times New Roman"/>
          <w:sz w:val="20"/>
          <w:szCs w:val="20"/>
        </w:rPr>
      </w:pPr>
      <w:r>
        <w:rPr>
          <w:rFonts w:eastAsia="Calibri" w:cs="Times New Roman"/>
          <w:sz w:val="20"/>
          <w:szCs w:val="20"/>
        </w:rPr>
        <w:t>baiba.tisenkopfa@fm.gov.lv</w:t>
      </w:r>
    </w:p>
    <w:p w14:paraId="1C8D6219" w14:textId="77777777" w:rsidR="00437EC6" w:rsidRDefault="00437EC6" w:rsidP="00437EC6">
      <w:pPr>
        <w:ind w:firstLine="360"/>
        <w:jc w:val="both"/>
      </w:pPr>
    </w:p>
    <w:p w14:paraId="76F91EEA" w14:textId="77777777" w:rsidR="00437EC6" w:rsidRDefault="00437EC6" w:rsidP="00437EC6">
      <w:pPr>
        <w:ind w:firstLine="360"/>
        <w:jc w:val="both"/>
      </w:pPr>
    </w:p>
    <w:p w14:paraId="4E23DBF0" w14:textId="77777777" w:rsidR="00437EC6" w:rsidRDefault="00437EC6" w:rsidP="00437EC6">
      <w:pPr>
        <w:ind w:firstLine="360"/>
        <w:jc w:val="both"/>
      </w:pPr>
    </w:p>
    <w:p w14:paraId="50B95370" w14:textId="77777777" w:rsidR="00437EC6" w:rsidRDefault="00437EC6" w:rsidP="00437EC6">
      <w:pPr>
        <w:jc w:val="both"/>
      </w:pPr>
    </w:p>
    <w:p w14:paraId="70C2D3F0" w14:textId="77777777" w:rsidR="00437EC6" w:rsidRPr="000D7C84" w:rsidRDefault="00437EC6" w:rsidP="00437EC6"/>
    <w:p w14:paraId="7D499FBC" w14:textId="77777777" w:rsidR="00437EC6" w:rsidRPr="000D7C84" w:rsidRDefault="00437EC6" w:rsidP="00437EC6"/>
    <w:p w14:paraId="0C81F1C0" w14:textId="77777777" w:rsidR="00437EC6" w:rsidRPr="000D7C84" w:rsidRDefault="00437EC6" w:rsidP="00437EC6"/>
    <w:p w14:paraId="70240F5D" w14:textId="77777777" w:rsidR="00437EC6" w:rsidRPr="000D7C84" w:rsidRDefault="00437EC6" w:rsidP="00437EC6"/>
    <w:p w14:paraId="006C56C2" w14:textId="77777777" w:rsidR="00437EC6" w:rsidRPr="000D7C84" w:rsidRDefault="00437EC6" w:rsidP="00437EC6"/>
    <w:p w14:paraId="5748FEC8" w14:textId="77777777" w:rsidR="00437EC6" w:rsidRPr="000D7C84" w:rsidRDefault="00437EC6" w:rsidP="00437EC6"/>
    <w:p w14:paraId="2663223D" w14:textId="77777777" w:rsidR="00437EC6" w:rsidRPr="000D7C84" w:rsidRDefault="00437EC6" w:rsidP="00437EC6"/>
    <w:p w14:paraId="44254C76" w14:textId="77777777" w:rsidR="00437EC6" w:rsidRPr="000D7C84" w:rsidRDefault="00437EC6" w:rsidP="00437EC6"/>
    <w:p w14:paraId="65F31D96" w14:textId="77777777" w:rsidR="00437EC6" w:rsidRPr="000D7C84" w:rsidRDefault="00437EC6" w:rsidP="00437EC6"/>
    <w:p w14:paraId="3AC2F1B6" w14:textId="77777777" w:rsidR="00437EC6" w:rsidRPr="000D7C84" w:rsidRDefault="00437EC6" w:rsidP="00437EC6"/>
    <w:p w14:paraId="63BFB45F" w14:textId="77777777" w:rsidR="00437EC6" w:rsidRPr="000D7C84" w:rsidRDefault="00437EC6" w:rsidP="00437EC6"/>
    <w:p w14:paraId="4C7797DF" w14:textId="77777777" w:rsidR="00437EC6" w:rsidRPr="000D7C84" w:rsidRDefault="00437EC6" w:rsidP="00437EC6"/>
    <w:p w14:paraId="230A2D6A" w14:textId="77777777" w:rsidR="00437EC6" w:rsidRPr="000D7C84" w:rsidRDefault="00437EC6" w:rsidP="00437EC6"/>
    <w:p w14:paraId="56614B76" w14:textId="1151E184" w:rsidR="00437EC6" w:rsidRDefault="00437EC6" w:rsidP="00437EC6">
      <w:pPr>
        <w:tabs>
          <w:tab w:val="left" w:pos="2625"/>
        </w:tabs>
      </w:pPr>
    </w:p>
    <w:sectPr w:rsidR="00437EC6" w:rsidSect="00C82D23">
      <w:headerReference w:type="default" r:id="rId10"/>
      <w:footerReference w:type="default" r:id="rId11"/>
      <w:footerReference w:type="first" r:id="rId12"/>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8C2E1" w14:textId="77777777" w:rsidR="00624200" w:rsidRDefault="00624200" w:rsidP="004B4E3F">
      <w:r>
        <w:separator/>
      </w:r>
    </w:p>
  </w:endnote>
  <w:endnote w:type="continuationSeparator" w:id="0">
    <w:p w14:paraId="4F6C6845" w14:textId="77777777" w:rsidR="00624200" w:rsidRDefault="00624200"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C72C" w14:textId="40787C39" w:rsidR="004B4E3F" w:rsidRPr="006D541A" w:rsidRDefault="001B1CBA">
    <w:pPr>
      <w:pStyle w:val="Footer"/>
      <w:rPr>
        <w:sz w:val="20"/>
        <w:szCs w:val="20"/>
      </w:rPr>
    </w:pPr>
    <w:r>
      <w:rPr>
        <w:sz w:val="20"/>
        <w:szCs w:val="20"/>
      </w:rPr>
      <w:t>FMzin_0306</w:t>
    </w:r>
    <w:r w:rsidR="00CA2686">
      <w:rPr>
        <w:sz w:val="20"/>
        <w:szCs w:val="20"/>
      </w:rPr>
      <w:t>19</w:t>
    </w:r>
    <w:r w:rsidR="004B4E3F" w:rsidRPr="006D541A">
      <w:rPr>
        <w:sz w:val="20"/>
        <w:szCs w:val="20"/>
      </w:rPr>
      <w:t>_</w:t>
    </w:r>
    <w:r w:rsidR="00FB1343">
      <w:rPr>
        <w:sz w:val="20"/>
        <w:szCs w:val="20"/>
      </w:rPr>
      <w:t>aizne</w:t>
    </w:r>
    <w:r w:rsidR="00AA2DD4">
      <w:rPr>
        <w:sz w:val="20"/>
        <w:szCs w:val="20"/>
      </w:rPr>
      <w:t>mumi</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FEA6" w14:textId="28FA09AC" w:rsidR="00AB4AA5" w:rsidRPr="006D541A" w:rsidRDefault="001B1CBA" w:rsidP="00AB4AA5">
    <w:pPr>
      <w:pStyle w:val="Footer"/>
      <w:rPr>
        <w:sz w:val="20"/>
        <w:szCs w:val="20"/>
      </w:rPr>
    </w:pPr>
    <w:r>
      <w:rPr>
        <w:sz w:val="20"/>
        <w:szCs w:val="20"/>
      </w:rPr>
      <w:t>FMzin_0306</w:t>
    </w:r>
    <w:r w:rsidR="0014780F">
      <w:rPr>
        <w:sz w:val="20"/>
        <w:szCs w:val="20"/>
      </w:rPr>
      <w:t>19</w:t>
    </w:r>
    <w:r w:rsidR="00AB4AA5" w:rsidRPr="006D541A">
      <w:rPr>
        <w:sz w:val="20"/>
        <w:szCs w:val="20"/>
      </w:rPr>
      <w:t>_</w:t>
    </w:r>
    <w:r w:rsidR="00FB1343">
      <w:rPr>
        <w:sz w:val="20"/>
        <w:szCs w:val="20"/>
      </w:rPr>
      <w:t>aizne</w:t>
    </w:r>
    <w:r w:rsidR="00D52840">
      <w:rPr>
        <w:sz w:val="20"/>
        <w:szCs w:val="20"/>
      </w:rPr>
      <w:t xml:space="preserve">mumi </w:t>
    </w:r>
  </w:p>
  <w:p w14:paraId="613F2382" w14:textId="77777777"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9AEB" w14:textId="77777777" w:rsidR="00624200" w:rsidRDefault="00624200" w:rsidP="004B4E3F">
      <w:r>
        <w:separator/>
      </w:r>
    </w:p>
  </w:footnote>
  <w:footnote w:type="continuationSeparator" w:id="0">
    <w:p w14:paraId="628A2480" w14:textId="77777777" w:rsidR="00624200" w:rsidRDefault="00624200" w:rsidP="004B4E3F">
      <w:r>
        <w:continuationSeparator/>
      </w:r>
    </w:p>
  </w:footnote>
  <w:footnote w:id="1">
    <w:p w14:paraId="51FE6DEB" w14:textId="77777777" w:rsidR="00437EC6" w:rsidRPr="00030D92" w:rsidRDefault="00437EC6" w:rsidP="00437EC6">
      <w:pPr>
        <w:pStyle w:val="FootnoteText"/>
        <w:ind w:right="-397"/>
        <w:jc w:val="both"/>
        <w:rPr>
          <w:i/>
        </w:rPr>
      </w:pPr>
      <w:r>
        <w:rPr>
          <w:rStyle w:val="FootnoteReference"/>
        </w:rPr>
        <w:footnoteRef/>
      </w:r>
      <w:r>
        <w:t xml:space="preserve"> </w:t>
      </w:r>
      <w:r w:rsidRPr="00030D92">
        <w:rPr>
          <w:i/>
          <w:lang w:eastAsia="lv-LV"/>
        </w:rPr>
        <w:t xml:space="preserve">Ministru kabineta 2018.gada 16.oktobra </w:t>
      </w:r>
      <w:r>
        <w:rPr>
          <w:i/>
          <w:lang w:eastAsia="lv-LV"/>
        </w:rPr>
        <w:t xml:space="preserve">sēdes </w:t>
      </w:r>
      <w:r w:rsidRPr="00030D92">
        <w:rPr>
          <w:i/>
          <w:lang w:eastAsia="lv-LV"/>
        </w:rPr>
        <w:t>protokol</w:t>
      </w:r>
      <w:r>
        <w:rPr>
          <w:i/>
          <w:lang w:eastAsia="lv-LV"/>
        </w:rPr>
        <w:t>a</w:t>
      </w:r>
      <w:r w:rsidRPr="00030D92">
        <w:rPr>
          <w:i/>
          <w:lang w:eastAsia="lv-LV"/>
        </w:rPr>
        <w:t xml:space="preserve"> Nr.48 3</w:t>
      </w:r>
      <w:r w:rsidRPr="00030D92">
        <w:rPr>
          <w:i/>
        </w:rPr>
        <w:t>4.§ “Informatīvais ziņojums “Par 2018.gada kopējo pašvaldību aizņēmuma limitu””</w:t>
      </w:r>
    </w:p>
  </w:footnote>
  <w:footnote w:id="2">
    <w:p w14:paraId="28CBB646" w14:textId="77777777" w:rsidR="00437EC6" w:rsidRPr="007C59CA" w:rsidRDefault="00437EC6" w:rsidP="00437EC6">
      <w:pPr>
        <w:ind w:right="-397"/>
        <w:jc w:val="both"/>
        <w:rPr>
          <w:rFonts w:eastAsia="Calibri" w:cs="Times New Roman"/>
          <w:bCs/>
          <w:i/>
          <w:sz w:val="20"/>
          <w:szCs w:val="20"/>
        </w:rPr>
      </w:pPr>
      <w:r>
        <w:rPr>
          <w:rStyle w:val="FootnoteReference"/>
        </w:rPr>
        <w:footnoteRef/>
      </w:r>
      <w:r>
        <w:t xml:space="preserve"> </w:t>
      </w:r>
      <w:r w:rsidRPr="007C59CA">
        <w:rPr>
          <w:rFonts w:eastAsia="Calibri" w:cs="Times New Roman"/>
          <w:bCs/>
          <w:i/>
          <w:sz w:val="20"/>
          <w:szCs w:val="20"/>
        </w:rPr>
        <w:t>M</w:t>
      </w:r>
      <w:r>
        <w:rPr>
          <w:rFonts w:eastAsia="Calibri" w:cs="Times New Roman"/>
          <w:bCs/>
          <w:i/>
          <w:sz w:val="20"/>
          <w:szCs w:val="20"/>
        </w:rPr>
        <w:t>inistru kabineta</w:t>
      </w:r>
      <w:r w:rsidRPr="007C59CA">
        <w:rPr>
          <w:rFonts w:eastAsia="Calibri" w:cs="Times New Roman"/>
          <w:bCs/>
          <w:i/>
          <w:sz w:val="20"/>
          <w:szCs w:val="20"/>
        </w:rPr>
        <w:t xml:space="preserve"> 2015</w:t>
      </w:r>
      <w:r>
        <w:rPr>
          <w:rFonts w:eastAsia="Calibri" w:cs="Times New Roman"/>
          <w:bCs/>
          <w:i/>
          <w:sz w:val="20"/>
          <w:szCs w:val="20"/>
        </w:rPr>
        <w:t>gada 30.jūnija</w:t>
      </w:r>
      <w:r w:rsidRPr="007C59CA">
        <w:rPr>
          <w:rFonts w:eastAsia="Calibri" w:cs="Times New Roman"/>
          <w:bCs/>
          <w:i/>
          <w:sz w:val="20"/>
          <w:szCs w:val="20"/>
        </w:rPr>
        <w:t xml:space="preserve">. noteikumu Nr.363 „Kārtība, kādā ministrijas un citas centrālās valsts iestādes iekļauj gadskārtējā valsts budžeta likumprojektā valsts aizdevumu pieprasījumus, un valsts aizdevumu izsniegšanas un apkalpošanas kārtība” 67.punkts </w:t>
      </w:r>
    </w:p>
    <w:p w14:paraId="2A1C7678" w14:textId="77777777" w:rsidR="00437EC6" w:rsidRDefault="00437EC6" w:rsidP="00437EC6">
      <w:pPr>
        <w:pStyle w:val="FootnoteText"/>
      </w:pPr>
    </w:p>
  </w:footnote>
  <w:footnote w:id="3">
    <w:p w14:paraId="39FD17FD" w14:textId="7136FC62" w:rsidR="005A6B5F" w:rsidRPr="005A6B5F" w:rsidRDefault="00437EC6" w:rsidP="00DF67C2">
      <w:pPr>
        <w:pStyle w:val="ListParagraph"/>
        <w:tabs>
          <w:tab w:val="left" w:pos="993"/>
        </w:tabs>
        <w:ind w:left="0"/>
        <w:jc w:val="both"/>
        <w:rPr>
          <w:bCs/>
          <w:i/>
          <w:sz w:val="20"/>
          <w:szCs w:val="20"/>
          <w:lang w:eastAsia="lv-LV"/>
        </w:rPr>
      </w:pPr>
      <w:r w:rsidRPr="005A6B5F">
        <w:rPr>
          <w:rStyle w:val="FootnoteReference"/>
          <w:i/>
          <w:sz w:val="20"/>
          <w:szCs w:val="20"/>
        </w:rPr>
        <w:footnoteRef/>
      </w:r>
      <w:r w:rsidRPr="005A6B5F">
        <w:rPr>
          <w:i/>
          <w:sz w:val="20"/>
          <w:szCs w:val="20"/>
        </w:rPr>
        <w:t xml:space="preserve"> </w:t>
      </w:r>
      <w:r w:rsidR="005A6B5F" w:rsidRPr="005A6B5F">
        <w:rPr>
          <w:i/>
          <w:sz w:val="20"/>
          <w:szCs w:val="20"/>
          <w:lang w:eastAsia="lv-LV"/>
        </w:rPr>
        <w:t>Likuma “Par val</w:t>
      </w:r>
      <w:r w:rsidR="005A6B5F">
        <w:rPr>
          <w:i/>
          <w:sz w:val="20"/>
          <w:szCs w:val="20"/>
          <w:lang w:eastAsia="lv-LV"/>
        </w:rPr>
        <w:t>sts budžetu 2019.gadam” 15.panta sestā daļa: “</w:t>
      </w:r>
      <w:r w:rsidR="005A6B5F" w:rsidRPr="005A6B5F">
        <w:rPr>
          <w:i/>
          <w:sz w:val="20"/>
          <w:szCs w:val="20"/>
          <w:lang w:eastAsia="lv-LV"/>
        </w:rPr>
        <w:t xml:space="preserve">Finanšu ministram ir tiesības mainīt valsts budžeta aizdevumu un pašvaldību aizņēmumu noteiktos palielinājumus, nepārsniedzot šo palielinājumu kopsummu, </w:t>
      </w:r>
      <w:r w:rsidR="005A6B5F" w:rsidRPr="005A6B5F">
        <w:rPr>
          <w:i/>
          <w:sz w:val="20"/>
          <w:szCs w:val="20"/>
        </w:rPr>
        <w:t>vienlaikus nodrošinot, ka darījumam nav negatīva ietekme uz vispārējās valdības budžeta bilanci atbilstoši Eiropas nacionālo un reģionālo kontu sistēmas Eiropas Savienībā metodoloģijai</w:t>
      </w:r>
      <w:r w:rsidR="005A6B5F" w:rsidRPr="005A6B5F">
        <w:rPr>
          <w:bCs/>
          <w:i/>
          <w:sz w:val="20"/>
          <w:szCs w:val="20"/>
          <w:lang w:eastAsia="lv-LV"/>
        </w:rPr>
        <w:t xml:space="preserve"> un par prioritāru nosakot aizņēmumus  </w:t>
      </w:r>
      <w:r w:rsidR="005A6B5F" w:rsidRPr="005A6B5F">
        <w:rPr>
          <w:i/>
          <w:sz w:val="20"/>
          <w:szCs w:val="20"/>
          <w:lang w:eastAsia="lv-LV"/>
        </w:rPr>
        <w:t>Eiropas Savienības fondu un pārējās ārvalstu finanšu palīdzības līdzfinansēto projektu a</w:t>
      </w:r>
      <w:r w:rsidR="005A6B5F">
        <w:rPr>
          <w:i/>
          <w:sz w:val="20"/>
          <w:szCs w:val="20"/>
          <w:lang w:eastAsia="lv-LV"/>
        </w:rPr>
        <w:t xml:space="preserve">ttiecināmo izmaksu finansēšanai”. </w:t>
      </w:r>
      <w:r w:rsidR="005A6B5F" w:rsidRPr="005A6B5F">
        <w:rPr>
          <w:bCs/>
          <w:i/>
          <w:sz w:val="20"/>
          <w:szCs w:val="20"/>
          <w:lang w:eastAsia="lv-LV"/>
        </w:rPr>
        <w:t xml:space="preserve"> </w:t>
      </w:r>
    </w:p>
    <w:p w14:paraId="24A22F4D" w14:textId="21404754" w:rsidR="00437EC6" w:rsidRPr="005A6B5F" w:rsidRDefault="00437EC6" w:rsidP="005A6B5F">
      <w:pPr>
        <w:ind w:right="-370"/>
        <w:jc w:val="both"/>
        <w:rPr>
          <w: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14:paraId="5EDE6241" w14:textId="48BB26F8" w:rsidR="009D5C1C" w:rsidRDefault="009D5C1C">
        <w:pPr>
          <w:pStyle w:val="Header"/>
          <w:jc w:val="center"/>
        </w:pPr>
        <w:r>
          <w:fldChar w:fldCharType="begin"/>
        </w:r>
        <w:r>
          <w:instrText xml:space="preserve"> PAGE   \* MERGEFORMAT </w:instrText>
        </w:r>
        <w:r>
          <w:fldChar w:fldCharType="separate"/>
        </w:r>
        <w:r w:rsidR="003323D1">
          <w:rPr>
            <w:noProof/>
          </w:rPr>
          <w:t>5</w:t>
        </w:r>
        <w:r>
          <w:rPr>
            <w:noProof/>
          </w:rPr>
          <w:fldChar w:fldCharType="end"/>
        </w:r>
      </w:p>
    </w:sdtContent>
  </w:sdt>
  <w:p w14:paraId="146C5233" w14:textId="77777777"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341"/>
    <w:multiLevelType w:val="hybridMultilevel"/>
    <w:tmpl w:val="EC7AAFE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EDB2399"/>
    <w:multiLevelType w:val="hybridMultilevel"/>
    <w:tmpl w:val="A07E6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F70E33"/>
    <w:multiLevelType w:val="hybridMultilevel"/>
    <w:tmpl w:val="77649BC2"/>
    <w:lvl w:ilvl="0" w:tplc="D41CC254">
      <w:start w:val="1"/>
      <w:numFmt w:val="decimal"/>
      <w:lvlText w:val="%1."/>
      <w:lvlJc w:val="left"/>
      <w:pPr>
        <w:ind w:left="720" w:hanging="360"/>
      </w:pPr>
      <w:rPr>
        <w:rFonts w:ascii="Times New Roman" w:eastAsiaTheme="minorHAnsi" w:hAnsi="Times New Roman" w:cstheme="minorBidi"/>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803DCC"/>
    <w:multiLevelType w:val="hybridMultilevel"/>
    <w:tmpl w:val="BD90F75E"/>
    <w:lvl w:ilvl="0" w:tplc="5BF0721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02BF8"/>
    <w:multiLevelType w:val="hybridMultilevel"/>
    <w:tmpl w:val="85B86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A6333"/>
    <w:multiLevelType w:val="hybridMultilevel"/>
    <w:tmpl w:val="85268AB4"/>
    <w:lvl w:ilvl="0" w:tplc="96FCD5D2">
      <w:start w:val="2019"/>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7" w15:restartNumberingAfterBreak="0">
    <w:nsid w:val="1F890522"/>
    <w:multiLevelType w:val="hybridMultilevel"/>
    <w:tmpl w:val="10945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093C16"/>
    <w:multiLevelType w:val="hybridMultilevel"/>
    <w:tmpl w:val="951AB348"/>
    <w:lvl w:ilvl="0" w:tplc="04260001">
      <w:start w:val="1"/>
      <w:numFmt w:val="bullet"/>
      <w:lvlText w:val=""/>
      <w:lvlJc w:val="left"/>
      <w:pPr>
        <w:ind w:left="266" w:hanging="360"/>
      </w:pPr>
      <w:rPr>
        <w:rFonts w:ascii="Symbol" w:hAnsi="Symbol" w:hint="default"/>
      </w:rPr>
    </w:lvl>
    <w:lvl w:ilvl="1" w:tplc="04260003" w:tentative="1">
      <w:start w:val="1"/>
      <w:numFmt w:val="bullet"/>
      <w:lvlText w:val="o"/>
      <w:lvlJc w:val="left"/>
      <w:pPr>
        <w:ind w:left="986" w:hanging="360"/>
      </w:pPr>
      <w:rPr>
        <w:rFonts w:ascii="Courier New" w:hAnsi="Courier New" w:cs="Courier New" w:hint="default"/>
      </w:rPr>
    </w:lvl>
    <w:lvl w:ilvl="2" w:tplc="04260005" w:tentative="1">
      <w:start w:val="1"/>
      <w:numFmt w:val="bullet"/>
      <w:lvlText w:val=""/>
      <w:lvlJc w:val="left"/>
      <w:pPr>
        <w:ind w:left="1706" w:hanging="360"/>
      </w:pPr>
      <w:rPr>
        <w:rFonts w:ascii="Wingdings" w:hAnsi="Wingdings" w:hint="default"/>
      </w:rPr>
    </w:lvl>
    <w:lvl w:ilvl="3" w:tplc="04260001" w:tentative="1">
      <w:start w:val="1"/>
      <w:numFmt w:val="bullet"/>
      <w:lvlText w:val=""/>
      <w:lvlJc w:val="left"/>
      <w:pPr>
        <w:ind w:left="2426" w:hanging="360"/>
      </w:pPr>
      <w:rPr>
        <w:rFonts w:ascii="Symbol" w:hAnsi="Symbol" w:hint="default"/>
      </w:rPr>
    </w:lvl>
    <w:lvl w:ilvl="4" w:tplc="04260003" w:tentative="1">
      <w:start w:val="1"/>
      <w:numFmt w:val="bullet"/>
      <w:lvlText w:val="o"/>
      <w:lvlJc w:val="left"/>
      <w:pPr>
        <w:ind w:left="3146" w:hanging="360"/>
      </w:pPr>
      <w:rPr>
        <w:rFonts w:ascii="Courier New" w:hAnsi="Courier New" w:cs="Courier New" w:hint="default"/>
      </w:rPr>
    </w:lvl>
    <w:lvl w:ilvl="5" w:tplc="04260005" w:tentative="1">
      <w:start w:val="1"/>
      <w:numFmt w:val="bullet"/>
      <w:lvlText w:val=""/>
      <w:lvlJc w:val="left"/>
      <w:pPr>
        <w:ind w:left="3866" w:hanging="360"/>
      </w:pPr>
      <w:rPr>
        <w:rFonts w:ascii="Wingdings" w:hAnsi="Wingdings" w:hint="default"/>
      </w:rPr>
    </w:lvl>
    <w:lvl w:ilvl="6" w:tplc="04260001" w:tentative="1">
      <w:start w:val="1"/>
      <w:numFmt w:val="bullet"/>
      <w:lvlText w:val=""/>
      <w:lvlJc w:val="left"/>
      <w:pPr>
        <w:ind w:left="4586" w:hanging="360"/>
      </w:pPr>
      <w:rPr>
        <w:rFonts w:ascii="Symbol" w:hAnsi="Symbol" w:hint="default"/>
      </w:rPr>
    </w:lvl>
    <w:lvl w:ilvl="7" w:tplc="04260003" w:tentative="1">
      <w:start w:val="1"/>
      <w:numFmt w:val="bullet"/>
      <w:lvlText w:val="o"/>
      <w:lvlJc w:val="left"/>
      <w:pPr>
        <w:ind w:left="5306" w:hanging="360"/>
      </w:pPr>
      <w:rPr>
        <w:rFonts w:ascii="Courier New" w:hAnsi="Courier New" w:cs="Courier New" w:hint="default"/>
      </w:rPr>
    </w:lvl>
    <w:lvl w:ilvl="8" w:tplc="04260005" w:tentative="1">
      <w:start w:val="1"/>
      <w:numFmt w:val="bullet"/>
      <w:lvlText w:val=""/>
      <w:lvlJc w:val="left"/>
      <w:pPr>
        <w:ind w:left="6026" w:hanging="360"/>
      </w:pPr>
      <w:rPr>
        <w:rFonts w:ascii="Wingdings" w:hAnsi="Wingdings" w:hint="default"/>
      </w:rPr>
    </w:lvl>
  </w:abstractNum>
  <w:abstractNum w:abstractNumId="9"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785D9C"/>
    <w:multiLevelType w:val="hybridMultilevel"/>
    <w:tmpl w:val="42CCF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AA5AC2"/>
    <w:multiLevelType w:val="hybridMultilevel"/>
    <w:tmpl w:val="C9880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A378C4"/>
    <w:multiLevelType w:val="hybridMultilevel"/>
    <w:tmpl w:val="3CE6D6B2"/>
    <w:lvl w:ilvl="0" w:tplc="7382BC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C12836"/>
    <w:multiLevelType w:val="hybridMultilevel"/>
    <w:tmpl w:val="963ADCF6"/>
    <w:lvl w:ilvl="0" w:tplc="75A836B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B377EF"/>
    <w:multiLevelType w:val="hybridMultilevel"/>
    <w:tmpl w:val="A626AA2A"/>
    <w:lvl w:ilvl="0" w:tplc="D21ABF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BB1515"/>
    <w:multiLevelType w:val="hybridMultilevel"/>
    <w:tmpl w:val="A40CF0FC"/>
    <w:lvl w:ilvl="0" w:tplc="C9D46F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C9C368F"/>
    <w:multiLevelType w:val="hybridMultilevel"/>
    <w:tmpl w:val="85B86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EA6A0B"/>
    <w:multiLevelType w:val="hybridMultilevel"/>
    <w:tmpl w:val="9ED869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D56CA7"/>
    <w:multiLevelType w:val="hybridMultilevel"/>
    <w:tmpl w:val="FC40C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A156B"/>
    <w:multiLevelType w:val="hybridMultilevel"/>
    <w:tmpl w:val="A0BCD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195EF7"/>
    <w:multiLevelType w:val="hybridMultilevel"/>
    <w:tmpl w:val="9ED02ED8"/>
    <w:lvl w:ilvl="0" w:tplc="7B7843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16594C"/>
    <w:multiLevelType w:val="hybridMultilevel"/>
    <w:tmpl w:val="09A08F3C"/>
    <w:lvl w:ilvl="0" w:tplc="3B78D7B0">
      <w:start w:val="1"/>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num w:numId="1">
    <w:abstractNumId w:val="4"/>
  </w:num>
  <w:num w:numId="2">
    <w:abstractNumId w:val="16"/>
  </w:num>
  <w:num w:numId="3">
    <w:abstractNumId w:val="7"/>
  </w:num>
  <w:num w:numId="4">
    <w:abstractNumId w:val="19"/>
  </w:num>
  <w:num w:numId="5">
    <w:abstractNumId w:val="6"/>
  </w:num>
  <w:num w:numId="6">
    <w:abstractNumId w:val="21"/>
  </w:num>
  <w:num w:numId="7">
    <w:abstractNumId w:val="12"/>
  </w:num>
  <w:num w:numId="8">
    <w:abstractNumId w:val="2"/>
  </w:num>
  <w:num w:numId="9">
    <w:abstractNumId w:val="0"/>
  </w:num>
  <w:num w:numId="10">
    <w:abstractNumId w:val="14"/>
  </w:num>
  <w:num w:numId="11">
    <w:abstractNumId w:val="20"/>
  </w:num>
  <w:num w:numId="12">
    <w:abstractNumId w:val="15"/>
  </w:num>
  <w:num w:numId="13">
    <w:abstractNumId w:val="8"/>
  </w:num>
  <w:num w:numId="14">
    <w:abstractNumId w:val="17"/>
  </w:num>
  <w:num w:numId="15">
    <w:abstractNumId w:val="1"/>
  </w:num>
  <w:num w:numId="16">
    <w:abstractNumId w:val="18"/>
  </w:num>
  <w:num w:numId="17">
    <w:abstractNumId w:val="10"/>
  </w:num>
  <w:num w:numId="18">
    <w:abstractNumId w:val="11"/>
  </w:num>
  <w:num w:numId="19">
    <w:abstractNumId w:val="3"/>
  </w:num>
  <w:num w:numId="20">
    <w:abstractNumId w:val="5"/>
  </w:num>
  <w:num w:numId="21">
    <w:abstractNumId w:val="13"/>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14B05"/>
    <w:rsid w:val="00015CD8"/>
    <w:rsid w:val="00020D37"/>
    <w:rsid w:val="000215BE"/>
    <w:rsid w:val="00030D92"/>
    <w:rsid w:val="00032FA4"/>
    <w:rsid w:val="00033562"/>
    <w:rsid w:val="00036259"/>
    <w:rsid w:val="000420A5"/>
    <w:rsid w:val="00045329"/>
    <w:rsid w:val="00047F91"/>
    <w:rsid w:val="0006702C"/>
    <w:rsid w:val="00073159"/>
    <w:rsid w:val="0008256C"/>
    <w:rsid w:val="00083C83"/>
    <w:rsid w:val="00091E16"/>
    <w:rsid w:val="00093E96"/>
    <w:rsid w:val="000967CC"/>
    <w:rsid w:val="000A6C12"/>
    <w:rsid w:val="000B0D02"/>
    <w:rsid w:val="000B221B"/>
    <w:rsid w:val="000B30FA"/>
    <w:rsid w:val="000C0F6B"/>
    <w:rsid w:val="000C2BF3"/>
    <w:rsid w:val="000C4B5C"/>
    <w:rsid w:val="000C5102"/>
    <w:rsid w:val="000C541B"/>
    <w:rsid w:val="000C6238"/>
    <w:rsid w:val="000D0695"/>
    <w:rsid w:val="000D071C"/>
    <w:rsid w:val="000D7C84"/>
    <w:rsid w:val="000E4627"/>
    <w:rsid w:val="000E5CE9"/>
    <w:rsid w:val="000F7184"/>
    <w:rsid w:val="000F7B86"/>
    <w:rsid w:val="00103437"/>
    <w:rsid w:val="00106967"/>
    <w:rsid w:val="00110A6B"/>
    <w:rsid w:val="001128EF"/>
    <w:rsid w:val="0011600C"/>
    <w:rsid w:val="00117C4A"/>
    <w:rsid w:val="001202CC"/>
    <w:rsid w:val="00124613"/>
    <w:rsid w:val="00132910"/>
    <w:rsid w:val="00134DEF"/>
    <w:rsid w:val="0014780F"/>
    <w:rsid w:val="00154FD1"/>
    <w:rsid w:val="001552FD"/>
    <w:rsid w:val="0015631A"/>
    <w:rsid w:val="00171975"/>
    <w:rsid w:val="001719E7"/>
    <w:rsid w:val="00174A53"/>
    <w:rsid w:val="001765A2"/>
    <w:rsid w:val="0017705F"/>
    <w:rsid w:val="00177D46"/>
    <w:rsid w:val="00180D31"/>
    <w:rsid w:val="001901E0"/>
    <w:rsid w:val="00193253"/>
    <w:rsid w:val="00194ECA"/>
    <w:rsid w:val="001A04DF"/>
    <w:rsid w:val="001A5450"/>
    <w:rsid w:val="001A5FEB"/>
    <w:rsid w:val="001B0BA1"/>
    <w:rsid w:val="001B1789"/>
    <w:rsid w:val="001B1CBA"/>
    <w:rsid w:val="001B2ED8"/>
    <w:rsid w:val="001B7AF5"/>
    <w:rsid w:val="001C112B"/>
    <w:rsid w:val="001D2829"/>
    <w:rsid w:val="001D2BAD"/>
    <w:rsid w:val="001D7C46"/>
    <w:rsid w:val="001E0A74"/>
    <w:rsid w:val="001E3567"/>
    <w:rsid w:val="001F1E6E"/>
    <w:rsid w:val="001F28D6"/>
    <w:rsid w:val="00203601"/>
    <w:rsid w:val="00222B11"/>
    <w:rsid w:val="00222B74"/>
    <w:rsid w:val="00224233"/>
    <w:rsid w:val="002336D3"/>
    <w:rsid w:val="00234A02"/>
    <w:rsid w:val="002440C2"/>
    <w:rsid w:val="002447DD"/>
    <w:rsid w:val="00244A82"/>
    <w:rsid w:val="002467F7"/>
    <w:rsid w:val="00246815"/>
    <w:rsid w:val="00247830"/>
    <w:rsid w:val="00256CF0"/>
    <w:rsid w:val="00266856"/>
    <w:rsid w:val="002759D3"/>
    <w:rsid w:val="00276C42"/>
    <w:rsid w:val="00280E77"/>
    <w:rsid w:val="0028510C"/>
    <w:rsid w:val="002929F2"/>
    <w:rsid w:val="002954C1"/>
    <w:rsid w:val="00295C0B"/>
    <w:rsid w:val="002B2D57"/>
    <w:rsid w:val="002B3168"/>
    <w:rsid w:val="002B3E14"/>
    <w:rsid w:val="002B4354"/>
    <w:rsid w:val="002B6E74"/>
    <w:rsid w:val="002D52C9"/>
    <w:rsid w:val="002E335F"/>
    <w:rsid w:val="002E6288"/>
    <w:rsid w:val="002F01B9"/>
    <w:rsid w:val="002F0378"/>
    <w:rsid w:val="002F324E"/>
    <w:rsid w:val="002F498A"/>
    <w:rsid w:val="00300F11"/>
    <w:rsid w:val="00300F80"/>
    <w:rsid w:val="00303660"/>
    <w:rsid w:val="0030538A"/>
    <w:rsid w:val="00310325"/>
    <w:rsid w:val="00313BDD"/>
    <w:rsid w:val="0031539A"/>
    <w:rsid w:val="00321EDA"/>
    <w:rsid w:val="0033194B"/>
    <w:rsid w:val="003323D1"/>
    <w:rsid w:val="00347690"/>
    <w:rsid w:val="003515F4"/>
    <w:rsid w:val="003528C4"/>
    <w:rsid w:val="00352CAC"/>
    <w:rsid w:val="00353D0E"/>
    <w:rsid w:val="00357A39"/>
    <w:rsid w:val="0037015D"/>
    <w:rsid w:val="003767E5"/>
    <w:rsid w:val="00377476"/>
    <w:rsid w:val="00377AD9"/>
    <w:rsid w:val="00384947"/>
    <w:rsid w:val="0038655A"/>
    <w:rsid w:val="003A7E14"/>
    <w:rsid w:val="003B2FFF"/>
    <w:rsid w:val="003B355C"/>
    <w:rsid w:val="003B4376"/>
    <w:rsid w:val="003C13A1"/>
    <w:rsid w:val="003C15C4"/>
    <w:rsid w:val="003D2EBD"/>
    <w:rsid w:val="003F3747"/>
    <w:rsid w:val="003F3C37"/>
    <w:rsid w:val="003F4701"/>
    <w:rsid w:val="00400A1C"/>
    <w:rsid w:val="00401D36"/>
    <w:rsid w:val="00403248"/>
    <w:rsid w:val="004120C6"/>
    <w:rsid w:val="004233F6"/>
    <w:rsid w:val="00424C52"/>
    <w:rsid w:val="00424CF7"/>
    <w:rsid w:val="004321CB"/>
    <w:rsid w:val="004332A2"/>
    <w:rsid w:val="004375D2"/>
    <w:rsid w:val="00437EC6"/>
    <w:rsid w:val="00442973"/>
    <w:rsid w:val="0044644D"/>
    <w:rsid w:val="00455D41"/>
    <w:rsid w:val="004606CC"/>
    <w:rsid w:val="004678D9"/>
    <w:rsid w:val="00470AF8"/>
    <w:rsid w:val="00477AB8"/>
    <w:rsid w:val="00483EB6"/>
    <w:rsid w:val="0048475F"/>
    <w:rsid w:val="00490D3A"/>
    <w:rsid w:val="0049266B"/>
    <w:rsid w:val="00492FEF"/>
    <w:rsid w:val="00494F83"/>
    <w:rsid w:val="0049651C"/>
    <w:rsid w:val="004972EE"/>
    <w:rsid w:val="004A1917"/>
    <w:rsid w:val="004A67B9"/>
    <w:rsid w:val="004A740C"/>
    <w:rsid w:val="004B4E3F"/>
    <w:rsid w:val="004B7613"/>
    <w:rsid w:val="004B7CD0"/>
    <w:rsid w:val="004C0F5B"/>
    <w:rsid w:val="004C27AE"/>
    <w:rsid w:val="004C2C5A"/>
    <w:rsid w:val="004C4C53"/>
    <w:rsid w:val="004C5769"/>
    <w:rsid w:val="004C658E"/>
    <w:rsid w:val="004D2053"/>
    <w:rsid w:val="004D6293"/>
    <w:rsid w:val="004E0679"/>
    <w:rsid w:val="004E5D8C"/>
    <w:rsid w:val="004E7DFA"/>
    <w:rsid w:val="004E7E5E"/>
    <w:rsid w:val="004F1954"/>
    <w:rsid w:val="004F5B37"/>
    <w:rsid w:val="0050529D"/>
    <w:rsid w:val="00515F65"/>
    <w:rsid w:val="00517E4E"/>
    <w:rsid w:val="0052017C"/>
    <w:rsid w:val="0052382D"/>
    <w:rsid w:val="0053032E"/>
    <w:rsid w:val="005362A2"/>
    <w:rsid w:val="00542FA7"/>
    <w:rsid w:val="00552612"/>
    <w:rsid w:val="00557804"/>
    <w:rsid w:val="00561709"/>
    <w:rsid w:val="0056603A"/>
    <w:rsid w:val="005712A6"/>
    <w:rsid w:val="0057320A"/>
    <w:rsid w:val="00577812"/>
    <w:rsid w:val="005817A1"/>
    <w:rsid w:val="00594320"/>
    <w:rsid w:val="005A15FD"/>
    <w:rsid w:val="005A6B5F"/>
    <w:rsid w:val="005B481A"/>
    <w:rsid w:val="005B4AA6"/>
    <w:rsid w:val="005C5A26"/>
    <w:rsid w:val="005C5C35"/>
    <w:rsid w:val="005C6BEA"/>
    <w:rsid w:val="005D18B5"/>
    <w:rsid w:val="005D27FB"/>
    <w:rsid w:val="005D6061"/>
    <w:rsid w:val="005D6250"/>
    <w:rsid w:val="005D6F4C"/>
    <w:rsid w:val="005E2ED3"/>
    <w:rsid w:val="005F5257"/>
    <w:rsid w:val="005F5CC6"/>
    <w:rsid w:val="005F6FCD"/>
    <w:rsid w:val="005F71FC"/>
    <w:rsid w:val="006160AB"/>
    <w:rsid w:val="00617B7B"/>
    <w:rsid w:val="00617BFA"/>
    <w:rsid w:val="00620FBE"/>
    <w:rsid w:val="0062229A"/>
    <w:rsid w:val="00624200"/>
    <w:rsid w:val="00637FD7"/>
    <w:rsid w:val="006413FF"/>
    <w:rsid w:val="00641FAB"/>
    <w:rsid w:val="006471BA"/>
    <w:rsid w:val="00651DC4"/>
    <w:rsid w:val="00652111"/>
    <w:rsid w:val="00657620"/>
    <w:rsid w:val="006608EE"/>
    <w:rsid w:val="006642B8"/>
    <w:rsid w:val="0066599E"/>
    <w:rsid w:val="00666C5A"/>
    <w:rsid w:val="00667B04"/>
    <w:rsid w:val="00673035"/>
    <w:rsid w:val="00674C0C"/>
    <w:rsid w:val="0067633C"/>
    <w:rsid w:val="006863A9"/>
    <w:rsid w:val="006870DA"/>
    <w:rsid w:val="00690863"/>
    <w:rsid w:val="00695B4B"/>
    <w:rsid w:val="00696015"/>
    <w:rsid w:val="006A0BE5"/>
    <w:rsid w:val="006B082A"/>
    <w:rsid w:val="006B2C4C"/>
    <w:rsid w:val="006B6108"/>
    <w:rsid w:val="006B6896"/>
    <w:rsid w:val="006C0317"/>
    <w:rsid w:val="006C57E7"/>
    <w:rsid w:val="006D541A"/>
    <w:rsid w:val="006E24C6"/>
    <w:rsid w:val="006E4782"/>
    <w:rsid w:val="006E55D2"/>
    <w:rsid w:val="006F62CC"/>
    <w:rsid w:val="00705686"/>
    <w:rsid w:val="00706C9E"/>
    <w:rsid w:val="00707274"/>
    <w:rsid w:val="00716084"/>
    <w:rsid w:val="00717179"/>
    <w:rsid w:val="007253AE"/>
    <w:rsid w:val="00726556"/>
    <w:rsid w:val="00731C46"/>
    <w:rsid w:val="0073288E"/>
    <w:rsid w:val="00733327"/>
    <w:rsid w:val="00733E3D"/>
    <w:rsid w:val="00734DD3"/>
    <w:rsid w:val="00751C1B"/>
    <w:rsid w:val="0075218E"/>
    <w:rsid w:val="00754AA9"/>
    <w:rsid w:val="00760EDF"/>
    <w:rsid w:val="0076215F"/>
    <w:rsid w:val="00762C5A"/>
    <w:rsid w:val="00763E32"/>
    <w:rsid w:val="0076549F"/>
    <w:rsid w:val="00766EC8"/>
    <w:rsid w:val="007725D7"/>
    <w:rsid w:val="00774B56"/>
    <w:rsid w:val="007761A7"/>
    <w:rsid w:val="00781843"/>
    <w:rsid w:val="00781B5C"/>
    <w:rsid w:val="00792D2F"/>
    <w:rsid w:val="00794174"/>
    <w:rsid w:val="007960FE"/>
    <w:rsid w:val="007A6C6F"/>
    <w:rsid w:val="007B27DB"/>
    <w:rsid w:val="007C10A2"/>
    <w:rsid w:val="007D3ACD"/>
    <w:rsid w:val="007D3F73"/>
    <w:rsid w:val="007D590A"/>
    <w:rsid w:val="007E3654"/>
    <w:rsid w:val="007E3872"/>
    <w:rsid w:val="007F4E99"/>
    <w:rsid w:val="007F549F"/>
    <w:rsid w:val="007F59E8"/>
    <w:rsid w:val="007F5BA4"/>
    <w:rsid w:val="00810AC3"/>
    <w:rsid w:val="008148BB"/>
    <w:rsid w:val="00816BC2"/>
    <w:rsid w:val="0082238B"/>
    <w:rsid w:val="0082397D"/>
    <w:rsid w:val="00827E07"/>
    <w:rsid w:val="00831264"/>
    <w:rsid w:val="00844538"/>
    <w:rsid w:val="0085414E"/>
    <w:rsid w:val="00861AF6"/>
    <w:rsid w:val="008652EF"/>
    <w:rsid w:val="00873648"/>
    <w:rsid w:val="00874380"/>
    <w:rsid w:val="008756C5"/>
    <w:rsid w:val="008765A1"/>
    <w:rsid w:val="0087713E"/>
    <w:rsid w:val="00880ACB"/>
    <w:rsid w:val="0088495A"/>
    <w:rsid w:val="00884F2D"/>
    <w:rsid w:val="008858C7"/>
    <w:rsid w:val="008913AF"/>
    <w:rsid w:val="008954FD"/>
    <w:rsid w:val="00896959"/>
    <w:rsid w:val="008A1776"/>
    <w:rsid w:val="008A60E5"/>
    <w:rsid w:val="008A6F24"/>
    <w:rsid w:val="008B164F"/>
    <w:rsid w:val="008B34F4"/>
    <w:rsid w:val="008C02CE"/>
    <w:rsid w:val="008D5100"/>
    <w:rsid w:val="008E07DB"/>
    <w:rsid w:val="008E3134"/>
    <w:rsid w:val="008E4E68"/>
    <w:rsid w:val="008E7579"/>
    <w:rsid w:val="008F16C6"/>
    <w:rsid w:val="008F2813"/>
    <w:rsid w:val="008F7DF6"/>
    <w:rsid w:val="00904BCA"/>
    <w:rsid w:val="00911FE7"/>
    <w:rsid w:val="00921322"/>
    <w:rsid w:val="00921360"/>
    <w:rsid w:val="00921370"/>
    <w:rsid w:val="00921719"/>
    <w:rsid w:val="00930B6A"/>
    <w:rsid w:val="00931D5A"/>
    <w:rsid w:val="00933261"/>
    <w:rsid w:val="009365C6"/>
    <w:rsid w:val="00940EDE"/>
    <w:rsid w:val="009513E0"/>
    <w:rsid w:val="00953837"/>
    <w:rsid w:val="009568E1"/>
    <w:rsid w:val="00966AD1"/>
    <w:rsid w:val="0097052F"/>
    <w:rsid w:val="009736AF"/>
    <w:rsid w:val="00973E21"/>
    <w:rsid w:val="00982043"/>
    <w:rsid w:val="009858B6"/>
    <w:rsid w:val="00996DF1"/>
    <w:rsid w:val="009A089B"/>
    <w:rsid w:val="009A1105"/>
    <w:rsid w:val="009A6C72"/>
    <w:rsid w:val="009A6D87"/>
    <w:rsid w:val="009B1FB0"/>
    <w:rsid w:val="009B2EBA"/>
    <w:rsid w:val="009C40DD"/>
    <w:rsid w:val="009C74B8"/>
    <w:rsid w:val="009D24C6"/>
    <w:rsid w:val="009D2D78"/>
    <w:rsid w:val="009D5C1C"/>
    <w:rsid w:val="009E6524"/>
    <w:rsid w:val="009F2184"/>
    <w:rsid w:val="00A040DE"/>
    <w:rsid w:val="00A07896"/>
    <w:rsid w:val="00A12955"/>
    <w:rsid w:val="00A2007E"/>
    <w:rsid w:val="00A43027"/>
    <w:rsid w:val="00A45C12"/>
    <w:rsid w:val="00A45DEC"/>
    <w:rsid w:val="00A45ECA"/>
    <w:rsid w:val="00A45EF1"/>
    <w:rsid w:val="00A51439"/>
    <w:rsid w:val="00A577C1"/>
    <w:rsid w:val="00A85531"/>
    <w:rsid w:val="00A92D0A"/>
    <w:rsid w:val="00A94DDB"/>
    <w:rsid w:val="00A95466"/>
    <w:rsid w:val="00AA06EE"/>
    <w:rsid w:val="00AA2DD4"/>
    <w:rsid w:val="00AA3251"/>
    <w:rsid w:val="00AA4DC9"/>
    <w:rsid w:val="00AB0C8C"/>
    <w:rsid w:val="00AB2B3B"/>
    <w:rsid w:val="00AB35BE"/>
    <w:rsid w:val="00AB4AA5"/>
    <w:rsid w:val="00AB5F00"/>
    <w:rsid w:val="00AC138C"/>
    <w:rsid w:val="00AC5890"/>
    <w:rsid w:val="00AE66D6"/>
    <w:rsid w:val="00AF03C1"/>
    <w:rsid w:val="00AF7379"/>
    <w:rsid w:val="00B010C0"/>
    <w:rsid w:val="00B019C0"/>
    <w:rsid w:val="00B04740"/>
    <w:rsid w:val="00B04BD2"/>
    <w:rsid w:val="00B1769E"/>
    <w:rsid w:val="00B17A32"/>
    <w:rsid w:val="00B300A5"/>
    <w:rsid w:val="00B31FB8"/>
    <w:rsid w:val="00B34412"/>
    <w:rsid w:val="00B37E88"/>
    <w:rsid w:val="00B44242"/>
    <w:rsid w:val="00B44E93"/>
    <w:rsid w:val="00B47D23"/>
    <w:rsid w:val="00B566A0"/>
    <w:rsid w:val="00B5674D"/>
    <w:rsid w:val="00B676FD"/>
    <w:rsid w:val="00B67F1B"/>
    <w:rsid w:val="00B703A7"/>
    <w:rsid w:val="00B72979"/>
    <w:rsid w:val="00B7748D"/>
    <w:rsid w:val="00B8270A"/>
    <w:rsid w:val="00B82E55"/>
    <w:rsid w:val="00B83577"/>
    <w:rsid w:val="00B86922"/>
    <w:rsid w:val="00B94781"/>
    <w:rsid w:val="00B96868"/>
    <w:rsid w:val="00BA3B33"/>
    <w:rsid w:val="00BB054D"/>
    <w:rsid w:val="00BC18B8"/>
    <w:rsid w:val="00BC2192"/>
    <w:rsid w:val="00BC57A5"/>
    <w:rsid w:val="00BC6FD1"/>
    <w:rsid w:val="00BD0590"/>
    <w:rsid w:val="00BE1348"/>
    <w:rsid w:val="00BE4408"/>
    <w:rsid w:val="00BF2039"/>
    <w:rsid w:val="00BF485C"/>
    <w:rsid w:val="00BF673B"/>
    <w:rsid w:val="00BF6A20"/>
    <w:rsid w:val="00C01974"/>
    <w:rsid w:val="00C05F00"/>
    <w:rsid w:val="00C0706D"/>
    <w:rsid w:val="00C203C4"/>
    <w:rsid w:val="00C23F80"/>
    <w:rsid w:val="00C26FEF"/>
    <w:rsid w:val="00C36A8A"/>
    <w:rsid w:val="00C41BF7"/>
    <w:rsid w:val="00C45CE0"/>
    <w:rsid w:val="00C46D7F"/>
    <w:rsid w:val="00C538A7"/>
    <w:rsid w:val="00C56FA7"/>
    <w:rsid w:val="00C64695"/>
    <w:rsid w:val="00C67B0A"/>
    <w:rsid w:val="00C72236"/>
    <w:rsid w:val="00C72797"/>
    <w:rsid w:val="00C80CA6"/>
    <w:rsid w:val="00C81FDB"/>
    <w:rsid w:val="00C82D23"/>
    <w:rsid w:val="00C865B9"/>
    <w:rsid w:val="00C911C6"/>
    <w:rsid w:val="00C91709"/>
    <w:rsid w:val="00C91B8A"/>
    <w:rsid w:val="00CA2686"/>
    <w:rsid w:val="00CA775F"/>
    <w:rsid w:val="00CB728A"/>
    <w:rsid w:val="00CC1B57"/>
    <w:rsid w:val="00CC32B4"/>
    <w:rsid w:val="00CD155D"/>
    <w:rsid w:val="00CD45A4"/>
    <w:rsid w:val="00CE2A98"/>
    <w:rsid w:val="00CE3040"/>
    <w:rsid w:val="00CE7E88"/>
    <w:rsid w:val="00CF33FF"/>
    <w:rsid w:val="00CF46A0"/>
    <w:rsid w:val="00CF6367"/>
    <w:rsid w:val="00D06D0B"/>
    <w:rsid w:val="00D149BA"/>
    <w:rsid w:val="00D1748F"/>
    <w:rsid w:val="00D20172"/>
    <w:rsid w:val="00D20801"/>
    <w:rsid w:val="00D25D6A"/>
    <w:rsid w:val="00D335C0"/>
    <w:rsid w:val="00D369DD"/>
    <w:rsid w:val="00D47176"/>
    <w:rsid w:val="00D47A60"/>
    <w:rsid w:val="00D520F2"/>
    <w:rsid w:val="00D52840"/>
    <w:rsid w:val="00D54008"/>
    <w:rsid w:val="00D62A41"/>
    <w:rsid w:val="00D852CD"/>
    <w:rsid w:val="00D908F9"/>
    <w:rsid w:val="00D918DE"/>
    <w:rsid w:val="00D97835"/>
    <w:rsid w:val="00DA72B4"/>
    <w:rsid w:val="00DB33CE"/>
    <w:rsid w:val="00DC00FC"/>
    <w:rsid w:val="00DC5309"/>
    <w:rsid w:val="00DD7DD5"/>
    <w:rsid w:val="00DE19CC"/>
    <w:rsid w:val="00DE614A"/>
    <w:rsid w:val="00DE6D78"/>
    <w:rsid w:val="00DF10BC"/>
    <w:rsid w:val="00DF67C2"/>
    <w:rsid w:val="00DF75E3"/>
    <w:rsid w:val="00E02203"/>
    <w:rsid w:val="00E03022"/>
    <w:rsid w:val="00E10F35"/>
    <w:rsid w:val="00E13176"/>
    <w:rsid w:val="00E13204"/>
    <w:rsid w:val="00E2144E"/>
    <w:rsid w:val="00E3105F"/>
    <w:rsid w:val="00E34FBD"/>
    <w:rsid w:val="00E350CA"/>
    <w:rsid w:val="00E37B4E"/>
    <w:rsid w:val="00E37D57"/>
    <w:rsid w:val="00E433DD"/>
    <w:rsid w:val="00E5291B"/>
    <w:rsid w:val="00E65EFD"/>
    <w:rsid w:val="00E73117"/>
    <w:rsid w:val="00E7669A"/>
    <w:rsid w:val="00E7723F"/>
    <w:rsid w:val="00E8311A"/>
    <w:rsid w:val="00E836E1"/>
    <w:rsid w:val="00E84720"/>
    <w:rsid w:val="00E93097"/>
    <w:rsid w:val="00E94679"/>
    <w:rsid w:val="00E95A8E"/>
    <w:rsid w:val="00EA7483"/>
    <w:rsid w:val="00EB20E9"/>
    <w:rsid w:val="00EB43BE"/>
    <w:rsid w:val="00EB4410"/>
    <w:rsid w:val="00EB662A"/>
    <w:rsid w:val="00EB66FB"/>
    <w:rsid w:val="00EC4D2E"/>
    <w:rsid w:val="00EC54FE"/>
    <w:rsid w:val="00ED0A69"/>
    <w:rsid w:val="00ED6C47"/>
    <w:rsid w:val="00EE48A5"/>
    <w:rsid w:val="00EE592F"/>
    <w:rsid w:val="00EF710D"/>
    <w:rsid w:val="00F001A3"/>
    <w:rsid w:val="00F015FD"/>
    <w:rsid w:val="00F035D0"/>
    <w:rsid w:val="00F06C3D"/>
    <w:rsid w:val="00F06DFC"/>
    <w:rsid w:val="00F14567"/>
    <w:rsid w:val="00F263B1"/>
    <w:rsid w:val="00F2698E"/>
    <w:rsid w:val="00F324E4"/>
    <w:rsid w:val="00F4319F"/>
    <w:rsid w:val="00F5104D"/>
    <w:rsid w:val="00F54E0F"/>
    <w:rsid w:val="00F56C09"/>
    <w:rsid w:val="00F714E0"/>
    <w:rsid w:val="00F750D1"/>
    <w:rsid w:val="00F803B6"/>
    <w:rsid w:val="00F83674"/>
    <w:rsid w:val="00F91192"/>
    <w:rsid w:val="00F9258E"/>
    <w:rsid w:val="00FB1343"/>
    <w:rsid w:val="00FB2EFF"/>
    <w:rsid w:val="00FB4BD7"/>
    <w:rsid w:val="00FB5117"/>
    <w:rsid w:val="00FB6F4C"/>
    <w:rsid w:val="00FC0EDF"/>
    <w:rsid w:val="00FC2579"/>
    <w:rsid w:val="00FD0867"/>
    <w:rsid w:val="00FD1DF7"/>
    <w:rsid w:val="00FE04A9"/>
    <w:rsid w:val="00FE342D"/>
    <w:rsid w:val="00FE6FD1"/>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2ADA6A9"/>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9066-50FB-4375-8AE0-7B1F665D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8128</Words>
  <Characters>4634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2019.gada kopējo pašvaldību aizņēmumu limitu un pašvaldību aizņēmumu pieprasījumiem</vt:lpstr>
    </vt:vector>
  </TitlesOfParts>
  <Company>Finanšu ministrija</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kopējo pašvaldību aizņēmumu limitu un pašvaldību aizņēmumu pieprasījumiem</dc:title>
  <dc:subject>Informatīvā ziņojuma projekts</dc:subject>
  <dc:creator>baiba.tisenkopfa@fm.gov.lv</dc:creator>
  <cp:keywords/>
  <dc:description>baiba.tisenkopfa@fm.gov.lv, 67095467</dc:description>
  <cp:lastModifiedBy>Baiba Tisenkopfa</cp:lastModifiedBy>
  <cp:revision>11</cp:revision>
  <cp:lastPrinted>2019-06-04T10:34:00Z</cp:lastPrinted>
  <dcterms:created xsi:type="dcterms:W3CDTF">2019-06-03T07:39:00Z</dcterms:created>
  <dcterms:modified xsi:type="dcterms:W3CDTF">2019-06-04T10:35:00Z</dcterms:modified>
</cp:coreProperties>
</file>