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D95B" w14:textId="77777777" w:rsidR="000952B3" w:rsidRPr="004E49F7" w:rsidRDefault="00B650B7" w:rsidP="001351FC">
      <w:pPr>
        <w:jc w:val="center"/>
        <w:rPr>
          <w:b/>
        </w:rPr>
      </w:pPr>
      <w:r w:rsidRPr="004E49F7">
        <w:rPr>
          <w:b/>
        </w:rPr>
        <w:t>Ministru kabineta noteikumu projekta</w:t>
      </w:r>
    </w:p>
    <w:p w14:paraId="27383188" w14:textId="43222480" w:rsidR="001351FC" w:rsidRPr="004E49F7" w:rsidRDefault="00801219" w:rsidP="0015241F">
      <w:pPr>
        <w:jc w:val="center"/>
        <w:rPr>
          <w:b/>
        </w:rPr>
      </w:pPr>
      <w:r>
        <w:rPr>
          <w:b/>
        </w:rPr>
        <w:t>„</w:t>
      </w:r>
      <w:r w:rsidR="009755BE" w:rsidRPr="004E49F7">
        <w:rPr>
          <w:b/>
        </w:rPr>
        <w:t>Grozījum</w:t>
      </w:r>
      <w:r w:rsidR="0031150E">
        <w:rPr>
          <w:b/>
        </w:rPr>
        <w:t>s</w:t>
      </w:r>
      <w:r w:rsidR="009755BE" w:rsidRPr="004E49F7">
        <w:rPr>
          <w:b/>
        </w:rPr>
        <w:t xml:space="preserve"> Ministru kabineta 2015.gada 18.augusta noteikumos Nr.479 </w:t>
      </w:r>
      <w:r>
        <w:rPr>
          <w:b/>
        </w:rPr>
        <w:t>„Darbības programmas „</w:t>
      </w:r>
      <w:r w:rsidR="009755BE" w:rsidRPr="004E49F7">
        <w:rPr>
          <w:b/>
        </w:rPr>
        <w:t>Izaugsme un nodarbinātība” 8.</w:t>
      </w:r>
      <w:r>
        <w:rPr>
          <w:b/>
        </w:rPr>
        <w:t>2.4. specifiskā atbalsta mērķa „</w:t>
      </w:r>
      <w:r w:rsidR="009755BE" w:rsidRPr="004E49F7">
        <w:rPr>
          <w:b/>
        </w:rPr>
        <w:t>Nodrošināt atbalstu EQAR aģentūrai izvirzīto prasību izpildei” īstenošanas noteikumi”</w:t>
      </w:r>
      <w:r w:rsidR="00B650B7" w:rsidRPr="004E49F7">
        <w:rPr>
          <w:b/>
        </w:rPr>
        <w:t xml:space="preserve">” </w:t>
      </w:r>
      <w:r w:rsidR="000952B3" w:rsidRPr="004E49F7">
        <w:rPr>
          <w:b/>
        </w:rPr>
        <w:t>sākotnējās ietekmes novērtējuma ziņojums (anotācija)</w:t>
      </w:r>
    </w:p>
    <w:p w14:paraId="4A0644E9" w14:textId="77777777" w:rsidR="00AE1DA4" w:rsidRPr="004E49F7" w:rsidRDefault="00AE1DA4" w:rsidP="0015241F">
      <w:pPr>
        <w:jc w:val="center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5987"/>
      </w:tblGrid>
      <w:tr w:rsidR="00ED6931" w:rsidRPr="004E49F7" w14:paraId="374AF7B2" w14:textId="77777777" w:rsidTr="00DB387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EE19" w14:textId="77777777" w:rsidR="000952B3" w:rsidRPr="004E49F7" w:rsidRDefault="00B650B7" w:rsidP="001351FC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49F7">
              <w:rPr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ED6931" w:rsidRPr="004E49F7" w14:paraId="6457A4FB" w14:textId="77777777" w:rsidTr="00DB387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2D7F" w14:textId="77777777" w:rsidR="000952B3" w:rsidRPr="004E49F7" w:rsidRDefault="00B650B7" w:rsidP="001351FC">
            <w:pPr>
              <w:tabs>
                <w:tab w:val="left" w:pos="1904"/>
              </w:tabs>
              <w:rPr>
                <w:lang w:eastAsia="en-US"/>
              </w:rPr>
            </w:pPr>
            <w:r w:rsidRPr="004E49F7">
              <w:t>Mērķis, risinājums u</w:t>
            </w:r>
            <w:r w:rsidR="004210D4" w:rsidRPr="004E49F7">
              <w:t>n projekta spēkā stāšanās laiks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63FD" w14:textId="7CC22D9C" w:rsidR="00801219" w:rsidRDefault="00801219" w:rsidP="00801219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Noteikumu projekts „</w:t>
            </w:r>
            <w:r w:rsidR="0031150E">
              <w:rPr>
                <w:rFonts w:eastAsiaTheme="minorHAnsi" w:cstheme="minorBidi"/>
                <w:lang w:eastAsia="en-US"/>
              </w:rPr>
              <w:t>Grozījums</w:t>
            </w:r>
            <w:r w:rsidRPr="00801219">
              <w:rPr>
                <w:rFonts w:eastAsiaTheme="minorHAnsi" w:cstheme="minorBidi"/>
                <w:lang w:eastAsia="en-US"/>
              </w:rPr>
              <w:t xml:space="preserve"> Ministru kabineta 2015.gada 18.augusta noteikumos Nr.479 “Darbības programmas “Izaugsme un nodarbinātība” 8.2.4. specifiskā atbalsta mērķa “Nodrošināt atbalstu EQAR aģentūrai izvirzīto prasību izpildei” īstenošanas noteikumi”” (turpmāk – noteikumu projekts)</w:t>
            </w:r>
            <w:r>
              <w:rPr>
                <w:rFonts w:eastAsiaTheme="minorHAnsi" w:cstheme="minorBidi"/>
                <w:lang w:eastAsia="en-US"/>
              </w:rPr>
              <w:t xml:space="preserve"> sagatavots ar mērķi pagarināt projekta  „</w:t>
            </w:r>
            <w:r w:rsidRPr="00801219">
              <w:rPr>
                <w:rFonts w:eastAsiaTheme="minorHAnsi" w:cstheme="minorBidi"/>
                <w:lang w:eastAsia="en-US"/>
              </w:rPr>
              <w:t>Atbalsts EQAR aģentūrai izvirzīto prasību izpildei</w:t>
            </w:r>
            <w:r>
              <w:rPr>
                <w:rFonts w:eastAsiaTheme="minorHAnsi" w:cstheme="minorBidi"/>
                <w:lang w:eastAsia="en-US"/>
              </w:rPr>
              <w:t xml:space="preserve">” </w:t>
            </w:r>
            <w:r w:rsidRPr="00801219">
              <w:rPr>
                <w:rFonts w:eastAsiaTheme="minorHAnsi" w:cstheme="minorBidi"/>
                <w:lang w:eastAsia="en-US"/>
              </w:rPr>
              <w:t>īstenošanas termiņu līdz 2019.gada 31.decembrim.</w:t>
            </w:r>
          </w:p>
          <w:p w14:paraId="6C67C759" w14:textId="6DEFB2AE" w:rsidR="0001598A" w:rsidRPr="004E49F7" w:rsidRDefault="00801219" w:rsidP="00801219">
            <w:pPr>
              <w:jc w:val="both"/>
              <w:rPr>
                <w:rFonts w:eastAsia="Times New Roman"/>
              </w:rPr>
            </w:pPr>
            <w:r>
              <w:rPr>
                <w:rFonts w:eastAsiaTheme="minorHAnsi" w:cstheme="minorBidi"/>
                <w:lang w:eastAsia="en-US"/>
              </w:rPr>
              <w:t>Paredzēts, ka noteikumu projekts stāsies spēkā Oficiālo publikāciju un tiesiskās informācijas likumā noteiktajā kārtībā.</w:t>
            </w:r>
          </w:p>
        </w:tc>
      </w:tr>
    </w:tbl>
    <w:p w14:paraId="11611092" w14:textId="66921185" w:rsidR="000952B3" w:rsidRPr="004E49F7" w:rsidRDefault="000952B3" w:rsidP="001351FC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379"/>
        <w:gridCol w:w="5987"/>
      </w:tblGrid>
      <w:tr w:rsidR="00ED6931" w:rsidRPr="004E49F7" w14:paraId="57FE3E7E" w14:textId="77777777" w:rsidTr="00DB387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6D48" w14:textId="77777777" w:rsidR="000952B3" w:rsidRPr="004E49F7" w:rsidRDefault="00B650B7" w:rsidP="001351FC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49F7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ED6931" w:rsidRPr="004E49F7" w14:paraId="64D4EB35" w14:textId="77777777" w:rsidTr="00DB387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51B9" w14:textId="77777777" w:rsidR="000952B3" w:rsidRPr="004E49F7" w:rsidRDefault="00B650B7" w:rsidP="001351FC">
            <w:pPr>
              <w:jc w:val="center"/>
              <w:rPr>
                <w:lang w:eastAsia="en-US"/>
              </w:rPr>
            </w:pPr>
            <w:r w:rsidRPr="004E49F7"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F9E7" w14:textId="77777777" w:rsidR="000952B3" w:rsidRPr="004E49F7" w:rsidRDefault="00B650B7" w:rsidP="001351FC">
            <w:pPr>
              <w:tabs>
                <w:tab w:val="left" w:pos="1904"/>
              </w:tabs>
              <w:rPr>
                <w:lang w:eastAsia="en-US"/>
              </w:rPr>
            </w:pPr>
            <w:r w:rsidRPr="004E49F7">
              <w:t>Pamatojums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8743" w14:textId="5A22243D" w:rsidR="000952B3" w:rsidRPr="004E49F7" w:rsidRDefault="00B650B7" w:rsidP="00801219">
            <w:pPr>
              <w:jc w:val="both"/>
            </w:pPr>
            <w:r w:rsidRPr="004E49F7">
              <w:rPr>
                <w:rFonts w:eastAsia="Times New Roman"/>
              </w:rPr>
              <w:t>Eiropas Savienības struktūrfondu un Kohēzijas fonda 2014.-2020.gada plānošanas perioda vadības likuma 20.panta 6. un 13.punkts.</w:t>
            </w:r>
          </w:p>
        </w:tc>
      </w:tr>
      <w:tr w:rsidR="00ED6931" w:rsidRPr="004E49F7" w14:paraId="0CFF28F5" w14:textId="77777777" w:rsidTr="00DB387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303C" w14:textId="77777777" w:rsidR="00055596" w:rsidRPr="004E49F7" w:rsidRDefault="00B650B7" w:rsidP="001351FC">
            <w:pPr>
              <w:jc w:val="center"/>
              <w:rPr>
                <w:lang w:eastAsia="en-US"/>
              </w:rPr>
            </w:pPr>
            <w:r w:rsidRPr="004E49F7">
              <w:t>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61C9" w14:textId="77777777" w:rsidR="00055596" w:rsidRPr="004E49F7" w:rsidRDefault="00B650B7" w:rsidP="001351FC">
            <w:pPr>
              <w:jc w:val="both"/>
              <w:rPr>
                <w:lang w:eastAsia="en-US"/>
              </w:rPr>
            </w:pPr>
            <w:r w:rsidRPr="004E49F7">
              <w:t xml:space="preserve">Pašreizējā situācija un problēmas, kuru risināšanai tiesību akta projekts izstrādāts, tiesiskā regulējuma mērķis un būtība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1733" w14:textId="39410F31" w:rsidR="002A1724" w:rsidRDefault="002D02E7" w:rsidP="001944C0">
            <w:pPr>
              <w:jc w:val="both"/>
              <w:rPr>
                <w:iCs/>
                <w:color w:val="000000"/>
              </w:rPr>
            </w:pPr>
            <w:r w:rsidRPr="004E49F7">
              <w:rPr>
                <w:rFonts w:eastAsia="Times New Roman"/>
              </w:rPr>
              <w:t xml:space="preserve">Darbības programmas </w:t>
            </w:r>
            <w:r w:rsidR="00C504F5" w:rsidRPr="004E49F7">
              <w:rPr>
                <w:rFonts w:eastAsia="Times New Roman"/>
              </w:rPr>
              <w:t>„</w:t>
            </w:r>
            <w:r w:rsidRPr="004E49F7">
              <w:rPr>
                <w:rFonts w:eastAsia="Times New Roman"/>
              </w:rPr>
              <w:t>Izaugsme un nodarbinātība</w:t>
            </w:r>
            <w:r w:rsidR="00C504F5" w:rsidRPr="004E49F7">
              <w:rPr>
                <w:rFonts w:eastAsia="Times New Roman"/>
              </w:rPr>
              <w:t>”</w:t>
            </w:r>
            <w:r w:rsidRPr="004E49F7">
              <w:rPr>
                <w:rFonts w:eastAsia="Times New Roman"/>
              </w:rPr>
              <w:t xml:space="preserve"> </w:t>
            </w:r>
            <w:r w:rsidR="00962FB9" w:rsidRPr="004E49F7">
              <w:rPr>
                <w:rFonts w:eastAsia="Times New Roman"/>
              </w:rPr>
              <w:t>8.2.4.</w:t>
            </w:r>
            <w:r w:rsidR="009A1BBC" w:rsidRPr="004E49F7">
              <w:rPr>
                <w:rFonts w:eastAsia="Times New Roman"/>
              </w:rPr>
              <w:t xml:space="preserve"> specifiskā atbalsta mērķa “Nodrošināt atbalstu EQAR aģentūrai izvirzīto prasību izpildei”</w:t>
            </w:r>
            <w:r w:rsidR="00962FB9" w:rsidRPr="004E49F7">
              <w:rPr>
                <w:rFonts w:eastAsia="Times New Roman"/>
              </w:rPr>
              <w:t xml:space="preserve"> </w:t>
            </w:r>
            <w:r w:rsidR="0045535A" w:rsidRPr="004E49F7">
              <w:rPr>
                <w:rFonts w:eastAsia="Times New Roman"/>
              </w:rPr>
              <w:t xml:space="preserve">(turpmāk – 8.2.4.SAM) </w:t>
            </w:r>
            <w:r w:rsidR="002A1724" w:rsidRPr="004E49F7">
              <w:rPr>
                <w:rFonts w:eastAsia="Times New Roman"/>
              </w:rPr>
              <w:t xml:space="preserve">ietvaros </w:t>
            </w:r>
            <w:r w:rsidR="001A24C0" w:rsidRPr="004E49F7">
              <w:rPr>
                <w:rFonts w:eastAsia="Times New Roman"/>
              </w:rPr>
              <w:t>nodibinājums „</w:t>
            </w:r>
            <w:r w:rsidR="009A1BBC" w:rsidRPr="004E49F7">
              <w:rPr>
                <w:rFonts w:eastAsia="Times New Roman"/>
              </w:rPr>
              <w:t>Akadēmiskā</w:t>
            </w:r>
            <w:r w:rsidR="002A1724" w:rsidRPr="004E49F7">
              <w:rPr>
                <w:rFonts w:eastAsia="Times New Roman"/>
              </w:rPr>
              <w:t>s</w:t>
            </w:r>
            <w:r w:rsidR="009A1BBC" w:rsidRPr="004E49F7">
              <w:rPr>
                <w:rFonts w:eastAsia="Times New Roman"/>
              </w:rPr>
              <w:t xml:space="preserve"> informācijas centr</w:t>
            </w:r>
            <w:r w:rsidR="002A1724" w:rsidRPr="004E49F7">
              <w:rPr>
                <w:rFonts w:eastAsia="Times New Roman"/>
              </w:rPr>
              <w:t>s</w:t>
            </w:r>
            <w:r w:rsidR="001A24C0" w:rsidRPr="004E49F7">
              <w:rPr>
                <w:rFonts w:eastAsia="Times New Roman"/>
              </w:rPr>
              <w:t>”</w:t>
            </w:r>
            <w:r w:rsidR="009A1BBC" w:rsidRPr="004E49F7">
              <w:rPr>
                <w:rFonts w:eastAsia="Times New Roman"/>
              </w:rPr>
              <w:t xml:space="preserve"> </w:t>
            </w:r>
            <w:r w:rsidR="00DD5E7A" w:rsidRPr="004E49F7">
              <w:rPr>
                <w:rFonts w:eastAsia="Times New Roman"/>
              </w:rPr>
              <w:t xml:space="preserve">(turpmāk – AIC) </w:t>
            </w:r>
            <w:r w:rsidR="00962FB9" w:rsidRPr="004E49F7">
              <w:rPr>
                <w:rFonts w:eastAsia="Times New Roman"/>
              </w:rPr>
              <w:t>īsteno projekt</w:t>
            </w:r>
            <w:r w:rsidR="002A1724" w:rsidRPr="004E49F7">
              <w:rPr>
                <w:rFonts w:eastAsia="Times New Roman"/>
              </w:rPr>
              <w:t>u</w:t>
            </w:r>
            <w:r w:rsidR="00962FB9" w:rsidRPr="004E49F7">
              <w:rPr>
                <w:rFonts w:eastAsia="Times New Roman"/>
              </w:rPr>
              <w:t xml:space="preserve"> </w:t>
            </w:r>
            <w:r w:rsidR="009A1BBC" w:rsidRPr="004E49F7">
              <w:rPr>
                <w:rFonts w:eastAsia="Times New Roman"/>
              </w:rPr>
              <w:t>„Atbalsts EQAR aģentūrai izvirzīto prasību izpildei” (Nr. 8.2.4.0/15/I/001)</w:t>
            </w:r>
            <w:r w:rsidR="001A24C0" w:rsidRPr="004E49F7">
              <w:rPr>
                <w:rFonts w:eastAsia="Times New Roman"/>
              </w:rPr>
              <w:t xml:space="preserve"> (turpmāk – projekts)</w:t>
            </w:r>
            <w:r w:rsidR="002A1724" w:rsidRPr="004E49F7">
              <w:rPr>
                <w:rFonts w:eastAsia="Times New Roman"/>
              </w:rPr>
              <w:t xml:space="preserve">. Projekta kopējais attiecināmais finansējums ir 1 </w:t>
            </w:r>
            <w:r w:rsidR="00465EC7">
              <w:rPr>
                <w:rFonts w:eastAsia="Times New Roman"/>
              </w:rPr>
              <w:t>438</w:t>
            </w:r>
            <w:r w:rsidR="002A1724" w:rsidRPr="004E49F7">
              <w:rPr>
                <w:rFonts w:eastAsia="Times New Roman"/>
              </w:rPr>
              <w:t> </w:t>
            </w:r>
            <w:r w:rsidR="00465EC7">
              <w:rPr>
                <w:rFonts w:eastAsia="Times New Roman"/>
              </w:rPr>
              <w:t>512</w:t>
            </w:r>
            <w:r w:rsidR="002A1724" w:rsidRPr="004E49F7">
              <w:rPr>
                <w:rFonts w:eastAsia="Times New Roman"/>
              </w:rPr>
              <w:t xml:space="preserve"> </w:t>
            </w:r>
            <w:proofErr w:type="spellStart"/>
            <w:r w:rsidR="002A1724" w:rsidRPr="004E49F7">
              <w:rPr>
                <w:rFonts w:eastAsia="Times New Roman"/>
                <w:i/>
              </w:rPr>
              <w:t>euro</w:t>
            </w:r>
            <w:proofErr w:type="spellEnd"/>
            <w:r w:rsidR="002A1724" w:rsidRPr="004E49F7">
              <w:rPr>
                <w:rFonts w:eastAsia="Times New Roman"/>
              </w:rPr>
              <w:t>, tai skaitā Eiropas Sociālā fonda finansējums – 1 2</w:t>
            </w:r>
            <w:r w:rsidR="00465EC7">
              <w:rPr>
                <w:rFonts w:eastAsia="Times New Roman"/>
              </w:rPr>
              <w:t>22</w:t>
            </w:r>
            <w:r w:rsidR="002A1724" w:rsidRPr="004E49F7">
              <w:rPr>
                <w:rFonts w:eastAsia="Times New Roman"/>
              </w:rPr>
              <w:t xml:space="preserve"> </w:t>
            </w:r>
            <w:r w:rsidR="00465EC7">
              <w:rPr>
                <w:rFonts w:eastAsia="Times New Roman"/>
              </w:rPr>
              <w:t>735</w:t>
            </w:r>
            <w:r w:rsidR="002A1724" w:rsidRPr="004E49F7">
              <w:rPr>
                <w:rFonts w:eastAsia="Times New Roman"/>
              </w:rPr>
              <w:t xml:space="preserve"> </w:t>
            </w:r>
            <w:proofErr w:type="spellStart"/>
            <w:r w:rsidR="002A1724" w:rsidRPr="004E49F7">
              <w:rPr>
                <w:rFonts w:eastAsia="Times New Roman"/>
                <w:i/>
              </w:rPr>
              <w:t>euro</w:t>
            </w:r>
            <w:proofErr w:type="spellEnd"/>
            <w:r w:rsidR="002A1724" w:rsidRPr="004E49F7">
              <w:rPr>
                <w:rFonts w:eastAsia="Times New Roman"/>
              </w:rPr>
              <w:t xml:space="preserve"> un valsts budžeta līdzfinansējums – 2</w:t>
            </w:r>
            <w:r w:rsidR="00465EC7">
              <w:rPr>
                <w:rFonts w:eastAsia="Times New Roman"/>
              </w:rPr>
              <w:t>1</w:t>
            </w:r>
            <w:r w:rsidR="002A1724" w:rsidRPr="004E49F7">
              <w:rPr>
                <w:rFonts w:eastAsia="Times New Roman"/>
              </w:rPr>
              <w:t xml:space="preserve">5 </w:t>
            </w:r>
            <w:r w:rsidR="00465EC7">
              <w:rPr>
                <w:rFonts w:eastAsia="Times New Roman"/>
              </w:rPr>
              <w:t>777</w:t>
            </w:r>
            <w:r w:rsidR="002A1724" w:rsidRPr="004E49F7">
              <w:rPr>
                <w:rFonts w:eastAsia="Times New Roman"/>
              </w:rPr>
              <w:t xml:space="preserve"> </w:t>
            </w:r>
            <w:proofErr w:type="spellStart"/>
            <w:r w:rsidR="002A1724" w:rsidRPr="004E49F7">
              <w:rPr>
                <w:rFonts w:eastAsia="Times New Roman"/>
                <w:i/>
              </w:rPr>
              <w:t>euro</w:t>
            </w:r>
            <w:proofErr w:type="spellEnd"/>
            <w:r w:rsidR="002A1724" w:rsidRPr="004E49F7">
              <w:rPr>
                <w:rFonts w:eastAsia="Times New Roman"/>
              </w:rPr>
              <w:t xml:space="preserve">. Projekta īstenošanas termiņš ir </w:t>
            </w:r>
            <w:r w:rsidR="00465EC7">
              <w:rPr>
                <w:rFonts w:eastAsia="Times New Roman"/>
              </w:rPr>
              <w:t xml:space="preserve">42 mēneši </w:t>
            </w:r>
            <w:r w:rsidR="00465EC7" w:rsidRPr="004E49F7">
              <w:rPr>
                <w:rFonts w:eastAsia="Times New Roman"/>
              </w:rPr>
              <w:t>–</w:t>
            </w:r>
            <w:r w:rsidR="00465EC7">
              <w:rPr>
                <w:rFonts w:eastAsia="Times New Roman"/>
              </w:rPr>
              <w:t xml:space="preserve"> </w:t>
            </w:r>
            <w:r w:rsidR="002A1724" w:rsidRPr="004E49F7">
              <w:rPr>
                <w:rFonts w:eastAsia="Times New Roman"/>
              </w:rPr>
              <w:t xml:space="preserve">no </w:t>
            </w:r>
            <w:r w:rsidR="002A1724" w:rsidRPr="004E49F7">
              <w:rPr>
                <w:iCs/>
                <w:color w:val="000000"/>
              </w:rPr>
              <w:t xml:space="preserve">2016.gada 8.marta </w:t>
            </w:r>
            <w:r w:rsidR="002A1724" w:rsidRPr="004E49F7">
              <w:rPr>
                <w:bCs/>
              </w:rPr>
              <w:t xml:space="preserve">līdz 2019.gada </w:t>
            </w:r>
            <w:r w:rsidR="002A1724" w:rsidRPr="004E49F7">
              <w:rPr>
                <w:iCs/>
                <w:color w:val="000000"/>
              </w:rPr>
              <w:t>7.septembrim.</w:t>
            </w:r>
          </w:p>
          <w:p w14:paraId="0FF0A5C4" w14:textId="77777777" w:rsidR="00465EC7" w:rsidRDefault="00465EC7" w:rsidP="001944C0">
            <w:pPr>
              <w:jc w:val="both"/>
              <w:rPr>
                <w:iCs/>
                <w:color w:val="000000"/>
              </w:rPr>
            </w:pPr>
          </w:p>
          <w:p w14:paraId="1820973C" w14:textId="4E3E230E" w:rsidR="00C53289" w:rsidRDefault="00465EC7" w:rsidP="001944C0">
            <w:pPr>
              <w:jc w:val="both"/>
            </w:pPr>
            <w:r>
              <w:rPr>
                <w:rFonts w:eastAsia="Times New Roman"/>
              </w:rPr>
              <w:t>2019.gada 26.februārī Ministru kabinetā tika pieņemti grozījumi</w:t>
            </w:r>
            <w:r w:rsidRPr="00801219">
              <w:rPr>
                <w:rFonts w:eastAsiaTheme="minorHAnsi" w:cstheme="minorBidi"/>
                <w:lang w:eastAsia="en-US"/>
              </w:rPr>
              <w:t xml:space="preserve"> Ministru kabineta 2015.gada 18.augusta noteikumos Nr.479 “Darbības programmas “Izaugsme un nodarbinātība” 8.2.4. specifiskā atbalsta mērķa “Nodrošināt atbalstu EQAR aģentūrai izvirzīto prasību izpildei” īstenošanas noteikumi””</w:t>
            </w:r>
            <w:r>
              <w:rPr>
                <w:rFonts w:eastAsiaTheme="minorHAnsi" w:cstheme="minorBidi"/>
                <w:lang w:eastAsia="en-US"/>
              </w:rPr>
              <w:t xml:space="preserve"> (turpmāk </w:t>
            </w:r>
            <w:r w:rsidRPr="004E49F7">
              <w:rPr>
                <w:rFonts w:eastAsia="Times New Roman"/>
              </w:rPr>
              <w:t>–</w:t>
            </w:r>
            <w:r>
              <w:rPr>
                <w:rFonts w:eastAsiaTheme="minorHAnsi" w:cstheme="minorBidi"/>
                <w:lang w:eastAsia="en-US"/>
              </w:rPr>
              <w:t xml:space="preserve"> 8.2.4.SAM MK noteikumi), kas tostarp paredz </w:t>
            </w:r>
            <w:r w:rsidRPr="00465EC7">
              <w:rPr>
                <w:rFonts w:eastAsiaTheme="minorHAnsi" w:cstheme="minorBidi"/>
                <w:lang w:eastAsia="en-US"/>
              </w:rPr>
              <w:t xml:space="preserve">palielināt e-platformas izveides un attīstības izmaksu apmēru par 80 000 </w:t>
            </w:r>
            <w:proofErr w:type="spellStart"/>
            <w:r w:rsidRPr="00465EC7">
              <w:rPr>
                <w:rFonts w:eastAsiaTheme="minorHAnsi" w:cstheme="minorBidi"/>
                <w:i/>
                <w:lang w:eastAsia="en-US"/>
              </w:rPr>
              <w:t>euro</w:t>
            </w:r>
            <w:proofErr w:type="spellEnd"/>
            <w:r w:rsidRPr="00465EC7">
              <w:rPr>
                <w:rFonts w:eastAsiaTheme="minorHAnsi" w:cstheme="minorBidi"/>
                <w:lang w:eastAsia="en-US"/>
              </w:rPr>
              <w:t xml:space="preserve"> un e-platformas izveides un attīstības darbu ietvaros veikt akreditācijas un licencēšanas procesa simulāciju ar mērķi notestēt e-platformu darbībā.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="0031150E">
              <w:rPr>
                <w:rFonts w:eastAsiaTheme="minorHAnsi" w:cstheme="minorBidi"/>
                <w:lang w:eastAsia="en-US"/>
              </w:rPr>
              <w:t xml:space="preserve">AIC šobrīd ir pagarinājis līgumu ar e-platformas izstrādātāju līdz 2019.gada 31.maijam, lai </w:t>
            </w:r>
            <w:r w:rsidR="00C53289">
              <w:rPr>
                <w:rFonts w:eastAsiaTheme="minorHAnsi" w:cstheme="minorBidi"/>
                <w:lang w:eastAsia="en-US"/>
              </w:rPr>
              <w:t xml:space="preserve">veiktu </w:t>
            </w:r>
            <w:r w:rsidR="0031150E" w:rsidRPr="004E49F7">
              <w:rPr>
                <w:rFonts w:eastAsia="Times New Roman"/>
              </w:rPr>
              <w:t>e-platform</w:t>
            </w:r>
            <w:r w:rsidR="00C53289">
              <w:rPr>
                <w:rFonts w:eastAsia="Times New Roman"/>
              </w:rPr>
              <w:t>as pilnveides un attīstības darbus atbilstoši</w:t>
            </w:r>
            <w:r w:rsidR="0031150E" w:rsidRPr="004E49F7">
              <w:rPr>
                <w:rFonts w:eastAsia="Times New Roman"/>
              </w:rPr>
              <w:t xml:space="preserve"> jaunajam tiesiskajam regulējumam</w:t>
            </w:r>
            <w:r w:rsidR="00C53289">
              <w:rPr>
                <w:rFonts w:eastAsia="Times New Roman"/>
              </w:rPr>
              <w:t xml:space="preserve"> </w:t>
            </w:r>
            <w:r w:rsidR="00C53289" w:rsidRPr="004E49F7">
              <w:rPr>
                <w:rFonts w:eastAsia="Times New Roman"/>
              </w:rPr>
              <w:t>–</w:t>
            </w:r>
            <w:r w:rsidR="00C53289">
              <w:rPr>
                <w:rFonts w:eastAsia="Times New Roman"/>
              </w:rPr>
              <w:t xml:space="preserve"> </w:t>
            </w:r>
            <w:r w:rsidR="0031150E" w:rsidRPr="004E49F7">
              <w:rPr>
                <w:rFonts w:eastAsia="Times New Roman"/>
              </w:rPr>
              <w:t xml:space="preserve"> </w:t>
            </w:r>
            <w:r w:rsidR="0031150E" w:rsidRPr="004E49F7">
              <w:rPr>
                <w:rFonts w:eastAsia="Times New Roman"/>
                <w:shd w:val="clear" w:color="auto" w:fill="FFFFFF"/>
              </w:rPr>
              <w:t>2019.gada 1.janvārī</w:t>
            </w:r>
            <w:r w:rsidR="00C53289">
              <w:rPr>
                <w:rFonts w:eastAsia="Times New Roman"/>
                <w:shd w:val="clear" w:color="auto" w:fill="FFFFFF"/>
              </w:rPr>
              <w:t xml:space="preserve"> </w:t>
            </w:r>
            <w:r w:rsidR="00500378" w:rsidRPr="004E49F7">
              <w:rPr>
                <w:rFonts w:eastAsia="Times New Roman"/>
                <w:shd w:val="clear" w:color="auto" w:fill="FFFFFF"/>
              </w:rPr>
              <w:t>stā</w:t>
            </w:r>
            <w:r w:rsidR="00500378">
              <w:rPr>
                <w:rFonts w:eastAsia="Times New Roman"/>
                <w:shd w:val="clear" w:color="auto" w:fill="FFFFFF"/>
              </w:rPr>
              <w:t>jās</w:t>
            </w:r>
            <w:r w:rsidR="00500378" w:rsidRPr="004E49F7">
              <w:rPr>
                <w:rFonts w:eastAsia="Times New Roman"/>
                <w:shd w:val="clear" w:color="auto" w:fill="FFFFFF"/>
              </w:rPr>
              <w:t xml:space="preserve"> spēkā </w:t>
            </w:r>
            <w:r w:rsidR="0031150E" w:rsidRPr="004E49F7">
              <w:rPr>
                <w:rFonts w:eastAsia="Times New Roman"/>
                <w:shd w:val="clear" w:color="auto" w:fill="FFFFFF"/>
              </w:rPr>
              <w:t>Ministru kabineta noteikumi</w:t>
            </w:r>
            <w:r w:rsidR="00C53289">
              <w:rPr>
                <w:rFonts w:eastAsia="Times New Roman"/>
                <w:shd w:val="clear" w:color="auto" w:fill="FFFFFF"/>
              </w:rPr>
              <w:t xml:space="preserve"> </w:t>
            </w:r>
            <w:r w:rsidR="00C53289">
              <w:t xml:space="preserve">Nr. 793 </w:t>
            </w:r>
            <w:r w:rsidR="00C53289">
              <w:rPr>
                <w:rFonts w:eastAsia="Times New Roman"/>
                <w:shd w:val="clear" w:color="auto" w:fill="FFFFFF"/>
              </w:rPr>
              <w:t>„</w:t>
            </w:r>
            <w:r w:rsidR="00C53289">
              <w:t>Studiju virzienu atvēršanas un akreditācijas noteikumi</w:t>
            </w:r>
            <w:r w:rsidR="00C53289">
              <w:rPr>
                <w:rFonts w:eastAsia="Times New Roman"/>
                <w:shd w:val="clear" w:color="auto" w:fill="FFFFFF"/>
              </w:rPr>
              <w:t xml:space="preserve">”,  </w:t>
            </w:r>
            <w:r w:rsidR="00C53289">
              <w:t>Nr. 794</w:t>
            </w:r>
            <w:r w:rsidR="00C53289">
              <w:rPr>
                <w:rFonts w:eastAsia="Times New Roman"/>
                <w:shd w:val="clear" w:color="auto" w:fill="FFFFFF"/>
              </w:rPr>
              <w:t xml:space="preserve"> „</w:t>
            </w:r>
            <w:r w:rsidR="00C53289">
              <w:t xml:space="preserve">Augstskolu un koledžu </w:t>
            </w:r>
            <w:r w:rsidR="00C53289">
              <w:lastRenderedPageBreak/>
              <w:t>akreditācijas noteikumi</w:t>
            </w:r>
            <w:r w:rsidR="00C53289">
              <w:rPr>
                <w:rFonts w:eastAsia="Times New Roman"/>
                <w:shd w:val="clear" w:color="auto" w:fill="FFFFFF"/>
              </w:rPr>
              <w:t xml:space="preserve">”, </w:t>
            </w:r>
            <w:r w:rsidR="00C53289">
              <w:t xml:space="preserve">Nr. 795 „Studiju programmu licencēšanas noteikumi”, Nr. 778 „Nodibinājuma „Akadēmiskās informācijas centrs” maksas pakalpojumu cenrādis”. Pamatojoties uz minētajiem </w:t>
            </w:r>
            <w:r w:rsidR="00C53289" w:rsidRPr="004E49F7">
              <w:rPr>
                <w:rFonts w:eastAsia="Times New Roman"/>
                <w:shd w:val="clear" w:color="auto" w:fill="FFFFFF"/>
              </w:rPr>
              <w:t>Ministru kabineta</w:t>
            </w:r>
            <w:r w:rsidR="00C53289">
              <w:t xml:space="preserve"> noteikumiem, AIC izstrādāja 10 dokumentus, kas stājās spēkā 2019.gada 1.februārī: (1) Augstskolu vai koledžu pašnovērtējuma ziņojuma izstrādes vadlīnijas, (2) Augstskolu vai koledžu novērtēšanas ekspertu grupas kopīgā atzinuma izstrādes vadlīnijas, (3) Kritēriji augstskolas vai koledžas prasību novērtēšanai, </w:t>
            </w:r>
            <w:r w:rsidR="004F4787">
              <w:t xml:space="preserve">(4) </w:t>
            </w:r>
            <w:r w:rsidR="00C53289">
              <w:t xml:space="preserve">Vadlīnijas studiju programmas raksturojuma izstrādei, </w:t>
            </w:r>
            <w:r w:rsidR="004F4787">
              <w:t xml:space="preserve">(5) </w:t>
            </w:r>
            <w:r w:rsidR="00C53289">
              <w:t xml:space="preserve">Studiju programmas novērtēšanas ekspertu kopīgā atzinuma izstrādes vadlīnijas, </w:t>
            </w:r>
            <w:r w:rsidR="004F4787">
              <w:t xml:space="preserve">(6) </w:t>
            </w:r>
            <w:r w:rsidR="00C53289">
              <w:t xml:space="preserve">Kritēriji studiju programmas licencēšanas prasību novērtēšanai, </w:t>
            </w:r>
            <w:r w:rsidR="004F4787">
              <w:t xml:space="preserve">(7) </w:t>
            </w:r>
            <w:r w:rsidR="00C53289">
              <w:t>Novērotāju dalības kārtība novērtēšanas procedūrās</w:t>
            </w:r>
            <w:r w:rsidR="004F4787">
              <w:t xml:space="preserve">, (8) </w:t>
            </w:r>
            <w:r w:rsidR="00C53289">
              <w:t xml:space="preserve">Studiju virziena pašnovērtējuma ziņojuma izstrādes vadlīnijas, </w:t>
            </w:r>
            <w:r w:rsidR="004F4787">
              <w:t xml:space="preserve">(9) </w:t>
            </w:r>
            <w:r w:rsidR="00C53289">
              <w:t xml:space="preserve">Studiju virziena novērtēšanas ekspertu grupas kopīgā atzinuma izstrādes vadlīnijas, </w:t>
            </w:r>
            <w:r w:rsidR="004F4787">
              <w:t>(10)</w:t>
            </w:r>
          </w:p>
          <w:p w14:paraId="595D568E" w14:textId="77777777" w:rsidR="001944C0" w:rsidRDefault="00C53289" w:rsidP="001944C0">
            <w:pPr>
              <w:jc w:val="both"/>
            </w:pPr>
            <w:r>
              <w:t>Nodibinājuma “Akadēmiskās informācijas centrs” maksas pakalpojumu cenrādis</w:t>
            </w:r>
            <w:r w:rsidR="004F4787">
              <w:t>.</w:t>
            </w:r>
            <w:r w:rsidR="00500378">
              <w:t xml:space="preserve"> Ņemot vērā iepriekš minēto, ir uzsākts darbs pie izmaiņu veikšanas  e-platformā</w:t>
            </w:r>
            <w:r w:rsidR="007574D1">
              <w:t xml:space="preserve"> līdz 2019.gada 31.maijam</w:t>
            </w:r>
            <w:r w:rsidR="00500378">
              <w:t xml:space="preserve">, lai nodrošinātu e-platformas darbības (procedūras, dokumentācija) atbilstību normatīvajiem aktiem. </w:t>
            </w:r>
          </w:p>
          <w:p w14:paraId="737839A4" w14:textId="6355E9D6" w:rsidR="0031150E" w:rsidRDefault="001944C0" w:rsidP="001944C0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t>Plānojot e-platformas noslodzi, jāņem vērā Augstskolu likuma pārejas noteikumu 48.punktā noteiktais studiju virzienu akreditācijas grafiks. Pēc AIC sniegtās informācijas līdz 2020.gada 31.decembrim tās būtu 66 novērtēšanas, līdz 2021.gada 31.decembrim – 51 novērtēšana, līdz 2022.gada 31.decembrim – 42 novērtēšanas un līdz 2023.gada 31.decembrim – 66 novērtēšanas. Ņemot vērā sagaidāmo lielo e-platformas noslodzi un lietotāju – augstskolu un koledžu pārstāvju un ekspertu skaitu, ir ļoti būtiski kvalitatīvi veikt e-platformas simulāciju, lai iespējami savlaicīgi fiksētu kādas neprecizitātes un nepieciešamos uzlabojumus.</w:t>
            </w:r>
          </w:p>
          <w:p w14:paraId="66484721" w14:textId="64FBA9A5" w:rsidR="0031150E" w:rsidRDefault="001944C0" w:rsidP="001944C0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t>E</w:t>
            </w:r>
            <w:r w:rsidR="0031150E">
              <w:t xml:space="preserve">-platformas simulāciju vajadzētu uzsākt pēc </w:t>
            </w:r>
            <w:r w:rsidR="00500378">
              <w:t xml:space="preserve">2019.gada 31.maija, kad e-platforma atbilstu spēkā esošajam normatīvajam regulējumam. E-platformas simulācijas procesam  AIC ieskatā būtu nepieciešams </w:t>
            </w:r>
            <w:r w:rsidR="0031150E">
              <w:t xml:space="preserve">paredzēt </w:t>
            </w:r>
            <w:r w:rsidR="00500378">
              <w:t xml:space="preserve">3 mēnešus, kas būtu </w:t>
            </w:r>
            <w:r w:rsidR="0031150E">
              <w:t>atbilstoš</w:t>
            </w:r>
            <w:r w:rsidR="00500378">
              <w:t>s</w:t>
            </w:r>
            <w:r w:rsidR="0031150E">
              <w:t xml:space="preserve"> </w:t>
            </w:r>
            <w:r w:rsidR="00500378">
              <w:t>termiņš</w:t>
            </w:r>
            <w:r w:rsidR="0031150E">
              <w:t xml:space="preserve">, ieskaitot Latvijas un ārvalstu ekspertu atlasi un </w:t>
            </w:r>
            <w:r w:rsidR="0080067E">
              <w:t xml:space="preserve">iesaisti, augstskolu un </w:t>
            </w:r>
            <w:r w:rsidR="0031150E">
              <w:t>koledžu informācijas ievadīšanu e-platf</w:t>
            </w:r>
            <w:r w:rsidR="0080067E">
              <w:t xml:space="preserve">ormā saskaņā ar jaunajām formām, metodikām un </w:t>
            </w:r>
            <w:r w:rsidR="0031150E">
              <w:t>vadlīnijām.</w:t>
            </w:r>
            <w:r w:rsidR="0080067E">
              <w:t xml:space="preserve"> Ņemot vērā minēto, e-platformas simulācija varētu noslēgties 2019.gada augusta beigās. </w:t>
            </w:r>
            <w:r w:rsidR="00523E8C">
              <w:t xml:space="preserve">Jāņem arī vērā, ka e-platformas simulācijas </w:t>
            </w:r>
            <w:r w:rsidR="00523E8C" w:rsidRPr="00742FEC">
              <w:t xml:space="preserve">veicējs ir jāizvēlas, ievērojot iepirkuma procedūru.  </w:t>
            </w:r>
            <w:r w:rsidR="004F0114">
              <w:t xml:space="preserve">E-platformas simulācijas veicēja uzdevums būs sagatavot rekomendācijas un ieteikumus e-platformas pilnveidei. </w:t>
            </w:r>
            <w:r w:rsidR="004F0114" w:rsidRPr="00742FEC">
              <w:t>Līdz</w:t>
            </w:r>
            <w:r w:rsidR="004F0114">
              <w:t xml:space="preserve"> projekta īstenošanas termiņam </w:t>
            </w:r>
            <w:r w:rsidR="00523E8C">
              <w:t>(</w:t>
            </w:r>
            <w:r w:rsidR="004F0114">
              <w:t>2019.gada 7.septembris</w:t>
            </w:r>
            <w:r w:rsidR="00523E8C">
              <w:t>)</w:t>
            </w:r>
            <w:r w:rsidR="004F0114">
              <w:t xml:space="preserve"> e-platformas simulācija ir veicama, bet tās rezultātā iegūto rekomendāciju un ieteikumu iestrāde e-platformā faktiski vairs nav iestrādājama.</w:t>
            </w:r>
            <w:r w:rsidR="00742FEC">
              <w:t xml:space="preserve"> Lai iekļautos projekta īstenošanas </w:t>
            </w:r>
            <w:r w:rsidR="00742FEC">
              <w:lastRenderedPageBreak/>
              <w:t xml:space="preserve">termiņā,  iespējamais </w:t>
            </w:r>
            <w:r w:rsidR="004F0114">
              <w:t xml:space="preserve">risinājums </w:t>
            </w:r>
            <w:r w:rsidR="00742FEC">
              <w:t xml:space="preserve">varētu būt maksimāli samazināt </w:t>
            </w:r>
            <w:r w:rsidR="004F0114">
              <w:t xml:space="preserve">simulācijas </w:t>
            </w:r>
            <w:r w:rsidR="00742FEC">
              <w:t xml:space="preserve">procesa </w:t>
            </w:r>
            <w:r w:rsidR="004F0114">
              <w:t>veikšanas termiņ</w:t>
            </w:r>
            <w:r w:rsidR="00742FEC">
              <w:t>u</w:t>
            </w:r>
            <w:r w:rsidR="004F0114">
              <w:t xml:space="preserve">, bet </w:t>
            </w:r>
            <w:r w:rsidR="00742FEC">
              <w:t xml:space="preserve">tādā gadījumā </w:t>
            </w:r>
            <w:r w:rsidR="004F0114">
              <w:t xml:space="preserve">parādās būtisks risks </w:t>
            </w:r>
            <w:r w:rsidR="00742FEC">
              <w:t>attiecībā uz veicamā darba kvalitāt</w:t>
            </w:r>
            <w:r w:rsidR="004F0114">
              <w:t xml:space="preserve">i, kā arī </w:t>
            </w:r>
            <w:r w:rsidR="00742FEC">
              <w:t xml:space="preserve">iespējama </w:t>
            </w:r>
            <w:r w:rsidR="004F0114">
              <w:t>p</w:t>
            </w:r>
            <w:r w:rsidR="00742FEC">
              <w:t xml:space="preserve">retendentu nepieteikšanās šāda </w:t>
            </w:r>
            <w:r w:rsidR="004F0114">
              <w:t>specifiska darba veikšanai.</w:t>
            </w:r>
          </w:p>
          <w:p w14:paraId="1E141750" w14:textId="50DFC528" w:rsidR="00465EC7" w:rsidRDefault="0080067E" w:rsidP="001944C0">
            <w:pPr>
              <w:jc w:val="both"/>
            </w:pPr>
            <w:r>
              <w:rPr>
                <w:rFonts w:eastAsiaTheme="minorHAnsi" w:cstheme="minorBidi"/>
                <w:lang w:eastAsia="en-US"/>
              </w:rPr>
              <w:t xml:space="preserve">AIC ieskatā būtu nepieciešams </w:t>
            </w:r>
            <w:r>
              <w:t xml:space="preserve">pagarināt projekta īstenošanas termiņu līdz </w:t>
            </w:r>
            <w:r w:rsidR="004F0114">
              <w:t xml:space="preserve">2019. </w:t>
            </w:r>
            <w:r>
              <w:t>gada beigām</w:t>
            </w:r>
            <w:r w:rsidR="004F0114">
              <w:t>, lai pilnā apjomā veiktu visus iepriekš plānotos e-platformas attīstības un pilnveides darbus</w:t>
            </w:r>
            <w:r w:rsidR="00742FEC">
              <w:t xml:space="preserve">, tādējādi </w:t>
            </w:r>
            <w:r w:rsidR="00742FEC" w:rsidRPr="004E49F7">
              <w:rPr>
                <w:color w:val="000000"/>
              </w:rPr>
              <w:t>projekta īstenošanas laikā nodrošināt e-platformas veiksmīgu funkcionēšanu</w:t>
            </w:r>
            <w:r w:rsidR="004F0114">
              <w:t>.</w:t>
            </w:r>
          </w:p>
          <w:p w14:paraId="65870094" w14:textId="0B17AB74" w:rsidR="00742FEC" w:rsidRPr="005878F6" w:rsidRDefault="00742FEC" w:rsidP="00895903">
            <w:pPr>
              <w:pStyle w:val="Default"/>
              <w:jc w:val="both"/>
            </w:pPr>
            <w:r>
              <w:t>Vienlaikus, pagarinot projekta īstenošanas termiņu līdz 2019.gada beigām, AIC vēl būtu iespēja 2019.gada rudenī organizēt praktiskās mācības darbam e-platformā augstskolu un koledžu pārstāvjiem pirms 2020.gadā plānotajām studiju virzienu akreditācijām</w:t>
            </w:r>
            <w:r w:rsidR="00523E8C">
              <w:t>.</w:t>
            </w:r>
            <w:r w:rsidR="00895903">
              <w:t xml:space="preserve"> </w:t>
            </w:r>
            <w:r w:rsidR="00895903" w:rsidRPr="005878F6">
              <w:t xml:space="preserve">Līdz ar to noteikumu projektam būs pozitīva ietekme uz īstenošanā esošo 8.2.4.SAM projektu, jo projektā būs iespējams pilnā apjomā veikt visas nepieciešamās darbības. </w:t>
            </w:r>
          </w:p>
          <w:p w14:paraId="0DD91A1A" w14:textId="77777777" w:rsidR="00523E8C" w:rsidRDefault="00523E8C" w:rsidP="001944C0">
            <w:pPr>
              <w:jc w:val="both"/>
              <w:rPr>
                <w:i/>
              </w:rPr>
            </w:pPr>
            <w:r>
              <w:t>Visas minētās darbības ir pilnībā veicamas projekta budžeta ietvaros.</w:t>
            </w:r>
          </w:p>
          <w:p w14:paraId="208E4524" w14:textId="78FF00E8" w:rsidR="00895903" w:rsidRPr="004E49F7" w:rsidRDefault="00C51994" w:rsidP="00834665">
            <w:pPr>
              <w:jc w:val="both"/>
            </w:pPr>
            <w:r>
              <w:rPr>
                <w:rFonts w:eastAsiaTheme="minorHAnsi" w:cstheme="minorBidi"/>
                <w:lang w:eastAsia="en-US"/>
              </w:rPr>
              <w:t>8.2.4.SAM MK noteikumu 26.punkts nosaka, ka p</w:t>
            </w:r>
            <w:r w:rsidRPr="00C51994">
              <w:rPr>
                <w:rFonts w:eastAsiaTheme="minorHAnsi" w:cstheme="minorBidi"/>
                <w:lang w:eastAsia="en-US"/>
              </w:rPr>
              <w:t>rojektu īsteno ne ilgāk kā 42 mēnešus pēc līguma noslēgšanas un ne ilgāk kā līdz 2019. gada 31. decembrim.</w:t>
            </w:r>
            <w:r>
              <w:rPr>
                <w:rFonts w:eastAsiaTheme="minorHAnsi" w:cstheme="minorBidi"/>
                <w:lang w:eastAsia="en-US"/>
              </w:rPr>
              <w:t xml:space="preserve"> Ņemot vērā, ka projekta īstenošanas termiņš jau šobrīd ir 42 mēneši, nepieciešams svītrot ierobežojumu par projekta īstenošanas ilgumu mēnešos.</w:t>
            </w:r>
          </w:p>
        </w:tc>
      </w:tr>
      <w:tr w:rsidR="00ED6931" w:rsidRPr="004E49F7" w14:paraId="516B9E37" w14:textId="77777777" w:rsidTr="00DB387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F4B" w14:textId="5299BFD7" w:rsidR="00055596" w:rsidRPr="004E49F7" w:rsidRDefault="00B650B7" w:rsidP="001351FC">
            <w:pPr>
              <w:jc w:val="center"/>
              <w:rPr>
                <w:lang w:eastAsia="en-US"/>
              </w:rPr>
            </w:pPr>
            <w:r w:rsidRPr="004E49F7">
              <w:lastRenderedPageBreak/>
              <w:t>3.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43E" w14:textId="77777777" w:rsidR="00055596" w:rsidRPr="004E49F7" w:rsidRDefault="00B650B7" w:rsidP="001351FC">
            <w:pPr>
              <w:rPr>
                <w:lang w:eastAsia="en-US"/>
              </w:rPr>
            </w:pPr>
            <w:r w:rsidRPr="004E49F7">
              <w:t>Projekta izstrādē iesaistītās institūcijas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79C0" w14:textId="77777777" w:rsidR="00055596" w:rsidRPr="004E49F7" w:rsidRDefault="00B650B7" w:rsidP="001351FC">
            <w:pPr>
              <w:jc w:val="both"/>
              <w:rPr>
                <w:bCs/>
              </w:rPr>
            </w:pPr>
            <w:r w:rsidRPr="004E49F7">
              <w:rPr>
                <w:bCs/>
              </w:rPr>
              <w:t>Noteikumu projekts šo jomu neskar.</w:t>
            </w:r>
          </w:p>
          <w:p w14:paraId="7A16A2AC" w14:textId="77777777" w:rsidR="00055596" w:rsidRPr="004E49F7" w:rsidRDefault="00055596" w:rsidP="001351FC">
            <w:pPr>
              <w:ind w:left="66"/>
              <w:jc w:val="both"/>
              <w:rPr>
                <w:bCs/>
                <w:strike/>
              </w:rPr>
            </w:pPr>
          </w:p>
        </w:tc>
      </w:tr>
      <w:tr w:rsidR="00ED6931" w:rsidRPr="004E49F7" w14:paraId="67B406C4" w14:textId="77777777" w:rsidTr="00DB387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7607" w14:textId="77777777" w:rsidR="00055596" w:rsidRPr="004E49F7" w:rsidRDefault="00B650B7" w:rsidP="001351FC">
            <w:pPr>
              <w:jc w:val="center"/>
              <w:rPr>
                <w:lang w:eastAsia="en-US"/>
              </w:rPr>
            </w:pPr>
            <w:r w:rsidRPr="004E49F7">
              <w:t>4.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C069" w14:textId="77777777" w:rsidR="00055596" w:rsidRPr="004E49F7" w:rsidRDefault="00B650B7" w:rsidP="001351FC">
            <w:pPr>
              <w:rPr>
                <w:lang w:eastAsia="en-US"/>
              </w:rPr>
            </w:pPr>
            <w:r w:rsidRPr="004E49F7">
              <w:t>Cita informācija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62B9E" w14:textId="763C404C" w:rsidR="00055596" w:rsidRPr="004E49F7" w:rsidRDefault="00D11C56" w:rsidP="002B0E96">
            <w:pPr>
              <w:pStyle w:val="Default"/>
              <w:jc w:val="both"/>
              <w:rPr>
                <w:rFonts w:eastAsia="Times New Roman"/>
                <w:lang w:bidi="lo-LA"/>
              </w:rPr>
            </w:pPr>
            <w:r w:rsidRPr="004E49F7">
              <w:t>Nav.</w:t>
            </w:r>
          </w:p>
        </w:tc>
      </w:tr>
    </w:tbl>
    <w:p w14:paraId="00747A27" w14:textId="727FEEF6" w:rsidR="000952B3" w:rsidRPr="004E49F7" w:rsidRDefault="000952B3" w:rsidP="001351FC">
      <w:pPr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2689"/>
        <w:gridCol w:w="6095"/>
      </w:tblGrid>
      <w:tr w:rsidR="00ED6931" w:rsidRPr="004E49F7" w14:paraId="135CD9D9" w14:textId="77777777" w:rsidTr="00DB387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ED28" w14:textId="77777777" w:rsidR="000952B3" w:rsidRPr="004E49F7" w:rsidRDefault="00B650B7" w:rsidP="001351FC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49F7">
              <w:rPr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D6931" w:rsidRPr="004E49F7" w14:paraId="30B0D353" w14:textId="77777777" w:rsidTr="00DD5E7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0F4A" w14:textId="77777777" w:rsidR="000952B3" w:rsidRPr="004E49F7" w:rsidRDefault="00B650B7" w:rsidP="001351FC">
            <w:pPr>
              <w:jc w:val="center"/>
              <w:rPr>
                <w:lang w:eastAsia="en-US"/>
              </w:rPr>
            </w:pPr>
            <w:r w:rsidRPr="004E49F7"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8DF1" w14:textId="77777777" w:rsidR="000952B3" w:rsidRPr="004E49F7" w:rsidRDefault="00B650B7" w:rsidP="001351FC">
            <w:pPr>
              <w:rPr>
                <w:lang w:eastAsia="en-US"/>
              </w:rPr>
            </w:pPr>
            <w:r w:rsidRPr="004E49F7">
              <w:t xml:space="preserve">Sabiedrības </w:t>
            </w:r>
            <w:proofErr w:type="spellStart"/>
            <w:r w:rsidRPr="004E49F7">
              <w:t>mērķgrupas</w:t>
            </w:r>
            <w:proofErr w:type="spellEnd"/>
            <w:r w:rsidRPr="004E49F7">
              <w:t>, kuras tiesiskais regulējums ietekmē vai varētu ietekmēt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491E" w14:textId="38EBA40B" w:rsidR="000952B3" w:rsidRPr="004E49F7" w:rsidRDefault="00B650B7" w:rsidP="00D11C56">
            <w:pPr>
              <w:pStyle w:val="ListParagraph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4E49F7">
              <w:rPr>
                <w:sz w:val="24"/>
                <w:szCs w:val="24"/>
              </w:rPr>
              <w:t xml:space="preserve">Tiesiskais regulējums ietekmē </w:t>
            </w:r>
            <w:r w:rsidR="00D11C56" w:rsidRPr="004E49F7">
              <w:rPr>
                <w:sz w:val="24"/>
                <w:szCs w:val="24"/>
              </w:rPr>
              <w:t>8.2.4.SAM finansējuma saņēmēju – AIC</w:t>
            </w:r>
            <w:r w:rsidR="00D11C56">
              <w:rPr>
                <w:sz w:val="24"/>
                <w:szCs w:val="24"/>
              </w:rPr>
              <w:t>,</w:t>
            </w:r>
            <w:r w:rsidR="00D11C56" w:rsidRPr="004E49F7">
              <w:rPr>
                <w:sz w:val="24"/>
                <w:szCs w:val="24"/>
              </w:rPr>
              <w:t xml:space="preserve"> </w:t>
            </w:r>
            <w:r w:rsidR="00521075" w:rsidRPr="004E49F7">
              <w:rPr>
                <w:sz w:val="24"/>
                <w:szCs w:val="24"/>
              </w:rPr>
              <w:t xml:space="preserve">sadarbības iestādi </w:t>
            </w:r>
            <w:r w:rsidR="000F2179" w:rsidRPr="004E49F7">
              <w:rPr>
                <w:sz w:val="24"/>
                <w:szCs w:val="24"/>
              </w:rPr>
              <w:t>–</w:t>
            </w:r>
            <w:r w:rsidR="00F141B3" w:rsidRPr="004E49F7">
              <w:rPr>
                <w:sz w:val="24"/>
                <w:szCs w:val="24"/>
              </w:rPr>
              <w:t xml:space="preserve"> </w:t>
            </w:r>
            <w:r w:rsidR="00D11C56">
              <w:rPr>
                <w:sz w:val="24"/>
                <w:szCs w:val="24"/>
              </w:rPr>
              <w:t>CFLA un</w:t>
            </w:r>
            <w:r w:rsidR="00D11C56" w:rsidRPr="004E49F7">
              <w:rPr>
                <w:sz w:val="24"/>
                <w:szCs w:val="24"/>
              </w:rPr>
              <w:t xml:space="preserve"> atbildīgo iestādi – </w:t>
            </w:r>
            <w:r w:rsidR="00D11C56">
              <w:rPr>
                <w:sz w:val="24"/>
                <w:szCs w:val="24"/>
              </w:rPr>
              <w:t>IZM.</w:t>
            </w:r>
          </w:p>
        </w:tc>
      </w:tr>
      <w:tr w:rsidR="00ED6931" w:rsidRPr="004E49F7" w14:paraId="3EBB70B5" w14:textId="77777777" w:rsidTr="00DB387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DF50" w14:textId="77777777" w:rsidR="000952B3" w:rsidRPr="004E49F7" w:rsidRDefault="00B650B7" w:rsidP="001351FC">
            <w:pPr>
              <w:jc w:val="center"/>
            </w:pPr>
            <w:r w:rsidRPr="004E49F7">
              <w:t>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B077" w14:textId="77777777" w:rsidR="000952B3" w:rsidRPr="004E49F7" w:rsidRDefault="00B650B7" w:rsidP="001351FC">
            <w:pPr>
              <w:rPr>
                <w:color w:val="414142"/>
              </w:rPr>
            </w:pPr>
            <w:r w:rsidRPr="004E49F7">
              <w:t>Tiesiskā regulējuma ietekme uz tautsaimniecību un administratīvo slogu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AC1B" w14:textId="77777777" w:rsidR="000952B3" w:rsidRPr="004E49F7" w:rsidRDefault="00B650B7" w:rsidP="00F141B3">
            <w:pPr>
              <w:pStyle w:val="ListParagraph"/>
              <w:tabs>
                <w:tab w:val="left" w:pos="317"/>
              </w:tabs>
              <w:ind w:left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E49F7">
              <w:rPr>
                <w:sz w:val="24"/>
                <w:szCs w:val="24"/>
              </w:rPr>
              <w:t>Sabiedrības grupām un institūcijām projekta noteikumu tiesiskais regulējums nemaina tiesības un pienākumus, kā arī veicamās darbības.</w:t>
            </w:r>
          </w:p>
        </w:tc>
      </w:tr>
      <w:tr w:rsidR="00ED6931" w:rsidRPr="004E49F7" w14:paraId="07A1EA65" w14:textId="77777777" w:rsidTr="00DB387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B4FC" w14:textId="77777777" w:rsidR="000952B3" w:rsidRPr="004E49F7" w:rsidRDefault="00B650B7" w:rsidP="001351FC">
            <w:pPr>
              <w:jc w:val="center"/>
            </w:pPr>
            <w:r w:rsidRPr="004E49F7"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EA3C" w14:textId="77777777" w:rsidR="000952B3" w:rsidRPr="004E49F7" w:rsidRDefault="00B650B7" w:rsidP="001351FC">
            <w:pPr>
              <w:rPr>
                <w:color w:val="414142"/>
              </w:rPr>
            </w:pPr>
            <w:r w:rsidRPr="004E49F7">
              <w:t>Administratīvo izmaksu monetārs novērtējums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C99" w14:textId="77777777" w:rsidR="000952B3" w:rsidRPr="004E49F7" w:rsidRDefault="00B650B7" w:rsidP="00F141B3">
            <w:pPr>
              <w:pStyle w:val="ListParagraph"/>
              <w:tabs>
                <w:tab w:val="left" w:pos="317"/>
              </w:tabs>
              <w:ind w:left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E49F7">
              <w:rPr>
                <w:sz w:val="24"/>
                <w:szCs w:val="24"/>
              </w:rPr>
              <w:t>Noteikumu projekts šo jomu neskar.</w:t>
            </w:r>
          </w:p>
        </w:tc>
      </w:tr>
      <w:tr w:rsidR="00ED6931" w:rsidRPr="004E49F7" w14:paraId="29EDAB30" w14:textId="77777777" w:rsidTr="00DB387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CBE0" w14:textId="77777777" w:rsidR="000952B3" w:rsidRPr="004E49F7" w:rsidRDefault="00B650B7" w:rsidP="001351FC">
            <w:pPr>
              <w:jc w:val="center"/>
            </w:pPr>
            <w:r w:rsidRPr="004E49F7">
              <w:t>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5081" w14:textId="77777777" w:rsidR="000952B3" w:rsidRPr="004E49F7" w:rsidRDefault="00B650B7" w:rsidP="001351FC">
            <w:r w:rsidRPr="004E49F7">
              <w:t>Atbilstības izmaksu monetārs novērtējums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2F92" w14:textId="77777777" w:rsidR="000952B3" w:rsidRPr="004E49F7" w:rsidRDefault="00B650B7" w:rsidP="00F141B3">
            <w:pPr>
              <w:pStyle w:val="ListParagraph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4E49F7">
              <w:rPr>
                <w:sz w:val="24"/>
                <w:szCs w:val="24"/>
              </w:rPr>
              <w:t>Noteikumu projekts šo jomu neskar.</w:t>
            </w:r>
          </w:p>
        </w:tc>
      </w:tr>
      <w:tr w:rsidR="00ED6931" w:rsidRPr="004E49F7" w14:paraId="5109668B" w14:textId="77777777" w:rsidTr="00DB387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1E4A" w14:textId="77777777" w:rsidR="000952B3" w:rsidRPr="004E49F7" w:rsidRDefault="00B650B7" w:rsidP="001351FC">
            <w:pPr>
              <w:jc w:val="center"/>
            </w:pPr>
            <w:r w:rsidRPr="004E49F7">
              <w:t>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CC28" w14:textId="77777777" w:rsidR="000952B3" w:rsidRPr="004E49F7" w:rsidRDefault="00B650B7" w:rsidP="001351FC">
            <w:pPr>
              <w:rPr>
                <w:color w:val="414142"/>
              </w:rPr>
            </w:pPr>
            <w:r w:rsidRPr="004E49F7">
              <w:t>Cita informācija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FB1D" w14:textId="77777777" w:rsidR="000952B3" w:rsidRPr="004E49F7" w:rsidRDefault="00B650B7" w:rsidP="00F141B3">
            <w:pPr>
              <w:pStyle w:val="ListParagraph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 w:rsidRPr="004E49F7">
              <w:rPr>
                <w:sz w:val="24"/>
                <w:szCs w:val="24"/>
              </w:rPr>
              <w:t>Nav</w:t>
            </w:r>
            <w:r w:rsidR="00352BE9" w:rsidRPr="004E49F7">
              <w:rPr>
                <w:sz w:val="24"/>
                <w:szCs w:val="24"/>
              </w:rPr>
              <w:t>.</w:t>
            </w:r>
          </w:p>
        </w:tc>
      </w:tr>
    </w:tbl>
    <w:p w14:paraId="70AFC89F" w14:textId="77777777" w:rsidR="004D2E35" w:rsidRDefault="004D2E35" w:rsidP="001351FC"/>
    <w:tbl>
      <w:tblPr>
        <w:tblW w:w="5083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6"/>
        <w:gridCol w:w="1074"/>
        <w:gridCol w:w="1072"/>
        <w:gridCol w:w="940"/>
        <w:gridCol w:w="939"/>
        <w:gridCol w:w="939"/>
        <w:gridCol w:w="921"/>
        <w:gridCol w:w="18"/>
        <w:gridCol w:w="1142"/>
      </w:tblGrid>
      <w:tr w:rsidR="00EF5DF3" w:rsidRPr="00487E1E" w14:paraId="1D692F27" w14:textId="77777777" w:rsidTr="00EF5DF3">
        <w:trPr>
          <w:cantSplit/>
        </w:trPr>
        <w:tc>
          <w:tcPr>
            <w:tcW w:w="9211" w:type="dxa"/>
            <w:gridSpan w:val="9"/>
            <w:shd w:val="clear" w:color="auto" w:fill="auto"/>
            <w:vAlign w:val="center"/>
            <w:hideMark/>
          </w:tcPr>
          <w:p w14:paraId="74813F60" w14:textId="77777777" w:rsidR="00EF5DF3" w:rsidRPr="00EF5DF3" w:rsidRDefault="00EF5DF3" w:rsidP="00483E12">
            <w:pPr>
              <w:jc w:val="center"/>
              <w:rPr>
                <w:b/>
                <w:bCs/>
                <w:lang w:eastAsia="en-US"/>
              </w:rPr>
            </w:pPr>
            <w:r w:rsidRPr="00EF5DF3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EF5DF3" w:rsidRPr="00487E1E" w14:paraId="42037252" w14:textId="77777777" w:rsidTr="00EF5DF3">
        <w:trPr>
          <w:cantSplit/>
        </w:trPr>
        <w:tc>
          <w:tcPr>
            <w:tcW w:w="2166" w:type="dxa"/>
            <w:vMerge w:val="restart"/>
            <w:shd w:val="clear" w:color="auto" w:fill="FFFFFF"/>
            <w:vAlign w:val="center"/>
          </w:tcPr>
          <w:p w14:paraId="6742A696" w14:textId="77777777" w:rsidR="00EF5DF3" w:rsidRPr="00487E1E" w:rsidRDefault="00EF5DF3" w:rsidP="00483E12">
            <w:pPr>
              <w:jc w:val="center"/>
              <w:rPr>
                <w:bCs/>
                <w:szCs w:val="20"/>
                <w:lang w:eastAsia="en-US"/>
              </w:rPr>
            </w:pPr>
            <w:r w:rsidRPr="00487E1E">
              <w:rPr>
                <w:bCs/>
                <w:szCs w:val="20"/>
                <w:lang w:eastAsia="en-US"/>
              </w:rPr>
              <w:t>Rādītāji</w:t>
            </w:r>
          </w:p>
        </w:tc>
        <w:tc>
          <w:tcPr>
            <w:tcW w:w="2146" w:type="dxa"/>
            <w:gridSpan w:val="2"/>
            <w:vMerge w:val="restart"/>
            <w:shd w:val="clear" w:color="auto" w:fill="FFFFFF"/>
            <w:vAlign w:val="center"/>
            <w:hideMark/>
          </w:tcPr>
          <w:p w14:paraId="02FDA3E9" w14:textId="40F76F1E" w:rsidR="00EF5DF3" w:rsidRPr="00487E1E" w:rsidRDefault="00EF5DF3" w:rsidP="00EF5D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87E1E">
              <w:rPr>
                <w:bCs/>
                <w:szCs w:val="20"/>
                <w:lang w:eastAsia="en-US"/>
              </w:rPr>
              <w:t>201</w:t>
            </w:r>
            <w:r>
              <w:rPr>
                <w:bCs/>
                <w:szCs w:val="20"/>
                <w:lang w:eastAsia="en-US"/>
              </w:rPr>
              <w:t>9</w:t>
            </w:r>
            <w:r w:rsidRPr="00487E1E">
              <w:rPr>
                <w:bCs/>
                <w:szCs w:val="20"/>
                <w:lang w:eastAsia="en-US"/>
              </w:rPr>
              <w:t>.gads</w:t>
            </w:r>
          </w:p>
        </w:tc>
        <w:tc>
          <w:tcPr>
            <w:tcW w:w="4899" w:type="dxa"/>
            <w:gridSpan w:val="6"/>
            <w:shd w:val="clear" w:color="auto" w:fill="FFFFFF"/>
            <w:vAlign w:val="center"/>
            <w:hideMark/>
          </w:tcPr>
          <w:p w14:paraId="5785C5D5" w14:textId="77777777" w:rsidR="00EF5DF3" w:rsidRPr="00487E1E" w:rsidRDefault="00EF5DF3" w:rsidP="00483E12">
            <w:pPr>
              <w:jc w:val="center"/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Turpmākie trīs gadi (</w:t>
            </w:r>
            <w:proofErr w:type="spellStart"/>
            <w:r w:rsidRPr="00487E1E">
              <w:rPr>
                <w:i/>
                <w:iCs/>
                <w:szCs w:val="20"/>
                <w:lang w:eastAsia="en-US"/>
              </w:rPr>
              <w:t>euro</w:t>
            </w:r>
            <w:proofErr w:type="spellEnd"/>
            <w:r w:rsidRPr="00487E1E">
              <w:rPr>
                <w:szCs w:val="20"/>
                <w:lang w:eastAsia="en-US"/>
              </w:rPr>
              <w:t>)</w:t>
            </w:r>
          </w:p>
        </w:tc>
      </w:tr>
      <w:tr w:rsidR="00EF5DF3" w:rsidRPr="00487E1E" w14:paraId="5D5689C8" w14:textId="77777777" w:rsidTr="00EF5DF3">
        <w:trPr>
          <w:cantSplit/>
        </w:trPr>
        <w:tc>
          <w:tcPr>
            <w:tcW w:w="2166" w:type="dxa"/>
            <w:vMerge/>
            <w:shd w:val="clear" w:color="auto" w:fill="auto"/>
            <w:vAlign w:val="center"/>
            <w:hideMark/>
          </w:tcPr>
          <w:p w14:paraId="19457A86" w14:textId="77777777" w:rsidR="00EF5DF3" w:rsidRPr="00487E1E" w:rsidRDefault="00EF5DF3" w:rsidP="00483E12">
            <w:pPr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146" w:type="dxa"/>
            <w:gridSpan w:val="2"/>
            <w:vMerge/>
            <w:shd w:val="clear" w:color="auto" w:fill="auto"/>
            <w:vAlign w:val="center"/>
            <w:hideMark/>
          </w:tcPr>
          <w:p w14:paraId="197A2C24" w14:textId="77777777" w:rsidR="00EF5DF3" w:rsidRPr="00487E1E" w:rsidRDefault="00EF5DF3" w:rsidP="00483E1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gridSpan w:val="2"/>
            <w:shd w:val="clear" w:color="auto" w:fill="FFFFFF"/>
            <w:vAlign w:val="center"/>
            <w:hideMark/>
          </w:tcPr>
          <w:p w14:paraId="7EFC2329" w14:textId="02AB4FC0" w:rsidR="00EF5DF3" w:rsidRPr="00487E1E" w:rsidRDefault="00EF5DF3" w:rsidP="00EF5DF3">
            <w:pPr>
              <w:jc w:val="center"/>
              <w:rPr>
                <w:bCs/>
                <w:lang w:eastAsia="en-US"/>
              </w:rPr>
            </w:pPr>
            <w:r w:rsidRPr="00487E1E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20</w:t>
            </w:r>
            <w:r w:rsidRPr="00487E1E">
              <w:rPr>
                <w:bCs/>
                <w:lang w:eastAsia="en-US"/>
              </w:rPr>
              <w:t>.gads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14:paraId="29DDE40A" w14:textId="25B0EA92" w:rsidR="00EF5DF3" w:rsidRPr="00487E1E" w:rsidRDefault="00EF5DF3" w:rsidP="00EF5DF3">
            <w:pPr>
              <w:jc w:val="center"/>
              <w:rPr>
                <w:bCs/>
                <w:lang w:eastAsia="en-US"/>
              </w:rPr>
            </w:pPr>
            <w:r w:rsidRPr="00487E1E">
              <w:rPr>
                <w:bCs/>
                <w:lang w:eastAsia="en-US"/>
              </w:rPr>
              <w:t>202</w:t>
            </w:r>
            <w:r>
              <w:rPr>
                <w:bCs/>
                <w:lang w:eastAsia="en-US"/>
              </w:rPr>
              <w:t>1</w:t>
            </w:r>
            <w:r w:rsidRPr="00487E1E">
              <w:rPr>
                <w:bCs/>
                <w:lang w:eastAsia="en-US"/>
              </w:rPr>
              <w:t>.gads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  <w:hideMark/>
          </w:tcPr>
          <w:p w14:paraId="40822F1F" w14:textId="68178727" w:rsidR="00EF5DF3" w:rsidRPr="00487E1E" w:rsidRDefault="00EF5DF3" w:rsidP="00EF5DF3">
            <w:pPr>
              <w:jc w:val="center"/>
              <w:rPr>
                <w:bCs/>
                <w:lang w:eastAsia="en-US"/>
              </w:rPr>
            </w:pPr>
            <w:r w:rsidRPr="00487E1E">
              <w:rPr>
                <w:bCs/>
                <w:lang w:eastAsia="en-US"/>
              </w:rPr>
              <w:t>202</w:t>
            </w:r>
            <w:r>
              <w:rPr>
                <w:bCs/>
                <w:lang w:eastAsia="en-US"/>
              </w:rPr>
              <w:t>2</w:t>
            </w:r>
            <w:r w:rsidRPr="00487E1E">
              <w:rPr>
                <w:bCs/>
                <w:lang w:eastAsia="en-US"/>
              </w:rPr>
              <w:t>. gads</w:t>
            </w:r>
          </w:p>
        </w:tc>
      </w:tr>
      <w:tr w:rsidR="00EF5DF3" w:rsidRPr="00487E1E" w14:paraId="3FEBA7CC" w14:textId="77777777" w:rsidTr="00EF5DF3">
        <w:trPr>
          <w:cantSplit/>
        </w:trPr>
        <w:tc>
          <w:tcPr>
            <w:tcW w:w="2166" w:type="dxa"/>
            <w:vMerge/>
            <w:shd w:val="clear" w:color="auto" w:fill="auto"/>
            <w:vAlign w:val="center"/>
            <w:hideMark/>
          </w:tcPr>
          <w:p w14:paraId="5BF0AF79" w14:textId="77777777" w:rsidR="00EF5DF3" w:rsidRPr="00487E1E" w:rsidRDefault="00EF5DF3" w:rsidP="00483E12">
            <w:pPr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14:paraId="3B888B6D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saskaņā ar valsts budžetu kārtējam gadam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14:paraId="00599F9B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094CA9F8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saskaņā ar vidēja termiņa budžeta ietvaru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14:paraId="5D214C76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izmaiņas, salīdzinot ar vidēja termiņa budžeta ietvaru n+1 gadam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14:paraId="617F2A04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saskaņā ar vidēja termiņa budžeta ietvaru</w:t>
            </w:r>
          </w:p>
        </w:tc>
        <w:tc>
          <w:tcPr>
            <w:tcW w:w="939" w:type="dxa"/>
            <w:gridSpan w:val="2"/>
            <w:shd w:val="clear" w:color="auto" w:fill="FFFFFF"/>
            <w:vAlign w:val="center"/>
            <w:hideMark/>
          </w:tcPr>
          <w:p w14:paraId="667BC03B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izmaiņas, salīdzinot ar vidēja termiņa budžeta ietvaru n+2 gadam</w:t>
            </w:r>
          </w:p>
        </w:tc>
        <w:tc>
          <w:tcPr>
            <w:tcW w:w="1142" w:type="dxa"/>
            <w:shd w:val="clear" w:color="auto" w:fill="FFFFFF"/>
            <w:vAlign w:val="center"/>
            <w:hideMark/>
          </w:tcPr>
          <w:p w14:paraId="348A7D0A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 xml:space="preserve">izmaiņas, salīdzinot ar vidēja termiņa budžeta ietvaru </w:t>
            </w:r>
            <w:r w:rsidRPr="00487E1E">
              <w:rPr>
                <w:sz w:val="20"/>
                <w:szCs w:val="20"/>
                <w:lang w:eastAsia="en-US"/>
              </w:rPr>
              <w:br/>
              <w:t>n+2 gadam</w:t>
            </w:r>
          </w:p>
        </w:tc>
      </w:tr>
      <w:tr w:rsidR="00EF5DF3" w:rsidRPr="00487E1E" w14:paraId="28FEC883" w14:textId="77777777" w:rsidTr="00EF5DF3">
        <w:trPr>
          <w:cantSplit/>
        </w:trPr>
        <w:tc>
          <w:tcPr>
            <w:tcW w:w="2166" w:type="dxa"/>
            <w:shd w:val="clear" w:color="auto" w:fill="FFFFFF"/>
            <w:vAlign w:val="center"/>
            <w:hideMark/>
          </w:tcPr>
          <w:p w14:paraId="4E911BAB" w14:textId="77777777" w:rsidR="00EF5DF3" w:rsidRPr="00487E1E" w:rsidRDefault="00EF5DF3" w:rsidP="00483E12">
            <w:pPr>
              <w:jc w:val="center"/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1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14:paraId="2FDF51CE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14:paraId="255207C8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5701431F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14:paraId="6678D054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14:paraId="43DD1F13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9" w:type="dxa"/>
            <w:gridSpan w:val="2"/>
            <w:shd w:val="clear" w:color="auto" w:fill="FFFFFF"/>
            <w:vAlign w:val="center"/>
            <w:hideMark/>
          </w:tcPr>
          <w:p w14:paraId="14FDFFB6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2" w:type="dxa"/>
            <w:shd w:val="clear" w:color="auto" w:fill="FFFFFF"/>
            <w:vAlign w:val="center"/>
            <w:hideMark/>
          </w:tcPr>
          <w:p w14:paraId="6F479A7E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F5DF3" w:rsidRPr="00487E1E" w14:paraId="0402DC9C" w14:textId="77777777" w:rsidTr="00EF5DF3">
        <w:trPr>
          <w:cantSplit/>
        </w:trPr>
        <w:tc>
          <w:tcPr>
            <w:tcW w:w="2166" w:type="dxa"/>
            <w:shd w:val="clear" w:color="auto" w:fill="FFFFFF"/>
            <w:hideMark/>
          </w:tcPr>
          <w:p w14:paraId="515F236E" w14:textId="77777777" w:rsidR="00EF5DF3" w:rsidRPr="00487E1E" w:rsidRDefault="00EF5DF3" w:rsidP="00EF5DF3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1. Budžeta ieņēmumi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14:paraId="49DF04A2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FFFFFF"/>
            <w:vAlign w:val="center"/>
            <w:hideMark/>
          </w:tcPr>
          <w:p w14:paraId="0BC1943F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14:paraId="1C60DCC0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FFFFFF"/>
          </w:tcPr>
          <w:p w14:paraId="4B017D81" w14:textId="08394DFD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0D2A9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FFFFFF"/>
          </w:tcPr>
          <w:p w14:paraId="133889D8" w14:textId="37A2CE9E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0D2A9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FFFFFF"/>
          </w:tcPr>
          <w:p w14:paraId="7B0CDDFC" w14:textId="758B47A0" w:rsidR="00EF5DF3" w:rsidRPr="00487E1E" w:rsidRDefault="00EF5DF3" w:rsidP="00EF5DF3">
            <w:pPr>
              <w:jc w:val="center"/>
              <w:rPr>
                <w:sz w:val="20"/>
                <w:szCs w:val="20"/>
              </w:rPr>
            </w:pPr>
            <w:r w:rsidRPr="000D2A9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FFFFFF"/>
          </w:tcPr>
          <w:p w14:paraId="37AD076E" w14:textId="075F27D3" w:rsidR="00EF5DF3" w:rsidRPr="00487E1E" w:rsidRDefault="00EF5DF3" w:rsidP="00EF5DF3">
            <w:pPr>
              <w:jc w:val="center"/>
              <w:rPr>
                <w:sz w:val="20"/>
                <w:szCs w:val="20"/>
              </w:rPr>
            </w:pPr>
            <w:r w:rsidRPr="000D2A9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638ED64E" w14:textId="77777777" w:rsidTr="00EF5DF3">
        <w:trPr>
          <w:cantSplit/>
        </w:trPr>
        <w:tc>
          <w:tcPr>
            <w:tcW w:w="2166" w:type="dxa"/>
            <w:shd w:val="clear" w:color="auto" w:fill="auto"/>
            <w:hideMark/>
          </w:tcPr>
          <w:p w14:paraId="7CD5F162" w14:textId="77777777" w:rsidR="00EF5DF3" w:rsidRPr="00487E1E" w:rsidRDefault="00EF5DF3" w:rsidP="00EF5DF3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369A3CF4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6213C53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4141444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15A65EC" w14:textId="1971A3BA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0D2A9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404D3D2" w14:textId="7BDD5824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0D2A9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683EE4E5" w14:textId="7B47AA5A" w:rsidR="00EF5DF3" w:rsidRPr="00487E1E" w:rsidRDefault="00EF5DF3" w:rsidP="00EF5DF3">
            <w:pPr>
              <w:jc w:val="center"/>
              <w:rPr>
                <w:sz w:val="20"/>
                <w:szCs w:val="20"/>
              </w:rPr>
            </w:pPr>
            <w:r w:rsidRPr="000D2A9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FE01B94" w14:textId="68877722" w:rsidR="00EF5DF3" w:rsidRPr="00487E1E" w:rsidRDefault="00EF5DF3" w:rsidP="00EF5DF3">
            <w:pPr>
              <w:jc w:val="center"/>
              <w:rPr>
                <w:sz w:val="20"/>
                <w:szCs w:val="20"/>
              </w:rPr>
            </w:pPr>
            <w:r w:rsidRPr="000D2A9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276A6EB5" w14:textId="77777777" w:rsidTr="00EF5DF3">
        <w:trPr>
          <w:cantSplit/>
        </w:trPr>
        <w:tc>
          <w:tcPr>
            <w:tcW w:w="2166" w:type="dxa"/>
            <w:shd w:val="clear" w:color="auto" w:fill="auto"/>
            <w:hideMark/>
          </w:tcPr>
          <w:p w14:paraId="79C04A7F" w14:textId="77777777" w:rsidR="00EF5DF3" w:rsidRPr="00487E1E" w:rsidRDefault="00EF5DF3" w:rsidP="00EF5DF3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1.2.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60F6D402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83043E3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EA962A2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339D4C3" w14:textId="512ADCF4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CA43D0C" w14:textId="37D0CE96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13C6A0BF" w14:textId="09CA145A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6117962" w14:textId="6648F8C1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3B4AF3D4" w14:textId="77777777" w:rsidTr="00EF5DF3">
        <w:trPr>
          <w:cantSplit/>
        </w:trPr>
        <w:tc>
          <w:tcPr>
            <w:tcW w:w="2166" w:type="dxa"/>
            <w:shd w:val="clear" w:color="auto" w:fill="auto"/>
            <w:hideMark/>
          </w:tcPr>
          <w:p w14:paraId="3925E1E2" w14:textId="77777777" w:rsidR="00EF5DF3" w:rsidRPr="00487E1E" w:rsidRDefault="00EF5DF3" w:rsidP="00EF5DF3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1.3.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7D57638E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C93313B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5D4549D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DBEDD02" w14:textId="746B6636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E3164A1" w14:textId="6092119A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37EE323B" w14:textId="287B7153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809CEAF" w14:textId="187BE2C0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45AF4384" w14:textId="77777777" w:rsidTr="00EF5DF3">
        <w:trPr>
          <w:cantSplit/>
          <w:trHeight w:val="538"/>
        </w:trPr>
        <w:tc>
          <w:tcPr>
            <w:tcW w:w="2166" w:type="dxa"/>
            <w:shd w:val="clear" w:color="auto" w:fill="auto"/>
            <w:hideMark/>
          </w:tcPr>
          <w:p w14:paraId="4578E734" w14:textId="77777777" w:rsidR="00EF5DF3" w:rsidRPr="00487E1E" w:rsidRDefault="00EF5DF3" w:rsidP="00EF5DF3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2. Budžeta izdevumi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4A4A91E7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9CC26DB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7FB7488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4B23822" w14:textId="573D2332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4204911" w14:textId="5EBA3B3A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459FED6A" w14:textId="22B75293" w:rsidR="00EF5DF3" w:rsidRPr="00487E1E" w:rsidRDefault="00EF5DF3" w:rsidP="00EF5DF3">
            <w:pPr>
              <w:jc w:val="center"/>
              <w:rPr>
                <w:sz w:val="20"/>
                <w:szCs w:val="20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363C5FD" w14:textId="63B6A309" w:rsidR="00EF5DF3" w:rsidRPr="00487E1E" w:rsidRDefault="00EF5DF3" w:rsidP="00EF5DF3">
            <w:pPr>
              <w:jc w:val="center"/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06E7C13D" w14:textId="77777777" w:rsidTr="00EF5DF3">
        <w:trPr>
          <w:cantSplit/>
          <w:trHeight w:val="589"/>
        </w:trPr>
        <w:tc>
          <w:tcPr>
            <w:tcW w:w="2166" w:type="dxa"/>
            <w:shd w:val="clear" w:color="auto" w:fill="auto"/>
            <w:hideMark/>
          </w:tcPr>
          <w:p w14:paraId="6FBDF92A" w14:textId="77777777" w:rsidR="00EF5DF3" w:rsidRPr="00487E1E" w:rsidRDefault="00EF5DF3" w:rsidP="00EF5DF3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2.1.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660CB4C5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07FD4CB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3132074" w14:textId="77777777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FD0B82A" w14:textId="5F7C1F7C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535FBAC" w14:textId="297F0AB2" w:rsidR="00EF5DF3" w:rsidRPr="00487E1E" w:rsidRDefault="00EF5DF3" w:rsidP="00EF5DF3">
            <w:pPr>
              <w:jc w:val="center"/>
              <w:rPr>
                <w:sz w:val="20"/>
                <w:szCs w:val="20"/>
                <w:lang w:eastAsia="en-US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6304DC36" w14:textId="6DE78793" w:rsidR="00EF5DF3" w:rsidRPr="00487E1E" w:rsidRDefault="00EF5DF3" w:rsidP="00EF5DF3">
            <w:pPr>
              <w:jc w:val="center"/>
              <w:rPr>
                <w:sz w:val="20"/>
                <w:szCs w:val="20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C80DE94" w14:textId="70996E74" w:rsidR="00EF5DF3" w:rsidRPr="00487E1E" w:rsidRDefault="00EF5DF3" w:rsidP="00EF5DF3">
            <w:pPr>
              <w:jc w:val="center"/>
              <w:rPr>
                <w:sz w:val="20"/>
                <w:szCs w:val="20"/>
              </w:rPr>
            </w:pPr>
            <w:r w:rsidRPr="00ED34A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7C2E65EA" w14:textId="77777777" w:rsidTr="00EF5DF3">
        <w:trPr>
          <w:cantSplit/>
          <w:trHeight w:val="498"/>
        </w:trPr>
        <w:tc>
          <w:tcPr>
            <w:tcW w:w="2166" w:type="dxa"/>
            <w:shd w:val="clear" w:color="auto" w:fill="auto"/>
            <w:hideMark/>
          </w:tcPr>
          <w:p w14:paraId="03ED031A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2.2.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369CA9ED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32FCCC1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BCED1EB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5857FAFD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424494DA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5C0F39F9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4F2FE9EF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3AE610CE" w14:textId="77777777" w:rsidTr="00EF5DF3">
        <w:trPr>
          <w:cantSplit/>
          <w:trHeight w:val="650"/>
        </w:trPr>
        <w:tc>
          <w:tcPr>
            <w:tcW w:w="2166" w:type="dxa"/>
            <w:shd w:val="clear" w:color="auto" w:fill="auto"/>
            <w:hideMark/>
          </w:tcPr>
          <w:p w14:paraId="1B08B806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2.3.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388874F4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5FB8603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D5104F7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28387CCE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A18B518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40E80D6B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2157A873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10EF4870" w14:textId="77777777" w:rsidTr="00EF5DF3">
        <w:trPr>
          <w:cantSplit/>
          <w:trHeight w:val="488"/>
        </w:trPr>
        <w:tc>
          <w:tcPr>
            <w:tcW w:w="2166" w:type="dxa"/>
            <w:shd w:val="clear" w:color="auto" w:fill="auto"/>
            <w:hideMark/>
          </w:tcPr>
          <w:p w14:paraId="271F7E30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3. Finansiālā ietekme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7E38B89F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10FAD03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16D32AB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453D9726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66DC5C27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2EC82BB8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50420CBB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7CE3C3DC" w14:textId="77777777" w:rsidTr="00EF5DF3">
        <w:trPr>
          <w:cantSplit/>
        </w:trPr>
        <w:tc>
          <w:tcPr>
            <w:tcW w:w="2166" w:type="dxa"/>
            <w:shd w:val="clear" w:color="auto" w:fill="auto"/>
            <w:hideMark/>
          </w:tcPr>
          <w:p w14:paraId="46BAB6BF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3.1.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040190DC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B1F08BC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09EF2B6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6CD1DE7F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4A5198B0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375B6231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47D2CBDD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152C0E03" w14:textId="77777777" w:rsidTr="00EF5DF3">
        <w:trPr>
          <w:cantSplit/>
          <w:trHeight w:val="404"/>
        </w:trPr>
        <w:tc>
          <w:tcPr>
            <w:tcW w:w="2166" w:type="dxa"/>
            <w:shd w:val="clear" w:color="auto" w:fill="auto"/>
            <w:hideMark/>
          </w:tcPr>
          <w:p w14:paraId="48DDC250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3.2.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7E744668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DBE11B2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FB9B4B5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62562B77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ECE5869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6D22885D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60D637EB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43EBE6AD" w14:textId="77777777" w:rsidTr="00EF5DF3">
        <w:trPr>
          <w:cantSplit/>
          <w:trHeight w:val="396"/>
        </w:trPr>
        <w:tc>
          <w:tcPr>
            <w:tcW w:w="2166" w:type="dxa"/>
            <w:shd w:val="clear" w:color="auto" w:fill="auto"/>
            <w:hideMark/>
          </w:tcPr>
          <w:p w14:paraId="5622422F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3.3.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7B51EEA5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13D2D86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30831A3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C6530C1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710C1D60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78CFCDBA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57146177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11909E9C" w14:textId="77777777" w:rsidTr="00EF5DF3">
        <w:trPr>
          <w:cantSplit/>
          <w:trHeight w:val="1894"/>
        </w:trPr>
        <w:tc>
          <w:tcPr>
            <w:tcW w:w="2166" w:type="dxa"/>
            <w:shd w:val="clear" w:color="auto" w:fill="auto"/>
            <w:hideMark/>
          </w:tcPr>
          <w:p w14:paraId="4BFD4986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4EFA68E1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7965959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DEEB4D3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299BE87B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5D328AC0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7701E04E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1E071A82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32EE0F69" w14:textId="77777777" w:rsidTr="00EF5DF3">
        <w:trPr>
          <w:cantSplit/>
        </w:trPr>
        <w:tc>
          <w:tcPr>
            <w:tcW w:w="2166" w:type="dxa"/>
            <w:shd w:val="clear" w:color="auto" w:fill="auto"/>
            <w:hideMark/>
          </w:tcPr>
          <w:p w14:paraId="74216EAE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5. Precizēta finansiālā ietekme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14:paraId="41A00943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3903984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14:paraId="3EFB3F31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47B40428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14:paraId="601045B3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6B4ED5B1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4A68D632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3CC1217C" w14:textId="77777777" w:rsidTr="00EF5DF3">
        <w:trPr>
          <w:cantSplit/>
        </w:trPr>
        <w:tc>
          <w:tcPr>
            <w:tcW w:w="2166" w:type="dxa"/>
            <w:shd w:val="clear" w:color="auto" w:fill="auto"/>
            <w:hideMark/>
          </w:tcPr>
          <w:p w14:paraId="71D2016A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5.1. valsts pamatbudžets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14:paraId="208D2A48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29BDFD9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14:paraId="10E783EB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CBC7A0F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14:paraId="05A340F5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62FFB09F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627B7C1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17EC7426" w14:textId="77777777" w:rsidTr="00EF5DF3">
        <w:trPr>
          <w:cantSplit/>
          <w:trHeight w:val="303"/>
        </w:trPr>
        <w:tc>
          <w:tcPr>
            <w:tcW w:w="2166" w:type="dxa"/>
            <w:shd w:val="clear" w:color="auto" w:fill="auto"/>
            <w:hideMark/>
          </w:tcPr>
          <w:p w14:paraId="582E58A1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5.2. speciālais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14:paraId="050AF661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09A8B35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14:paraId="13DB2AED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5A0A8230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14:paraId="60315F33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611E19B7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5ACD7ACA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2F7A9C33" w14:textId="77777777" w:rsidTr="00EF5DF3">
        <w:trPr>
          <w:cantSplit/>
        </w:trPr>
        <w:tc>
          <w:tcPr>
            <w:tcW w:w="2166" w:type="dxa"/>
            <w:shd w:val="clear" w:color="auto" w:fill="auto"/>
            <w:hideMark/>
          </w:tcPr>
          <w:p w14:paraId="65308455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5.3. pašvaldību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14:paraId="1151A95E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4DB31A0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14:paraId="680B7C9F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BB8D421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14:paraId="1CAEACD7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74296614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733E1362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  <w:r w:rsidRPr="00487E1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F5DF3" w:rsidRPr="00487E1E" w14:paraId="5CFDD3C4" w14:textId="77777777" w:rsidTr="00EF5DF3">
        <w:tc>
          <w:tcPr>
            <w:tcW w:w="2166" w:type="dxa"/>
            <w:shd w:val="clear" w:color="auto" w:fill="auto"/>
            <w:hideMark/>
          </w:tcPr>
          <w:p w14:paraId="0DC72546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045" w:type="dxa"/>
            <w:gridSpan w:val="8"/>
            <w:vMerge w:val="restart"/>
            <w:shd w:val="clear" w:color="auto" w:fill="auto"/>
            <w:vAlign w:val="center"/>
            <w:hideMark/>
          </w:tcPr>
          <w:p w14:paraId="00B62EB6" w14:textId="77777777" w:rsidR="00EF5DF3" w:rsidRPr="004E49F7" w:rsidRDefault="00EF5DF3" w:rsidP="00EF5DF3">
            <w:pPr>
              <w:pStyle w:val="ListParagraph"/>
              <w:tabs>
                <w:tab w:val="left" w:pos="317"/>
              </w:tabs>
              <w:ind w:left="34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4E49F7">
              <w:rPr>
                <w:rFonts w:eastAsia="Calibri"/>
                <w:iCs/>
                <w:color w:val="000000"/>
                <w:sz w:val="24"/>
                <w:szCs w:val="24"/>
              </w:rPr>
              <w:t xml:space="preserve">Saskaņā ar noteikumu projektu 8.2.4.SAM pieejamais kopējais  attiecināmais finansējums ir 1 438 512 </w:t>
            </w:r>
            <w:proofErr w:type="spellStart"/>
            <w:r w:rsidRPr="004E49F7">
              <w:rPr>
                <w:rFonts w:eastAsia="Calibri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4E49F7">
              <w:rPr>
                <w:rFonts w:eastAsia="Calibri"/>
                <w:iCs/>
                <w:color w:val="000000"/>
                <w:sz w:val="24"/>
                <w:szCs w:val="24"/>
              </w:rPr>
              <w:t xml:space="preserve">, tai skaitā Eiropas Sociālā fonda finansējums 1 222 735 </w:t>
            </w:r>
            <w:proofErr w:type="spellStart"/>
            <w:r w:rsidRPr="004E49F7">
              <w:rPr>
                <w:rFonts w:eastAsia="Calibri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4E49F7">
              <w:rPr>
                <w:rFonts w:eastAsia="Calibri"/>
                <w:iCs/>
                <w:color w:val="000000"/>
                <w:sz w:val="24"/>
                <w:szCs w:val="24"/>
              </w:rPr>
              <w:t xml:space="preserve"> un valsts budžeta finansējums 215 777 </w:t>
            </w:r>
            <w:proofErr w:type="spellStart"/>
            <w:r w:rsidRPr="004E49F7">
              <w:rPr>
                <w:rFonts w:eastAsia="Calibri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4E49F7">
              <w:rPr>
                <w:rFonts w:eastAsia="Calibri"/>
                <w:iCs/>
                <w:color w:val="000000"/>
                <w:sz w:val="24"/>
                <w:szCs w:val="24"/>
              </w:rPr>
              <w:t>.</w:t>
            </w:r>
          </w:p>
          <w:p w14:paraId="682AAD0B" w14:textId="77777777" w:rsidR="00EF5DF3" w:rsidRPr="004E49F7" w:rsidRDefault="00EF5DF3" w:rsidP="00EF5DF3">
            <w:pPr>
              <w:pStyle w:val="ListParagraph"/>
              <w:tabs>
                <w:tab w:val="left" w:pos="317"/>
              </w:tabs>
              <w:ind w:left="34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14:paraId="483D704A" w14:textId="77777777" w:rsidR="00EF5DF3" w:rsidRPr="004E49F7" w:rsidRDefault="00EF5DF3" w:rsidP="00EF5DF3">
            <w:pPr>
              <w:pStyle w:val="ListParagraph"/>
              <w:tabs>
                <w:tab w:val="left" w:pos="317"/>
              </w:tabs>
              <w:ind w:left="34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4E49F7">
              <w:rPr>
                <w:rFonts w:eastAsia="Calibri"/>
                <w:iCs/>
                <w:color w:val="000000"/>
                <w:sz w:val="24"/>
                <w:szCs w:val="24"/>
              </w:rPr>
              <w:t xml:space="preserve">Kopējā finansējuma sadalījums pa gadiem, ievērojot 8.2.4.SAM projekta īstenošanas termiņu: </w:t>
            </w:r>
            <w:r w:rsidRPr="0099123C">
              <w:rPr>
                <w:rFonts w:eastAsia="Calibri"/>
                <w:iCs/>
                <w:color w:val="000000"/>
                <w:sz w:val="24"/>
                <w:szCs w:val="24"/>
              </w:rPr>
              <w:t xml:space="preserve">2016.gadā 104 360,87 </w:t>
            </w:r>
            <w:proofErr w:type="spellStart"/>
            <w:r w:rsidRPr="0099123C">
              <w:rPr>
                <w:rFonts w:eastAsia="Calibri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99123C">
              <w:rPr>
                <w:rFonts w:eastAsia="Calibri"/>
                <w:iCs/>
                <w:color w:val="000000"/>
                <w:sz w:val="24"/>
                <w:szCs w:val="24"/>
              </w:rPr>
              <w:t xml:space="preserve">, 2017.gadā 462 837,30 </w:t>
            </w:r>
            <w:proofErr w:type="spellStart"/>
            <w:r w:rsidRPr="0099123C">
              <w:rPr>
                <w:rFonts w:eastAsia="Calibri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99123C">
              <w:rPr>
                <w:rFonts w:eastAsia="Calibri"/>
                <w:iCs/>
                <w:color w:val="000000"/>
                <w:sz w:val="24"/>
                <w:szCs w:val="24"/>
              </w:rPr>
              <w:t xml:space="preserve">, 2018.gadā 324 824,70 </w:t>
            </w:r>
            <w:proofErr w:type="spellStart"/>
            <w:r w:rsidRPr="0099123C">
              <w:rPr>
                <w:rFonts w:eastAsia="Calibri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99123C">
              <w:rPr>
                <w:rFonts w:eastAsia="Calibri"/>
                <w:iCs/>
                <w:color w:val="000000"/>
                <w:sz w:val="24"/>
                <w:szCs w:val="24"/>
              </w:rPr>
              <w:t xml:space="preserve">, 2019.gadā 546 489,13 </w:t>
            </w:r>
            <w:proofErr w:type="spellStart"/>
            <w:r w:rsidRPr="0099123C">
              <w:rPr>
                <w:rFonts w:eastAsia="Calibri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99123C">
              <w:rPr>
                <w:rFonts w:eastAsia="Calibri"/>
                <w:iCs/>
                <w:color w:val="000000"/>
                <w:sz w:val="24"/>
                <w:szCs w:val="24"/>
              </w:rPr>
              <w:t>.</w:t>
            </w:r>
          </w:p>
          <w:p w14:paraId="510236D1" w14:textId="7EB0183E" w:rsidR="00EF5DF3" w:rsidRPr="00487E1E" w:rsidRDefault="00EF5DF3" w:rsidP="00483E12">
            <w:pPr>
              <w:ind w:firstLine="720"/>
              <w:jc w:val="both"/>
              <w:rPr>
                <w:szCs w:val="20"/>
                <w:lang w:eastAsia="en-US"/>
              </w:rPr>
            </w:pPr>
          </w:p>
        </w:tc>
      </w:tr>
      <w:tr w:rsidR="00EF5DF3" w:rsidRPr="00487E1E" w14:paraId="18BE5472" w14:textId="77777777" w:rsidTr="00EF5DF3">
        <w:trPr>
          <w:cantSplit/>
        </w:trPr>
        <w:tc>
          <w:tcPr>
            <w:tcW w:w="2166" w:type="dxa"/>
            <w:shd w:val="clear" w:color="auto" w:fill="auto"/>
            <w:hideMark/>
          </w:tcPr>
          <w:p w14:paraId="10B1F4A7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6.1. detalizēts ieņēmumu aprēķins</w:t>
            </w:r>
          </w:p>
        </w:tc>
        <w:tc>
          <w:tcPr>
            <w:tcW w:w="7045" w:type="dxa"/>
            <w:gridSpan w:val="8"/>
            <w:vMerge/>
            <w:shd w:val="clear" w:color="auto" w:fill="auto"/>
            <w:vAlign w:val="center"/>
            <w:hideMark/>
          </w:tcPr>
          <w:p w14:paraId="1603541B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5DF3" w:rsidRPr="00487E1E" w14:paraId="4AE45276" w14:textId="77777777" w:rsidTr="00EF5DF3">
        <w:tc>
          <w:tcPr>
            <w:tcW w:w="2166" w:type="dxa"/>
            <w:shd w:val="clear" w:color="auto" w:fill="auto"/>
            <w:hideMark/>
          </w:tcPr>
          <w:p w14:paraId="58BA5B93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6.2. detalizēts izdevumu aprēķins</w:t>
            </w:r>
          </w:p>
        </w:tc>
        <w:tc>
          <w:tcPr>
            <w:tcW w:w="7045" w:type="dxa"/>
            <w:gridSpan w:val="8"/>
            <w:vMerge/>
            <w:shd w:val="clear" w:color="auto" w:fill="auto"/>
            <w:vAlign w:val="center"/>
            <w:hideMark/>
          </w:tcPr>
          <w:p w14:paraId="0057FF28" w14:textId="77777777" w:rsidR="00EF5DF3" w:rsidRPr="00487E1E" w:rsidRDefault="00EF5DF3" w:rsidP="00483E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5DF3" w:rsidRPr="00487E1E" w14:paraId="69B7B4EA" w14:textId="77777777" w:rsidTr="00EF5DF3">
        <w:trPr>
          <w:cantSplit/>
        </w:trPr>
        <w:tc>
          <w:tcPr>
            <w:tcW w:w="2166" w:type="dxa"/>
            <w:shd w:val="clear" w:color="auto" w:fill="auto"/>
            <w:hideMark/>
          </w:tcPr>
          <w:p w14:paraId="343C43CC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7. Amata vietu skaita izmaiņas</w:t>
            </w:r>
          </w:p>
        </w:tc>
        <w:tc>
          <w:tcPr>
            <w:tcW w:w="7045" w:type="dxa"/>
            <w:gridSpan w:val="8"/>
            <w:shd w:val="clear" w:color="auto" w:fill="auto"/>
            <w:hideMark/>
          </w:tcPr>
          <w:p w14:paraId="0701C38D" w14:textId="42977CD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E49F7">
              <w:rPr>
                <w:iCs/>
                <w:color w:val="000000"/>
              </w:rPr>
              <w:t>Noteikumu projekts šo jomu neskar.</w:t>
            </w:r>
          </w:p>
        </w:tc>
      </w:tr>
      <w:tr w:rsidR="00EF5DF3" w:rsidRPr="00487E1E" w14:paraId="631AF709" w14:textId="77777777" w:rsidTr="00EF5DF3">
        <w:trPr>
          <w:cantSplit/>
        </w:trPr>
        <w:tc>
          <w:tcPr>
            <w:tcW w:w="2166" w:type="dxa"/>
            <w:shd w:val="clear" w:color="auto" w:fill="auto"/>
            <w:hideMark/>
          </w:tcPr>
          <w:p w14:paraId="47A453CB" w14:textId="77777777" w:rsidR="00EF5DF3" w:rsidRPr="00487E1E" w:rsidRDefault="00EF5DF3" w:rsidP="00483E12">
            <w:pPr>
              <w:rPr>
                <w:szCs w:val="20"/>
                <w:lang w:eastAsia="en-US"/>
              </w:rPr>
            </w:pPr>
            <w:r w:rsidRPr="00487E1E">
              <w:rPr>
                <w:szCs w:val="20"/>
                <w:lang w:eastAsia="en-US"/>
              </w:rPr>
              <w:t>8. Cita informācija</w:t>
            </w:r>
          </w:p>
        </w:tc>
        <w:tc>
          <w:tcPr>
            <w:tcW w:w="7045" w:type="dxa"/>
            <w:gridSpan w:val="8"/>
            <w:shd w:val="clear" w:color="auto" w:fill="auto"/>
            <w:hideMark/>
          </w:tcPr>
          <w:p w14:paraId="062F63F9" w14:textId="2351B8C4" w:rsidR="00EF5DF3" w:rsidRPr="00487E1E" w:rsidRDefault="00EF5DF3" w:rsidP="00483E12">
            <w:pPr>
              <w:jc w:val="both"/>
              <w:rPr>
                <w:szCs w:val="20"/>
                <w:lang w:eastAsia="en-US"/>
              </w:rPr>
            </w:pPr>
            <w:r w:rsidRPr="004E49F7">
              <w:rPr>
                <w:rFonts w:eastAsia="Times New Roman"/>
                <w:lang w:bidi="lo-LA"/>
              </w:rPr>
              <w:t>Nav.</w:t>
            </w:r>
          </w:p>
        </w:tc>
      </w:tr>
    </w:tbl>
    <w:p w14:paraId="50D45435" w14:textId="77777777" w:rsidR="006109C0" w:rsidRPr="004E49F7" w:rsidRDefault="006109C0" w:rsidP="001351FC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"/>
        <w:gridCol w:w="1865"/>
        <w:gridCol w:w="6948"/>
      </w:tblGrid>
      <w:tr w:rsidR="00ED6931" w:rsidRPr="004E49F7" w14:paraId="6778D632" w14:textId="77777777" w:rsidTr="00DB3879">
        <w:tc>
          <w:tcPr>
            <w:tcW w:w="9209" w:type="dxa"/>
            <w:gridSpan w:val="3"/>
          </w:tcPr>
          <w:p w14:paraId="51669542" w14:textId="77777777" w:rsidR="003C2699" w:rsidRPr="004E49F7" w:rsidRDefault="00B650B7" w:rsidP="001351FC">
            <w:pPr>
              <w:jc w:val="center"/>
              <w:rPr>
                <w:b/>
              </w:rPr>
            </w:pPr>
            <w:r w:rsidRPr="004E49F7">
              <w:rPr>
                <w:b/>
              </w:rPr>
              <w:t>IV.</w:t>
            </w:r>
            <w:r w:rsidRPr="004E49F7">
              <w:t xml:space="preserve"> </w:t>
            </w:r>
            <w:r w:rsidRPr="004E49F7">
              <w:rPr>
                <w:b/>
              </w:rPr>
              <w:t>Tiesību akta projekta ietekme uz spēkā esošo tiesību normu sistēmu</w:t>
            </w:r>
          </w:p>
        </w:tc>
      </w:tr>
      <w:tr w:rsidR="00ED6931" w:rsidRPr="004E49F7" w14:paraId="1C078EE5" w14:textId="77777777" w:rsidTr="001522EB">
        <w:tc>
          <w:tcPr>
            <w:tcW w:w="396" w:type="dxa"/>
          </w:tcPr>
          <w:p w14:paraId="21BE3879" w14:textId="77777777" w:rsidR="00DF4080" w:rsidRPr="004E49F7" w:rsidRDefault="00B650B7" w:rsidP="001351FC">
            <w:r w:rsidRPr="004E49F7">
              <w:t>1.</w:t>
            </w:r>
          </w:p>
        </w:tc>
        <w:tc>
          <w:tcPr>
            <w:tcW w:w="1865" w:type="dxa"/>
          </w:tcPr>
          <w:p w14:paraId="19893A8C" w14:textId="77777777" w:rsidR="00DF4080" w:rsidRPr="004E49F7" w:rsidRDefault="00B650B7" w:rsidP="001351FC">
            <w:r w:rsidRPr="004E49F7">
              <w:t>Nepieciešamie saistītie tiesību aktu projekti</w:t>
            </w:r>
          </w:p>
        </w:tc>
        <w:tc>
          <w:tcPr>
            <w:tcW w:w="6948" w:type="dxa"/>
          </w:tcPr>
          <w:p w14:paraId="4097D65D" w14:textId="7C898D77" w:rsidR="00DF4080" w:rsidRPr="004E49F7" w:rsidRDefault="00D11C56" w:rsidP="00CA3A4A">
            <w:pPr>
              <w:jc w:val="both"/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  <w:r w:rsidRPr="004E49F7">
              <w:rPr>
                <w:iCs/>
                <w:color w:val="000000"/>
              </w:rPr>
              <w:t>Noteikumu projekts šo jomu neskar.</w:t>
            </w:r>
          </w:p>
        </w:tc>
      </w:tr>
      <w:tr w:rsidR="00ED6931" w:rsidRPr="004E49F7" w14:paraId="50FD0331" w14:textId="77777777" w:rsidTr="00E74F9D">
        <w:trPr>
          <w:trHeight w:val="587"/>
        </w:trPr>
        <w:tc>
          <w:tcPr>
            <w:tcW w:w="396" w:type="dxa"/>
          </w:tcPr>
          <w:p w14:paraId="6901AA40" w14:textId="77777777" w:rsidR="00DF4080" w:rsidRPr="004E49F7" w:rsidRDefault="00B650B7" w:rsidP="001351FC">
            <w:r w:rsidRPr="004E49F7">
              <w:t>2.</w:t>
            </w:r>
          </w:p>
        </w:tc>
        <w:tc>
          <w:tcPr>
            <w:tcW w:w="1865" w:type="dxa"/>
          </w:tcPr>
          <w:p w14:paraId="7FED48E4" w14:textId="77777777" w:rsidR="00DF4080" w:rsidRPr="004E49F7" w:rsidRDefault="00B650B7" w:rsidP="001351FC">
            <w:r w:rsidRPr="004E49F7">
              <w:t>Atbildīgā institūcija</w:t>
            </w:r>
          </w:p>
        </w:tc>
        <w:tc>
          <w:tcPr>
            <w:tcW w:w="6948" w:type="dxa"/>
          </w:tcPr>
          <w:p w14:paraId="4D124565" w14:textId="031513D2" w:rsidR="00DF4080" w:rsidRPr="004E49F7" w:rsidRDefault="00D11C56" w:rsidP="001351FC">
            <w:r w:rsidRPr="004E49F7">
              <w:rPr>
                <w:iCs/>
                <w:color w:val="000000"/>
              </w:rPr>
              <w:t>Noteikumu projekts šo jomu neskar.</w:t>
            </w:r>
          </w:p>
        </w:tc>
      </w:tr>
      <w:tr w:rsidR="00ED6931" w:rsidRPr="004E49F7" w14:paraId="31A9F9CF" w14:textId="77777777" w:rsidTr="00E74F9D">
        <w:tc>
          <w:tcPr>
            <w:tcW w:w="396" w:type="dxa"/>
          </w:tcPr>
          <w:p w14:paraId="15703DEE" w14:textId="77777777" w:rsidR="00DF4080" w:rsidRPr="004E49F7" w:rsidRDefault="00B650B7" w:rsidP="001351FC">
            <w:r w:rsidRPr="004E49F7">
              <w:t>3.</w:t>
            </w:r>
          </w:p>
        </w:tc>
        <w:tc>
          <w:tcPr>
            <w:tcW w:w="1865" w:type="dxa"/>
          </w:tcPr>
          <w:p w14:paraId="0E047FBF" w14:textId="77777777" w:rsidR="00DF4080" w:rsidRPr="004E49F7" w:rsidRDefault="00B650B7" w:rsidP="001351FC">
            <w:r w:rsidRPr="004E49F7">
              <w:t>Cita informācija</w:t>
            </w:r>
          </w:p>
        </w:tc>
        <w:tc>
          <w:tcPr>
            <w:tcW w:w="6948" w:type="dxa"/>
            <w:shd w:val="clear" w:color="auto" w:fill="auto"/>
          </w:tcPr>
          <w:p w14:paraId="5DA58346" w14:textId="45C7624A" w:rsidR="003F61CB" w:rsidRPr="004E49F7" w:rsidRDefault="00D11C56" w:rsidP="004E49F7">
            <w:pPr>
              <w:jc w:val="both"/>
            </w:pPr>
            <w:r w:rsidRPr="004E49F7">
              <w:rPr>
                <w:rFonts w:eastAsia="Times New Roman"/>
                <w:lang w:bidi="lo-LA"/>
              </w:rPr>
              <w:t>Nav.</w:t>
            </w:r>
          </w:p>
        </w:tc>
      </w:tr>
    </w:tbl>
    <w:p w14:paraId="60E14AD2" w14:textId="77777777" w:rsidR="00DF4080" w:rsidRPr="004E49F7" w:rsidRDefault="00DF4080" w:rsidP="001351FC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D6931" w:rsidRPr="004E49F7" w14:paraId="2B6C0A2D" w14:textId="77777777" w:rsidTr="001351FC">
        <w:trPr>
          <w:trHeight w:val="421"/>
        </w:trPr>
        <w:tc>
          <w:tcPr>
            <w:tcW w:w="9214" w:type="dxa"/>
            <w:vAlign w:val="center"/>
          </w:tcPr>
          <w:p w14:paraId="3E004536" w14:textId="77777777" w:rsidR="000952B3" w:rsidRPr="004E49F7" w:rsidRDefault="00B650B7" w:rsidP="001351F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4E49F7">
              <w:rPr>
                <w:b/>
              </w:rPr>
              <w:t xml:space="preserve">V. </w:t>
            </w:r>
            <w:r w:rsidRPr="004E49F7">
              <w:rPr>
                <w:b/>
                <w:color w:val="000000"/>
              </w:rPr>
              <w:t>Tiesību akta projekta atbilstība Latvijas Republikas starptautiskajām saistībām</w:t>
            </w:r>
          </w:p>
        </w:tc>
      </w:tr>
      <w:tr w:rsidR="00ED6931" w:rsidRPr="004E49F7" w14:paraId="2812767A" w14:textId="77777777" w:rsidTr="001351FC">
        <w:trPr>
          <w:trHeight w:val="421"/>
        </w:trPr>
        <w:tc>
          <w:tcPr>
            <w:tcW w:w="9214" w:type="dxa"/>
            <w:vAlign w:val="center"/>
          </w:tcPr>
          <w:p w14:paraId="6ACF26DA" w14:textId="77777777" w:rsidR="00DF4080" w:rsidRPr="004E49F7" w:rsidRDefault="00B650B7" w:rsidP="001351F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4E49F7">
              <w:t>Noteikumu projekts šo jomu neskar.</w:t>
            </w:r>
          </w:p>
        </w:tc>
      </w:tr>
    </w:tbl>
    <w:p w14:paraId="6757F4C5" w14:textId="77777777" w:rsidR="000952B3" w:rsidRPr="004E49F7" w:rsidRDefault="000952B3" w:rsidP="001351FC">
      <w:pPr>
        <w:tabs>
          <w:tab w:val="left" w:pos="3382"/>
        </w:tabs>
        <w:rPr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815"/>
        <w:gridCol w:w="6094"/>
      </w:tblGrid>
      <w:tr w:rsidR="00ED6931" w:rsidRPr="004E49F7" w14:paraId="63D312AF" w14:textId="77777777" w:rsidTr="00F141B3">
        <w:trPr>
          <w:trHeight w:val="421"/>
        </w:trPr>
        <w:tc>
          <w:tcPr>
            <w:tcW w:w="9214" w:type="dxa"/>
            <w:gridSpan w:val="3"/>
            <w:vAlign w:val="center"/>
          </w:tcPr>
          <w:p w14:paraId="34560A3A" w14:textId="77777777" w:rsidR="000952B3" w:rsidRPr="004E49F7" w:rsidRDefault="00B650B7" w:rsidP="001351F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4E49F7">
              <w:rPr>
                <w:b/>
              </w:rPr>
              <w:t>VI. Sabiedrības līdzdalība un komunikācijas aktivitātes</w:t>
            </w:r>
          </w:p>
        </w:tc>
      </w:tr>
      <w:tr w:rsidR="00ED6931" w:rsidRPr="004E49F7" w14:paraId="708744C5" w14:textId="77777777" w:rsidTr="00F141B3">
        <w:trPr>
          <w:trHeight w:val="553"/>
        </w:trPr>
        <w:tc>
          <w:tcPr>
            <w:tcW w:w="183" w:type="dxa"/>
          </w:tcPr>
          <w:p w14:paraId="3380A595" w14:textId="77777777" w:rsidR="004D5248" w:rsidRPr="004E49F7" w:rsidRDefault="00B650B7" w:rsidP="001351FC">
            <w:pPr>
              <w:ind w:left="57" w:right="57"/>
              <w:jc w:val="both"/>
              <w:rPr>
                <w:bCs/>
              </w:rPr>
            </w:pPr>
            <w:r w:rsidRPr="004E49F7">
              <w:rPr>
                <w:bCs/>
              </w:rPr>
              <w:t>1.</w:t>
            </w:r>
          </w:p>
        </w:tc>
        <w:tc>
          <w:tcPr>
            <w:tcW w:w="2842" w:type="dxa"/>
          </w:tcPr>
          <w:p w14:paraId="695D0F15" w14:textId="77777777" w:rsidR="004D5248" w:rsidRPr="004E49F7" w:rsidRDefault="00B650B7" w:rsidP="001351FC">
            <w:pPr>
              <w:tabs>
                <w:tab w:val="left" w:pos="170"/>
              </w:tabs>
              <w:ind w:left="57" w:right="57"/>
            </w:pPr>
            <w:r w:rsidRPr="004E49F7">
              <w:t>Plānotās sabiedrības līdzdalības un komunikācijas aktivitātes saistībā ar projektu</w:t>
            </w:r>
          </w:p>
        </w:tc>
        <w:tc>
          <w:tcPr>
            <w:tcW w:w="6189" w:type="dxa"/>
          </w:tcPr>
          <w:p w14:paraId="32187D2F" w14:textId="7A4B9A8F" w:rsidR="004D5248" w:rsidRPr="00D11C56" w:rsidRDefault="00CA3AA7" w:rsidP="00E52355">
            <w:pPr>
              <w:ind w:left="94" w:right="142"/>
              <w:jc w:val="both"/>
              <w:rPr>
                <w:highlight w:val="yellow"/>
              </w:rPr>
            </w:pPr>
            <w:bookmarkStart w:id="0" w:name="p61"/>
            <w:bookmarkEnd w:id="0"/>
            <w:r w:rsidRPr="004E49F7">
              <w:t>Noteikumu projekts šo jomu neskar.</w:t>
            </w:r>
          </w:p>
        </w:tc>
      </w:tr>
      <w:tr w:rsidR="00ED6931" w:rsidRPr="004E49F7" w14:paraId="68BD6DB8" w14:textId="77777777" w:rsidTr="00F141B3">
        <w:trPr>
          <w:trHeight w:val="339"/>
        </w:trPr>
        <w:tc>
          <w:tcPr>
            <w:tcW w:w="183" w:type="dxa"/>
          </w:tcPr>
          <w:p w14:paraId="10662B76" w14:textId="77777777" w:rsidR="004D5248" w:rsidRPr="004E49F7" w:rsidRDefault="00B650B7" w:rsidP="001351FC">
            <w:pPr>
              <w:ind w:left="57" w:right="57"/>
              <w:jc w:val="both"/>
              <w:rPr>
                <w:bCs/>
              </w:rPr>
            </w:pPr>
            <w:r w:rsidRPr="004E49F7">
              <w:rPr>
                <w:bCs/>
              </w:rPr>
              <w:t>2.</w:t>
            </w:r>
          </w:p>
        </w:tc>
        <w:tc>
          <w:tcPr>
            <w:tcW w:w="2842" w:type="dxa"/>
          </w:tcPr>
          <w:p w14:paraId="3A9E04F1" w14:textId="77777777" w:rsidR="004D5248" w:rsidRPr="004E49F7" w:rsidRDefault="00B650B7" w:rsidP="001351FC">
            <w:pPr>
              <w:ind w:left="57" w:right="57"/>
            </w:pPr>
            <w:r w:rsidRPr="004E49F7">
              <w:t>Sabiedrības līdzdalība projekta izstrādē</w:t>
            </w:r>
          </w:p>
        </w:tc>
        <w:tc>
          <w:tcPr>
            <w:tcW w:w="6189" w:type="dxa"/>
          </w:tcPr>
          <w:p w14:paraId="5B30586E" w14:textId="54A38384" w:rsidR="004D5248" w:rsidRPr="00D11C56" w:rsidRDefault="00FC6348" w:rsidP="00FC6348">
            <w:pPr>
              <w:shd w:val="clear" w:color="auto" w:fill="FFFFFF"/>
              <w:ind w:left="94" w:right="57"/>
              <w:jc w:val="both"/>
              <w:rPr>
                <w:rFonts w:eastAsia="Times New Roman"/>
                <w:b/>
                <w:iCs/>
                <w:highlight w:val="yellow"/>
              </w:rPr>
            </w:pPr>
            <w:bookmarkStart w:id="1" w:name="p62"/>
            <w:bookmarkEnd w:id="1"/>
            <w:r>
              <w:t xml:space="preserve">AIC sniedza priekšlikumus grozījumu veikšanai  </w:t>
            </w:r>
            <w:r>
              <w:rPr>
                <w:rFonts w:eastAsiaTheme="minorHAnsi" w:cstheme="minorBidi"/>
                <w:lang w:eastAsia="en-US"/>
              </w:rPr>
              <w:t>8.2.4.SAM MK noteikumos.</w:t>
            </w:r>
          </w:p>
        </w:tc>
      </w:tr>
      <w:tr w:rsidR="00ED6931" w:rsidRPr="004E49F7" w14:paraId="2CF4B141" w14:textId="77777777" w:rsidTr="00F141B3">
        <w:trPr>
          <w:trHeight w:val="476"/>
        </w:trPr>
        <w:tc>
          <w:tcPr>
            <w:tcW w:w="183" w:type="dxa"/>
          </w:tcPr>
          <w:p w14:paraId="46270C0D" w14:textId="77777777" w:rsidR="004D5248" w:rsidRPr="004E49F7" w:rsidRDefault="00B650B7" w:rsidP="001351FC">
            <w:pPr>
              <w:ind w:left="57" w:right="57"/>
              <w:jc w:val="both"/>
              <w:rPr>
                <w:bCs/>
              </w:rPr>
            </w:pPr>
            <w:r w:rsidRPr="004E49F7">
              <w:rPr>
                <w:bCs/>
              </w:rPr>
              <w:t>3.</w:t>
            </w:r>
          </w:p>
        </w:tc>
        <w:tc>
          <w:tcPr>
            <w:tcW w:w="2842" w:type="dxa"/>
          </w:tcPr>
          <w:p w14:paraId="63063140" w14:textId="77777777" w:rsidR="004D5248" w:rsidRPr="004E49F7" w:rsidRDefault="00B650B7" w:rsidP="001351FC">
            <w:pPr>
              <w:ind w:left="57" w:right="57"/>
            </w:pPr>
            <w:r w:rsidRPr="004E49F7">
              <w:t>Sabiedrības līdzdalības rezultāti</w:t>
            </w:r>
          </w:p>
        </w:tc>
        <w:tc>
          <w:tcPr>
            <w:tcW w:w="6189" w:type="dxa"/>
          </w:tcPr>
          <w:p w14:paraId="7F9C5EFB" w14:textId="61881660" w:rsidR="004D5248" w:rsidRPr="00D11C56" w:rsidRDefault="00067E9E" w:rsidP="00FC6348">
            <w:pPr>
              <w:shd w:val="clear" w:color="auto" w:fill="FFFFFF"/>
              <w:tabs>
                <w:tab w:val="left" w:pos="878"/>
              </w:tabs>
              <w:ind w:left="94" w:right="57"/>
              <w:jc w:val="both"/>
              <w:rPr>
                <w:highlight w:val="yellow"/>
              </w:rPr>
            </w:pPr>
            <w:r w:rsidRPr="00FC6348">
              <w:t>AIC</w:t>
            </w:r>
            <w:r w:rsidR="00856FD9" w:rsidRPr="00FC6348">
              <w:t xml:space="preserve"> </w:t>
            </w:r>
            <w:r w:rsidR="004B4AB8" w:rsidRPr="00FC6348">
              <w:t xml:space="preserve">izteiktie priekšlikumi </w:t>
            </w:r>
            <w:r w:rsidR="00FC6348">
              <w:t xml:space="preserve">par nepieciešamību pagarināt projekta īstenošanas termiņu </w:t>
            </w:r>
            <w:r w:rsidR="004B4AB8" w:rsidRPr="00FC6348">
              <w:t>tik</w:t>
            </w:r>
            <w:r w:rsidRPr="00FC6348">
              <w:t>a</w:t>
            </w:r>
            <w:r w:rsidR="004B4AB8" w:rsidRPr="00FC6348">
              <w:t xml:space="preserve"> analizēti un </w:t>
            </w:r>
            <w:r w:rsidRPr="00FC6348">
              <w:t xml:space="preserve">ir </w:t>
            </w:r>
            <w:r w:rsidR="004B4AB8" w:rsidRPr="00FC6348">
              <w:t>iestrādāti noteikumu projektā.</w:t>
            </w:r>
          </w:p>
        </w:tc>
      </w:tr>
      <w:tr w:rsidR="00ED6931" w:rsidRPr="004E49F7" w14:paraId="73E5606D" w14:textId="77777777" w:rsidTr="00F141B3">
        <w:trPr>
          <w:trHeight w:val="205"/>
        </w:trPr>
        <w:tc>
          <w:tcPr>
            <w:tcW w:w="183" w:type="dxa"/>
          </w:tcPr>
          <w:p w14:paraId="4240DE02" w14:textId="77777777" w:rsidR="004D5248" w:rsidRPr="004E49F7" w:rsidRDefault="00B650B7" w:rsidP="001351FC">
            <w:pPr>
              <w:ind w:left="57" w:right="57"/>
              <w:jc w:val="both"/>
              <w:rPr>
                <w:bCs/>
              </w:rPr>
            </w:pPr>
            <w:r w:rsidRPr="004E49F7">
              <w:rPr>
                <w:bCs/>
              </w:rPr>
              <w:t>4.</w:t>
            </w:r>
          </w:p>
        </w:tc>
        <w:tc>
          <w:tcPr>
            <w:tcW w:w="2842" w:type="dxa"/>
          </w:tcPr>
          <w:p w14:paraId="4D91D2EF" w14:textId="77777777" w:rsidR="004D5248" w:rsidRPr="004E49F7" w:rsidRDefault="00B650B7" w:rsidP="001351FC">
            <w:pPr>
              <w:ind w:left="57" w:right="57"/>
            </w:pPr>
            <w:r w:rsidRPr="004E49F7">
              <w:t>Cita informācija</w:t>
            </w:r>
          </w:p>
        </w:tc>
        <w:tc>
          <w:tcPr>
            <w:tcW w:w="6189" w:type="dxa"/>
          </w:tcPr>
          <w:p w14:paraId="6E55FD5A" w14:textId="77777777" w:rsidR="004D5248" w:rsidRPr="004E49F7" w:rsidRDefault="00B650B7" w:rsidP="001351FC">
            <w:pPr>
              <w:ind w:left="57" w:right="113" w:firstLine="37"/>
              <w:jc w:val="both"/>
            </w:pPr>
            <w:r w:rsidRPr="004E49F7">
              <w:t>Nav.</w:t>
            </w:r>
          </w:p>
        </w:tc>
      </w:tr>
    </w:tbl>
    <w:p w14:paraId="41B123D1" w14:textId="77777777" w:rsidR="000952B3" w:rsidRPr="004E49F7" w:rsidRDefault="000952B3" w:rsidP="001351FC">
      <w:pPr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3173"/>
        <w:gridCol w:w="5736"/>
      </w:tblGrid>
      <w:tr w:rsidR="00ED6931" w:rsidRPr="004E49F7" w14:paraId="01A2BDF2" w14:textId="77777777" w:rsidTr="00F141B3">
        <w:trPr>
          <w:trHeight w:val="421"/>
        </w:trPr>
        <w:tc>
          <w:tcPr>
            <w:tcW w:w="9214" w:type="dxa"/>
            <w:gridSpan w:val="3"/>
            <w:vAlign w:val="center"/>
          </w:tcPr>
          <w:p w14:paraId="43B7EA42" w14:textId="77777777" w:rsidR="000952B3" w:rsidRPr="004E49F7" w:rsidRDefault="00B650B7" w:rsidP="001351F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4E49F7">
              <w:rPr>
                <w:b/>
              </w:rPr>
              <w:t>VII. Tiesību akta projekta izpildes nodrošināšana un tās ietekme uz institūcijām</w:t>
            </w:r>
          </w:p>
        </w:tc>
      </w:tr>
      <w:tr w:rsidR="00ED6931" w:rsidRPr="004E49F7" w14:paraId="4802C351" w14:textId="77777777" w:rsidTr="00F141B3">
        <w:trPr>
          <w:trHeight w:val="553"/>
        </w:trPr>
        <w:tc>
          <w:tcPr>
            <w:tcW w:w="201" w:type="dxa"/>
          </w:tcPr>
          <w:p w14:paraId="5B5DA9D4" w14:textId="77777777" w:rsidR="000952B3" w:rsidRPr="004E49F7" w:rsidRDefault="00B650B7" w:rsidP="001351FC">
            <w:pPr>
              <w:ind w:left="57" w:right="57"/>
              <w:jc w:val="both"/>
              <w:rPr>
                <w:bCs/>
              </w:rPr>
            </w:pPr>
            <w:r w:rsidRPr="004E49F7">
              <w:rPr>
                <w:bCs/>
              </w:rPr>
              <w:t>1.</w:t>
            </w:r>
          </w:p>
        </w:tc>
        <w:tc>
          <w:tcPr>
            <w:tcW w:w="3201" w:type="dxa"/>
          </w:tcPr>
          <w:p w14:paraId="33491DB5" w14:textId="77777777" w:rsidR="000952B3" w:rsidRPr="004E49F7" w:rsidRDefault="00B650B7" w:rsidP="001351FC">
            <w:pPr>
              <w:ind w:left="57" w:right="57"/>
            </w:pPr>
            <w:r w:rsidRPr="004E49F7">
              <w:t>Projekta izpildē iesaistītās institūcijas</w:t>
            </w:r>
          </w:p>
        </w:tc>
        <w:tc>
          <w:tcPr>
            <w:tcW w:w="5812" w:type="dxa"/>
          </w:tcPr>
          <w:p w14:paraId="17057914" w14:textId="41744878" w:rsidR="000952B3" w:rsidRPr="004E49F7" w:rsidRDefault="00B650B7" w:rsidP="00FD487B">
            <w:pPr>
              <w:shd w:val="clear" w:color="auto" w:fill="FFFFFF"/>
              <w:ind w:left="57" w:right="113"/>
              <w:jc w:val="both"/>
            </w:pPr>
            <w:r w:rsidRPr="004E49F7">
              <w:t xml:space="preserve">IZM, CFLA, </w:t>
            </w:r>
            <w:r w:rsidR="00FD487B" w:rsidRPr="004E49F7">
              <w:rPr>
                <w:rFonts w:eastAsia="Times New Roman"/>
              </w:rPr>
              <w:t>AIC</w:t>
            </w:r>
            <w:r w:rsidR="00521075" w:rsidRPr="004E49F7">
              <w:rPr>
                <w:rFonts w:eastAsia="Times New Roman"/>
              </w:rPr>
              <w:t>.</w:t>
            </w:r>
          </w:p>
        </w:tc>
      </w:tr>
      <w:tr w:rsidR="00ED6931" w:rsidRPr="004E49F7" w14:paraId="4F24F579" w14:textId="77777777" w:rsidTr="00F141B3">
        <w:trPr>
          <w:trHeight w:val="339"/>
        </w:trPr>
        <w:tc>
          <w:tcPr>
            <w:tcW w:w="201" w:type="dxa"/>
          </w:tcPr>
          <w:p w14:paraId="2D0BC61B" w14:textId="77777777" w:rsidR="000952B3" w:rsidRPr="004E49F7" w:rsidRDefault="00B650B7" w:rsidP="001351FC">
            <w:pPr>
              <w:ind w:left="57" w:right="57"/>
              <w:jc w:val="both"/>
              <w:rPr>
                <w:bCs/>
              </w:rPr>
            </w:pPr>
            <w:r w:rsidRPr="004E49F7">
              <w:rPr>
                <w:bCs/>
              </w:rPr>
              <w:t>2.</w:t>
            </w:r>
          </w:p>
        </w:tc>
        <w:tc>
          <w:tcPr>
            <w:tcW w:w="3201" w:type="dxa"/>
          </w:tcPr>
          <w:p w14:paraId="37BBBED2" w14:textId="77777777" w:rsidR="000952B3" w:rsidRPr="004E49F7" w:rsidRDefault="00B650B7" w:rsidP="001351FC">
            <w:pPr>
              <w:ind w:left="57" w:right="57"/>
            </w:pPr>
            <w:r w:rsidRPr="004E49F7">
              <w:t xml:space="preserve">Projekta izpildes ietekme uz pārvaldes funkcijām un institucionālo struktūru. </w:t>
            </w:r>
          </w:p>
          <w:p w14:paraId="38943CEE" w14:textId="77777777" w:rsidR="000952B3" w:rsidRPr="004E49F7" w:rsidRDefault="00B650B7" w:rsidP="001351FC">
            <w:pPr>
              <w:ind w:left="57" w:right="57"/>
            </w:pPr>
            <w:r w:rsidRPr="004E49F7">
              <w:t>Jaunu institūciju izveide, esošu institūciju likvidācija vai reorganizācija, to ietekme uz institūcijas cilvēkresursiem</w:t>
            </w:r>
          </w:p>
        </w:tc>
        <w:tc>
          <w:tcPr>
            <w:tcW w:w="5812" w:type="dxa"/>
          </w:tcPr>
          <w:p w14:paraId="780F7304" w14:textId="77777777" w:rsidR="004B4AB8" w:rsidRPr="004E49F7" w:rsidRDefault="004B4AB8" w:rsidP="004B4AB8">
            <w:pPr>
              <w:spacing w:before="100" w:beforeAutospacing="1" w:after="100" w:afterAutospacing="1"/>
              <w:ind w:left="57"/>
              <w:jc w:val="both"/>
              <w:rPr>
                <w:rFonts w:eastAsia="Times New Roman"/>
                <w:color w:val="000000" w:themeColor="text1"/>
              </w:rPr>
            </w:pPr>
            <w:r w:rsidRPr="004E49F7">
              <w:rPr>
                <w:color w:val="000000" w:themeColor="text1"/>
              </w:rPr>
              <w:t xml:space="preserve">Noteikumu projektam nav ietekmes uz </w:t>
            </w:r>
            <w:r w:rsidRPr="004E49F7">
              <w:t>pārvaldes funkcijām un institucionālo struktūru</w:t>
            </w:r>
            <w:r w:rsidRPr="004E49F7">
              <w:rPr>
                <w:color w:val="000000" w:themeColor="text1"/>
              </w:rPr>
              <w:t>.</w:t>
            </w:r>
          </w:p>
          <w:p w14:paraId="29F24A9B" w14:textId="250421BD" w:rsidR="000952B3" w:rsidRPr="004E49F7" w:rsidRDefault="004B4AB8" w:rsidP="004B4AB8">
            <w:pPr>
              <w:shd w:val="clear" w:color="auto" w:fill="FFFFFF"/>
              <w:ind w:left="57" w:right="113"/>
              <w:jc w:val="both"/>
              <w:rPr>
                <w:kern w:val="24"/>
              </w:rPr>
            </w:pPr>
            <w:r w:rsidRPr="004E49F7">
              <w:rPr>
                <w:color w:val="000000" w:themeColor="text1"/>
              </w:rPr>
              <w:t xml:space="preserve">Noteikumu projekta izpildes rezultātā </w:t>
            </w:r>
            <w:r w:rsidRPr="004E49F7">
              <w:t>n</w:t>
            </w:r>
            <w:r w:rsidR="00B650B7" w:rsidRPr="004E49F7">
              <w:t>av plānota jaunu institūciju izveide, esošu ins</w:t>
            </w:r>
            <w:r w:rsidR="007A045B" w:rsidRPr="004E49F7">
              <w:t>titūciju likvidācija vai reorga</w:t>
            </w:r>
            <w:r w:rsidR="00B650B7" w:rsidRPr="004E49F7">
              <w:t>nizācija.</w:t>
            </w:r>
          </w:p>
        </w:tc>
      </w:tr>
      <w:tr w:rsidR="00ED6931" w:rsidRPr="004E49F7" w14:paraId="48A2FB66" w14:textId="77777777" w:rsidTr="00F141B3">
        <w:trPr>
          <w:trHeight w:val="476"/>
        </w:trPr>
        <w:tc>
          <w:tcPr>
            <w:tcW w:w="201" w:type="dxa"/>
          </w:tcPr>
          <w:p w14:paraId="57EA02A4" w14:textId="77777777" w:rsidR="000952B3" w:rsidRPr="004E49F7" w:rsidRDefault="00B650B7" w:rsidP="001351FC">
            <w:pPr>
              <w:ind w:left="57" w:right="57"/>
              <w:jc w:val="both"/>
              <w:rPr>
                <w:bCs/>
              </w:rPr>
            </w:pPr>
            <w:r w:rsidRPr="004E49F7">
              <w:rPr>
                <w:bCs/>
              </w:rPr>
              <w:t>3.</w:t>
            </w:r>
          </w:p>
        </w:tc>
        <w:tc>
          <w:tcPr>
            <w:tcW w:w="3201" w:type="dxa"/>
          </w:tcPr>
          <w:p w14:paraId="477425B2" w14:textId="77777777" w:rsidR="000952B3" w:rsidRPr="004E49F7" w:rsidRDefault="00B650B7" w:rsidP="001351FC">
            <w:pPr>
              <w:ind w:left="57" w:right="57"/>
            </w:pPr>
            <w:r w:rsidRPr="004E49F7">
              <w:t>Cita informācija</w:t>
            </w:r>
          </w:p>
        </w:tc>
        <w:tc>
          <w:tcPr>
            <w:tcW w:w="5812" w:type="dxa"/>
          </w:tcPr>
          <w:p w14:paraId="4DD6E884" w14:textId="0AB5C7AE" w:rsidR="000952B3" w:rsidRPr="004E49F7" w:rsidRDefault="00B650B7" w:rsidP="00FE5FE2">
            <w:pPr>
              <w:shd w:val="clear" w:color="auto" w:fill="FFFFFF"/>
              <w:ind w:left="57" w:right="113"/>
              <w:jc w:val="both"/>
            </w:pPr>
            <w:r w:rsidRPr="004E49F7">
              <w:t xml:space="preserve">Nepieciešami grozījumi finansējuma saņēmēja noslēgtajā </w:t>
            </w:r>
            <w:r w:rsidR="00FE5FE2" w:rsidRPr="004E49F7">
              <w:t>līgumā</w:t>
            </w:r>
            <w:r w:rsidRPr="004E49F7">
              <w:t xml:space="preserve"> par projekta īstenošanu ar CFLA.</w:t>
            </w:r>
            <w:r w:rsidR="00E52355" w:rsidRPr="004E49F7">
              <w:t xml:space="preserve"> </w:t>
            </w:r>
          </w:p>
        </w:tc>
      </w:tr>
    </w:tbl>
    <w:p w14:paraId="490ABC9E" w14:textId="77777777" w:rsidR="004E49F7" w:rsidRDefault="004E49F7" w:rsidP="004E49F7"/>
    <w:p w14:paraId="465EC34E" w14:textId="77777777" w:rsidR="00032255" w:rsidRDefault="00032255" w:rsidP="004E49F7"/>
    <w:p w14:paraId="75C21E85" w14:textId="5BEFD9DB" w:rsidR="00D930B8" w:rsidRPr="00D930B8" w:rsidRDefault="00D930B8" w:rsidP="00D930B8">
      <w:pPr>
        <w:pStyle w:val="naisf"/>
        <w:tabs>
          <w:tab w:val="left" w:pos="6521"/>
          <w:tab w:val="right" w:pos="8820"/>
        </w:tabs>
        <w:spacing w:before="0" w:after="0"/>
        <w:ind w:firstLine="0"/>
      </w:pPr>
      <w:r w:rsidRPr="00D930B8">
        <w:t>Izglītības un zinātnes ministr</w:t>
      </w:r>
      <w:r w:rsidR="00523E8C">
        <w:t>e</w:t>
      </w:r>
      <w:r w:rsidR="00523E8C">
        <w:tab/>
      </w:r>
      <w:r w:rsidR="00D53FBE">
        <w:t>I</w:t>
      </w:r>
      <w:r w:rsidR="00523E8C">
        <w:t>.</w:t>
      </w:r>
      <w:r w:rsidR="00D53FBE">
        <w:t xml:space="preserve"> </w:t>
      </w:r>
      <w:proofErr w:type="spellStart"/>
      <w:r w:rsidR="00D53FBE">
        <w:t>Šuplinska</w:t>
      </w:r>
      <w:proofErr w:type="spellEnd"/>
    </w:p>
    <w:p w14:paraId="7BEE8F33" w14:textId="77777777" w:rsidR="004E49F7" w:rsidRDefault="004E49F7" w:rsidP="004E49F7">
      <w:pPr>
        <w:ind w:firstLine="720"/>
      </w:pPr>
    </w:p>
    <w:p w14:paraId="3C4A8F43" w14:textId="77777777" w:rsidR="00523E8C" w:rsidRPr="00523E8C" w:rsidRDefault="00523E8C" w:rsidP="00523E8C">
      <w:r w:rsidRPr="00523E8C">
        <w:t>Vīza:</w:t>
      </w:r>
    </w:p>
    <w:p w14:paraId="227CF7E7" w14:textId="562E7077" w:rsidR="004E49F7" w:rsidRPr="004E49F7" w:rsidRDefault="00523E8C" w:rsidP="00523E8C">
      <w:r>
        <w:t>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E8C">
        <w:t>L. Lejiņa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7"/>
        <w:gridCol w:w="3304"/>
      </w:tblGrid>
      <w:tr w:rsidR="00ED6931" w:rsidRPr="004E49F7" w14:paraId="5834315E" w14:textId="77777777" w:rsidTr="00EA151B">
        <w:tc>
          <w:tcPr>
            <w:tcW w:w="5767" w:type="dxa"/>
          </w:tcPr>
          <w:p w14:paraId="45610437" w14:textId="764425C2" w:rsidR="007A045B" w:rsidRPr="004E49F7" w:rsidRDefault="007A045B" w:rsidP="001351FC">
            <w:pPr>
              <w:tabs>
                <w:tab w:val="left" w:pos="4320"/>
              </w:tabs>
            </w:pPr>
          </w:p>
        </w:tc>
        <w:tc>
          <w:tcPr>
            <w:tcW w:w="3304" w:type="dxa"/>
          </w:tcPr>
          <w:p w14:paraId="28B8E4F4" w14:textId="77777777" w:rsidR="007A045B" w:rsidRPr="004E49F7" w:rsidRDefault="007A045B" w:rsidP="001351FC">
            <w:pPr>
              <w:tabs>
                <w:tab w:val="left" w:pos="4320"/>
              </w:tabs>
              <w:jc w:val="right"/>
            </w:pPr>
          </w:p>
        </w:tc>
      </w:tr>
    </w:tbl>
    <w:p w14:paraId="1268B73B" w14:textId="77777777" w:rsidR="007A045B" w:rsidRPr="004E49F7" w:rsidRDefault="007A045B" w:rsidP="001351FC"/>
    <w:p w14:paraId="3A308D42" w14:textId="77777777" w:rsidR="00F3153D" w:rsidRPr="004E49F7" w:rsidRDefault="00F3153D" w:rsidP="00F3153D">
      <w:pPr>
        <w:tabs>
          <w:tab w:val="left" w:pos="2340"/>
          <w:tab w:val="center" w:pos="4153"/>
          <w:tab w:val="right" w:pos="8306"/>
        </w:tabs>
        <w:rPr>
          <w:rFonts w:eastAsia="Times New Roman"/>
          <w:sz w:val="20"/>
          <w:szCs w:val="20"/>
        </w:rPr>
      </w:pPr>
    </w:p>
    <w:p w14:paraId="0FF10811" w14:textId="77777777" w:rsidR="003676E2" w:rsidRPr="004E49F7" w:rsidRDefault="003676E2" w:rsidP="00F3153D">
      <w:pPr>
        <w:rPr>
          <w:rFonts w:eastAsia="Times New Roman"/>
          <w:color w:val="0000FF"/>
          <w:sz w:val="20"/>
          <w:szCs w:val="20"/>
          <w:u w:val="single"/>
        </w:rPr>
      </w:pPr>
    </w:p>
    <w:p w14:paraId="0B3DED45" w14:textId="0D5E1E7F" w:rsidR="003676E2" w:rsidRPr="004E49F7" w:rsidRDefault="003676E2" w:rsidP="003676E2">
      <w:pPr>
        <w:rPr>
          <w:rFonts w:eastAsiaTheme="minorHAnsi"/>
          <w:sz w:val="20"/>
          <w:szCs w:val="22"/>
          <w:lang w:eastAsia="en-US"/>
        </w:rPr>
      </w:pPr>
      <w:r w:rsidRPr="004E49F7">
        <w:rPr>
          <w:sz w:val="20"/>
        </w:rPr>
        <w:t>Kalva 67047941</w:t>
      </w:r>
    </w:p>
    <w:p w14:paraId="2CCF40D4" w14:textId="3A9EDCAA" w:rsidR="003676E2" w:rsidRPr="003676E2" w:rsidRDefault="005878F6" w:rsidP="003676E2">
      <w:pPr>
        <w:rPr>
          <w:sz w:val="20"/>
        </w:rPr>
      </w:pPr>
      <w:hyperlink r:id="rId8" w:history="1">
        <w:r w:rsidR="003676E2" w:rsidRPr="004E49F7">
          <w:rPr>
            <w:sz w:val="20"/>
          </w:rPr>
          <w:t>Inese.Kalva@izm.gov.lv</w:t>
        </w:r>
      </w:hyperlink>
      <w:bookmarkStart w:id="2" w:name="_GoBack"/>
      <w:bookmarkEnd w:id="2"/>
    </w:p>
    <w:sectPr w:rsidR="003676E2" w:rsidRPr="003676E2" w:rsidSect="003B01C6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5E709" w14:textId="77777777" w:rsidR="001900D4" w:rsidRDefault="001900D4">
      <w:r>
        <w:separator/>
      </w:r>
    </w:p>
  </w:endnote>
  <w:endnote w:type="continuationSeparator" w:id="0">
    <w:p w14:paraId="54B58D98" w14:textId="77777777" w:rsidR="001900D4" w:rsidRDefault="0019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12A2" w14:textId="13E41A2A" w:rsidR="00DB3879" w:rsidRDefault="00B650B7" w:rsidP="00B94A93">
    <w:pPr>
      <w:pStyle w:val="Footer"/>
      <w:tabs>
        <w:tab w:val="clear" w:pos="8306"/>
      </w:tabs>
      <w:jc w:val="both"/>
    </w:pPr>
    <w:r>
      <w:rPr>
        <w:noProof/>
        <w:sz w:val="20"/>
        <w:szCs w:val="20"/>
      </w:rPr>
      <w:t>IZMAnot_</w:t>
    </w:r>
    <w:r w:rsidR="0008305B">
      <w:rPr>
        <w:noProof/>
        <w:sz w:val="20"/>
        <w:szCs w:val="20"/>
      </w:rPr>
      <w:t>1</w:t>
    </w:r>
    <w:r w:rsidR="005878F6">
      <w:rPr>
        <w:noProof/>
        <w:sz w:val="20"/>
        <w:szCs w:val="20"/>
      </w:rPr>
      <w:t>6</w:t>
    </w:r>
    <w:r w:rsidR="0008305B">
      <w:rPr>
        <w:noProof/>
        <w:sz w:val="20"/>
        <w:szCs w:val="20"/>
      </w:rPr>
      <w:t>05</w:t>
    </w:r>
    <w:r w:rsidR="00E53C97">
      <w:rPr>
        <w:noProof/>
        <w:sz w:val="20"/>
        <w:szCs w:val="20"/>
      </w:rPr>
      <w:t>19</w:t>
    </w:r>
    <w:r>
      <w:rPr>
        <w:noProof/>
        <w:sz w:val="20"/>
        <w:szCs w:val="20"/>
      </w:rPr>
      <w:t>_</w:t>
    </w:r>
    <w:r w:rsidR="00624449">
      <w:rPr>
        <w:noProof/>
        <w:sz w:val="20"/>
        <w:szCs w:val="20"/>
      </w:rPr>
      <w:t>groz</w:t>
    </w:r>
    <w:r>
      <w:rPr>
        <w:noProof/>
        <w:sz w:val="20"/>
        <w:szCs w:val="20"/>
      </w:rPr>
      <w:t>8</w:t>
    </w:r>
    <w:r w:rsidR="006109C0">
      <w:rPr>
        <w:noProof/>
        <w:sz w:val="20"/>
        <w:szCs w:val="20"/>
      </w:rPr>
      <w:t>24</w:t>
    </w:r>
    <w:r w:rsidRPr="00B4020C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18D3" w14:textId="312CCA04" w:rsidR="00DB3879" w:rsidRPr="00521075" w:rsidRDefault="00B94A93" w:rsidP="00521075">
    <w:pPr>
      <w:pStyle w:val="Footer"/>
      <w:tabs>
        <w:tab w:val="clear" w:pos="8306"/>
      </w:tabs>
      <w:jc w:val="both"/>
      <w:rPr>
        <w:noProof/>
        <w:sz w:val="20"/>
        <w:szCs w:val="20"/>
      </w:rPr>
    </w:pPr>
    <w:r>
      <w:rPr>
        <w:noProof/>
        <w:sz w:val="20"/>
        <w:szCs w:val="20"/>
      </w:rPr>
      <w:t>IZMAnot_</w:t>
    </w:r>
    <w:r w:rsidR="0008305B">
      <w:rPr>
        <w:noProof/>
        <w:sz w:val="20"/>
        <w:szCs w:val="20"/>
      </w:rPr>
      <w:t>1</w:t>
    </w:r>
    <w:r w:rsidR="005878F6">
      <w:rPr>
        <w:noProof/>
        <w:sz w:val="20"/>
        <w:szCs w:val="20"/>
      </w:rPr>
      <w:t>6</w:t>
    </w:r>
    <w:r w:rsidR="0008305B">
      <w:rPr>
        <w:noProof/>
        <w:sz w:val="20"/>
        <w:szCs w:val="20"/>
      </w:rPr>
      <w:t>05</w:t>
    </w:r>
    <w:r w:rsidR="00E53C97">
      <w:rPr>
        <w:noProof/>
        <w:sz w:val="20"/>
        <w:szCs w:val="20"/>
      </w:rPr>
      <w:t>19</w:t>
    </w:r>
    <w:r>
      <w:rPr>
        <w:noProof/>
        <w:sz w:val="20"/>
        <w:szCs w:val="20"/>
      </w:rPr>
      <w:t>_</w:t>
    </w:r>
    <w:r w:rsidR="00624449">
      <w:rPr>
        <w:noProof/>
        <w:sz w:val="20"/>
        <w:szCs w:val="20"/>
      </w:rPr>
      <w:t>groz</w:t>
    </w:r>
    <w:r>
      <w:rPr>
        <w:noProof/>
        <w:sz w:val="20"/>
        <w:szCs w:val="20"/>
      </w:rPr>
      <w:t>824</w:t>
    </w:r>
    <w:r w:rsidRPr="00B4020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8080" w14:textId="77777777" w:rsidR="001900D4" w:rsidRDefault="001900D4">
      <w:r>
        <w:separator/>
      </w:r>
    </w:p>
  </w:footnote>
  <w:footnote w:type="continuationSeparator" w:id="0">
    <w:p w14:paraId="4CAB0992" w14:textId="77777777" w:rsidR="001900D4" w:rsidRDefault="0019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740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F98E8" w14:textId="77777777" w:rsidR="00DB3879" w:rsidRDefault="00B650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8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8EA09F9" w14:textId="77777777" w:rsidR="00DB3879" w:rsidRDefault="00DB3879" w:rsidP="00521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21C"/>
    <w:multiLevelType w:val="hybridMultilevel"/>
    <w:tmpl w:val="98D49D5C"/>
    <w:lvl w:ilvl="0" w:tplc="539AB96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6198616E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014D0EA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EE95B8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598EFF7A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B40827D0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99840C46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8F68A4C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284EFD8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133711"/>
    <w:multiLevelType w:val="hybridMultilevel"/>
    <w:tmpl w:val="6EE004F2"/>
    <w:lvl w:ilvl="0" w:tplc="C152F7CE">
      <w:start w:val="1"/>
      <w:numFmt w:val="decimal"/>
      <w:lvlText w:val="%1."/>
      <w:lvlJc w:val="left"/>
      <w:pPr>
        <w:ind w:left="720" w:hanging="360"/>
      </w:pPr>
    </w:lvl>
    <w:lvl w:ilvl="1" w:tplc="3CD067AC" w:tentative="1">
      <w:start w:val="1"/>
      <w:numFmt w:val="lowerLetter"/>
      <w:lvlText w:val="%2."/>
      <w:lvlJc w:val="left"/>
      <w:pPr>
        <w:ind w:left="1440" w:hanging="360"/>
      </w:pPr>
    </w:lvl>
    <w:lvl w:ilvl="2" w:tplc="8B163E64" w:tentative="1">
      <w:start w:val="1"/>
      <w:numFmt w:val="lowerRoman"/>
      <w:lvlText w:val="%3."/>
      <w:lvlJc w:val="right"/>
      <w:pPr>
        <w:ind w:left="2160" w:hanging="180"/>
      </w:pPr>
    </w:lvl>
    <w:lvl w:ilvl="3" w:tplc="D9E47EDE" w:tentative="1">
      <w:start w:val="1"/>
      <w:numFmt w:val="decimal"/>
      <w:lvlText w:val="%4."/>
      <w:lvlJc w:val="left"/>
      <w:pPr>
        <w:ind w:left="2880" w:hanging="360"/>
      </w:pPr>
    </w:lvl>
    <w:lvl w:ilvl="4" w:tplc="ACD87378" w:tentative="1">
      <w:start w:val="1"/>
      <w:numFmt w:val="lowerLetter"/>
      <w:lvlText w:val="%5."/>
      <w:lvlJc w:val="left"/>
      <w:pPr>
        <w:ind w:left="3600" w:hanging="360"/>
      </w:pPr>
    </w:lvl>
    <w:lvl w:ilvl="5" w:tplc="46B4CC26" w:tentative="1">
      <w:start w:val="1"/>
      <w:numFmt w:val="lowerRoman"/>
      <w:lvlText w:val="%6."/>
      <w:lvlJc w:val="right"/>
      <w:pPr>
        <w:ind w:left="4320" w:hanging="180"/>
      </w:pPr>
    </w:lvl>
    <w:lvl w:ilvl="6" w:tplc="8A2895D4" w:tentative="1">
      <w:start w:val="1"/>
      <w:numFmt w:val="decimal"/>
      <w:lvlText w:val="%7."/>
      <w:lvlJc w:val="left"/>
      <w:pPr>
        <w:ind w:left="5040" w:hanging="360"/>
      </w:pPr>
    </w:lvl>
    <w:lvl w:ilvl="7" w:tplc="50E0FBE6" w:tentative="1">
      <w:start w:val="1"/>
      <w:numFmt w:val="lowerLetter"/>
      <w:lvlText w:val="%8."/>
      <w:lvlJc w:val="left"/>
      <w:pPr>
        <w:ind w:left="5760" w:hanging="360"/>
      </w:pPr>
    </w:lvl>
    <w:lvl w:ilvl="8" w:tplc="6E30B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E04"/>
    <w:multiLevelType w:val="hybridMultilevel"/>
    <w:tmpl w:val="2BA6FEEC"/>
    <w:lvl w:ilvl="0" w:tplc="3F5E6684">
      <w:start w:val="1"/>
      <w:numFmt w:val="decimal"/>
      <w:lvlText w:val="%1."/>
      <w:lvlJc w:val="left"/>
      <w:pPr>
        <w:ind w:left="720" w:hanging="360"/>
      </w:pPr>
    </w:lvl>
    <w:lvl w:ilvl="1" w:tplc="5C2C69A0" w:tentative="1">
      <w:start w:val="1"/>
      <w:numFmt w:val="lowerLetter"/>
      <w:lvlText w:val="%2."/>
      <w:lvlJc w:val="left"/>
      <w:pPr>
        <w:ind w:left="1440" w:hanging="360"/>
      </w:pPr>
    </w:lvl>
    <w:lvl w:ilvl="2" w:tplc="8236E16C" w:tentative="1">
      <w:start w:val="1"/>
      <w:numFmt w:val="lowerRoman"/>
      <w:lvlText w:val="%3."/>
      <w:lvlJc w:val="right"/>
      <w:pPr>
        <w:ind w:left="2160" w:hanging="180"/>
      </w:pPr>
    </w:lvl>
    <w:lvl w:ilvl="3" w:tplc="7D8A81A0" w:tentative="1">
      <w:start w:val="1"/>
      <w:numFmt w:val="decimal"/>
      <w:lvlText w:val="%4."/>
      <w:lvlJc w:val="left"/>
      <w:pPr>
        <w:ind w:left="2880" w:hanging="360"/>
      </w:pPr>
    </w:lvl>
    <w:lvl w:ilvl="4" w:tplc="49DE5DA8" w:tentative="1">
      <w:start w:val="1"/>
      <w:numFmt w:val="lowerLetter"/>
      <w:lvlText w:val="%5."/>
      <w:lvlJc w:val="left"/>
      <w:pPr>
        <w:ind w:left="3600" w:hanging="360"/>
      </w:pPr>
    </w:lvl>
    <w:lvl w:ilvl="5" w:tplc="4EA202C0" w:tentative="1">
      <w:start w:val="1"/>
      <w:numFmt w:val="lowerRoman"/>
      <w:lvlText w:val="%6."/>
      <w:lvlJc w:val="right"/>
      <w:pPr>
        <w:ind w:left="4320" w:hanging="180"/>
      </w:pPr>
    </w:lvl>
    <w:lvl w:ilvl="6" w:tplc="D5DCEF2C" w:tentative="1">
      <w:start w:val="1"/>
      <w:numFmt w:val="decimal"/>
      <w:lvlText w:val="%7."/>
      <w:lvlJc w:val="left"/>
      <w:pPr>
        <w:ind w:left="5040" w:hanging="360"/>
      </w:pPr>
    </w:lvl>
    <w:lvl w:ilvl="7" w:tplc="215C3218" w:tentative="1">
      <w:start w:val="1"/>
      <w:numFmt w:val="lowerLetter"/>
      <w:lvlText w:val="%8."/>
      <w:lvlJc w:val="left"/>
      <w:pPr>
        <w:ind w:left="5760" w:hanging="360"/>
      </w:pPr>
    </w:lvl>
    <w:lvl w:ilvl="8" w:tplc="0F243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3C8"/>
    <w:multiLevelType w:val="hybridMultilevel"/>
    <w:tmpl w:val="95543244"/>
    <w:lvl w:ilvl="0" w:tplc="A866DC7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63D2D884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C6F05ECC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3D2DD98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A03CAF4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5B8743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99E447AE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76ED51E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8E68D1F6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7821293"/>
    <w:multiLevelType w:val="hybridMultilevel"/>
    <w:tmpl w:val="91F851B8"/>
    <w:lvl w:ilvl="0" w:tplc="2DC42034">
      <w:start w:val="1"/>
      <w:numFmt w:val="decimal"/>
      <w:lvlText w:val="%1."/>
      <w:lvlJc w:val="left"/>
      <w:pPr>
        <w:ind w:left="720" w:hanging="360"/>
      </w:pPr>
    </w:lvl>
    <w:lvl w:ilvl="1" w:tplc="F2A41AC8" w:tentative="1">
      <w:start w:val="1"/>
      <w:numFmt w:val="lowerLetter"/>
      <w:lvlText w:val="%2."/>
      <w:lvlJc w:val="left"/>
      <w:pPr>
        <w:ind w:left="1440" w:hanging="360"/>
      </w:pPr>
    </w:lvl>
    <w:lvl w:ilvl="2" w:tplc="F0A69B3A" w:tentative="1">
      <w:start w:val="1"/>
      <w:numFmt w:val="lowerRoman"/>
      <w:lvlText w:val="%3."/>
      <w:lvlJc w:val="right"/>
      <w:pPr>
        <w:ind w:left="2160" w:hanging="180"/>
      </w:pPr>
    </w:lvl>
    <w:lvl w:ilvl="3" w:tplc="A39C38C6" w:tentative="1">
      <w:start w:val="1"/>
      <w:numFmt w:val="decimal"/>
      <w:lvlText w:val="%4."/>
      <w:lvlJc w:val="left"/>
      <w:pPr>
        <w:ind w:left="2880" w:hanging="360"/>
      </w:pPr>
    </w:lvl>
    <w:lvl w:ilvl="4" w:tplc="83F004FE" w:tentative="1">
      <w:start w:val="1"/>
      <w:numFmt w:val="lowerLetter"/>
      <w:lvlText w:val="%5."/>
      <w:lvlJc w:val="left"/>
      <w:pPr>
        <w:ind w:left="3600" w:hanging="360"/>
      </w:pPr>
    </w:lvl>
    <w:lvl w:ilvl="5" w:tplc="E0162AB0" w:tentative="1">
      <w:start w:val="1"/>
      <w:numFmt w:val="lowerRoman"/>
      <w:lvlText w:val="%6."/>
      <w:lvlJc w:val="right"/>
      <w:pPr>
        <w:ind w:left="4320" w:hanging="180"/>
      </w:pPr>
    </w:lvl>
    <w:lvl w:ilvl="6" w:tplc="061A63E2" w:tentative="1">
      <w:start w:val="1"/>
      <w:numFmt w:val="decimal"/>
      <w:lvlText w:val="%7."/>
      <w:lvlJc w:val="left"/>
      <w:pPr>
        <w:ind w:left="5040" w:hanging="360"/>
      </w:pPr>
    </w:lvl>
    <w:lvl w:ilvl="7" w:tplc="48BA7904" w:tentative="1">
      <w:start w:val="1"/>
      <w:numFmt w:val="lowerLetter"/>
      <w:lvlText w:val="%8."/>
      <w:lvlJc w:val="left"/>
      <w:pPr>
        <w:ind w:left="5760" w:hanging="360"/>
      </w:pPr>
    </w:lvl>
    <w:lvl w:ilvl="8" w:tplc="1D22E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915C6"/>
    <w:multiLevelType w:val="hybridMultilevel"/>
    <w:tmpl w:val="C360BDB6"/>
    <w:lvl w:ilvl="0" w:tplc="3CF4B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F8C8748" w:tentative="1">
      <w:start w:val="1"/>
      <w:numFmt w:val="lowerLetter"/>
      <w:lvlText w:val="%2."/>
      <w:lvlJc w:val="left"/>
      <w:pPr>
        <w:ind w:left="1440" w:hanging="360"/>
      </w:pPr>
    </w:lvl>
    <w:lvl w:ilvl="2" w:tplc="5F48E9C2" w:tentative="1">
      <w:start w:val="1"/>
      <w:numFmt w:val="lowerRoman"/>
      <w:lvlText w:val="%3."/>
      <w:lvlJc w:val="right"/>
      <w:pPr>
        <w:ind w:left="2160" w:hanging="180"/>
      </w:pPr>
    </w:lvl>
    <w:lvl w:ilvl="3" w:tplc="7BAE4D48" w:tentative="1">
      <w:start w:val="1"/>
      <w:numFmt w:val="decimal"/>
      <w:lvlText w:val="%4."/>
      <w:lvlJc w:val="left"/>
      <w:pPr>
        <w:ind w:left="2880" w:hanging="360"/>
      </w:pPr>
    </w:lvl>
    <w:lvl w:ilvl="4" w:tplc="41F48E1E" w:tentative="1">
      <w:start w:val="1"/>
      <w:numFmt w:val="lowerLetter"/>
      <w:lvlText w:val="%5."/>
      <w:lvlJc w:val="left"/>
      <w:pPr>
        <w:ind w:left="3600" w:hanging="360"/>
      </w:pPr>
    </w:lvl>
    <w:lvl w:ilvl="5" w:tplc="B6406A0C" w:tentative="1">
      <w:start w:val="1"/>
      <w:numFmt w:val="lowerRoman"/>
      <w:lvlText w:val="%6."/>
      <w:lvlJc w:val="right"/>
      <w:pPr>
        <w:ind w:left="4320" w:hanging="180"/>
      </w:pPr>
    </w:lvl>
    <w:lvl w:ilvl="6" w:tplc="DE8646C2" w:tentative="1">
      <w:start w:val="1"/>
      <w:numFmt w:val="decimal"/>
      <w:lvlText w:val="%7."/>
      <w:lvlJc w:val="left"/>
      <w:pPr>
        <w:ind w:left="5040" w:hanging="360"/>
      </w:pPr>
    </w:lvl>
    <w:lvl w:ilvl="7" w:tplc="05923572" w:tentative="1">
      <w:start w:val="1"/>
      <w:numFmt w:val="lowerLetter"/>
      <w:lvlText w:val="%8."/>
      <w:lvlJc w:val="left"/>
      <w:pPr>
        <w:ind w:left="5760" w:hanging="360"/>
      </w:pPr>
    </w:lvl>
    <w:lvl w:ilvl="8" w:tplc="B9683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6FD9"/>
    <w:multiLevelType w:val="hybridMultilevel"/>
    <w:tmpl w:val="2CB0A9C2"/>
    <w:lvl w:ilvl="0" w:tplc="9C3C222C">
      <w:start w:val="1"/>
      <w:numFmt w:val="decimal"/>
      <w:lvlText w:val="%1."/>
      <w:lvlJc w:val="left"/>
      <w:pPr>
        <w:ind w:left="754" w:hanging="360"/>
      </w:pPr>
    </w:lvl>
    <w:lvl w:ilvl="1" w:tplc="7A963396" w:tentative="1">
      <w:start w:val="1"/>
      <w:numFmt w:val="lowerLetter"/>
      <w:lvlText w:val="%2."/>
      <w:lvlJc w:val="left"/>
      <w:pPr>
        <w:ind w:left="1474" w:hanging="360"/>
      </w:pPr>
    </w:lvl>
    <w:lvl w:ilvl="2" w:tplc="8DE88FCA" w:tentative="1">
      <w:start w:val="1"/>
      <w:numFmt w:val="lowerRoman"/>
      <w:lvlText w:val="%3."/>
      <w:lvlJc w:val="right"/>
      <w:pPr>
        <w:ind w:left="2194" w:hanging="180"/>
      </w:pPr>
    </w:lvl>
    <w:lvl w:ilvl="3" w:tplc="9D7E929E" w:tentative="1">
      <w:start w:val="1"/>
      <w:numFmt w:val="decimal"/>
      <w:lvlText w:val="%4."/>
      <w:lvlJc w:val="left"/>
      <w:pPr>
        <w:ind w:left="2914" w:hanging="360"/>
      </w:pPr>
    </w:lvl>
    <w:lvl w:ilvl="4" w:tplc="563CD118" w:tentative="1">
      <w:start w:val="1"/>
      <w:numFmt w:val="lowerLetter"/>
      <w:lvlText w:val="%5."/>
      <w:lvlJc w:val="left"/>
      <w:pPr>
        <w:ind w:left="3634" w:hanging="360"/>
      </w:pPr>
    </w:lvl>
    <w:lvl w:ilvl="5" w:tplc="144886FE" w:tentative="1">
      <w:start w:val="1"/>
      <w:numFmt w:val="lowerRoman"/>
      <w:lvlText w:val="%6."/>
      <w:lvlJc w:val="right"/>
      <w:pPr>
        <w:ind w:left="4354" w:hanging="180"/>
      </w:pPr>
    </w:lvl>
    <w:lvl w:ilvl="6" w:tplc="311A38B2" w:tentative="1">
      <w:start w:val="1"/>
      <w:numFmt w:val="decimal"/>
      <w:lvlText w:val="%7."/>
      <w:lvlJc w:val="left"/>
      <w:pPr>
        <w:ind w:left="5074" w:hanging="360"/>
      </w:pPr>
    </w:lvl>
    <w:lvl w:ilvl="7" w:tplc="62E8CBEA" w:tentative="1">
      <w:start w:val="1"/>
      <w:numFmt w:val="lowerLetter"/>
      <w:lvlText w:val="%8."/>
      <w:lvlJc w:val="left"/>
      <w:pPr>
        <w:ind w:left="5794" w:hanging="360"/>
      </w:pPr>
    </w:lvl>
    <w:lvl w:ilvl="8" w:tplc="4560D550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1C26178"/>
    <w:multiLevelType w:val="hybridMultilevel"/>
    <w:tmpl w:val="9FBED11A"/>
    <w:lvl w:ilvl="0" w:tplc="A432B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4E48BA" w:tentative="1">
      <w:start w:val="1"/>
      <w:numFmt w:val="lowerLetter"/>
      <w:lvlText w:val="%2."/>
      <w:lvlJc w:val="left"/>
      <w:pPr>
        <w:ind w:left="1440" w:hanging="360"/>
      </w:pPr>
    </w:lvl>
    <w:lvl w:ilvl="2" w:tplc="8EA248BC" w:tentative="1">
      <w:start w:val="1"/>
      <w:numFmt w:val="lowerRoman"/>
      <w:lvlText w:val="%3."/>
      <w:lvlJc w:val="right"/>
      <w:pPr>
        <w:ind w:left="2160" w:hanging="180"/>
      </w:pPr>
    </w:lvl>
    <w:lvl w:ilvl="3" w:tplc="E3A611FE" w:tentative="1">
      <w:start w:val="1"/>
      <w:numFmt w:val="decimal"/>
      <w:lvlText w:val="%4."/>
      <w:lvlJc w:val="left"/>
      <w:pPr>
        <w:ind w:left="2880" w:hanging="360"/>
      </w:pPr>
    </w:lvl>
    <w:lvl w:ilvl="4" w:tplc="B554D1C0" w:tentative="1">
      <w:start w:val="1"/>
      <w:numFmt w:val="lowerLetter"/>
      <w:lvlText w:val="%5."/>
      <w:lvlJc w:val="left"/>
      <w:pPr>
        <w:ind w:left="3600" w:hanging="360"/>
      </w:pPr>
    </w:lvl>
    <w:lvl w:ilvl="5" w:tplc="6D62E65C" w:tentative="1">
      <w:start w:val="1"/>
      <w:numFmt w:val="lowerRoman"/>
      <w:lvlText w:val="%6."/>
      <w:lvlJc w:val="right"/>
      <w:pPr>
        <w:ind w:left="4320" w:hanging="180"/>
      </w:pPr>
    </w:lvl>
    <w:lvl w:ilvl="6" w:tplc="138095DE" w:tentative="1">
      <w:start w:val="1"/>
      <w:numFmt w:val="decimal"/>
      <w:lvlText w:val="%7."/>
      <w:lvlJc w:val="left"/>
      <w:pPr>
        <w:ind w:left="5040" w:hanging="360"/>
      </w:pPr>
    </w:lvl>
    <w:lvl w:ilvl="7" w:tplc="DCDC8090" w:tentative="1">
      <w:start w:val="1"/>
      <w:numFmt w:val="lowerLetter"/>
      <w:lvlText w:val="%8."/>
      <w:lvlJc w:val="left"/>
      <w:pPr>
        <w:ind w:left="5760" w:hanging="360"/>
      </w:pPr>
    </w:lvl>
    <w:lvl w:ilvl="8" w:tplc="96108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8102F"/>
    <w:multiLevelType w:val="hybridMultilevel"/>
    <w:tmpl w:val="A48283C8"/>
    <w:lvl w:ilvl="0" w:tplc="1ADE2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7C3560" w:tentative="1">
      <w:start w:val="1"/>
      <w:numFmt w:val="lowerLetter"/>
      <w:lvlText w:val="%2."/>
      <w:lvlJc w:val="left"/>
      <w:pPr>
        <w:ind w:left="1440" w:hanging="360"/>
      </w:pPr>
    </w:lvl>
    <w:lvl w:ilvl="2" w:tplc="0004F6AE" w:tentative="1">
      <w:start w:val="1"/>
      <w:numFmt w:val="lowerRoman"/>
      <w:lvlText w:val="%3."/>
      <w:lvlJc w:val="right"/>
      <w:pPr>
        <w:ind w:left="2160" w:hanging="180"/>
      </w:pPr>
    </w:lvl>
    <w:lvl w:ilvl="3" w:tplc="F2FC4D34" w:tentative="1">
      <w:start w:val="1"/>
      <w:numFmt w:val="decimal"/>
      <w:lvlText w:val="%4."/>
      <w:lvlJc w:val="left"/>
      <w:pPr>
        <w:ind w:left="2880" w:hanging="360"/>
      </w:pPr>
    </w:lvl>
    <w:lvl w:ilvl="4" w:tplc="544C3D16" w:tentative="1">
      <w:start w:val="1"/>
      <w:numFmt w:val="lowerLetter"/>
      <w:lvlText w:val="%5."/>
      <w:lvlJc w:val="left"/>
      <w:pPr>
        <w:ind w:left="3600" w:hanging="360"/>
      </w:pPr>
    </w:lvl>
    <w:lvl w:ilvl="5" w:tplc="C8062364" w:tentative="1">
      <w:start w:val="1"/>
      <w:numFmt w:val="lowerRoman"/>
      <w:lvlText w:val="%6."/>
      <w:lvlJc w:val="right"/>
      <w:pPr>
        <w:ind w:left="4320" w:hanging="180"/>
      </w:pPr>
    </w:lvl>
    <w:lvl w:ilvl="6" w:tplc="3EC80560" w:tentative="1">
      <w:start w:val="1"/>
      <w:numFmt w:val="decimal"/>
      <w:lvlText w:val="%7."/>
      <w:lvlJc w:val="left"/>
      <w:pPr>
        <w:ind w:left="5040" w:hanging="360"/>
      </w:pPr>
    </w:lvl>
    <w:lvl w:ilvl="7" w:tplc="6DD89586" w:tentative="1">
      <w:start w:val="1"/>
      <w:numFmt w:val="lowerLetter"/>
      <w:lvlText w:val="%8."/>
      <w:lvlJc w:val="left"/>
      <w:pPr>
        <w:ind w:left="5760" w:hanging="360"/>
      </w:pPr>
    </w:lvl>
    <w:lvl w:ilvl="8" w:tplc="D7B01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619F5"/>
    <w:multiLevelType w:val="hybridMultilevel"/>
    <w:tmpl w:val="C758ED3C"/>
    <w:lvl w:ilvl="0" w:tplc="A9F0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7037BA" w:tentative="1">
      <w:start w:val="1"/>
      <w:numFmt w:val="lowerLetter"/>
      <w:lvlText w:val="%2."/>
      <w:lvlJc w:val="left"/>
      <w:pPr>
        <w:ind w:left="1440" w:hanging="360"/>
      </w:pPr>
    </w:lvl>
    <w:lvl w:ilvl="2" w:tplc="5820178A" w:tentative="1">
      <w:start w:val="1"/>
      <w:numFmt w:val="lowerRoman"/>
      <w:lvlText w:val="%3."/>
      <w:lvlJc w:val="right"/>
      <w:pPr>
        <w:ind w:left="2160" w:hanging="180"/>
      </w:pPr>
    </w:lvl>
    <w:lvl w:ilvl="3" w:tplc="8B1AF176" w:tentative="1">
      <w:start w:val="1"/>
      <w:numFmt w:val="decimal"/>
      <w:lvlText w:val="%4."/>
      <w:lvlJc w:val="left"/>
      <w:pPr>
        <w:ind w:left="2880" w:hanging="360"/>
      </w:pPr>
    </w:lvl>
    <w:lvl w:ilvl="4" w:tplc="D32CC9B8" w:tentative="1">
      <w:start w:val="1"/>
      <w:numFmt w:val="lowerLetter"/>
      <w:lvlText w:val="%5."/>
      <w:lvlJc w:val="left"/>
      <w:pPr>
        <w:ind w:left="3600" w:hanging="360"/>
      </w:pPr>
    </w:lvl>
    <w:lvl w:ilvl="5" w:tplc="3778557C" w:tentative="1">
      <w:start w:val="1"/>
      <w:numFmt w:val="lowerRoman"/>
      <w:lvlText w:val="%6."/>
      <w:lvlJc w:val="right"/>
      <w:pPr>
        <w:ind w:left="4320" w:hanging="180"/>
      </w:pPr>
    </w:lvl>
    <w:lvl w:ilvl="6" w:tplc="0FFEEEB4" w:tentative="1">
      <w:start w:val="1"/>
      <w:numFmt w:val="decimal"/>
      <w:lvlText w:val="%7."/>
      <w:lvlJc w:val="left"/>
      <w:pPr>
        <w:ind w:left="5040" w:hanging="360"/>
      </w:pPr>
    </w:lvl>
    <w:lvl w:ilvl="7" w:tplc="1DC8F246" w:tentative="1">
      <w:start w:val="1"/>
      <w:numFmt w:val="lowerLetter"/>
      <w:lvlText w:val="%8."/>
      <w:lvlJc w:val="left"/>
      <w:pPr>
        <w:ind w:left="5760" w:hanging="360"/>
      </w:pPr>
    </w:lvl>
    <w:lvl w:ilvl="8" w:tplc="FF1EDB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1C"/>
    <w:rsid w:val="0001598A"/>
    <w:rsid w:val="00017924"/>
    <w:rsid w:val="00032255"/>
    <w:rsid w:val="00044224"/>
    <w:rsid w:val="00047A59"/>
    <w:rsid w:val="00051B3A"/>
    <w:rsid w:val="000532A9"/>
    <w:rsid w:val="00055596"/>
    <w:rsid w:val="00055FF5"/>
    <w:rsid w:val="00067E9E"/>
    <w:rsid w:val="000726BF"/>
    <w:rsid w:val="0008305B"/>
    <w:rsid w:val="000864C7"/>
    <w:rsid w:val="000952B3"/>
    <w:rsid w:val="000A308E"/>
    <w:rsid w:val="000A4EDF"/>
    <w:rsid w:val="000A7A0E"/>
    <w:rsid w:val="000B3999"/>
    <w:rsid w:val="000C32FA"/>
    <w:rsid w:val="000D24CB"/>
    <w:rsid w:val="000D2912"/>
    <w:rsid w:val="000E0B4C"/>
    <w:rsid w:val="000F01C5"/>
    <w:rsid w:val="000F2179"/>
    <w:rsid w:val="000F21B1"/>
    <w:rsid w:val="000F35F4"/>
    <w:rsid w:val="000F4A6A"/>
    <w:rsid w:val="000F796B"/>
    <w:rsid w:val="001027C6"/>
    <w:rsid w:val="00116B31"/>
    <w:rsid w:val="00120569"/>
    <w:rsid w:val="001226BE"/>
    <w:rsid w:val="001273A7"/>
    <w:rsid w:val="00133BCE"/>
    <w:rsid w:val="001351FC"/>
    <w:rsid w:val="001435F6"/>
    <w:rsid w:val="00151FF9"/>
    <w:rsid w:val="001522EB"/>
    <w:rsid w:val="0015241F"/>
    <w:rsid w:val="00162663"/>
    <w:rsid w:val="00173A4C"/>
    <w:rsid w:val="001740A1"/>
    <w:rsid w:val="0017518B"/>
    <w:rsid w:val="001900D4"/>
    <w:rsid w:val="001930D7"/>
    <w:rsid w:val="0019383F"/>
    <w:rsid w:val="001944C0"/>
    <w:rsid w:val="001A037F"/>
    <w:rsid w:val="001A24C0"/>
    <w:rsid w:val="001B348C"/>
    <w:rsid w:val="001C0AEA"/>
    <w:rsid w:val="001C0C9B"/>
    <w:rsid w:val="001C5A66"/>
    <w:rsid w:val="001D3C5A"/>
    <w:rsid w:val="001E2C60"/>
    <w:rsid w:val="001F097E"/>
    <w:rsid w:val="001F3907"/>
    <w:rsid w:val="0023009A"/>
    <w:rsid w:val="00235FBC"/>
    <w:rsid w:val="0024503E"/>
    <w:rsid w:val="00254E50"/>
    <w:rsid w:val="00261E34"/>
    <w:rsid w:val="00273E66"/>
    <w:rsid w:val="00276D5D"/>
    <w:rsid w:val="00277223"/>
    <w:rsid w:val="00282B6F"/>
    <w:rsid w:val="00297863"/>
    <w:rsid w:val="002A0265"/>
    <w:rsid w:val="002A1724"/>
    <w:rsid w:val="002B0E96"/>
    <w:rsid w:val="002C22BE"/>
    <w:rsid w:val="002D02E7"/>
    <w:rsid w:val="002F611C"/>
    <w:rsid w:val="00300972"/>
    <w:rsid w:val="00301E2B"/>
    <w:rsid w:val="00302DC1"/>
    <w:rsid w:val="0031150E"/>
    <w:rsid w:val="00334172"/>
    <w:rsid w:val="00334438"/>
    <w:rsid w:val="00346EC7"/>
    <w:rsid w:val="0034707A"/>
    <w:rsid w:val="0034796B"/>
    <w:rsid w:val="00352BE9"/>
    <w:rsid w:val="00364AD5"/>
    <w:rsid w:val="00364B5A"/>
    <w:rsid w:val="0036729D"/>
    <w:rsid w:val="003676E2"/>
    <w:rsid w:val="00376346"/>
    <w:rsid w:val="00376C6B"/>
    <w:rsid w:val="00381C50"/>
    <w:rsid w:val="003823A2"/>
    <w:rsid w:val="003901F7"/>
    <w:rsid w:val="0039100A"/>
    <w:rsid w:val="00397C05"/>
    <w:rsid w:val="003A21D1"/>
    <w:rsid w:val="003B01C6"/>
    <w:rsid w:val="003B479B"/>
    <w:rsid w:val="003C2699"/>
    <w:rsid w:val="003D2AD9"/>
    <w:rsid w:val="003F1D4A"/>
    <w:rsid w:val="003F61CB"/>
    <w:rsid w:val="004040B1"/>
    <w:rsid w:val="00407F82"/>
    <w:rsid w:val="0041305A"/>
    <w:rsid w:val="00413BD9"/>
    <w:rsid w:val="004210D4"/>
    <w:rsid w:val="004219C7"/>
    <w:rsid w:val="004220EE"/>
    <w:rsid w:val="00433F84"/>
    <w:rsid w:val="00442A7F"/>
    <w:rsid w:val="004435DE"/>
    <w:rsid w:val="0045535A"/>
    <w:rsid w:val="004622C3"/>
    <w:rsid w:val="00465C98"/>
    <w:rsid w:val="00465EC7"/>
    <w:rsid w:val="00477435"/>
    <w:rsid w:val="00477F62"/>
    <w:rsid w:val="00494B25"/>
    <w:rsid w:val="004A2948"/>
    <w:rsid w:val="004A2DC7"/>
    <w:rsid w:val="004A3E3B"/>
    <w:rsid w:val="004A4EBE"/>
    <w:rsid w:val="004B4AB8"/>
    <w:rsid w:val="004C0375"/>
    <w:rsid w:val="004C4068"/>
    <w:rsid w:val="004C6243"/>
    <w:rsid w:val="004D2E35"/>
    <w:rsid w:val="004D5248"/>
    <w:rsid w:val="004D6203"/>
    <w:rsid w:val="004E2AAA"/>
    <w:rsid w:val="004E49F7"/>
    <w:rsid w:val="004F0114"/>
    <w:rsid w:val="004F4787"/>
    <w:rsid w:val="00500378"/>
    <w:rsid w:val="00500418"/>
    <w:rsid w:val="00505304"/>
    <w:rsid w:val="00510199"/>
    <w:rsid w:val="005154D5"/>
    <w:rsid w:val="00521075"/>
    <w:rsid w:val="0052108D"/>
    <w:rsid w:val="00523E8C"/>
    <w:rsid w:val="0053202D"/>
    <w:rsid w:val="00536079"/>
    <w:rsid w:val="00545726"/>
    <w:rsid w:val="005464A0"/>
    <w:rsid w:val="0054727E"/>
    <w:rsid w:val="00553EFC"/>
    <w:rsid w:val="005878F6"/>
    <w:rsid w:val="005C451C"/>
    <w:rsid w:val="00605C6C"/>
    <w:rsid w:val="006109C0"/>
    <w:rsid w:val="0061139B"/>
    <w:rsid w:val="006130EC"/>
    <w:rsid w:val="00616CE1"/>
    <w:rsid w:val="00621927"/>
    <w:rsid w:val="00624449"/>
    <w:rsid w:val="006260FC"/>
    <w:rsid w:val="00652BAD"/>
    <w:rsid w:val="0066231D"/>
    <w:rsid w:val="0067518D"/>
    <w:rsid w:val="006B4F32"/>
    <w:rsid w:val="006C03A6"/>
    <w:rsid w:val="006C4B7C"/>
    <w:rsid w:val="006D1EAD"/>
    <w:rsid w:val="006D231B"/>
    <w:rsid w:val="006D4F7C"/>
    <w:rsid w:val="006E2626"/>
    <w:rsid w:val="006E48A2"/>
    <w:rsid w:val="006E6C0E"/>
    <w:rsid w:val="00704DDD"/>
    <w:rsid w:val="007164D3"/>
    <w:rsid w:val="0072528C"/>
    <w:rsid w:val="007257CB"/>
    <w:rsid w:val="00742FEC"/>
    <w:rsid w:val="00745F7A"/>
    <w:rsid w:val="007574D1"/>
    <w:rsid w:val="007660C6"/>
    <w:rsid w:val="00780E7D"/>
    <w:rsid w:val="00781529"/>
    <w:rsid w:val="00782FE5"/>
    <w:rsid w:val="007A045B"/>
    <w:rsid w:val="007A2571"/>
    <w:rsid w:val="007A5A0D"/>
    <w:rsid w:val="007B18C0"/>
    <w:rsid w:val="007B1CFF"/>
    <w:rsid w:val="007B7A42"/>
    <w:rsid w:val="007C4A62"/>
    <w:rsid w:val="007F3CF4"/>
    <w:rsid w:val="0080067E"/>
    <w:rsid w:val="00801219"/>
    <w:rsid w:val="00814195"/>
    <w:rsid w:val="00834665"/>
    <w:rsid w:val="0083701C"/>
    <w:rsid w:val="0084191B"/>
    <w:rsid w:val="008542CA"/>
    <w:rsid w:val="0085612F"/>
    <w:rsid w:val="00856FD9"/>
    <w:rsid w:val="008573E5"/>
    <w:rsid w:val="008605BD"/>
    <w:rsid w:val="00864C2A"/>
    <w:rsid w:val="00867D90"/>
    <w:rsid w:val="00873477"/>
    <w:rsid w:val="008772B7"/>
    <w:rsid w:val="00892686"/>
    <w:rsid w:val="008939F7"/>
    <w:rsid w:val="00895249"/>
    <w:rsid w:val="00895903"/>
    <w:rsid w:val="00896040"/>
    <w:rsid w:val="00896800"/>
    <w:rsid w:val="008A0436"/>
    <w:rsid w:val="008B392D"/>
    <w:rsid w:val="008C6B16"/>
    <w:rsid w:val="008E2812"/>
    <w:rsid w:val="00910BBB"/>
    <w:rsid w:val="00913BBD"/>
    <w:rsid w:val="00913D6E"/>
    <w:rsid w:val="0092196F"/>
    <w:rsid w:val="00930F1B"/>
    <w:rsid w:val="00933552"/>
    <w:rsid w:val="00946F67"/>
    <w:rsid w:val="00962FB9"/>
    <w:rsid w:val="009755BE"/>
    <w:rsid w:val="0098188F"/>
    <w:rsid w:val="0099123C"/>
    <w:rsid w:val="00993742"/>
    <w:rsid w:val="009966FA"/>
    <w:rsid w:val="00997420"/>
    <w:rsid w:val="0099780F"/>
    <w:rsid w:val="009A1BBC"/>
    <w:rsid w:val="009A403D"/>
    <w:rsid w:val="009B1E75"/>
    <w:rsid w:val="009C3BA0"/>
    <w:rsid w:val="009E015F"/>
    <w:rsid w:val="009F0CDF"/>
    <w:rsid w:val="009F6EB0"/>
    <w:rsid w:val="00A0539F"/>
    <w:rsid w:val="00A11266"/>
    <w:rsid w:val="00A16A05"/>
    <w:rsid w:val="00A262E5"/>
    <w:rsid w:val="00A324CA"/>
    <w:rsid w:val="00A40621"/>
    <w:rsid w:val="00A44FCF"/>
    <w:rsid w:val="00A80082"/>
    <w:rsid w:val="00AC0AD3"/>
    <w:rsid w:val="00AE008E"/>
    <w:rsid w:val="00AE0688"/>
    <w:rsid w:val="00AE0973"/>
    <w:rsid w:val="00AE1DA4"/>
    <w:rsid w:val="00AF0818"/>
    <w:rsid w:val="00AF60F9"/>
    <w:rsid w:val="00B0590E"/>
    <w:rsid w:val="00B15E8C"/>
    <w:rsid w:val="00B17F1A"/>
    <w:rsid w:val="00B25163"/>
    <w:rsid w:val="00B31328"/>
    <w:rsid w:val="00B4020C"/>
    <w:rsid w:val="00B53338"/>
    <w:rsid w:val="00B555AF"/>
    <w:rsid w:val="00B650B7"/>
    <w:rsid w:val="00B6710B"/>
    <w:rsid w:val="00B77D95"/>
    <w:rsid w:val="00B77F99"/>
    <w:rsid w:val="00B8294F"/>
    <w:rsid w:val="00B8638B"/>
    <w:rsid w:val="00B94A93"/>
    <w:rsid w:val="00B94D4E"/>
    <w:rsid w:val="00BA020E"/>
    <w:rsid w:val="00BA7A9F"/>
    <w:rsid w:val="00BB4F00"/>
    <w:rsid w:val="00BC0E04"/>
    <w:rsid w:val="00BC4492"/>
    <w:rsid w:val="00BD03DB"/>
    <w:rsid w:val="00BE06CF"/>
    <w:rsid w:val="00C00421"/>
    <w:rsid w:val="00C11118"/>
    <w:rsid w:val="00C20D0C"/>
    <w:rsid w:val="00C232D2"/>
    <w:rsid w:val="00C256F9"/>
    <w:rsid w:val="00C3351F"/>
    <w:rsid w:val="00C34D87"/>
    <w:rsid w:val="00C37BBD"/>
    <w:rsid w:val="00C4035B"/>
    <w:rsid w:val="00C46410"/>
    <w:rsid w:val="00C504F5"/>
    <w:rsid w:val="00C51994"/>
    <w:rsid w:val="00C53289"/>
    <w:rsid w:val="00C53C73"/>
    <w:rsid w:val="00C55E67"/>
    <w:rsid w:val="00C722A7"/>
    <w:rsid w:val="00C74F29"/>
    <w:rsid w:val="00C85B2A"/>
    <w:rsid w:val="00C91F42"/>
    <w:rsid w:val="00CA3A4A"/>
    <w:rsid w:val="00CA3AA7"/>
    <w:rsid w:val="00CC7629"/>
    <w:rsid w:val="00CE1868"/>
    <w:rsid w:val="00CF5953"/>
    <w:rsid w:val="00D019DA"/>
    <w:rsid w:val="00D06379"/>
    <w:rsid w:val="00D10689"/>
    <w:rsid w:val="00D11C56"/>
    <w:rsid w:val="00D15822"/>
    <w:rsid w:val="00D15CDC"/>
    <w:rsid w:val="00D22CD9"/>
    <w:rsid w:val="00D26436"/>
    <w:rsid w:val="00D27C0A"/>
    <w:rsid w:val="00D42FC9"/>
    <w:rsid w:val="00D47E43"/>
    <w:rsid w:val="00D53FBE"/>
    <w:rsid w:val="00D544B7"/>
    <w:rsid w:val="00D6166B"/>
    <w:rsid w:val="00D63C90"/>
    <w:rsid w:val="00D63F38"/>
    <w:rsid w:val="00D645B5"/>
    <w:rsid w:val="00D66ADD"/>
    <w:rsid w:val="00D71A77"/>
    <w:rsid w:val="00D760E4"/>
    <w:rsid w:val="00D83AB0"/>
    <w:rsid w:val="00D84136"/>
    <w:rsid w:val="00D85B21"/>
    <w:rsid w:val="00D872A3"/>
    <w:rsid w:val="00D930B8"/>
    <w:rsid w:val="00DA1882"/>
    <w:rsid w:val="00DB3879"/>
    <w:rsid w:val="00DD208E"/>
    <w:rsid w:val="00DD5E7A"/>
    <w:rsid w:val="00DD69D9"/>
    <w:rsid w:val="00DF3C5B"/>
    <w:rsid w:val="00DF4080"/>
    <w:rsid w:val="00DF7C67"/>
    <w:rsid w:val="00E008D1"/>
    <w:rsid w:val="00E23120"/>
    <w:rsid w:val="00E24D2C"/>
    <w:rsid w:val="00E263CE"/>
    <w:rsid w:val="00E322DA"/>
    <w:rsid w:val="00E501E8"/>
    <w:rsid w:val="00E52355"/>
    <w:rsid w:val="00E53C97"/>
    <w:rsid w:val="00E5666D"/>
    <w:rsid w:val="00E645DB"/>
    <w:rsid w:val="00E64D98"/>
    <w:rsid w:val="00E74F9D"/>
    <w:rsid w:val="00E86E59"/>
    <w:rsid w:val="00EA151B"/>
    <w:rsid w:val="00EB02BF"/>
    <w:rsid w:val="00EC6C87"/>
    <w:rsid w:val="00ED2CF7"/>
    <w:rsid w:val="00ED6931"/>
    <w:rsid w:val="00EE72C9"/>
    <w:rsid w:val="00EF1CC5"/>
    <w:rsid w:val="00EF5DF3"/>
    <w:rsid w:val="00F07651"/>
    <w:rsid w:val="00F141B3"/>
    <w:rsid w:val="00F14906"/>
    <w:rsid w:val="00F221C9"/>
    <w:rsid w:val="00F27283"/>
    <w:rsid w:val="00F3153D"/>
    <w:rsid w:val="00F31CB6"/>
    <w:rsid w:val="00F4193B"/>
    <w:rsid w:val="00F77D07"/>
    <w:rsid w:val="00F8323A"/>
    <w:rsid w:val="00F863D0"/>
    <w:rsid w:val="00F86F16"/>
    <w:rsid w:val="00FA699C"/>
    <w:rsid w:val="00FB6A69"/>
    <w:rsid w:val="00FC6348"/>
    <w:rsid w:val="00FD487B"/>
    <w:rsid w:val="00FE414E"/>
    <w:rsid w:val="00FE5FE2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2614DB7-040C-4B74-B3F4-A52E207D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52B3"/>
    <w:rPr>
      <w:rFonts w:cs="Times New Roman"/>
      <w:color w:val="0000FF"/>
      <w:u w:val="single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952B3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952B3"/>
    <w:rPr>
      <w:rFonts w:ascii="Times New Roman" w:eastAsia="Times New Roman" w:hAnsi="Times New Roman" w:cs="Times New Roman"/>
      <w:lang w:eastAsia="lv-LV"/>
    </w:rPr>
  </w:style>
  <w:style w:type="paragraph" w:customStyle="1" w:styleId="Default">
    <w:name w:val="Default"/>
    <w:rsid w:val="000952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naiskr">
    <w:name w:val="naiskr"/>
    <w:basedOn w:val="Normal"/>
    <w:rsid w:val="000952B3"/>
    <w:pPr>
      <w:spacing w:before="100" w:beforeAutospacing="1" w:after="100" w:afterAutospacing="1"/>
    </w:pPr>
    <w:rPr>
      <w:rFonts w:eastAsia="Times New Roman"/>
    </w:rPr>
  </w:style>
  <w:style w:type="paragraph" w:customStyle="1" w:styleId="naisnod">
    <w:name w:val="naisnod"/>
    <w:basedOn w:val="Normal"/>
    <w:rsid w:val="000952B3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nhideWhenUsed/>
    <w:rsid w:val="000555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5596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5559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96"/>
    <w:rPr>
      <w:rFonts w:ascii="Segoe UI" w:eastAsia="Calibri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DF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045B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A04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45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04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5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4E"/>
    <w:pPr>
      <w:spacing w:after="0"/>
    </w:pPr>
    <w:rPr>
      <w:rFonts w:ascii="Times New Roman" w:hAnsi="Times New Roman"/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4E"/>
    <w:rPr>
      <w:rFonts w:ascii="Times New Roman" w:eastAsia="Calibri" w:hAnsi="Times New Roman" w:cs="Times New Roman"/>
      <w:b/>
      <w:bCs/>
      <w:sz w:val="20"/>
      <w:szCs w:val="20"/>
      <w:lang w:val="x-none" w:eastAsia="lv-LV"/>
    </w:rPr>
  </w:style>
  <w:style w:type="paragraph" w:styleId="Revision">
    <w:name w:val="Revision"/>
    <w:hidden/>
    <w:uiPriority w:val="99"/>
    <w:semiHidden/>
    <w:rsid w:val="004040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313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1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1C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282B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82B6F"/>
    <w:rPr>
      <w:rFonts w:ascii="Calibri" w:hAnsi="Calibri"/>
      <w:szCs w:val="21"/>
    </w:rPr>
  </w:style>
  <w:style w:type="paragraph" w:customStyle="1" w:styleId="naisf">
    <w:name w:val="naisf"/>
    <w:basedOn w:val="Normal"/>
    <w:rsid w:val="00D930B8"/>
    <w:pPr>
      <w:spacing w:before="68" w:after="68"/>
      <w:ind w:firstLine="34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alv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97DF-9F2D-41BB-B02A-4AA3BD48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>IZM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8.2.4.SAM MK noteikumu grozījumi</dc:subject>
  <dc:creator>Inese Kalva</dc:creator>
  <dc:description>tālr. 67047941_x000d_
Inese.Kalva@izm.gov.lv</dc:description>
  <cp:lastModifiedBy>Inese Kalva</cp:lastModifiedBy>
  <cp:revision>23</cp:revision>
  <cp:lastPrinted>2019-04-26T08:56:00Z</cp:lastPrinted>
  <dcterms:created xsi:type="dcterms:W3CDTF">2019-01-03T08:00:00Z</dcterms:created>
  <dcterms:modified xsi:type="dcterms:W3CDTF">2019-05-16T07:00:00Z</dcterms:modified>
</cp:coreProperties>
</file>