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EB5B" w14:textId="77777777" w:rsidR="00B349FB" w:rsidRDefault="00BC65C7" w:rsidP="00BC65C7">
      <w:pPr>
        <w:pStyle w:val="tv20787921"/>
        <w:spacing w:after="0" w:line="240" w:lineRule="auto"/>
        <w:rPr>
          <w:rFonts w:ascii="Times New Roman" w:hAnsi="Times New Roman"/>
          <w:sz w:val="26"/>
          <w:szCs w:val="26"/>
        </w:rPr>
      </w:pPr>
      <w:r w:rsidRPr="00BC65C7">
        <w:rPr>
          <w:rFonts w:ascii="Times New Roman" w:hAnsi="Times New Roman"/>
          <w:sz w:val="26"/>
          <w:szCs w:val="26"/>
        </w:rPr>
        <w:t>Izziņa par atzinumos sniegtajiem iebildumiem par</w:t>
      </w:r>
      <w:r w:rsidR="00B349FB" w:rsidRPr="00FD75C9">
        <w:rPr>
          <w:rFonts w:ascii="Times New Roman" w:hAnsi="Times New Roman"/>
          <w:sz w:val="26"/>
          <w:szCs w:val="26"/>
        </w:rPr>
        <w:t xml:space="preserve"> Mini</w:t>
      </w:r>
      <w:r>
        <w:rPr>
          <w:rFonts w:ascii="Times New Roman" w:hAnsi="Times New Roman"/>
          <w:sz w:val="26"/>
          <w:szCs w:val="26"/>
        </w:rPr>
        <w:t>stru kabineta noteikumu projektu</w:t>
      </w:r>
      <w:r w:rsidR="00B349FB" w:rsidRPr="00FD75C9">
        <w:rPr>
          <w:rFonts w:ascii="Times New Roman" w:hAnsi="Times New Roman"/>
          <w:sz w:val="26"/>
          <w:szCs w:val="26"/>
        </w:rPr>
        <w:t xml:space="preserve"> </w:t>
      </w:r>
      <w:r w:rsidR="00B67BFB" w:rsidRPr="00FD75C9">
        <w:rPr>
          <w:rFonts w:ascii="Times New Roman" w:hAnsi="Times New Roman"/>
          <w:sz w:val="26"/>
          <w:szCs w:val="26"/>
        </w:rPr>
        <w:t>„</w:t>
      </w:r>
      <w:r w:rsidR="00FD75C9" w:rsidRPr="00FD75C9">
        <w:rPr>
          <w:rFonts w:ascii="Times New Roman" w:hAnsi="Times New Roman"/>
          <w:sz w:val="26"/>
          <w:szCs w:val="26"/>
        </w:rPr>
        <w:t xml:space="preserve"> </w:t>
      </w:r>
      <w:r w:rsidR="00FD75C9" w:rsidRPr="00FD75C9">
        <w:rPr>
          <w:rFonts w:ascii="Times New Roman" w:hAnsi="Times New Roman"/>
          <w:bCs w:val="0"/>
          <w:sz w:val="26"/>
          <w:szCs w:val="26"/>
        </w:rPr>
        <w:t>Grozījumi Ministru kabineta 2016. gada 5. jūlija noteikumos Nr. 445 „Pedagogu darba samaksas noteikumi”</w:t>
      </w:r>
      <w:r w:rsidR="00B67BFB" w:rsidRPr="00FD75C9">
        <w:rPr>
          <w:rFonts w:ascii="Times New Roman" w:hAnsi="Times New Roman"/>
          <w:sz w:val="26"/>
          <w:szCs w:val="26"/>
        </w:rPr>
        <w:t xml:space="preserve">” </w:t>
      </w:r>
      <w:r>
        <w:rPr>
          <w:rFonts w:ascii="Times New Roman" w:hAnsi="Times New Roman"/>
          <w:sz w:val="26"/>
          <w:szCs w:val="26"/>
        </w:rPr>
        <w:t>(VSS-</w:t>
      </w:r>
      <w:r w:rsidR="003A316E">
        <w:rPr>
          <w:rFonts w:ascii="Times New Roman" w:hAnsi="Times New Roman"/>
          <w:sz w:val="26"/>
          <w:szCs w:val="26"/>
        </w:rPr>
        <w:t>458</w:t>
      </w:r>
      <w:r w:rsidRPr="00BC65C7">
        <w:rPr>
          <w:rFonts w:ascii="Times New Roman" w:hAnsi="Times New Roman"/>
          <w:sz w:val="26"/>
          <w:szCs w:val="26"/>
        </w:rPr>
        <w:t>) un tam pievienoto sākotnējās ietekmes novērtējuma ziņojumu (anotācija)</w:t>
      </w:r>
    </w:p>
    <w:p w14:paraId="51CEB9A8" w14:textId="77777777" w:rsidR="003A316E" w:rsidRPr="00FD75C9" w:rsidRDefault="003A316E" w:rsidP="00BC65C7">
      <w:pPr>
        <w:pStyle w:val="tv20787921"/>
        <w:spacing w:after="0" w:line="240" w:lineRule="auto"/>
        <w:rPr>
          <w:rFonts w:ascii="Times New Roman" w:hAnsi="Times New Roman"/>
          <w:b w:val="0"/>
          <w:sz w:val="26"/>
          <w:szCs w:val="26"/>
        </w:rPr>
      </w:pPr>
    </w:p>
    <w:p w14:paraId="02B53355" w14:textId="77777777" w:rsidR="009638EA" w:rsidRPr="003A316E" w:rsidRDefault="009638EA" w:rsidP="003A316E">
      <w:pPr>
        <w:pStyle w:val="naisf"/>
        <w:numPr>
          <w:ilvl w:val="0"/>
          <w:numId w:val="1"/>
        </w:numPr>
        <w:shd w:val="clear" w:color="auto" w:fill="FFFFFF"/>
        <w:spacing w:before="0" w:after="0"/>
        <w:jc w:val="center"/>
        <w:rPr>
          <w:b/>
        </w:rPr>
      </w:pPr>
      <w:r w:rsidRPr="0052064D">
        <w:rPr>
          <w:b/>
        </w:rPr>
        <w:t xml:space="preserve">Jautājumi, par kuriem saskaņošanā vienošanās </w:t>
      </w:r>
      <w:r w:rsidR="00FD75C9">
        <w:rPr>
          <w:b/>
        </w:rPr>
        <w:t>nav</w:t>
      </w:r>
      <w:r w:rsidRPr="0052064D">
        <w:rPr>
          <w:b/>
        </w:rPr>
        <w:t xml:space="preserve"> panākta</w:t>
      </w: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544"/>
        <w:gridCol w:w="2948"/>
      </w:tblGrid>
      <w:tr w:rsidR="009638EA" w:rsidRPr="0052064D" w14:paraId="2CAF2CC0" w14:textId="77777777" w:rsidTr="002A454A">
        <w:trPr>
          <w:trHeight w:val="648"/>
        </w:trPr>
        <w:tc>
          <w:tcPr>
            <w:tcW w:w="675" w:type="dxa"/>
            <w:tcBorders>
              <w:top w:val="single" w:sz="4" w:space="0" w:color="000000"/>
              <w:left w:val="single" w:sz="4" w:space="0" w:color="000000"/>
              <w:bottom w:val="single" w:sz="4" w:space="0" w:color="000000"/>
              <w:right w:val="single" w:sz="4" w:space="0" w:color="000000"/>
            </w:tcBorders>
            <w:hideMark/>
          </w:tcPr>
          <w:p w14:paraId="7C7EFA6C" w14:textId="77777777" w:rsidR="009638EA" w:rsidRPr="0052064D" w:rsidRDefault="009638EA" w:rsidP="004D6D2B">
            <w:pPr>
              <w:shd w:val="clear" w:color="auto" w:fill="FFFFFF"/>
              <w:jc w:val="center"/>
              <w:rPr>
                <w:b/>
              </w:rPr>
            </w:pPr>
            <w:r w:rsidRPr="0052064D">
              <w:rPr>
                <w:b/>
              </w:rPr>
              <w:t>Nr. p.k.</w:t>
            </w:r>
          </w:p>
          <w:p w14:paraId="2E5A0A6F" w14:textId="77777777" w:rsidR="009638EA" w:rsidRPr="0052064D" w:rsidRDefault="009638EA" w:rsidP="004D6D2B">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14:paraId="4F4EFED8" w14:textId="77777777" w:rsidR="009638EA" w:rsidRPr="0052064D" w:rsidRDefault="009638EA" w:rsidP="004D6D2B">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14:paraId="249378FD" w14:textId="77777777" w:rsidR="009638EA" w:rsidRPr="0052064D" w:rsidRDefault="009638EA" w:rsidP="004D6D2B">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544" w:type="dxa"/>
            <w:tcBorders>
              <w:top w:val="single" w:sz="4" w:space="0" w:color="000000"/>
              <w:left w:val="single" w:sz="4" w:space="0" w:color="000000"/>
              <w:bottom w:val="single" w:sz="4" w:space="0" w:color="000000"/>
              <w:right w:val="single" w:sz="4" w:space="0" w:color="000000"/>
            </w:tcBorders>
            <w:hideMark/>
          </w:tcPr>
          <w:p w14:paraId="4895578E" w14:textId="77777777" w:rsidR="009638EA" w:rsidRPr="0052064D" w:rsidRDefault="009638EA" w:rsidP="004D6D2B">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948" w:type="dxa"/>
            <w:tcBorders>
              <w:top w:val="single" w:sz="4" w:space="0" w:color="000000"/>
              <w:left w:val="single" w:sz="4" w:space="0" w:color="000000"/>
              <w:bottom w:val="single" w:sz="4" w:space="0" w:color="000000"/>
              <w:right w:val="single" w:sz="4" w:space="0" w:color="000000"/>
            </w:tcBorders>
            <w:hideMark/>
          </w:tcPr>
          <w:p w14:paraId="244CADAB" w14:textId="77777777" w:rsidR="009638EA" w:rsidRPr="0052064D" w:rsidRDefault="009638EA" w:rsidP="004D6D2B">
            <w:pPr>
              <w:shd w:val="clear" w:color="auto" w:fill="FFFFFF"/>
              <w:jc w:val="center"/>
              <w:rPr>
                <w:b/>
              </w:rPr>
            </w:pPr>
            <w:r w:rsidRPr="0052064D">
              <w:rPr>
                <w:b/>
              </w:rPr>
              <w:t>Projekta attiecīgā punkta (panta) galīgā redakcija</w:t>
            </w:r>
          </w:p>
        </w:tc>
      </w:tr>
      <w:tr w:rsidR="009638EA" w:rsidRPr="00593425" w14:paraId="6AD1337E"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7547AFE" w14:textId="77777777" w:rsidR="009638EA" w:rsidRPr="00593425" w:rsidRDefault="009638EA" w:rsidP="00593425">
            <w:pPr>
              <w:shd w:val="clear" w:color="auto" w:fill="FFFFFF"/>
              <w:jc w:val="both"/>
            </w:pPr>
            <w:r w:rsidRPr="00593425">
              <w:t>1</w:t>
            </w:r>
          </w:p>
        </w:tc>
        <w:tc>
          <w:tcPr>
            <w:tcW w:w="3148" w:type="dxa"/>
            <w:tcBorders>
              <w:top w:val="single" w:sz="4" w:space="0" w:color="000000"/>
              <w:left w:val="single" w:sz="4" w:space="0" w:color="000000"/>
              <w:bottom w:val="single" w:sz="4" w:space="0" w:color="000000"/>
              <w:right w:val="single" w:sz="4" w:space="0" w:color="000000"/>
            </w:tcBorders>
          </w:tcPr>
          <w:p w14:paraId="5EFF59C8" w14:textId="77777777" w:rsidR="009638EA" w:rsidRPr="00593425" w:rsidRDefault="009638EA" w:rsidP="00593425">
            <w:pPr>
              <w:shd w:val="clear" w:color="auto" w:fill="FFFFFF"/>
              <w:jc w:val="both"/>
            </w:pPr>
            <w:r w:rsidRPr="00593425">
              <w:t>2</w:t>
            </w:r>
          </w:p>
        </w:tc>
        <w:tc>
          <w:tcPr>
            <w:tcW w:w="4394" w:type="dxa"/>
            <w:tcBorders>
              <w:top w:val="single" w:sz="4" w:space="0" w:color="000000"/>
              <w:left w:val="single" w:sz="4" w:space="0" w:color="000000"/>
              <w:bottom w:val="single" w:sz="4" w:space="0" w:color="000000"/>
              <w:right w:val="single" w:sz="4" w:space="0" w:color="000000"/>
            </w:tcBorders>
          </w:tcPr>
          <w:p w14:paraId="052442FF" w14:textId="77777777" w:rsidR="009638EA" w:rsidRPr="00593425" w:rsidRDefault="009638EA" w:rsidP="00593425">
            <w:pPr>
              <w:shd w:val="clear" w:color="auto" w:fill="FFFFFF"/>
              <w:jc w:val="both"/>
            </w:pPr>
            <w:r w:rsidRPr="00593425">
              <w:t>3</w:t>
            </w:r>
          </w:p>
        </w:tc>
        <w:tc>
          <w:tcPr>
            <w:tcW w:w="3544" w:type="dxa"/>
            <w:tcBorders>
              <w:top w:val="single" w:sz="4" w:space="0" w:color="000000"/>
              <w:left w:val="single" w:sz="4" w:space="0" w:color="000000"/>
              <w:bottom w:val="single" w:sz="4" w:space="0" w:color="000000"/>
              <w:right w:val="single" w:sz="4" w:space="0" w:color="000000"/>
            </w:tcBorders>
          </w:tcPr>
          <w:p w14:paraId="5B2AF558" w14:textId="77777777" w:rsidR="009638EA" w:rsidRPr="00593425" w:rsidRDefault="009638EA" w:rsidP="00593425">
            <w:pPr>
              <w:shd w:val="clear" w:color="auto" w:fill="FFFFFF"/>
              <w:jc w:val="both"/>
            </w:pPr>
            <w:r w:rsidRPr="00593425">
              <w:t>4</w:t>
            </w:r>
          </w:p>
        </w:tc>
        <w:tc>
          <w:tcPr>
            <w:tcW w:w="2948" w:type="dxa"/>
            <w:tcBorders>
              <w:top w:val="single" w:sz="4" w:space="0" w:color="000000"/>
              <w:left w:val="single" w:sz="4" w:space="0" w:color="000000"/>
              <w:bottom w:val="single" w:sz="4" w:space="0" w:color="000000"/>
              <w:right w:val="single" w:sz="4" w:space="0" w:color="000000"/>
            </w:tcBorders>
          </w:tcPr>
          <w:p w14:paraId="1A132077" w14:textId="77777777" w:rsidR="009638EA" w:rsidRPr="00593425" w:rsidRDefault="009638EA" w:rsidP="00593425">
            <w:pPr>
              <w:shd w:val="clear" w:color="auto" w:fill="FFFFFF"/>
              <w:jc w:val="both"/>
            </w:pPr>
            <w:r w:rsidRPr="00593425">
              <w:t>5</w:t>
            </w:r>
          </w:p>
        </w:tc>
      </w:tr>
      <w:tr w:rsidR="00CB4FC8" w:rsidRPr="00593425" w14:paraId="0EC1B465" w14:textId="77777777" w:rsidTr="00BD0670">
        <w:trPr>
          <w:trHeight w:val="300"/>
        </w:trPr>
        <w:tc>
          <w:tcPr>
            <w:tcW w:w="14709" w:type="dxa"/>
            <w:gridSpan w:val="5"/>
            <w:tcBorders>
              <w:top w:val="single" w:sz="4" w:space="0" w:color="000000"/>
              <w:left w:val="single" w:sz="4" w:space="0" w:color="000000"/>
              <w:bottom w:val="single" w:sz="4" w:space="0" w:color="000000"/>
              <w:right w:val="single" w:sz="4" w:space="0" w:color="000000"/>
            </w:tcBorders>
          </w:tcPr>
          <w:p w14:paraId="76B166CD" w14:textId="77777777" w:rsidR="00CB4FC8" w:rsidRPr="00CB4FC8" w:rsidRDefault="00CB4FC8" w:rsidP="00CB4FC8">
            <w:pPr>
              <w:shd w:val="clear" w:color="auto" w:fill="FFFFFF"/>
              <w:jc w:val="center"/>
              <w:rPr>
                <w:b/>
              </w:rPr>
            </w:pPr>
            <w:r w:rsidRPr="00CB4FC8">
              <w:rPr>
                <w:b/>
              </w:rPr>
              <w:t>Finanšu ministrija</w:t>
            </w:r>
          </w:p>
        </w:tc>
      </w:tr>
      <w:tr w:rsidR="00CB4FC8" w:rsidRPr="00593425" w14:paraId="342653DB"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38324C27" w14:textId="77777777" w:rsidR="00CB4FC8" w:rsidRPr="00CB4FC8" w:rsidRDefault="00CB4FC8" w:rsidP="00593425">
            <w:pPr>
              <w:shd w:val="clear" w:color="auto" w:fill="FFFFFF"/>
              <w:jc w:val="both"/>
              <w:rPr>
                <w:b/>
              </w:rPr>
            </w:pPr>
            <w:r w:rsidRPr="00CB4FC8">
              <w:rPr>
                <w:b/>
              </w:rPr>
              <w:t>1.</w:t>
            </w:r>
          </w:p>
        </w:tc>
        <w:tc>
          <w:tcPr>
            <w:tcW w:w="3148" w:type="dxa"/>
            <w:tcBorders>
              <w:top w:val="single" w:sz="4" w:space="0" w:color="000000"/>
              <w:left w:val="single" w:sz="4" w:space="0" w:color="000000"/>
              <w:bottom w:val="single" w:sz="4" w:space="0" w:color="000000"/>
              <w:right w:val="single" w:sz="4" w:space="0" w:color="000000"/>
            </w:tcBorders>
          </w:tcPr>
          <w:p w14:paraId="24A0B7C8" w14:textId="77777777" w:rsidR="00085DB5" w:rsidRDefault="00085DB5" w:rsidP="00085DB5">
            <w:pPr>
              <w:shd w:val="clear" w:color="auto" w:fill="FFFFFF"/>
              <w:jc w:val="both"/>
            </w:pPr>
            <w:proofErr w:type="spellStart"/>
            <w:r>
              <w:t>Protokollēmums</w:t>
            </w:r>
            <w:proofErr w:type="spellEnd"/>
            <w:r>
              <w:t>:</w:t>
            </w:r>
          </w:p>
          <w:p w14:paraId="7CA03640" w14:textId="44B736F1" w:rsidR="00CB4FC8" w:rsidRPr="00593425" w:rsidRDefault="00085DB5" w:rsidP="00085DB5">
            <w:pPr>
              <w:shd w:val="clear" w:color="auto" w:fill="FFFFFF"/>
              <w:jc w:val="both"/>
            </w:pPr>
            <w:r>
              <w:t>7.</w:t>
            </w:r>
            <w:r>
              <w:tab/>
              <w:t xml:space="preserve">Izglītības un zinātnes ministrijai, Kultūras ministrijai, Labklājības ministrijai, Veselības ministrijai un Tieslietu ministrijai iesniegt Finanšu ministrijā priekšlikumu par budžeta bāzes izdevumu palielināšanu 2020.gadam un turpmāk ik gadu budžeta resoram "62. Mērķdotācijas pašvaldībām" par 18 237 534 EUR, Izglītības un zinātnes ministrijai par 2 749 553 EUR, Labklājības ministrijai par 37 287 EUR, Tieslietu ministrijai </w:t>
            </w:r>
            <w:r>
              <w:lastRenderedPageBreak/>
              <w:t>par 5 626 EUR, Kultūras ministrijai par 1 922 583 EUR un Veselības ministrijai par 21 048 EUR. Finanšu ministrijai atbilstoši palielināt nozaru ministriju bāzes izdevumus 2020.gadam un turpmāk.</w:t>
            </w:r>
          </w:p>
        </w:tc>
        <w:tc>
          <w:tcPr>
            <w:tcW w:w="4394" w:type="dxa"/>
            <w:tcBorders>
              <w:top w:val="single" w:sz="4" w:space="0" w:color="000000"/>
              <w:left w:val="single" w:sz="4" w:space="0" w:color="000000"/>
              <w:bottom w:val="single" w:sz="4" w:space="0" w:color="000000"/>
              <w:right w:val="single" w:sz="4" w:space="0" w:color="000000"/>
            </w:tcBorders>
          </w:tcPr>
          <w:p w14:paraId="5069E13B" w14:textId="5849A143" w:rsidR="00CB4FC8" w:rsidRPr="00593425" w:rsidRDefault="00E64BFC" w:rsidP="00CB4FC8">
            <w:pPr>
              <w:shd w:val="clear" w:color="auto" w:fill="FFFFFF"/>
              <w:jc w:val="both"/>
            </w:pPr>
            <w:r w:rsidRPr="00E64BFC">
              <w:lastRenderedPageBreak/>
              <w:t xml:space="preserve">Savukārt attiecībā uz turpmākajiem gadiem norādām, ka atbilstoši Ministru kabinetā apstiprinātajai Latvijas Stabilitātes programmai 2019.-2022.gadam, 2020. un 2021.gadā fiskālā telpa nav pieejama. Attiecīgi jautājums par papildus nepieciešamo finansējumu 22 973 631 </w:t>
            </w:r>
            <w:proofErr w:type="spellStart"/>
            <w:r w:rsidRPr="00E64BFC">
              <w:t>euro</w:t>
            </w:r>
            <w:proofErr w:type="spellEnd"/>
            <w:r w:rsidRPr="00E64BFC">
              <w:t xml:space="preserve"> apmērā 2020., 2021. un 2022.gadā ir skatāms pēc atjaunoto makroekonomisko un fiskālo prognožu apstiprināšanas Ministru kabinetā likumprojekta “Par valsts budžetu 2020.gadam” un likumprojekta “Par vidēja termiņa budžeta ietvaru 2020., 2021. un 2022.gadam” sagatavošanas un izskatīšanas procesā kopā ar visu ministriju un centrālo valsts iestāžu iesniegtajiem prioritāro pasākumu pieteikumiem </w:t>
            </w:r>
            <w:r w:rsidRPr="00E64BFC">
              <w:lastRenderedPageBreak/>
              <w:t xml:space="preserve">atbilstoši valsts budžeta finansiālajām iespējām. Ņemot vērā minēto, </w:t>
            </w:r>
            <w:proofErr w:type="spellStart"/>
            <w:r w:rsidRPr="00E64BFC">
              <w:t>protokollēmuma</w:t>
            </w:r>
            <w:proofErr w:type="spellEnd"/>
            <w:r w:rsidRPr="00E64BFC">
              <w:t xml:space="preserve"> projekta 7.punkts esošajā redakcijā ir svītrojams un izsakāms šādā redakcijā: “Jautājumu par papildu valsts budžeta līdzekļu piešķiršanu 2020., 2021., 2022.gadā un turpmāk pedagogu darba samaksas pieauguma nodrošināšanai izskatīt Ministru kabinetā likumprojekta „Par valsts budžetu 2020.gadam” un likumprojekta „Par vidēja termiņa budžeta ietvaru 2020., 2021. un 2022.gadam” sagatavošanas un izskatīšanas procesā kopā ar visu ministriju un centrālo valsts iestāžu iesniegtajiem prioritāro pasākumu pieteikumiem atbilstoši valsts budžeta finansiālajām iespējām”.</w:t>
            </w:r>
          </w:p>
        </w:tc>
        <w:tc>
          <w:tcPr>
            <w:tcW w:w="3544" w:type="dxa"/>
            <w:tcBorders>
              <w:top w:val="single" w:sz="4" w:space="0" w:color="000000"/>
              <w:left w:val="single" w:sz="4" w:space="0" w:color="000000"/>
              <w:bottom w:val="single" w:sz="4" w:space="0" w:color="000000"/>
              <w:right w:val="single" w:sz="4" w:space="0" w:color="000000"/>
            </w:tcBorders>
          </w:tcPr>
          <w:p w14:paraId="5B151BB7" w14:textId="00B831E8" w:rsidR="007E6BA6" w:rsidRPr="00CB4FC8" w:rsidRDefault="006E1CAC" w:rsidP="001C1466">
            <w:pPr>
              <w:shd w:val="clear" w:color="auto" w:fill="FFFFFF"/>
              <w:jc w:val="both"/>
              <w:rPr>
                <w:b/>
              </w:rPr>
            </w:pPr>
            <w:r>
              <w:rPr>
                <w:b/>
              </w:rPr>
              <w:lastRenderedPageBreak/>
              <w:t>Nav ņemts vērā.</w:t>
            </w:r>
            <w:r w:rsidR="001C1466">
              <w:rPr>
                <w:b/>
              </w:rPr>
              <w:t xml:space="preserve"> </w:t>
            </w:r>
          </w:p>
        </w:tc>
        <w:tc>
          <w:tcPr>
            <w:tcW w:w="2948" w:type="dxa"/>
            <w:tcBorders>
              <w:top w:val="single" w:sz="4" w:space="0" w:color="000000"/>
              <w:left w:val="single" w:sz="4" w:space="0" w:color="000000"/>
              <w:bottom w:val="single" w:sz="4" w:space="0" w:color="000000"/>
              <w:right w:val="single" w:sz="4" w:space="0" w:color="000000"/>
            </w:tcBorders>
          </w:tcPr>
          <w:p w14:paraId="5BF030EF" w14:textId="77777777" w:rsidR="00CB4FC8" w:rsidRDefault="001C439A" w:rsidP="00593425">
            <w:pPr>
              <w:shd w:val="clear" w:color="auto" w:fill="FFFFFF"/>
              <w:jc w:val="both"/>
            </w:pPr>
            <w:proofErr w:type="spellStart"/>
            <w:r>
              <w:t>Protokollēmums</w:t>
            </w:r>
            <w:proofErr w:type="spellEnd"/>
            <w:r>
              <w:t>:</w:t>
            </w:r>
          </w:p>
          <w:p w14:paraId="53D52CD9" w14:textId="698EB3F8" w:rsidR="001C439A" w:rsidRPr="00593425" w:rsidRDefault="001C439A" w:rsidP="00593425">
            <w:pPr>
              <w:shd w:val="clear" w:color="auto" w:fill="FFFFFF"/>
              <w:jc w:val="both"/>
            </w:pPr>
            <w:r w:rsidRPr="001C439A">
              <w:t>7.</w:t>
            </w:r>
            <w:r w:rsidRPr="001C439A">
              <w:tab/>
              <w:t xml:space="preserve">Izglītības un zinātnes ministrijai, Kultūras ministrijai, Labklājības ministrijai, Veselības ministrijai un Tieslietu ministrijai iesniegt Finanšu ministrijā priekšlikumu par budžeta bāzes izdevumu palielināšanu 2020.gadam un turpmāk ik gadu budžeta resoram "62. Mērķdotācijas pašvaldībām" par 18 237 534 EUR, Izglītības un zinātnes ministrijai par 2 749 553 EUR, Labklājības ministrijai par 37 287 EUR, </w:t>
            </w:r>
            <w:r w:rsidRPr="001C439A">
              <w:lastRenderedPageBreak/>
              <w:t>Tieslietu ministrijai par 5 626 EUR, Kultūras ministrijai par 1 922 583 EUR un Veselības ministrijai par 21 048 EUR. Finanšu ministrijai atbilstoši palielināt nozaru ministriju bāzes izdevumus 2020.gadam un turpmāk.</w:t>
            </w:r>
          </w:p>
        </w:tc>
      </w:tr>
      <w:tr w:rsidR="006E1CAC" w:rsidRPr="00593425" w14:paraId="7D4B588E"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20444E25" w14:textId="2892320B" w:rsidR="006E1CAC" w:rsidRPr="00CB4FC8" w:rsidRDefault="00ED0498" w:rsidP="00593425">
            <w:pPr>
              <w:shd w:val="clear" w:color="auto" w:fill="FFFFFF"/>
              <w:jc w:val="both"/>
              <w:rPr>
                <w:b/>
              </w:rPr>
            </w:pPr>
            <w:r>
              <w:rPr>
                <w:b/>
              </w:rPr>
              <w:lastRenderedPageBreak/>
              <w:t>2.</w:t>
            </w:r>
          </w:p>
        </w:tc>
        <w:tc>
          <w:tcPr>
            <w:tcW w:w="3148" w:type="dxa"/>
            <w:tcBorders>
              <w:top w:val="single" w:sz="4" w:space="0" w:color="000000"/>
              <w:left w:val="single" w:sz="4" w:space="0" w:color="000000"/>
              <w:bottom w:val="single" w:sz="4" w:space="0" w:color="000000"/>
              <w:right w:val="single" w:sz="4" w:space="0" w:color="000000"/>
            </w:tcBorders>
          </w:tcPr>
          <w:p w14:paraId="7776AADE" w14:textId="77777777" w:rsidR="006E1CAC" w:rsidRPr="00593425" w:rsidRDefault="006E1CAC"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1E860727" w14:textId="0AB85328" w:rsidR="006E1CAC" w:rsidRPr="00E64BFC" w:rsidRDefault="006E1CAC" w:rsidP="00CB4FC8">
            <w:pPr>
              <w:shd w:val="clear" w:color="auto" w:fill="FFFFFF"/>
              <w:jc w:val="both"/>
            </w:pPr>
            <w:r w:rsidRPr="006E1CAC">
              <w:t xml:space="preserve">Papildus nepiekrītam </w:t>
            </w:r>
            <w:proofErr w:type="spellStart"/>
            <w:r w:rsidRPr="006E1CAC">
              <w:t>protokollēmuma</w:t>
            </w:r>
            <w:proofErr w:type="spellEnd"/>
            <w:r w:rsidRPr="006E1CAC">
              <w:t xml:space="preserve"> projekta 4.punktā norādītajam, ka Izglītības un zinātnes ministrija turpinās reformas īstenošanai nepieciešamo normatīvo aktu projektu izstrādi un virzību izskatīšanai Ministru kabinetā saskaņā ar informatīvā ziņojuma “Par skolu tīkla sakārtošanu” 6.punktā norādītajiem termiņiem. Uzskatām, ka pasākumi valsts nozīmes reformu īstenošanai izglītības jomā, kuru rezultātā uzlabosies sistēmas efektivitāte un veidosies pozitīva fiskālā telpa, jāīsteno un </w:t>
            </w:r>
            <w:r w:rsidRPr="006E1CAC">
              <w:lastRenderedPageBreak/>
              <w:t>nepieciešamie normatīvo aktu projekti jāizstrādā līdz 2019.g. 31.augustam, lai attiecīgi reformu rezultātā iegūto finansējumu varētu novirzīt pedagogu darba samaksas pieauguma nodrošināšanai sākot no 2020.gada, samazinot papildu nepieciešamā finansējuma apmēru. Attiecīgi nepieciešams precizēt arī informāciju anotācijas I sadaļas 2.punktā un III sadaļas 8.punktā.</w:t>
            </w:r>
          </w:p>
        </w:tc>
        <w:tc>
          <w:tcPr>
            <w:tcW w:w="3544" w:type="dxa"/>
            <w:tcBorders>
              <w:top w:val="single" w:sz="4" w:space="0" w:color="000000"/>
              <w:left w:val="single" w:sz="4" w:space="0" w:color="000000"/>
              <w:bottom w:val="single" w:sz="4" w:space="0" w:color="000000"/>
              <w:right w:val="single" w:sz="4" w:space="0" w:color="000000"/>
            </w:tcBorders>
          </w:tcPr>
          <w:p w14:paraId="0BF2BCE5" w14:textId="77777777" w:rsidR="006E1CAC" w:rsidRDefault="006E1CAC" w:rsidP="001C1466">
            <w:pPr>
              <w:shd w:val="clear" w:color="auto" w:fill="FFFFFF"/>
              <w:jc w:val="both"/>
              <w:rPr>
                <w:b/>
              </w:rPr>
            </w:pPr>
            <w:r>
              <w:rPr>
                <w:b/>
              </w:rPr>
              <w:lastRenderedPageBreak/>
              <w:t>Nav ņemts vērā.</w:t>
            </w:r>
          </w:p>
          <w:p w14:paraId="16CD2A6D" w14:textId="3AE1B92D" w:rsidR="006E1CAC" w:rsidRPr="00ED0498" w:rsidRDefault="006E1CAC" w:rsidP="00ED0498">
            <w:pPr>
              <w:shd w:val="clear" w:color="auto" w:fill="FFFFFF"/>
              <w:jc w:val="both"/>
            </w:pPr>
            <w:r w:rsidRPr="00ED0498">
              <w:t xml:space="preserve">Lai  </w:t>
            </w:r>
            <w:r w:rsidR="00ED0498" w:rsidRPr="00ED0498">
              <w:t xml:space="preserve"> </w:t>
            </w:r>
            <w:r w:rsidR="00ED0498">
              <w:t xml:space="preserve">FM </w:t>
            </w:r>
            <w:r w:rsidR="00ED0498" w:rsidRPr="00ED0498">
              <w:t xml:space="preserve">17.06.2019. </w:t>
            </w:r>
            <w:r w:rsidR="00ED0498">
              <w:t>atzinumā</w:t>
            </w:r>
            <w:r w:rsidR="00ED0498" w:rsidRPr="00ED0498">
              <w:t xml:space="preserve"> Nr.12/A-2/2795 minētos </w:t>
            </w:r>
            <w:r w:rsidRPr="00ED0498">
              <w:t>nepieciešamos normatīvos aktu projektus</w:t>
            </w:r>
            <w:r w:rsidR="00ED0498">
              <w:t xml:space="preserve"> varētu </w:t>
            </w:r>
            <w:r w:rsidRPr="00ED0498">
              <w:t>izstrādā</w:t>
            </w:r>
            <w:r w:rsidR="00ED0498">
              <w:t>t</w:t>
            </w:r>
            <w:r w:rsidRPr="00ED0498">
              <w:t xml:space="preserve"> līdz 2019.g. 31.augustam,</w:t>
            </w:r>
            <w:r w:rsidR="00ED0498">
              <w:t xml:space="preserve">  nepieciešams d</w:t>
            </w:r>
            <w:r w:rsidR="00ED0498" w:rsidRPr="00ED0498">
              <w:t>eleģējums Izglītības likumā, kas ļautu noteikt minimālo skolēnu skaitu izglītības iestādē, kurš plānots virzīt izskatīšanai Sae</w:t>
            </w:r>
            <w:r w:rsidR="00ED0498">
              <w:t>imā līdz 2019.gada 31.decembrim.</w:t>
            </w:r>
          </w:p>
        </w:tc>
        <w:tc>
          <w:tcPr>
            <w:tcW w:w="2948" w:type="dxa"/>
            <w:tcBorders>
              <w:top w:val="single" w:sz="4" w:space="0" w:color="000000"/>
              <w:left w:val="single" w:sz="4" w:space="0" w:color="000000"/>
              <w:bottom w:val="single" w:sz="4" w:space="0" w:color="000000"/>
              <w:right w:val="single" w:sz="4" w:space="0" w:color="000000"/>
            </w:tcBorders>
          </w:tcPr>
          <w:p w14:paraId="57E16778" w14:textId="77777777" w:rsidR="006E1CAC" w:rsidRPr="00593425" w:rsidRDefault="006E1CAC" w:rsidP="00593425">
            <w:pPr>
              <w:shd w:val="clear" w:color="auto" w:fill="FFFFFF"/>
              <w:jc w:val="both"/>
            </w:pPr>
          </w:p>
        </w:tc>
      </w:tr>
      <w:tr w:rsidR="00B42ED7" w:rsidRPr="00593425" w14:paraId="398FB989" w14:textId="77777777" w:rsidTr="004E24FD">
        <w:trPr>
          <w:trHeight w:val="300"/>
        </w:trPr>
        <w:tc>
          <w:tcPr>
            <w:tcW w:w="14709" w:type="dxa"/>
            <w:gridSpan w:val="5"/>
            <w:tcBorders>
              <w:top w:val="single" w:sz="4" w:space="0" w:color="000000"/>
              <w:left w:val="single" w:sz="4" w:space="0" w:color="000000"/>
              <w:bottom w:val="single" w:sz="4" w:space="0" w:color="000000"/>
              <w:right w:val="single" w:sz="4" w:space="0" w:color="000000"/>
            </w:tcBorders>
          </w:tcPr>
          <w:p w14:paraId="0CEB4A58" w14:textId="77777777" w:rsidR="00B42ED7" w:rsidRPr="00593425" w:rsidRDefault="00B42ED7" w:rsidP="00B42ED7">
            <w:pPr>
              <w:shd w:val="clear" w:color="auto" w:fill="FFFFFF"/>
              <w:jc w:val="center"/>
            </w:pPr>
            <w:r w:rsidRPr="00D3511A">
              <w:rPr>
                <w:b/>
              </w:rPr>
              <w:t>Latvijas izglītības un zinātnes darbinieku arodbiedrība</w:t>
            </w:r>
          </w:p>
        </w:tc>
      </w:tr>
      <w:tr w:rsidR="00B42ED7" w:rsidRPr="00593425" w14:paraId="15F89622"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9CD83A4" w14:textId="77777777" w:rsidR="00B42ED7" w:rsidRPr="00CB4FC8" w:rsidRDefault="00CB4FC8" w:rsidP="00593425">
            <w:pPr>
              <w:shd w:val="clear" w:color="auto" w:fill="FFFFFF"/>
              <w:jc w:val="both"/>
              <w:rPr>
                <w:b/>
              </w:rPr>
            </w:pPr>
            <w:r w:rsidRPr="00CB4FC8">
              <w:rPr>
                <w:b/>
              </w:rPr>
              <w:t>3.</w:t>
            </w:r>
          </w:p>
        </w:tc>
        <w:tc>
          <w:tcPr>
            <w:tcW w:w="3148" w:type="dxa"/>
            <w:tcBorders>
              <w:top w:val="single" w:sz="4" w:space="0" w:color="000000"/>
              <w:left w:val="single" w:sz="4" w:space="0" w:color="000000"/>
              <w:bottom w:val="single" w:sz="4" w:space="0" w:color="000000"/>
              <w:right w:val="single" w:sz="4" w:space="0" w:color="000000"/>
            </w:tcBorders>
          </w:tcPr>
          <w:p w14:paraId="3C40150D" w14:textId="77777777" w:rsidR="00B42ED7" w:rsidRPr="00593425" w:rsidRDefault="00B42ED7"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017471D6" w14:textId="77777777" w:rsidR="00B42ED7" w:rsidRDefault="00B42ED7" w:rsidP="00B42ED7">
            <w:pPr>
              <w:shd w:val="clear" w:color="auto" w:fill="FFFFFF"/>
              <w:jc w:val="both"/>
            </w:pPr>
            <w:r>
              <w:t>LIZDA noteikumu projektu rosina papildināt ar šādiem grozījumiem MK noteikumos Nr.445 “Pedagogu darba samaksas noteikumi”:</w:t>
            </w:r>
          </w:p>
          <w:p w14:paraId="6B3FD79C" w14:textId="77777777" w:rsidR="00B42ED7" w:rsidRDefault="00B42ED7" w:rsidP="00B42ED7">
            <w:pPr>
              <w:shd w:val="clear" w:color="auto" w:fill="FFFFFF"/>
              <w:jc w:val="both"/>
            </w:pPr>
            <w:r>
              <w:t xml:space="preserve"> 32.1.1. apakšpunktā, izsakot to šādā redakcijā:</w:t>
            </w:r>
          </w:p>
          <w:p w14:paraId="0B3F76B5" w14:textId="77777777" w:rsidR="00B42ED7" w:rsidRDefault="00B42ED7" w:rsidP="00B42ED7">
            <w:pPr>
              <w:shd w:val="clear" w:color="auto" w:fill="FFFFFF"/>
              <w:jc w:val="both"/>
            </w:pPr>
            <w:r>
              <w:t>“32.1.1. vispārējās pamatizglītības un vispārējās vidējās izglītības pedagogiem – mācību stundas un fakultatīvās nodarbības, to sagatavošana (tai skaitā sadarbībai ar pedagogiem, vecākiem un citām institūcijām), izglītojamo rakstu darbu labošana, individuālais un grupu darbs ar izglītojamiem un konsultācijas, klases audzināšana, metodiskais darbs izglītības iestādē, projektu vadība un citas ar izglītības iestādes attīstību saistītas darbības;”;</w:t>
            </w:r>
          </w:p>
          <w:p w14:paraId="1CB9C683" w14:textId="77777777" w:rsidR="00B42ED7" w:rsidRDefault="00B42ED7" w:rsidP="00B42ED7">
            <w:pPr>
              <w:shd w:val="clear" w:color="auto" w:fill="FFFFFF"/>
              <w:jc w:val="both"/>
            </w:pPr>
            <w:r>
              <w:lastRenderedPageBreak/>
              <w:t>3.pielikumā, pirmsskolas izglītības pedagogu mācību stundu/nodarbību vadīšanai paredzēto slodzi nedēļā 36 stundas aizstāt ar 34 stundām nedēļā;</w:t>
            </w:r>
          </w:p>
          <w:p w14:paraId="1E015161" w14:textId="77777777" w:rsidR="00B42ED7" w:rsidRPr="00593425" w:rsidRDefault="00B42ED7" w:rsidP="00B42ED7">
            <w:pPr>
              <w:shd w:val="clear" w:color="auto" w:fill="FFFFFF"/>
              <w:jc w:val="both"/>
            </w:pPr>
            <w:r>
              <w:t>5.pielikumu, izsakot šādā redakcijā (skatīt vēstules pielikumā) un grozījums stājas spēkā no 2020.gada 1.septembra.</w:t>
            </w:r>
          </w:p>
        </w:tc>
        <w:tc>
          <w:tcPr>
            <w:tcW w:w="3544" w:type="dxa"/>
            <w:tcBorders>
              <w:top w:val="single" w:sz="4" w:space="0" w:color="000000"/>
              <w:left w:val="single" w:sz="4" w:space="0" w:color="000000"/>
              <w:bottom w:val="single" w:sz="4" w:space="0" w:color="000000"/>
              <w:right w:val="single" w:sz="4" w:space="0" w:color="000000"/>
            </w:tcBorders>
          </w:tcPr>
          <w:p w14:paraId="339BBC26" w14:textId="77777777" w:rsidR="00B42ED7" w:rsidRDefault="00B42ED7" w:rsidP="00593425">
            <w:pPr>
              <w:shd w:val="clear" w:color="auto" w:fill="FFFFFF"/>
              <w:jc w:val="both"/>
              <w:rPr>
                <w:b/>
              </w:rPr>
            </w:pPr>
            <w:r w:rsidRPr="00B42ED7">
              <w:rPr>
                <w:b/>
              </w:rPr>
              <w:lastRenderedPageBreak/>
              <w:t>Nav ņemts vērā.</w:t>
            </w:r>
          </w:p>
          <w:p w14:paraId="788DC356" w14:textId="78052B02" w:rsidR="00F74600" w:rsidRPr="00F74600" w:rsidRDefault="00F74600" w:rsidP="000503FA">
            <w:pPr>
              <w:shd w:val="clear" w:color="auto" w:fill="FFFFFF"/>
              <w:jc w:val="both"/>
            </w:pPr>
            <w:r w:rsidRPr="00F74600">
              <w:t xml:space="preserve">Skaidrojam, ka, izstrādājot   pedagogu darba samaksas pieauguma grafiku laikposmam no 2018. gada 1. septembra līdz 2022. gada 31. decembrim,  </w:t>
            </w:r>
            <w:proofErr w:type="spellStart"/>
            <w:r w:rsidRPr="00F74600">
              <w:t>starpinstitucionālajā</w:t>
            </w:r>
            <w:proofErr w:type="spellEnd"/>
            <w:r w:rsidRPr="00F74600">
              <w:t xml:space="preserve"> darba grupā tika panākta vienošanās, ka jautājums par pedagogu darba slodzes izmaiņām tiek skatīts pēc zemā</w:t>
            </w:r>
            <w:r w:rsidR="0083073F">
              <w:t>kās darba algas paaugstināšanas, t.i. 2022. gadā.</w:t>
            </w:r>
            <w:r w:rsidRPr="00F74600">
              <w:t xml:space="preserve"> </w:t>
            </w:r>
            <w:r>
              <w:t xml:space="preserve"> </w:t>
            </w:r>
            <w:r w:rsidRPr="00F74600">
              <w:t xml:space="preserve">Ņemot vērā, ka pedagogu slodžu izmaiņa ir saistīta ar </w:t>
            </w:r>
            <w:proofErr w:type="spellStart"/>
            <w:r w:rsidRPr="00F74600">
              <w:t>papildfinansējumu</w:t>
            </w:r>
            <w:proofErr w:type="spellEnd"/>
            <w:r w:rsidRPr="00F74600">
              <w:t xml:space="preserve"> pedagogu darba samaksai, pedagogu darba samaksas jauns modelis tiks skatīts </w:t>
            </w:r>
            <w:r w:rsidRPr="00F74600">
              <w:lastRenderedPageBreak/>
              <w:t xml:space="preserve">kontekstā ar </w:t>
            </w:r>
            <w:r w:rsidR="000503FA">
              <w:t>izglītības iestāžu</w:t>
            </w:r>
            <w:r w:rsidRPr="00F74600">
              <w:t xml:space="preserve"> tīkla izmaiņām.</w:t>
            </w:r>
          </w:p>
        </w:tc>
        <w:tc>
          <w:tcPr>
            <w:tcW w:w="2948" w:type="dxa"/>
            <w:tcBorders>
              <w:top w:val="single" w:sz="4" w:space="0" w:color="000000"/>
              <w:left w:val="single" w:sz="4" w:space="0" w:color="000000"/>
              <w:bottom w:val="single" w:sz="4" w:space="0" w:color="000000"/>
              <w:right w:val="single" w:sz="4" w:space="0" w:color="000000"/>
            </w:tcBorders>
          </w:tcPr>
          <w:p w14:paraId="718BA9A8" w14:textId="77777777" w:rsidR="00B42ED7" w:rsidRPr="00593425" w:rsidRDefault="00B42ED7" w:rsidP="00593425">
            <w:pPr>
              <w:shd w:val="clear" w:color="auto" w:fill="FFFFFF"/>
              <w:jc w:val="both"/>
            </w:pPr>
          </w:p>
        </w:tc>
      </w:tr>
      <w:tr w:rsidR="0038163C" w:rsidRPr="00593425" w14:paraId="2939113E"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2C0E7FDF" w14:textId="4BB2DAA0" w:rsidR="0038163C" w:rsidRPr="00CB4FC8" w:rsidRDefault="00A865EA" w:rsidP="00593425">
            <w:pPr>
              <w:shd w:val="clear" w:color="auto" w:fill="FFFFFF"/>
              <w:jc w:val="both"/>
              <w:rPr>
                <w:b/>
              </w:rPr>
            </w:pPr>
            <w:r>
              <w:rPr>
                <w:b/>
              </w:rPr>
              <w:t>4.</w:t>
            </w:r>
          </w:p>
        </w:tc>
        <w:tc>
          <w:tcPr>
            <w:tcW w:w="3148" w:type="dxa"/>
            <w:tcBorders>
              <w:top w:val="single" w:sz="4" w:space="0" w:color="000000"/>
              <w:left w:val="single" w:sz="4" w:space="0" w:color="000000"/>
              <w:bottom w:val="single" w:sz="4" w:space="0" w:color="000000"/>
              <w:right w:val="single" w:sz="4" w:space="0" w:color="000000"/>
            </w:tcBorders>
          </w:tcPr>
          <w:p w14:paraId="434C4AEE" w14:textId="77777777" w:rsidR="0038163C" w:rsidRPr="00593425" w:rsidRDefault="0038163C"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69A290E9" w14:textId="77777777" w:rsidR="0038163C" w:rsidRDefault="0038163C" w:rsidP="00B42ED7">
            <w:pPr>
              <w:shd w:val="clear" w:color="auto" w:fill="FFFFFF"/>
              <w:jc w:val="both"/>
              <w:rPr>
                <w:b/>
              </w:rPr>
            </w:pPr>
            <w:r w:rsidRPr="0038163C">
              <w:rPr>
                <w:b/>
              </w:rPr>
              <w:t>LIZDA 17.06.2019. atzinums Nr.120</w:t>
            </w:r>
          </w:p>
          <w:p w14:paraId="128911AD" w14:textId="77777777" w:rsidR="0038163C" w:rsidRPr="0038163C" w:rsidRDefault="0038163C" w:rsidP="0038163C">
            <w:pPr>
              <w:shd w:val="clear" w:color="auto" w:fill="FFFFFF"/>
              <w:jc w:val="both"/>
              <w:rPr>
                <w:i/>
              </w:rPr>
            </w:pPr>
            <w:r w:rsidRPr="0038163C">
              <w:t xml:space="preserve">LIZDA neiebilst pret noteikumu projekta tālāku virzību Ministru kabinetā un lūdz papildināt MK noteikumu Nr.445 “Pedagogu darba samaksas noteikumi” projekta izskatīšanas </w:t>
            </w:r>
            <w:proofErr w:type="spellStart"/>
            <w:r w:rsidRPr="0038163C">
              <w:t>protokollēmumu</w:t>
            </w:r>
            <w:proofErr w:type="spellEnd"/>
            <w:r w:rsidRPr="0038163C">
              <w:t xml:space="preserve"> ar punktu šādā redakcijā: “Pēc grozījumu veikšanas Izglītības likumā, kuri paredz deleģējumu, kas ļautu noteikt minimālo skolēnu skaitu izglītības iestādē (Informatīvais ziņojums “Par skolu tīkla sakārtošanu”, izskatīts MK sēdē 2020.gada 21.maijā Nr.TA-885), Izglītības un zinātnes ministrijai līdz 2020.gada 31.maijam, izstrādāt un iesniegt nepieciešamos grozījumus normatīvajos aktos, kas paredz slodžu pārstrukturēšanu pirmsskolas izglītības iestāžu pedagogiem, vispārējās pamatizglītības un vispārējās vidējās izglītības pedagogiem, atbilstoši kompetencēs balstītā mācību satura vadlīnijās noteiktajam.” </w:t>
            </w:r>
            <w:r w:rsidRPr="0038163C">
              <w:rPr>
                <w:i/>
              </w:rPr>
              <w:t>Pamatojums:</w:t>
            </w:r>
          </w:p>
          <w:p w14:paraId="7D6F8690" w14:textId="2F77D99D" w:rsidR="0038163C" w:rsidRPr="0038163C" w:rsidRDefault="0038163C" w:rsidP="0038163C">
            <w:pPr>
              <w:shd w:val="clear" w:color="auto" w:fill="FFFFFF"/>
              <w:jc w:val="both"/>
              <w:rPr>
                <w:i/>
              </w:rPr>
            </w:pPr>
            <w:r w:rsidRPr="0038163C">
              <w:rPr>
                <w:i/>
              </w:rPr>
              <w:lastRenderedPageBreak/>
              <w:t xml:space="preserve">Vidējās izglītības un pamata izglītības standarta, un pirmsskolas izglītības vadlīnijās noteikts, ka “pedagogi un pārējais skolas personāls regulāri sadarbojas, kopīgi plāno mācību satura īstenošanu, seko katra skolēna izaugsmei un veic nepieciešamos uzlabojumus mācīšanās jeb mācību un audzināšanas procesā, veido izglītības iestādes kultūru, kas nodrošina labākas mācīšanās iespējas ikvienam skolēnam.” Regulāra sadarbība nenozīmē īsa informācijas apmaiņa starpbrīdī, bet gan nopietna diskusija par skolēnu rezultātiem, metodēm, lai uzlabotos mācību rezultāti. Sadarbība ir jāveic ar citiem pedagogiem, vecākiem un citām institūcijām, tāpēc izvērtējot kompetencēs balstītā mācību satura </w:t>
            </w:r>
            <w:proofErr w:type="spellStart"/>
            <w:r w:rsidRPr="0038163C">
              <w:rPr>
                <w:i/>
              </w:rPr>
              <w:t>pilotskolu</w:t>
            </w:r>
            <w:proofErr w:type="spellEnd"/>
            <w:r w:rsidRPr="0038163C">
              <w:rPr>
                <w:i/>
              </w:rPr>
              <w:t xml:space="preserve"> pieredzi, LIZDA rosina samazināt pedagogiem mācību stundu skaitu no 21 uz 20, lai paaugstinātu par vienu stundu atvelēto laiku – gatavošanos stundām, kas ietvertu vienu stundu nedēļā sadarbības ar pedagogiem, vecākiem un citām institūcijām nodrošināšanai. Savukārt, pirmsskolas izglītības iestāžu pedagogiem samazināt mācību stundu skaitu no 36 uz 34 stundām, lai varētu nodrošināt laiku - gatavošanos nodarbībām sešu stundu apjomā, no kurām divas stundas tiktu </w:t>
            </w:r>
            <w:r w:rsidRPr="0038163C">
              <w:rPr>
                <w:i/>
              </w:rPr>
              <w:lastRenderedPageBreak/>
              <w:t>paredzētas sadarbības ar pedagogiem, vecākiem un citām institūcijām nodrošināšanai.</w:t>
            </w:r>
          </w:p>
          <w:p w14:paraId="60E359C9" w14:textId="0D574FF1" w:rsidR="0038163C" w:rsidRDefault="0038163C" w:rsidP="00B42ED7">
            <w:pPr>
              <w:shd w:val="clear" w:color="auto" w:fill="FFFFFF"/>
              <w:jc w:val="both"/>
            </w:pPr>
          </w:p>
        </w:tc>
        <w:tc>
          <w:tcPr>
            <w:tcW w:w="3544" w:type="dxa"/>
            <w:tcBorders>
              <w:top w:val="single" w:sz="4" w:space="0" w:color="000000"/>
              <w:left w:val="single" w:sz="4" w:space="0" w:color="000000"/>
              <w:bottom w:val="single" w:sz="4" w:space="0" w:color="000000"/>
              <w:right w:val="single" w:sz="4" w:space="0" w:color="000000"/>
            </w:tcBorders>
          </w:tcPr>
          <w:p w14:paraId="7B4B2ADF" w14:textId="77777777" w:rsidR="0038163C" w:rsidRPr="0038163C" w:rsidRDefault="0038163C" w:rsidP="0038163C">
            <w:pPr>
              <w:shd w:val="clear" w:color="auto" w:fill="FFFFFF"/>
              <w:jc w:val="both"/>
              <w:rPr>
                <w:b/>
              </w:rPr>
            </w:pPr>
            <w:r w:rsidRPr="0038163C">
              <w:rPr>
                <w:b/>
              </w:rPr>
              <w:lastRenderedPageBreak/>
              <w:t>Nav ņemts vērā.</w:t>
            </w:r>
          </w:p>
          <w:p w14:paraId="0CF85F3F" w14:textId="1206116D" w:rsidR="0038163C" w:rsidRPr="0038163C" w:rsidRDefault="0038163C" w:rsidP="0038163C">
            <w:pPr>
              <w:shd w:val="clear" w:color="auto" w:fill="FFFFFF"/>
              <w:jc w:val="both"/>
            </w:pPr>
            <w:r>
              <w:t xml:space="preserve">Skaidrojam, ka </w:t>
            </w:r>
            <w:r w:rsidRPr="0038163C">
              <w:t>esošais pedagogu darba samaksas regulējums ļauj esošajā</w:t>
            </w:r>
            <w:r>
              <w:t xml:space="preserve"> (30 darba stundas nedēļā)</w:t>
            </w:r>
            <w:r w:rsidRPr="0038163C">
              <w:t xml:space="preserve"> pedagoga darba slodzē samazināt mācību stundu skaitu, palielinot apmaksātu darba stundu skaitu mācību stundu sagatavošanas procesam vai konsultācijām pedagogu starpā.</w:t>
            </w:r>
          </w:p>
        </w:tc>
        <w:tc>
          <w:tcPr>
            <w:tcW w:w="2948" w:type="dxa"/>
            <w:tcBorders>
              <w:top w:val="single" w:sz="4" w:space="0" w:color="000000"/>
              <w:left w:val="single" w:sz="4" w:space="0" w:color="000000"/>
              <w:bottom w:val="single" w:sz="4" w:space="0" w:color="000000"/>
              <w:right w:val="single" w:sz="4" w:space="0" w:color="000000"/>
            </w:tcBorders>
          </w:tcPr>
          <w:p w14:paraId="2F6AA497" w14:textId="77777777" w:rsidR="0038163C" w:rsidRPr="00593425" w:rsidRDefault="0038163C" w:rsidP="00593425">
            <w:pPr>
              <w:shd w:val="clear" w:color="auto" w:fill="FFFFFF"/>
              <w:jc w:val="both"/>
            </w:pPr>
          </w:p>
        </w:tc>
      </w:tr>
    </w:tbl>
    <w:p w14:paraId="7CA452D1" w14:textId="1C9E3BF9" w:rsidR="002102DC" w:rsidRPr="002102DC" w:rsidRDefault="002102DC" w:rsidP="002102DC">
      <w:pPr>
        <w:jc w:val="center"/>
        <w:rPr>
          <w:b/>
        </w:rPr>
      </w:pP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
        <w:gridCol w:w="3119"/>
        <w:gridCol w:w="4394"/>
        <w:gridCol w:w="3544"/>
        <w:gridCol w:w="6"/>
        <w:gridCol w:w="2942"/>
      </w:tblGrid>
      <w:tr w:rsidR="00BB2E5D" w:rsidRPr="0052064D" w14:paraId="6781AB5B" w14:textId="77777777" w:rsidTr="00B42ED7">
        <w:trPr>
          <w:trHeight w:val="173"/>
        </w:trPr>
        <w:tc>
          <w:tcPr>
            <w:tcW w:w="14709" w:type="dxa"/>
            <w:gridSpan w:val="7"/>
            <w:tcBorders>
              <w:top w:val="single" w:sz="4" w:space="0" w:color="000000"/>
              <w:left w:val="single" w:sz="4" w:space="0" w:color="000000"/>
              <w:bottom w:val="single" w:sz="4" w:space="0" w:color="000000"/>
              <w:right w:val="single" w:sz="4" w:space="0" w:color="000000"/>
            </w:tcBorders>
            <w:vAlign w:val="bottom"/>
          </w:tcPr>
          <w:p w14:paraId="470A0C2B" w14:textId="77777777" w:rsidR="00BB2E5D" w:rsidRPr="002A5C42" w:rsidRDefault="002A5C42" w:rsidP="00B42ED7">
            <w:pPr>
              <w:pStyle w:val="ListParagraph"/>
              <w:shd w:val="clear" w:color="auto" w:fill="FFFFFF"/>
              <w:spacing w:after="240" w:line="240" w:lineRule="auto"/>
              <w:ind w:left="660"/>
              <w:jc w:val="center"/>
              <w:rPr>
                <w:b/>
              </w:rPr>
            </w:pPr>
            <w:r w:rsidRPr="002A5C42">
              <w:rPr>
                <w:b/>
              </w:rPr>
              <w:t>Latvijas izglītības vadītāju asociācija</w:t>
            </w:r>
          </w:p>
        </w:tc>
      </w:tr>
      <w:tr w:rsidR="00BB2E5D" w:rsidRPr="0052064D" w14:paraId="2FCC6D66" w14:textId="77777777" w:rsidTr="002A454A">
        <w:trPr>
          <w:trHeight w:val="648"/>
        </w:trPr>
        <w:tc>
          <w:tcPr>
            <w:tcW w:w="675" w:type="dxa"/>
            <w:tcBorders>
              <w:top w:val="single" w:sz="4" w:space="0" w:color="000000"/>
              <w:left w:val="single" w:sz="4" w:space="0" w:color="000000"/>
              <w:bottom w:val="single" w:sz="4" w:space="0" w:color="000000"/>
              <w:right w:val="single" w:sz="4" w:space="0" w:color="000000"/>
            </w:tcBorders>
          </w:tcPr>
          <w:p w14:paraId="7497A4D0" w14:textId="0F355E0E" w:rsidR="00BB2E5D" w:rsidRDefault="00A865EA" w:rsidP="00D75C3C">
            <w:pPr>
              <w:shd w:val="clear" w:color="auto" w:fill="FFFFFF"/>
              <w:jc w:val="center"/>
              <w:rPr>
                <w:b/>
              </w:rPr>
            </w:pPr>
            <w:r>
              <w:rPr>
                <w:b/>
              </w:rPr>
              <w:t>5</w:t>
            </w:r>
            <w:r w:rsidR="007A61BC">
              <w:rPr>
                <w:b/>
              </w:rPr>
              <w:t xml:space="preserve">. </w:t>
            </w:r>
          </w:p>
        </w:tc>
        <w:tc>
          <w:tcPr>
            <w:tcW w:w="3148" w:type="dxa"/>
            <w:gridSpan w:val="2"/>
            <w:tcBorders>
              <w:top w:val="single" w:sz="4" w:space="0" w:color="000000"/>
              <w:left w:val="single" w:sz="4" w:space="0" w:color="000000"/>
              <w:bottom w:val="single" w:sz="4" w:space="0" w:color="000000"/>
              <w:right w:val="single" w:sz="4" w:space="0" w:color="000000"/>
            </w:tcBorders>
          </w:tcPr>
          <w:p w14:paraId="789AA8D5" w14:textId="77777777" w:rsidR="00BB2E5D" w:rsidRPr="0052064D" w:rsidRDefault="00BB2E5D" w:rsidP="00D75C3C">
            <w:pPr>
              <w:shd w:val="clear" w:color="auto" w:fill="FFFFFF"/>
              <w:jc w:val="center"/>
              <w:rPr>
                <w:b/>
              </w:rPr>
            </w:pPr>
          </w:p>
        </w:tc>
        <w:tc>
          <w:tcPr>
            <w:tcW w:w="4394" w:type="dxa"/>
            <w:tcBorders>
              <w:top w:val="single" w:sz="4" w:space="0" w:color="000000"/>
              <w:left w:val="single" w:sz="4" w:space="0" w:color="000000"/>
              <w:bottom w:val="single" w:sz="4" w:space="0" w:color="000000"/>
              <w:right w:val="single" w:sz="4" w:space="0" w:color="000000"/>
            </w:tcBorders>
          </w:tcPr>
          <w:p w14:paraId="604BFB86" w14:textId="77777777" w:rsidR="002A5C42" w:rsidRDefault="002A5C42" w:rsidP="002A5C42">
            <w:pPr>
              <w:pStyle w:val="Bodytext20"/>
              <w:tabs>
                <w:tab w:val="left" w:pos="1374"/>
              </w:tabs>
              <w:spacing w:after="0"/>
              <w:jc w:val="both"/>
              <w:rPr>
                <w:rFonts w:ascii="Times New Roman" w:hAnsi="Times New Roman" w:cs="Times New Roman"/>
                <w:sz w:val="24"/>
                <w:szCs w:val="24"/>
              </w:rPr>
            </w:pPr>
            <w:r w:rsidRPr="002A5C42">
              <w:rPr>
                <w:rFonts w:ascii="Times New Roman" w:hAnsi="Times New Roman" w:cs="Times New Roman"/>
                <w:sz w:val="24"/>
                <w:szCs w:val="24"/>
              </w:rPr>
              <w:t xml:space="preserve">Papildināt šo grozījumu projektu šādā </w:t>
            </w:r>
            <w:r>
              <w:rPr>
                <w:rFonts w:ascii="Times New Roman" w:hAnsi="Times New Roman" w:cs="Times New Roman"/>
                <w:sz w:val="24"/>
                <w:szCs w:val="24"/>
              </w:rPr>
              <w:t>redakcijā:</w:t>
            </w:r>
          </w:p>
          <w:p w14:paraId="5DFD1F2A" w14:textId="77777777" w:rsidR="00BB2E5D" w:rsidRPr="009B3725" w:rsidRDefault="002A5C42" w:rsidP="002A5C42">
            <w:pPr>
              <w:pStyle w:val="Bodytext20"/>
              <w:tabs>
                <w:tab w:val="left" w:pos="1374"/>
              </w:tabs>
              <w:spacing w:after="0"/>
              <w:jc w:val="both"/>
              <w:rPr>
                <w:rFonts w:ascii="Times New Roman" w:hAnsi="Times New Roman" w:cs="Times New Roman"/>
                <w:sz w:val="24"/>
                <w:szCs w:val="24"/>
              </w:rPr>
            </w:pPr>
            <w:r w:rsidRPr="002A5C42">
              <w:rPr>
                <w:rFonts w:ascii="Times New Roman" w:hAnsi="Times New Roman" w:cs="Times New Roman"/>
                <w:sz w:val="24"/>
                <w:szCs w:val="24"/>
              </w:rPr>
              <w:t>“22. Valsts ģimnāziju un profesionālās izglītības kompetences centru pedagogiem (izņemot pedagogus, kuri īsteno pirmā līmeņa profesionālās augstākās izglītības programmas) saskaņā ar iestādes apstiprinātu kārtību var noteikt piemaksu 10 procentu apmērā no mēneša darba algas.”</w:t>
            </w:r>
          </w:p>
        </w:tc>
        <w:tc>
          <w:tcPr>
            <w:tcW w:w="3544" w:type="dxa"/>
            <w:tcBorders>
              <w:top w:val="single" w:sz="4" w:space="0" w:color="000000"/>
              <w:left w:val="single" w:sz="4" w:space="0" w:color="000000"/>
              <w:bottom w:val="single" w:sz="4" w:space="0" w:color="000000"/>
              <w:right w:val="single" w:sz="4" w:space="0" w:color="000000"/>
            </w:tcBorders>
          </w:tcPr>
          <w:p w14:paraId="52A18624" w14:textId="77777777" w:rsidR="00BB2E5D" w:rsidRDefault="002A5C42" w:rsidP="00241133">
            <w:pPr>
              <w:shd w:val="clear" w:color="auto" w:fill="FFFFFF"/>
              <w:jc w:val="both"/>
              <w:rPr>
                <w:b/>
              </w:rPr>
            </w:pPr>
            <w:r>
              <w:rPr>
                <w:b/>
              </w:rPr>
              <w:t>Nav ņemts vēr</w:t>
            </w:r>
            <w:r w:rsidR="006561AD">
              <w:rPr>
                <w:b/>
              </w:rPr>
              <w:t>ā, 22. punkta redakcija netiek mainīta.</w:t>
            </w:r>
          </w:p>
          <w:p w14:paraId="19A404E6" w14:textId="77777777" w:rsidR="002A5C42" w:rsidRPr="002A5C42" w:rsidRDefault="002A5C42" w:rsidP="00241133">
            <w:pPr>
              <w:shd w:val="clear" w:color="auto" w:fill="FFFFFF"/>
              <w:jc w:val="both"/>
            </w:pPr>
            <w:r w:rsidRPr="002A5C42">
              <w:t>Skaidrojam, ka</w:t>
            </w:r>
            <w:r w:rsidR="008C3ECD">
              <w:t xml:space="preserve"> valsts ģimnāzijās visiem pedagogiem ir paaugstinātas prasības attiecībā uz izglītības kvalitātes nodrošināšanu. Līdz ar to, lai nepārkāptu vienlīdzīgas attieksmes principu, 22. punkta redakcija netiek mainīta. Papildus skaidrojam, ka valsts ģimnāzijas rīcībā ir citi finanšu resursi, kas ļauj noteikt lielākas piemaksas skolotājiem, kas aktīvi iesaistās skolas metodiskajā darbā un veicina skolas attīstību, piemēram, pedagogu profesionālās darbības kvalitātes pakāpes piemaksas.</w:t>
            </w:r>
          </w:p>
        </w:tc>
        <w:tc>
          <w:tcPr>
            <w:tcW w:w="2948" w:type="dxa"/>
            <w:gridSpan w:val="2"/>
            <w:tcBorders>
              <w:top w:val="single" w:sz="4" w:space="0" w:color="000000"/>
              <w:left w:val="single" w:sz="4" w:space="0" w:color="000000"/>
              <w:bottom w:val="single" w:sz="4" w:space="0" w:color="000000"/>
              <w:right w:val="single" w:sz="4" w:space="0" w:color="000000"/>
            </w:tcBorders>
          </w:tcPr>
          <w:p w14:paraId="445C9BA9" w14:textId="77777777" w:rsidR="00BB2E5D" w:rsidRPr="00F9293C" w:rsidRDefault="00BB2E5D" w:rsidP="00D75C3C">
            <w:pPr>
              <w:pStyle w:val="ListParagraph"/>
              <w:shd w:val="clear" w:color="auto" w:fill="FFFFFF"/>
              <w:spacing w:after="240" w:line="240" w:lineRule="auto"/>
              <w:ind w:left="660"/>
              <w:rPr>
                <w:b/>
              </w:rPr>
            </w:pPr>
          </w:p>
        </w:tc>
      </w:tr>
      <w:tr w:rsidR="00BA05C7" w:rsidRPr="0052064D" w14:paraId="67687DA1" w14:textId="77777777" w:rsidTr="00BA05C7">
        <w:trPr>
          <w:trHeight w:val="298"/>
        </w:trPr>
        <w:tc>
          <w:tcPr>
            <w:tcW w:w="14709" w:type="dxa"/>
            <w:gridSpan w:val="7"/>
            <w:tcBorders>
              <w:top w:val="single" w:sz="4" w:space="0" w:color="000000"/>
              <w:left w:val="single" w:sz="4" w:space="0" w:color="000000"/>
              <w:bottom w:val="single" w:sz="4" w:space="0" w:color="000000"/>
              <w:right w:val="single" w:sz="4" w:space="0" w:color="000000"/>
            </w:tcBorders>
          </w:tcPr>
          <w:p w14:paraId="508DB513" w14:textId="77777777" w:rsidR="00BA05C7" w:rsidRPr="00F9293C" w:rsidRDefault="00BA05C7" w:rsidP="00BA05C7">
            <w:pPr>
              <w:pStyle w:val="ListParagraph"/>
              <w:shd w:val="clear" w:color="auto" w:fill="FFFFFF"/>
              <w:spacing w:after="240" w:line="240" w:lineRule="auto"/>
              <w:ind w:left="660"/>
              <w:jc w:val="center"/>
              <w:rPr>
                <w:b/>
              </w:rPr>
            </w:pPr>
            <w:r w:rsidRPr="00BA05C7">
              <w:rPr>
                <w:b/>
                <w:lang w:eastAsia="en-US"/>
              </w:rPr>
              <w:t>La</w:t>
            </w:r>
            <w:r>
              <w:rPr>
                <w:b/>
                <w:lang w:eastAsia="en-US"/>
              </w:rPr>
              <w:t>tvijas Lielo pilsētu asociācija</w:t>
            </w:r>
          </w:p>
        </w:tc>
      </w:tr>
      <w:tr w:rsidR="00BA05C7" w:rsidRPr="0052064D" w14:paraId="760850F2" w14:textId="77777777" w:rsidTr="00BA05C7">
        <w:trPr>
          <w:trHeight w:val="298"/>
        </w:trPr>
        <w:tc>
          <w:tcPr>
            <w:tcW w:w="704" w:type="dxa"/>
            <w:gridSpan w:val="2"/>
            <w:tcBorders>
              <w:top w:val="single" w:sz="4" w:space="0" w:color="000000"/>
              <w:left w:val="single" w:sz="4" w:space="0" w:color="000000"/>
              <w:bottom w:val="single" w:sz="4" w:space="0" w:color="000000"/>
              <w:right w:val="single" w:sz="4" w:space="0" w:color="000000"/>
            </w:tcBorders>
          </w:tcPr>
          <w:p w14:paraId="2EA880A0" w14:textId="1CC0BCD9" w:rsidR="00BA05C7" w:rsidRPr="00CB4FC8" w:rsidRDefault="00A865EA" w:rsidP="00CB4FC8">
            <w:pPr>
              <w:rPr>
                <w:b/>
                <w:lang w:eastAsia="en-US"/>
              </w:rPr>
            </w:pPr>
            <w:r>
              <w:rPr>
                <w:b/>
                <w:lang w:eastAsia="en-US"/>
              </w:rPr>
              <w:t>6</w:t>
            </w:r>
            <w:r w:rsidR="00CB4FC8" w:rsidRPr="00CB4FC8">
              <w:rPr>
                <w:b/>
                <w:lang w:eastAsia="en-US"/>
              </w:rPr>
              <w:t>.</w:t>
            </w:r>
          </w:p>
        </w:tc>
        <w:tc>
          <w:tcPr>
            <w:tcW w:w="3119" w:type="dxa"/>
            <w:tcBorders>
              <w:top w:val="single" w:sz="4" w:space="0" w:color="000000"/>
              <w:left w:val="single" w:sz="4" w:space="0" w:color="000000"/>
              <w:bottom w:val="single" w:sz="4" w:space="0" w:color="000000"/>
              <w:right w:val="single" w:sz="4" w:space="0" w:color="000000"/>
            </w:tcBorders>
          </w:tcPr>
          <w:p w14:paraId="115B4CA0" w14:textId="77777777" w:rsidR="00BA05C7" w:rsidRPr="00BA05C7" w:rsidRDefault="00BA05C7" w:rsidP="00BA05C7">
            <w:pPr>
              <w:pStyle w:val="ListParagraph"/>
              <w:shd w:val="clear" w:color="auto" w:fill="FFFFFF"/>
              <w:spacing w:after="240" w:line="240" w:lineRule="auto"/>
              <w:ind w:left="660"/>
              <w:jc w:val="center"/>
              <w:rPr>
                <w:b/>
                <w:lang w:eastAsia="en-US"/>
              </w:rPr>
            </w:pPr>
          </w:p>
        </w:tc>
        <w:tc>
          <w:tcPr>
            <w:tcW w:w="4394" w:type="dxa"/>
            <w:tcBorders>
              <w:top w:val="single" w:sz="4" w:space="0" w:color="000000"/>
              <w:left w:val="single" w:sz="4" w:space="0" w:color="000000"/>
              <w:bottom w:val="single" w:sz="4" w:space="0" w:color="000000"/>
              <w:right w:val="single" w:sz="4" w:space="0" w:color="000000"/>
            </w:tcBorders>
          </w:tcPr>
          <w:p w14:paraId="76974913" w14:textId="77777777" w:rsidR="000503FA" w:rsidRDefault="000503FA" w:rsidP="00DC66D2">
            <w:pPr>
              <w:pStyle w:val="ListParagraph"/>
              <w:shd w:val="clear" w:color="auto" w:fill="FFFFFF"/>
              <w:spacing w:after="240" w:line="240" w:lineRule="auto"/>
              <w:ind w:left="-108"/>
              <w:rPr>
                <w:lang w:eastAsia="en-US"/>
              </w:rPr>
            </w:pPr>
            <w:r>
              <w:rPr>
                <w:lang w:eastAsia="en-US"/>
              </w:rPr>
              <w:t>Lūdzam izteikt 32.3. apakšpunktu šādā redakcijā:</w:t>
            </w:r>
          </w:p>
          <w:p w14:paraId="24DB4B86" w14:textId="77777777" w:rsidR="000503FA" w:rsidRDefault="000503FA" w:rsidP="00DC66D2">
            <w:pPr>
              <w:pStyle w:val="ListParagraph"/>
              <w:shd w:val="clear" w:color="auto" w:fill="FFFFFF"/>
              <w:spacing w:after="240" w:line="240" w:lineRule="auto"/>
              <w:ind w:left="-108"/>
              <w:rPr>
                <w:lang w:eastAsia="en-US"/>
              </w:rPr>
            </w:pPr>
            <w:r>
              <w:rPr>
                <w:lang w:eastAsia="en-US"/>
              </w:rPr>
              <w:t xml:space="preserve">“32.3. pirmsskolas izglītības pedagogiem ir </w:t>
            </w:r>
            <w:r>
              <w:rPr>
                <w:lang w:eastAsia="en-US"/>
              </w:rPr>
              <w:lastRenderedPageBreak/>
              <w:t>40 darba stundas nedēļā, tai skaitā 35darba stundas ar izglītojamiem un 5 darba stundas citiem darba pienākumiem, tai skaitā sagatavošanās nodarbību vadīšanai.”</w:t>
            </w:r>
          </w:p>
          <w:p w14:paraId="0BED23A2" w14:textId="77777777" w:rsidR="000503FA" w:rsidRDefault="000503FA" w:rsidP="00DC66D2">
            <w:pPr>
              <w:pStyle w:val="ListParagraph"/>
              <w:shd w:val="clear" w:color="auto" w:fill="FFFFFF"/>
              <w:spacing w:after="240" w:line="240" w:lineRule="auto"/>
              <w:ind w:left="-108"/>
              <w:rPr>
                <w:lang w:eastAsia="en-US"/>
              </w:rPr>
            </w:pPr>
            <w:r>
              <w:rPr>
                <w:lang w:eastAsia="en-US"/>
              </w:rPr>
              <w:t>Pamatojums:</w:t>
            </w:r>
          </w:p>
          <w:p w14:paraId="237CAA10" w14:textId="77777777" w:rsidR="00BA05C7" w:rsidRPr="00BA05C7" w:rsidRDefault="000503FA" w:rsidP="000503FA">
            <w:pPr>
              <w:pStyle w:val="ListParagraph"/>
              <w:shd w:val="clear" w:color="auto" w:fill="FFFFFF"/>
              <w:spacing w:after="240" w:line="240" w:lineRule="auto"/>
              <w:ind w:left="-108"/>
              <w:rPr>
                <w:lang w:eastAsia="en-US"/>
              </w:rPr>
            </w:pPr>
            <w:r>
              <w:rPr>
                <w:lang w:eastAsia="en-US"/>
              </w:rPr>
              <w:t>Līdz ar jauno kompetenču pieeju izglītības satura ieviešanā, pedagogiem ir nepieciešams vairāk laika mācību materiālu sagatavošanai un izstrādei gan apakšgrupu, gan individuālajam darbam ar bērniem, kā arī plānošanai un bērna izaugsmes fiksēšanas un analīzes procesam. Palielinot stundu skaitu pedagogiem, lai sagatavotos nodarbību vadīšanai, tiks nodrošināta efektīva darbinieku sadarbība un mācību satura kvalitatīva īstenošana, kā arī mazināts profesionālās izdegšanas sindroms.</w:t>
            </w:r>
          </w:p>
        </w:tc>
        <w:tc>
          <w:tcPr>
            <w:tcW w:w="3550" w:type="dxa"/>
            <w:gridSpan w:val="2"/>
            <w:tcBorders>
              <w:top w:val="single" w:sz="4" w:space="0" w:color="000000"/>
              <w:left w:val="single" w:sz="4" w:space="0" w:color="000000"/>
              <w:bottom w:val="single" w:sz="4" w:space="0" w:color="000000"/>
              <w:right w:val="single" w:sz="4" w:space="0" w:color="000000"/>
            </w:tcBorders>
          </w:tcPr>
          <w:p w14:paraId="0094E1BC" w14:textId="77777777" w:rsidR="000503FA" w:rsidRPr="000503FA" w:rsidRDefault="000503FA" w:rsidP="000503FA">
            <w:pPr>
              <w:pStyle w:val="ListParagraph"/>
              <w:shd w:val="clear" w:color="auto" w:fill="FFFFFF"/>
              <w:spacing w:after="240"/>
              <w:ind w:left="-108"/>
              <w:rPr>
                <w:b/>
                <w:lang w:eastAsia="en-US"/>
              </w:rPr>
            </w:pPr>
            <w:r w:rsidRPr="000503FA">
              <w:rPr>
                <w:b/>
                <w:lang w:eastAsia="en-US"/>
              </w:rPr>
              <w:lastRenderedPageBreak/>
              <w:t>Nav ņemts vērā.</w:t>
            </w:r>
          </w:p>
          <w:p w14:paraId="6AA4AC6E" w14:textId="420D036C" w:rsidR="00BA05C7" w:rsidRPr="00BA05C7" w:rsidRDefault="000503FA" w:rsidP="000503FA">
            <w:pPr>
              <w:pStyle w:val="ListParagraph"/>
              <w:shd w:val="clear" w:color="auto" w:fill="FFFFFF"/>
              <w:spacing w:after="240" w:line="240" w:lineRule="auto"/>
              <w:ind w:left="-108"/>
              <w:rPr>
                <w:b/>
                <w:lang w:eastAsia="en-US"/>
              </w:rPr>
            </w:pPr>
            <w:r w:rsidRPr="000503FA">
              <w:rPr>
                <w:lang w:eastAsia="en-US"/>
              </w:rPr>
              <w:t xml:space="preserve">Skaidrojam, ka, izstrādājot   </w:t>
            </w:r>
            <w:r w:rsidRPr="000503FA">
              <w:rPr>
                <w:lang w:eastAsia="en-US"/>
              </w:rPr>
              <w:lastRenderedPageBreak/>
              <w:t xml:space="preserve">pedagogu darba samaksas pieauguma grafiku laikposmam no 2018. gada 1. septembra līdz 2022. gada 31. decembrim,  </w:t>
            </w:r>
            <w:proofErr w:type="spellStart"/>
            <w:r w:rsidRPr="000503FA">
              <w:rPr>
                <w:lang w:eastAsia="en-US"/>
              </w:rPr>
              <w:t>starpinstitucionālajā</w:t>
            </w:r>
            <w:proofErr w:type="spellEnd"/>
            <w:r w:rsidRPr="000503FA">
              <w:rPr>
                <w:lang w:eastAsia="en-US"/>
              </w:rPr>
              <w:t xml:space="preserve"> darba grupā tika panākta vienošanās, ka jautājums par pedagogu darba slodzes izmaiņām tiek skatīts pēc zemā</w:t>
            </w:r>
            <w:r w:rsidR="0057052D">
              <w:rPr>
                <w:lang w:eastAsia="en-US"/>
              </w:rPr>
              <w:t>kās darba algas paaugstināšanas, t.i. 2022. gadā.</w:t>
            </w:r>
            <w:r w:rsidRPr="000503FA">
              <w:rPr>
                <w:lang w:eastAsia="en-US"/>
              </w:rPr>
              <w:t xml:space="preserve">  Ņemot vērā, ka pedagogu slodžu izmaiņa ir saistīta ar </w:t>
            </w:r>
            <w:proofErr w:type="spellStart"/>
            <w:r w:rsidRPr="000503FA">
              <w:rPr>
                <w:lang w:eastAsia="en-US"/>
              </w:rPr>
              <w:t>papildfinansējumu</w:t>
            </w:r>
            <w:proofErr w:type="spellEnd"/>
            <w:r w:rsidRPr="000503FA">
              <w:rPr>
                <w:lang w:eastAsia="en-US"/>
              </w:rPr>
              <w:t xml:space="preserve"> pedagogu darba samaksai, pedagogu darba samaksas jauns modelis tiks skatīts kontekstā ar </w:t>
            </w:r>
            <w:r>
              <w:rPr>
                <w:lang w:eastAsia="en-US"/>
              </w:rPr>
              <w:t>izglītības iestāžu</w:t>
            </w:r>
            <w:r w:rsidRPr="000503FA">
              <w:rPr>
                <w:lang w:eastAsia="en-US"/>
              </w:rPr>
              <w:t xml:space="preserve"> tīkla izmaiņām.</w:t>
            </w:r>
          </w:p>
        </w:tc>
        <w:tc>
          <w:tcPr>
            <w:tcW w:w="2942" w:type="dxa"/>
            <w:tcBorders>
              <w:top w:val="single" w:sz="4" w:space="0" w:color="000000"/>
              <w:left w:val="single" w:sz="4" w:space="0" w:color="000000"/>
              <w:bottom w:val="single" w:sz="4" w:space="0" w:color="000000"/>
              <w:right w:val="single" w:sz="4" w:space="0" w:color="000000"/>
            </w:tcBorders>
          </w:tcPr>
          <w:p w14:paraId="4A77EE93" w14:textId="77777777" w:rsidR="00BA05C7" w:rsidRPr="00BA05C7" w:rsidRDefault="00BA05C7" w:rsidP="00BA05C7">
            <w:pPr>
              <w:pStyle w:val="ListParagraph"/>
              <w:shd w:val="clear" w:color="auto" w:fill="FFFFFF"/>
              <w:spacing w:after="240" w:line="240" w:lineRule="auto"/>
              <w:ind w:left="660"/>
              <w:jc w:val="center"/>
              <w:rPr>
                <w:b/>
                <w:lang w:eastAsia="en-US"/>
              </w:rPr>
            </w:pPr>
          </w:p>
        </w:tc>
      </w:tr>
      <w:tr w:rsidR="008337C2" w:rsidRPr="0052064D" w14:paraId="01220BB6" w14:textId="77777777" w:rsidTr="00DC66D2">
        <w:trPr>
          <w:trHeight w:val="298"/>
        </w:trPr>
        <w:tc>
          <w:tcPr>
            <w:tcW w:w="704" w:type="dxa"/>
            <w:gridSpan w:val="2"/>
            <w:tcBorders>
              <w:top w:val="single" w:sz="4" w:space="0" w:color="000000"/>
              <w:left w:val="single" w:sz="4" w:space="0" w:color="000000"/>
              <w:bottom w:val="single" w:sz="4" w:space="0" w:color="000000"/>
              <w:right w:val="single" w:sz="4" w:space="0" w:color="000000"/>
            </w:tcBorders>
          </w:tcPr>
          <w:p w14:paraId="3816420F" w14:textId="5379D66C" w:rsidR="008337C2" w:rsidRPr="00CB4FC8" w:rsidRDefault="00A865EA" w:rsidP="00CB4FC8">
            <w:pPr>
              <w:rPr>
                <w:b/>
                <w:lang w:eastAsia="en-US"/>
              </w:rPr>
            </w:pPr>
            <w:r>
              <w:rPr>
                <w:b/>
                <w:lang w:eastAsia="en-US"/>
              </w:rPr>
              <w:t>7</w:t>
            </w:r>
            <w:r w:rsidR="00CB4FC8" w:rsidRPr="00CB4FC8">
              <w:rPr>
                <w:b/>
                <w:lang w:eastAsia="en-US"/>
              </w:rPr>
              <w:t>.</w:t>
            </w:r>
          </w:p>
        </w:tc>
        <w:tc>
          <w:tcPr>
            <w:tcW w:w="3119" w:type="dxa"/>
            <w:tcBorders>
              <w:top w:val="single" w:sz="4" w:space="0" w:color="000000"/>
              <w:left w:val="single" w:sz="4" w:space="0" w:color="000000"/>
              <w:bottom w:val="single" w:sz="4" w:space="0" w:color="000000"/>
              <w:right w:val="single" w:sz="4" w:space="0" w:color="000000"/>
            </w:tcBorders>
          </w:tcPr>
          <w:p w14:paraId="48F113E3" w14:textId="77777777" w:rsidR="008337C2" w:rsidRPr="00BA05C7" w:rsidRDefault="008337C2" w:rsidP="00BA05C7">
            <w:pPr>
              <w:pStyle w:val="ListParagraph"/>
              <w:shd w:val="clear" w:color="auto" w:fill="FFFFFF"/>
              <w:spacing w:after="240" w:line="240" w:lineRule="auto"/>
              <w:ind w:left="660"/>
              <w:jc w:val="center"/>
              <w:rPr>
                <w:b/>
                <w:lang w:eastAsia="en-US"/>
              </w:rPr>
            </w:pPr>
          </w:p>
        </w:tc>
        <w:tc>
          <w:tcPr>
            <w:tcW w:w="4394" w:type="dxa"/>
            <w:tcBorders>
              <w:top w:val="single" w:sz="4" w:space="0" w:color="000000"/>
              <w:left w:val="single" w:sz="4" w:space="0" w:color="000000"/>
              <w:bottom w:val="single" w:sz="4" w:space="0" w:color="000000"/>
              <w:right w:val="single" w:sz="4" w:space="0" w:color="000000"/>
            </w:tcBorders>
          </w:tcPr>
          <w:p w14:paraId="6394CE85" w14:textId="77777777" w:rsidR="008337C2" w:rsidRPr="00DC66D2" w:rsidRDefault="00DC66D2" w:rsidP="00DC66D2">
            <w:pPr>
              <w:pStyle w:val="ListParagraph"/>
              <w:shd w:val="clear" w:color="auto" w:fill="FFFFFF"/>
              <w:spacing w:after="240" w:line="240" w:lineRule="auto"/>
              <w:ind w:left="-108"/>
              <w:rPr>
                <w:lang w:eastAsia="en-US"/>
              </w:rPr>
            </w:pPr>
            <w:r w:rsidRPr="00DC66D2">
              <w:rPr>
                <w:lang w:eastAsia="en-US"/>
              </w:rPr>
              <w:t>Papildus uzskatām, ka gatavošanās stundas ir jāparedz arī speciālajiem pedagogiem un logopēdiem, jo arī šie speciālisti gatavojas nodarbībām tādā pašā apmērā.</w:t>
            </w:r>
          </w:p>
        </w:tc>
        <w:tc>
          <w:tcPr>
            <w:tcW w:w="3550" w:type="dxa"/>
            <w:gridSpan w:val="2"/>
            <w:tcBorders>
              <w:top w:val="single" w:sz="4" w:space="0" w:color="000000"/>
              <w:left w:val="single" w:sz="4" w:space="0" w:color="000000"/>
              <w:bottom w:val="single" w:sz="4" w:space="0" w:color="000000"/>
              <w:right w:val="single" w:sz="4" w:space="0" w:color="000000"/>
            </w:tcBorders>
          </w:tcPr>
          <w:p w14:paraId="5EC3A319" w14:textId="77777777" w:rsidR="00DC66D2" w:rsidRDefault="00DC66D2" w:rsidP="00DC66D2">
            <w:pPr>
              <w:pStyle w:val="ListParagraph"/>
              <w:shd w:val="clear" w:color="auto" w:fill="FFFFFF"/>
              <w:spacing w:after="240"/>
              <w:ind w:left="-108"/>
              <w:rPr>
                <w:b/>
                <w:lang w:eastAsia="en-US"/>
              </w:rPr>
            </w:pPr>
            <w:r w:rsidRPr="000503FA">
              <w:rPr>
                <w:b/>
                <w:lang w:eastAsia="en-US"/>
              </w:rPr>
              <w:t>Nav ņemts vērā.</w:t>
            </w:r>
          </w:p>
          <w:p w14:paraId="1254EDAC" w14:textId="77777777" w:rsidR="00DC66D2" w:rsidRPr="00DC66D2" w:rsidRDefault="00DC66D2" w:rsidP="00DC66D2">
            <w:pPr>
              <w:pStyle w:val="ListParagraph"/>
              <w:shd w:val="clear" w:color="auto" w:fill="FFFFFF"/>
              <w:spacing w:before="240" w:after="240" w:line="240" w:lineRule="auto"/>
              <w:ind w:left="-108"/>
              <w:rPr>
                <w:lang w:eastAsia="en-US"/>
              </w:rPr>
            </w:pPr>
            <w:r>
              <w:rPr>
                <w:lang w:eastAsia="en-US"/>
              </w:rPr>
              <w:t xml:space="preserve">Spēkā esošais normatīvais regulējums ļauj apmaksāt darba stundas par gatavošanos arī  </w:t>
            </w:r>
            <w:r w:rsidRPr="00DC66D2">
              <w:rPr>
                <w:lang w:eastAsia="en-US"/>
              </w:rPr>
              <w:t>speciā</w:t>
            </w:r>
            <w:r>
              <w:rPr>
                <w:lang w:eastAsia="en-US"/>
              </w:rPr>
              <w:t>lajiem pedagogiem un logopēdiem.</w:t>
            </w:r>
          </w:p>
          <w:p w14:paraId="5F2E8F10" w14:textId="77777777" w:rsidR="008337C2" w:rsidRPr="00BA05C7" w:rsidRDefault="008337C2" w:rsidP="00BA05C7">
            <w:pPr>
              <w:pStyle w:val="ListParagraph"/>
              <w:shd w:val="clear" w:color="auto" w:fill="FFFFFF"/>
              <w:spacing w:after="240" w:line="240" w:lineRule="auto"/>
              <w:ind w:left="660"/>
              <w:jc w:val="center"/>
              <w:rPr>
                <w:b/>
                <w:lang w:eastAsia="en-US"/>
              </w:rPr>
            </w:pPr>
          </w:p>
        </w:tc>
        <w:tc>
          <w:tcPr>
            <w:tcW w:w="2942" w:type="dxa"/>
            <w:tcBorders>
              <w:top w:val="single" w:sz="4" w:space="0" w:color="000000"/>
              <w:left w:val="single" w:sz="4" w:space="0" w:color="000000"/>
              <w:bottom w:val="single" w:sz="4" w:space="0" w:color="000000"/>
              <w:right w:val="single" w:sz="4" w:space="0" w:color="000000"/>
            </w:tcBorders>
          </w:tcPr>
          <w:p w14:paraId="18333FC4" w14:textId="77777777" w:rsidR="008337C2" w:rsidRPr="00BA05C7" w:rsidRDefault="008337C2" w:rsidP="00BA05C7">
            <w:pPr>
              <w:pStyle w:val="ListParagraph"/>
              <w:shd w:val="clear" w:color="auto" w:fill="FFFFFF"/>
              <w:spacing w:after="240" w:line="240" w:lineRule="auto"/>
              <w:ind w:left="660"/>
              <w:jc w:val="center"/>
              <w:rPr>
                <w:b/>
                <w:lang w:eastAsia="en-US"/>
              </w:rPr>
            </w:pPr>
          </w:p>
        </w:tc>
      </w:tr>
      <w:tr w:rsidR="00DC66D2" w:rsidRPr="0052064D" w14:paraId="238F8459" w14:textId="77777777" w:rsidTr="000E7420">
        <w:trPr>
          <w:trHeight w:val="358"/>
        </w:trPr>
        <w:tc>
          <w:tcPr>
            <w:tcW w:w="14709" w:type="dxa"/>
            <w:gridSpan w:val="7"/>
            <w:tcBorders>
              <w:top w:val="single" w:sz="4" w:space="0" w:color="000000"/>
              <w:left w:val="single" w:sz="4" w:space="0" w:color="000000"/>
              <w:bottom w:val="single" w:sz="4" w:space="0" w:color="000000"/>
              <w:right w:val="single" w:sz="4" w:space="0" w:color="000000"/>
            </w:tcBorders>
          </w:tcPr>
          <w:p w14:paraId="1227FFDD" w14:textId="77777777" w:rsidR="00DC66D2" w:rsidRPr="00BA05C7" w:rsidRDefault="00DC66D2" w:rsidP="000E7420">
            <w:pPr>
              <w:pStyle w:val="ListParagraph"/>
              <w:shd w:val="clear" w:color="auto" w:fill="FFFFFF"/>
              <w:spacing w:after="240" w:line="240" w:lineRule="auto"/>
              <w:ind w:left="658"/>
              <w:jc w:val="center"/>
              <w:rPr>
                <w:b/>
                <w:lang w:eastAsia="en-US"/>
              </w:rPr>
            </w:pPr>
            <w:r w:rsidRPr="00DC66D2">
              <w:rPr>
                <w:b/>
                <w:lang w:eastAsia="en-US"/>
              </w:rPr>
              <w:t>Valmieras pilsētas pašvaldība</w:t>
            </w:r>
          </w:p>
        </w:tc>
      </w:tr>
      <w:tr w:rsidR="00DC66D2" w:rsidRPr="0052064D" w14:paraId="733B11CC" w14:textId="77777777" w:rsidTr="00DC66D2">
        <w:trPr>
          <w:trHeight w:val="298"/>
        </w:trPr>
        <w:tc>
          <w:tcPr>
            <w:tcW w:w="704" w:type="dxa"/>
            <w:gridSpan w:val="2"/>
            <w:tcBorders>
              <w:top w:val="single" w:sz="4" w:space="0" w:color="000000"/>
              <w:left w:val="single" w:sz="4" w:space="0" w:color="000000"/>
              <w:bottom w:val="single" w:sz="4" w:space="0" w:color="000000"/>
              <w:right w:val="single" w:sz="4" w:space="0" w:color="000000"/>
            </w:tcBorders>
          </w:tcPr>
          <w:p w14:paraId="53D51F1D" w14:textId="6BDDF278" w:rsidR="00DC66D2" w:rsidRPr="00CB4FC8" w:rsidRDefault="00A865EA" w:rsidP="00CB4FC8">
            <w:pPr>
              <w:rPr>
                <w:lang w:eastAsia="en-US"/>
              </w:rPr>
            </w:pPr>
            <w:r>
              <w:rPr>
                <w:b/>
                <w:lang w:eastAsia="en-US"/>
              </w:rPr>
              <w:t>8</w:t>
            </w:r>
            <w:r w:rsidR="00CB4FC8">
              <w:rPr>
                <w:b/>
                <w:lang w:eastAsia="en-US"/>
              </w:rPr>
              <w:t>.</w:t>
            </w:r>
          </w:p>
        </w:tc>
        <w:tc>
          <w:tcPr>
            <w:tcW w:w="3119" w:type="dxa"/>
            <w:tcBorders>
              <w:top w:val="single" w:sz="4" w:space="0" w:color="000000"/>
              <w:left w:val="single" w:sz="4" w:space="0" w:color="000000"/>
              <w:bottom w:val="single" w:sz="4" w:space="0" w:color="000000"/>
              <w:right w:val="single" w:sz="4" w:space="0" w:color="000000"/>
            </w:tcBorders>
          </w:tcPr>
          <w:p w14:paraId="32177663" w14:textId="77777777" w:rsidR="00DC66D2" w:rsidRPr="00BA05C7" w:rsidRDefault="00DC66D2" w:rsidP="00BA05C7">
            <w:pPr>
              <w:pStyle w:val="ListParagraph"/>
              <w:shd w:val="clear" w:color="auto" w:fill="FFFFFF"/>
              <w:spacing w:after="240" w:line="240" w:lineRule="auto"/>
              <w:ind w:left="660"/>
              <w:jc w:val="center"/>
              <w:rPr>
                <w:b/>
                <w:lang w:eastAsia="en-US"/>
              </w:rPr>
            </w:pPr>
          </w:p>
        </w:tc>
        <w:tc>
          <w:tcPr>
            <w:tcW w:w="4394" w:type="dxa"/>
            <w:tcBorders>
              <w:top w:val="single" w:sz="4" w:space="0" w:color="000000"/>
              <w:left w:val="single" w:sz="4" w:space="0" w:color="000000"/>
              <w:bottom w:val="single" w:sz="4" w:space="0" w:color="000000"/>
              <w:right w:val="single" w:sz="4" w:space="0" w:color="000000"/>
            </w:tcBorders>
          </w:tcPr>
          <w:p w14:paraId="492583D7" w14:textId="77777777" w:rsidR="00DC66D2" w:rsidRPr="00DC66D2" w:rsidRDefault="00DC66D2" w:rsidP="00DC66D2">
            <w:pPr>
              <w:pStyle w:val="ListParagraph"/>
              <w:shd w:val="clear" w:color="auto" w:fill="FFFFFF"/>
              <w:spacing w:after="240" w:line="240" w:lineRule="auto"/>
              <w:ind w:left="-108"/>
              <w:rPr>
                <w:lang w:eastAsia="en-US"/>
              </w:rPr>
            </w:pPr>
            <w:r>
              <w:rPr>
                <w:lang w:eastAsia="en-US"/>
              </w:rPr>
              <w:t>R</w:t>
            </w:r>
            <w:r w:rsidRPr="00DC66D2">
              <w:rPr>
                <w:lang w:eastAsia="en-US"/>
              </w:rPr>
              <w:t xml:space="preserve">osina risināt arī jautājumu par pirmsskolas pedagogu darba slodzi speciālās izglītības iestādēs, nosakot, ka pirmsskolas izglītības </w:t>
            </w:r>
            <w:r w:rsidRPr="00DC66D2">
              <w:rPr>
                <w:lang w:eastAsia="en-US"/>
              </w:rPr>
              <w:lastRenderedPageBreak/>
              <w:t>skolotāja speciālajā izglītības iestādē viena darba slodze nedēļā ir 35 stundas, tai skaitā 30 kontaktstundas, 5 gatavošanās.</w:t>
            </w:r>
          </w:p>
        </w:tc>
        <w:tc>
          <w:tcPr>
            <w:tcW w:w="3550" w:type="dxa"/>
            <w:gridSpan w:val="2"/>
            <w:tcBorders>
              <w:top w:val="single" w:sz="4" w:space="0" w:color="000000"/>
              <w:left w:val="single" w:sz="4" w:space="0" w:color="000000"/>
              <w:bottom w:val="single" w:sz="4" w:space="0" w:color="000000"/>
              <w:right w:val="single" w:sz="4" w:space="0" w:color="000000"/>
            </w:tcBorders>
          </w:tcPr>
          <w:p w14:paraId="3F3F9AB5" w14:textId="77777777" w:rsidR="00DC66D2" w:rsidRPr="00DC66D2" w:rsidRDefault="00DC66D2" w:rsidP="00DC66D2">
            <w:pPr>
              <w:pStyle w:val="ListParagraph"/>
              <w:shd w:val="clear" w:color="auto" w:fill="FFFFFF"/>
              <w:spacing w:after="240"/>
              <w:ind w:left="-108"/>
              <w:rPr>
                <w:b/>
                <w:lang w:eastAsia="en-US"/>
              </w:rPr>
            </w:pPr>
            <w:r w:rsidRPr="00DC66D2">
              <w:rPr>
                <w:b/>
                <w:lang w:eastAsia="en-US"/>
              </w:rPr>
              <w:lastRenderedPageBreak/>
              <w:t>Nav ņemts vērā.</w:t>
            </w:r>
          </w:p>
          <w:p w14:paraId="061EF629" w14:textId="1E9FC7D9" w:rsidR="00DC66D2" w:rsidRPr="00BA05C7" w:rsidRDefault="00DC66D2" w:rsidP="001C439A">
            <w:pPr>
              <w:pStyle w:val="ListParagraph"/>
              <w:shd w:val="clear" w:color="auto" w:fill="FFFFFF"/>
              <w:spacing w:after="240" w:line="240" w:lineRule="auto"/>
              <w:ind w:left="-108"/>
              <w:rPr>
                <w:b/>
                <w:lang w:eastAsia="en-US"/>
              </w:rPr>
            </w:pPr>
            <w:r w:rsidRPr="00DC66D2">
              <w:rPr>
                <w:lang w:eastAsia="en-US"/>
              </w:rPr>
              <w:t xml:space="preserve">Skaidrojam, ka, izstrādājot   pedagogu darba samaksas </w:t>
            </w:r>
            <w:r w:rsidRPr="00DC66D2">
              <w:rPr>
                <w:lang w:eastAsia="en-US"/>
              </w:rPr>
              <w:lastRenderedPageBreak/>
              <w:t xml:space="preserve">pieauguma grafiku laikposmam no 2018. gada 1. septembra līdz 2022. gada 31. decembrim,  </w:t>
            </w:r>
            <w:proofErr w:type="spellStart"/>
            <w:r w:rsidRPr="00DC66D2">
              <w:rPr>
                <w:lang w:eastAsia="en-US"/>
              </w:rPr>
              <w:t>starpinstitucionālajā</w:t>
            </w:r>
            <w:proofErr w:type="spellEnd"/>
            <w:r w:rsidRPr="00DC66D2">
              <w:rPr>
                <w:lang w:eastAsia="en-US"/>
              </w:rPr>
              <w:t xml:space="preserve"> darba grupā tika panākta vienošanās, ka jautājums par pedagogu darba slodzes izmaiņām tiek skatīts pēc zemākās darba algas paaugstinā</w:t>
            </w:r>
            <w:r w:rsidR="0057052D">
              <w:rPr>
                <w:lang w:eastAsia="en-US"/>
              </w:rPr>
              <w:t>šanas, t.i. 2022. gadā.</w:t>
            </w:r>
            <w:r w:rsidRPr="00DC66D2">
              <w:rPr>
                <w:lang w:eastAsia="en-US"/>
              </w:rPr>
              <w:t xml:space="preserve">  Ņemot vērā, ka </w:t>
            </w:r>
            <w:r w:rsidR="001C439A" w:rsidRPr="001C439A">
              <w:rPr>
                <w:lang w:eastAsia="en-US"/>
              </w:rPr>
              <w:t xml:space="preserve">pirmskolas pedagogu slodžu izmaiņa ir saistīta ar valsts un pašvaldības </w:t>
            </w:r>
            <w:proofErr w:type="spellStart"/>
            <w:r w:rsidR="001C439A" w:rsidRPr="001C439A">
              <w:rPr>
                <w:lang w:eastAsia="en-US"/>
              </w:rPr>
              <w:t>papildfinansējumu</w:t>
            </w:r>
            <w:proofErr w:type="spellEnd"/>
            <w:r w:rsidR="001C439A" w:rsidRPr="001C439A">
              <w:rPr>
                <w:lang w:eastAsia="en-US"/>
              </w:rPr>
              <w:t xml:space="preserve"> pedagogu darba samaksai, pedagogu darba samaksas jauns modelis, tai skaitā pirmskolas pedagogu, tiks skatīts kontekstā ar izglītības iestāžu tīkla izmaiņām.</w:t>
            </w:r>
          </w:p>
        </w:tc>
        <w:tc>
          <w:tcPr>
            <w:tcW w:w="2942" w:type="dxa"/>
            <w:tcBorders>
              <w:top w:val="single" w:sz="4" w:space="0" w:color="000000"/>
              <w:left w:val="single" w:sz="4" w:space="0" w:color="000000"/>
              <w:bottom w:val="single" w:sz="4" w:space="0" w:color="000000"/>
              <w:right w:val="single" w:sz="4" w:space="0" w:color="000000"/>
            </w:tcBorders>
          </w:tcPr>
          <w:p w14:paraId="6CD645A7" w14:textId="77777777" w:rsidR="00DC66D2" w:rsidRPr="00BA05C7" w:rsidRDefault="00DC66D2" w:rsidP="00BA05C7">
            <w:pPr>
              <w:pStyle w:val="ListParagraph"/>
              <w:shd w:val="clear" w:color="auto" w:fill="FFFFFF"/>
              <w:spacing w:after="240" w:line="240" w:lineRule="auto"/>
              <w:ind w:left="660"/>
              <w:jc w:val="center"/>
              <w:rPr>
                <w:b/>
                <w:lang w:eastAsia="en-US"/>
              </w:rPr>
            </w:pPr>
          </w:p>
        </w:tc>
      </w:tr>
    </w:tbl>
    <w:p w14:paraId="3C26C24F" w14:textId="77777777" w:rsidR="00D7667F" w:rsidRPr="009F5AFE" w:rsidRDefault="00D7667F" w:rsidP="00D7667F">
      <w:pPr>
        <w:jc w:val="center"/>
      </w:pPr>
    </w:p>
    <w:p w14:paraId="35F92CA3" w14:textId="77777777" w:rsidR="00D56974" w:rsidRPr="00D56974" w:rsidRDefault="00D56974" w:rsidP="00D56974">
      <w:pPr>
        <w:ind w:firstLine="375"/>
        <w:jc w:val="both"/>
        <w:rPr>
          <w:b/>
        </w:rPr>
      </w:pPr>
    </w:p>
    <w:p w14:paraId="33323E2F" w14:textId="77777777" w:rsidR="00D56974" w:rsidRPr="00D56974" w:rsidRDefault="00D56974" w:rsidP="00D56974">
      <w:pPr>
        <w:ind w:firstLine="375"/>
        <w:jc w:val="center"/>
        <w:rPr>
          <w:b/>
        </w:rPr>
      </w:pPr>
      <w:r w:rsidRPr="00D56974">
        <w:rPr>
          <w:b/>
        </w:rPr>
        <w:t xml:space="preserve">Informācija par </w:t>
      </w:r>
      <w:proofErr w:type="spellStart"/>
      <w:r w:rsidRPr="00D56974">
        <w:rPr>
          <w:b/>
        </w:rPr>
        <w:t>starpministriju</w:t>
      </w:r>
      <w:proofErr w:type="spellEnd"/>
      <w:r w:rsidRPr="00D56974">
        <w:rPr>
          <w:b/>
        </w:rPr>
        <w:t xml:space="preserve"> (starpinstitūciju) sanāksmi vai elektronisko saskaņošanu</w:t>
      </w:r>
    </w:p>
    <w:p w14:paraId="29886A2A" w14:textId="77777777"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211"/>
        <w:gridCol w:w="236"/>
        <w:gridCol w:w="1241"/>
        <w:gridCol w:w="7805"/>
      </w:tblGrid>
      <w:tr w:rsidR="00D56974" w:rsidRPr="00D56974" w14:paraId="2F410038" w14:textId="77777777" w:rsidTr="003E71FE">
        <w:tc>
          <w:tcPr>
            <w:tcW w:w="5211" w:type="dxa"/>
          </w:tcPr>
          <w:p w14:paraId="715DA5F8" w14:textId="77777777" w:rsidR="00D56974" w:rsidRPr="00D56974" w:rsidRDefault="00D56974" w:rsidP="00D56974">
            <w:pPr>
              <w:jc w:val="both"/>
            </w:pPr>
            <w:r w:rsidRPr="00D56974">
              <w:t>Datums</w:t>
            </w:r>
          </w:p>
        </w:tc>
        <w:tc>
          <w:tcPr>
            <w:tcW w:w="9282" w:type="dxa"/>
            <w:gridSpan w:val="3"/>
            <w:tcBorders>
              <w:bottom w:val="single" w:sz="4" w:space="0" w:color="auto"/>
            </w:tcBorders>
          </w:tcPr>
          <w:p w14:paraId="30B51DB2" w14:textId="77777777" w:rsidR="00D56974" w:rsidRPr="00D56974" w:rsidRDefault="00E43B52" w:rsidP="003A316E">
            <w:r>
              <w:t>201</w:t>
            </w:r>
            <w:r w:rsidR="003A316E">
              <w:t>9</w:t>
            </w:r>
            <w:r>
              <w:t>.</w:t>
            </w:r>
            <w:r w:rsidR="003A316E">
              <w:t xml:space="preserve"> </w:t>
            </w:r>
            <w:r>
              <w:t xml:space="preserve">gada </w:t>
            </w:r>
            <w:r w:rsidR="003A316E">
              <w:t>10. jūnijā</w:t>
            </w:r>
          </w:p>
        </w:tc>
      </w:tr>
      <w:tr w:rsidR="00D56974" w:rsidRPr="00D56974" w14:paraId="491267D4" w14:textId="77777777" w:rsidTr="003E71FE">
        <w:tc>
          <w:tcPr>
            <w:tcW w:w="5211" w:type="dxa"/>
          </w:tcPr>
          <w:p w14:paraId="6BB233EA" w14:textId="77777777" w:rsidR="00D56974" w:rsidRPr="00D56974" w:rsidRDefault="00D56974" w:rsidP="00D56974">
            <w:pPr>
              <w:ind w:firstLine="375"/>
              <w:jc w:val="both"/>
            </w:pPr>
          </w:p>
        </w:tc>
        <w:tc>
          <w:tcPr>
            <w:tcW w:w="9282" w:type="dxa"/>
            <w:gridSpan w:val="3"/>
            <w:tcBorders>
              <w:top w:val="single" w:sz="4" w:space="0" w:color="auto"/>
            </w:tcBorders>
          </w:tcPr>
          <w:p w14:paraId="2E7E9477" w14:textId="77777777" w:rsidR="00D56974" w:rsidRPr="00D56974" w:rsidRDefault="00D56974" w:rsidP="00D56974">
            <w:pPr>
              <w:ind w:firstLine="720"/>
            </w:pPr>
          </w:p>
        </w:tc>
      </w:tr>
      <w:tr w:rsidR="00D56974" w:rsidRPr="00D56974" w14:paraId="6E8E8C89" w14:textId="77777777" w:rsidTr="003E71FE">
        <w:tc>
          <w:tcPr>
            <w:tcW w:w="5211" w:type="dxa"/>
          </w:tcPr>
          <w:p w14:paraId="62261E9C" w14:textId="77777777" w:rsidR="00D56974" w:rsidRPr="00D56974" w:rsidRDefault="00D56974" w:rsidP="00D56974">
            <w:r w:rsidRPr="00D56974">
              <w:t>Saskaņošanas dalībnieki</w:t>
            </w:r>
          </w:p>
        </w:tc>
        <w:tc>
          <w:tcPr>
            <w:tcW w:w="9282" w:type="dxa"/>
            <w:gridSpan w:val="3"/>
            <w:tcBorders>
              <w:bottom w:val="single" w:sz="4" w:space="0" w:color="auto"/>
            </w:tcBorders>
          </w:tcPr>
          <w:p w14:paraId="6B712468" w14:textId="3849FACD" w:rsidR="00D56974" w:rsidRPr="00D56974" w:rsidRDefault="003162EA" w:rsidP="003055E0">
            <w:pPr>
              <w:jc w:val="both"/>
            </w:pPr>
            <w:r>
              <w:t xml:space="preserve">Kultūras ministrijas, Finanšu ministrijas, </w:t>
            </w:r>
            <w:r w:rsidR="002E714B">
              <w:t xml:space="preserve">Veselības ministrija, Tieslietu ministrija, </w:t>
            </w:r>
            <w:r w:rsidR="00F65AFF" w:rsidRPr="00F65AFF">
              <w:t>Latvijas Lielo pilsētu asociācija</w:t>
            </w:r>
            <w:r w:rsidR="00F65AFF">
              <w:t>s,</w:t>
            </w:r>
            <w:r w:rsidR="00F65AFF" w:rsidRPr="00F65AFF">
              <w:t xml:space="preserve"> </w:t>
            </w:r>
            <w:r>
              <w:t>Latvijas Pašvaldību savienības, Latvijas izglītības un zin</w:t>
            </w:r>
            <w:r w:rsidR="00E43B52">
              <w:t>ātnes darbinieku arodbiedrības</w:t>
            </w:r>
            <w:r w:rsidR="003055E0">
              <w:t>,</w:t>
            </w:r>
            <w:r w:rsidR="00E43B52">
              <w:t xml:space="preserve"> </w:t>
            </w:r>
            <w:r w:rsidR="003055E0" w:rsidRPr="003055E0">
              <w:t xml:space="preserve">arodbiedrības “Latvijas izglītības vadītāju asociācija” </w:t>
            </w:r>
            <w:r>
              <w:t xml:space="preserve">pārstāvji </w:t>
            </w:r>
          </w:p>
        </w:tc>
      </w:tr>
      <w:tr w:rsidR="00D56974" w:rsidRPr="00D56974" w14:paraId="6EA8C3A8" w14:textId="77777777" w:rsidTr="003E71FE">
        <w:trPr>
          <w:trHeight w:val="285"/>
        </w:trPr>
        <w:tc>
          <w:tcPr>
            <w:tcW w:w="5211" w:type="dxa"/>
          </w:tcPr>
          <w:p w14:paraId="6DB24D31" w14:textId="77777777" w:rsidR="00D56974" w:rsidRPr="00D56974" w:rsidRDefault="00D56974" w:rsidP="00D56974"/>
        </w:tc>
        <w:tc>
          <w:tcPr>
            <w:tcW w:w="1477" w:type="dxa"/>
            <w:gridSpan w:val="2"/>
          </w:tcPr>
          <w:p w14:paraId="6C484084" w14:textId="77777777" w:rsidR="00D56974" w:rsidRPr="00D56974" w:rsidRDefault="00D56974" w:rsidP="00D56974">
            <w:pPr>
              <w:ind w:firstLine="720"/>
            </w:pPr>
          </w:p>
        </w:tc>
        <w:tc>
          <w:tcPr>
            <w:tcW w:w="7805" w:type="dxa"/>
          </w:tcPr>
          <w:p w14:paraId="2AE00190" w14:textId="77777777" w:rsidR="00D56974" w:rsidRPr="00D56974" w:rsidRDefault="00D56974" w:rsidP="00D56974">
            <w:pPr>
              <w:ind w:firstLine="12"/>
            </w:pPr>
          </w:p>
        </w:tc>
      </w:tr>
      <w:tr w:rsidR="00EC1EB6" w:rsidRPr="00D56974" w14:paraId="47F78D6B" w14:textId="77777777" w:rsidTr="00B711D0">
        <w:trPr>
          <w:trHeight w:val="285"/>
        </w:trPr>
        <w:tc>
          <w:tcPr>
            <w:tcW w:w="5211" w:type="dxa"/>
          </w:tcPr>
          <w:p w14:paraId="5B66F5C5" w14:textId="77777777" w:rsidR="00D56974" w:rsidRPr="00D56974" w:rsidRDefault="00D56974" w:rsidP="00D56974">
            <w:r w:rsidRPr="00D56974">
              <w:lastRenderedPageBreak/>
              <w:br w:type="page"/>
              <w:t>Saskaņošanas dalībnieki izskatīja šādu ministriju (citu institūciju) iebildumus</w:t>
            </w:r>
          </w:p>
        </w:tc>
        <w:tc>
          <w:tcPr>
            <w:tcW w:w="236" w:type="dxa"/>
            <w:tcBorders>
              <w:bottom w:val="single" w:sz="4" w:space="0" w:color="auto"/>
            </w:tcBorders>
          </w:tcPr>
          <w:p w14:paraId="17EF7C95" w14:textId="77777777" w:rsidR="00D56974" w:rsidRPr="00D56974" w:rsidRDefault="00D56974" w:rsidP="00D56974">
            <w:pPr>
              <w:ind w:firstLine="720"/>
            </w:pPr>
          </w:p>
        </w:tc>
        <w:tc>
          <w:tcPr>
            <w:tcW w:w="9046" w:type="dxa"/>
            <w:gridSpan w:val="2"/>
            <w:tcBorders>
              <w:bottom w:val="single" w:sz="4" w:space="0" w:color="auto"/>
            </w:tcBorders>
            <w:vAlign w:val="bottom"/>
          </w:tcPr>
          <w:p w14:paraId="598B16D3" w14:textId="087B9045" w:rsidR="00D56974" w:rsidRPr="00D56974" w:rsidRDefault="002E714B" w:rsidP="00E43B52">
            <w:pPr>
              <w:autoSpaceDE w:val="0"/>
              <w:autoSpaceDN w:val="0"/>
              <w:adjustRightInd w:val="0"/>
              <w:jc w:val="both"/>
              <w:rPr>
                <w:color w:val="000000"/>
              </w:rPr>
            </w:pPr>
            <w:r>
              <w:t xml:space="preserve">Finanšu ministrijas, </w:t>
            </w:r>
            <w:r w:rsidR="00EC1EB6">
              <w:t>Kultūras ministrijas, Latvijas Pašvaldību savienības,</w:t>
            </w:r>
            <w:r w:rsidR="00F65AFF">
              <w:t xml:space="preserve"> </w:t>
            </w:r>
            <w:r w:rsidR="00F65AFF" w:rsidRPr="00F65AFF">
              <w:t>Latvijas Lielo pilsētu asociācija</w:t>
            </w:r>
            <w:r w:rsidR="00F65AFF">
              <w:t>s,</w:t>
            </w:r>
            <w:r w:rsidR="00EC1EB6">
              <w:t xml:space="preserve"> Latvijas izglītības un zinātnes darbinieku arodbiedrības iebildumus</w:t>
            </w:r>
          </w:p>
        </w:tc>
      </w:tr>
      <w:tr w:rsidR="00D56974" w:rsidRPr="00D56974" w14:paraId="3D0D0C59" w14:textId="77777777" w:rsidTr="003E71FE">
        <w:tc>
          <w:tcPr>
            <w:tcW w:w="5211" w:type="dxa"/>
          </w:tcPr>
          <w:p w14:paraId="7EF929DE" w14:textId="77777777" w:rsidR="00D56974" w:rsidRPr="00D56974" w:rsidRDefault="00D56974" w:rsidP="00D56974">
            <w:r w:rsidRPr="00D56974">
              <w:br w:type="page"/>
            </w:r>
          </w:p>
          <w:p w14:paraId="37C82E59" w14:textId="77777777" w:rsidR="00D56974" w:rsidRPr="00D56974" w:rsidRDefault="00D56974" w:rsidP="00D56974">
            <w:r w:rsidRPr="00D56974">
              <w:t>Ministrijas (citas institūcijas), kuras nav ieradušās uz sanāksmi vai kuras nav atbildējušas uz uzaicinājumu piedalīties elektroniskajā saskaņošanā</w:t>
            </w:r>
          </w:p>
        </w:tc>
        <w:tc>
          <w:tcPr>
            <w:tcW w:w="9282" w:type="dxa"/>
            <w:gridSpan w:val="3"/>
            <w:vAlign w:val="bottom"/>
          </w:tcPr>
          <w:p w14:paraId="15A6DA2F" w14:textId="54D40203" w:rsidR="00D56974" w:rsidRPr="003055E0" w:rsidRDefault="00D56974" w:rsidP="00D56974">
            <w:pPr>
              <w:autoSpaceDE w:val="0"/>
              <w:autoSpaceDN w:val="0"/>
              <w:adjustRightInd w:val="0"/>
              <w:jc w:val="both"/>
              <w:rPr>
                <w:u w:val="single"/>
              </w:rPr>
            </w:pPr>
          </w:p>
        </w:tc>
      </w:tr>
    </w:tbl>
    <w:p w14:paraId="389F92EA" w14:textId="77777777" w:rsidR="004A3DE9" w:rsidRDefault="004A3DE9" w:rsidP="007B1230">
      <w:pPr>
        <w:pStyle w:val="naisf"/>
        <w:shd w:val="clear" w:color="auto" w:fill="FFFFFF"/>
        <w:spacing w:before="0" w:after="0"/>
        <w:ind w:firstLine="0"/>
        <w:rPr>
          <w:b/>
        </w:rPr>
      </w:pPr>
    </w:p>
    <w:p w14:paraId="5CD3FA04" w14:textId="77777777" w:rsidR="004A3DE9" w:rsidRDefault="004A3DE9" w:rsidP="004A3DE9">
      <w:pPr>
        <w:pStyle w:val="naisf"/>
        <w:shd w:val="clear" w:color="auto" w:fill="FFFFFF"/>
        <w:spacing w:before="0" w:after="0"/>
        <w:ind w:left="1080" w:firstLine="0"/>
        <w:rPr>
          <w:b/>
        </w:rPr>
      </w:pPr>
    </w:p>
    <w:p w14:paraId="4B2B5194" w14:textId="77777777" w:rsidR="00C052AE" w:rsidRPr="0052064D" w:rsidRDefault="00C052AE" w:rsidP="00C052AE">
      <w:pPr>
        <w:pStyle w:val="naisf"/>
        <w:numPr>
          <w:ilvl w:val="0"/>
          <w:numId w:val="1"/>
        </w:numPr>
        <w:shd w:val="clear" w:color="auto" w:fill="FFFFFF"/>
        <w:spacing w:before="0" w:after="0"/>
        <w:jc w:val="center"/>
        <w:rPr>
          <w:b/>
        </w:rPr>
      </w:pPr>
      <w:r w:rsidRPr="0052064D">
        <w:rPr>
          <w:b/>
        </w:rPr>
        <w:t xml:space="preserve">Jautājumi, par kuriem saskaņošanā vienošanās </w:t>
      </w:r>
      <w:r>
        <w:rPr>
          <w:b/>
        </w:rPr>
        <w:t xml:space="preserve">ir </w:t>
      </w:r>
      <w:r w:rsidRPr="0052064D">
        <w:rPr>
          <w:b/>
        </w:rPr>
        <w:t>panākta</w:t>
      </w:r>
    </w:p>
    <w:p w14:paraId="57E58AB5" w14:textId="77777777"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464" w:tblpY="1"/>
        <w:tblOverlap w:val="neve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3431"/>
        <w:gridCol w:w="3402"/>
        <w:gridCol w:w="3823"/>
        <w:gridCol w:w="3123"/>
      </w:tblGrid>
      <w:tr w:rsidR="00C052AE" w:rsidRPr="0052064D" w14:paraId="5ADBAB37" w14:textId="77777777" w:rsidTr="002A454A">
        <w:trPr>
          <w:trHeight w:val="648"/>
        </w:trPr>
        <w:tc>
          <w:tcPr>
            <w:tcW w:w="538" w:type="dxa"/>
            <w:tcBorders>
              <w:top w:val="single" w:sz="4" w:space="0" w:color="000000"/>
              <w:left w:val="single" w:sz="4" w:space="0" w:color="000000"/>
              <w:bottom w:val="single" w:sz="4" w:space="0" w:color="000000"/>
              <w:right w:val="single" w:sz="4" w:space="0" w:color="000000"/>
            </w:tcBorders>
            <w:hideMark/>
          </w:tcPr>
          <w:p w14:paraId="1C0729D5" w14:textId="77777777" w:rsidR="00C052AE" w:rsidRPr="0052064D" w:rsidRDefault="00C052AE" w:rsidP="00AB7271">
            <w:pPr>
              <w:shd w:val="clear" w:color="auto" w:fill="FFFFFF"/>
              <w:jc w:val="center"/>
              <w:rPr>
                <w:b/>
              </w:rPr>
            </w:pPr>
            <w:r w:rsidRPr="0052064D">
              <w:rPr>
                <w:b/>
              </w:rPr>
              <w:t>Nr. p.k.</w:t>
            </w:r>
          </w:p>
          <w:p w14:paraId="59DC8F51" w14:textId="77777777" w:rsidR="00C052AE" w:rsidRPr="0052064D" w:rsidRDefault="00C052AE" w:rsidP="00AB7271">
            <w:pPr>
              <w:shd w:val="clear" w:color="auto" w:fill="FFFFFF"/>
              <w:jc w:val="center"/>
              <w:rPr>
                <w:b/>
              </w:rPr>
            </w:pPr>
          </w:p>
        </w:tc>
        <w:tc>
          <w:tcPr>
            <w:tcW w:w="3431" w:type="dxa"/>
            <w:tcBorders>
              <w:top w:val="single" w:sz="4" w:space="0" w:color="000000"/>
              <w:left w:val="single" w:sz="4" w:space="0" w:color="000000"/>
              <w:bottom w:val="single" w:sz="4" w:space="0" w:color="000000"/>
              <w:right w:val="single" w:sz="4" w:space="0" w:color="000000"/>
            </w:tcBorders>
            <w:hideMark/>
          </w:tcPr>
          <w:p w14:paraId="7D730671" w14:textId="77777777" w:rsidR="00C052AE" w:rsidRPr="0052064D" w:rsidRDefault="00C052AE" w:rsidP="00AB7271">
            <w:pPr>
              <w:shd w:val="clear" w:color="auto" w:fill="FFFFFF"/>
              <w:jc w:val="center"/>
              <w:rPr>
                <w:b/>
              </w:rPr>
            </w:pPr>
            <w:r w:rsidRPr="0052064D">
              <w:rPr>
                <w:b/>
              </w:rPr>
              <w:t>Saskaņošanai nosūtītā projekta redakcija (konkrēta punkta (panta) redakcija)</w:t>
            </w:r>
          </w:p>
        </w:tc>
        <w:tc>
          <w:tcPr>
            <w:tcW w:w="3402" w:type="dxa"/>
            <w:tcBorders>
              <w:top w:val="single" w:sz="4" w:space="0" w:color="000000"/>
              <w:left w:val="single" w:sz="4" w:space="0" w:color="000000"/>
              <w:bottom w:val="single" w:sz="4" w:space="0" w:color="000000"/>
              <w:right w:val="single" w:sz="4" w:space="0" w:color="000000"/>
            </w:tcBorders>
            <w:hideMark/>
          </w:tcPr>
          <w:p w14:paraId="40CB0C18" w14:textId="77777777" w:rsidR="00C052AE" w:rsidRPr="0052064D" w:rsidRDefault="00C052AE" w:rsidP="00AB7271">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823" w:type="dxa"/>
            <w:tcBorders>
              <w:top w:val="single" w:sz="4" w:space="0" w:color="000000"/>
              <w:left w:val="single" w:sz="4" w:space="0" w:color="000000"/>
              <w:bottom w:val="single" w:sz="4" w:space="0" w:color="000000"/>
              <w:right w:val="single" w:sz="4" w:space="0" w:color="000000"/>
            </w:tcBorders>
            <w:hideMark/>
          </w:tcPr>
          <w:p w14:paraId="489BD60D" w14:textId="77777777" w:rsidR="00C052AE" w:rsidRPr="0052064D" w:rsidRDefault="00C052AE" w:rsidP="00AB7271">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3123" w:type="dxa"/>
            <w:tcBorders>
              <w:top w:val="single" w:sz="4" w:space="0" w:color="000000"/>
              <w:left w:val="single" w:sz="4" w:space="0" w:color="000000"/>
              <w:bottom w:val="single" w:sz="4" w:space="0" w:color="000000"/>
              <w:right w:val="single" w:sz="4" w:space="0" w:color="000000"/>
            </w:tcBorders>
            <w:hideMark/>
          </w:tcPr>
          <w:p w14:paraId="1D6F88B1" w14:textId="77777777" w:rsidR="00C052AE" w:rsidRPr="0052064D" w:rsidRDefault="00C052AE" w:rsidP="00AB7271">
            <w:pPr>
              <w:shd w:val="clear" w:color="auto" w:fill="FFFFFF"/>
              <w:jc w:val="center"/>
              <w:rPr>
                <w:b/>
              </w:rPr>
            </w:pPr>
            <w:r w:rsidRPr="0052064D">
              <w:rPr>
                <w:b/>
              </w:rPr>
              <w:t>Projekta attiecīgā punkta (panta) galīgā redakcija</w:t>
            </w:r>
          </w:p>
        </w:tc>
      </w:tr>
      <w:tr w:rsidR="00C052AE" w:rsidRPr="0052064D" w14:paraId="3353F803" w14:textId="77777777" w:rsidTr="002A454A">
        <w:trPr>
          <w:trHeight w:val="300"/>
        </w:trPr>
        <w:tc>
          <w:tcPr>
            <w:tcW w:w="538" w:type="dxa"/>
            <w:tcBorders>
              <w:top w:val="single" w:sz="4" w:space="0" w:color="000000"/>
              <w:left w:val="single" w:sz="4" w:space="0" w:color="000000"/>
              <w:bottom w:val="single" w:sz="4" w:space="0" w:color="000000"/>
              <w:right w:val="single" w:sz="4" w:space="0" w:color="000000"/>
            </w:tcBorders>
          </w:tcPr>
          <w:p w14:paraId="384450AC" w14:textId="77777777" w:rsidR="00C052AE" w:rsidRPr="009638EA" w:rsidRDefault="00C052AE" w:rsidP="00AB7271">
            <w:pPr>
              <w:shd w:val="clear" w:color="auto" w:fill="FFFFFF"/>
              <w:jc w:val="center"/>
            </w:pPr>
            <w:r w:rsidRPr="009638EA">
              <w:t>1</w:t>
            </w:r>
          </w:p>
        </w:tc>
        <w:tc>
          <w:tcPr>
            <w:tcW w:w="3431" w:type="dxa"/>
            <w:tcBorders>
              <w:top w:val="single" w:sz="4" w:space="0" w:color="000000"/>
              <w:left w:val="single" w:sz="4" w:space="0" w:color="000000"/>
              <w:bottom w:val="single" w:sz="4" w:space="0" w:color="000000"/>
              <w:right w:val="single" w:sz="4" w:space="0" w:color="000000"/>
            </w:tcBorders>
          </w:tcPr>
          <w:p w14:paraId="2FD79B58" w14:textId="77777777" w:rsidR="00C052AE" w:rsidRPr="009638EA" w:rsidRDefault="00C052AE" w:rsidP="00AB7271">
            <w:pPr>
              <w:shd w:val="clear" w:color="auto" w:fill="FFFFFF"/>
              <w:jc w:val="center"/>
            </w:pPr>
            <w:r w:rsidRPr="009638EA">
              <w:t>2</w:t>
            </w:r>
          </w:p>
        </w:tc>
        <w:tc>
          <w:tcPr>
            <w:tcW w:w="3402" w:type="dxa"/>
            <w:tcBorders>
              <w:top w:val="single" w:sz="4" w:space="0" w:color="000000"/>
              <w:left w:val="single" w:sz="4" w:space="0" w:color="000000"/>
              <w:bottom w:val="single" w:sz="4" w:space="0" w:color="000000"/>
              <w:right w:val="single" w:sz="4" w:space="0" w:color="000000"/>
            </w:tcBorders>
          </w:tcPr>
          <w:p w14:paraId="7D6F5608" w14:textId="77777777" w:rsidR="00C052AE" w:rsidRPr="009638EA" w:rsidRDefault="00C052AE" w:rsidP="00AB7271">
            <w:pPr>
              <w:shd w:val="clear" w:color="auto" w:fill="FFFFFF"/>
              <w:jc w:val="center"/>
            </w:pPr>
            <w:r w:rsidRPr="009638EA">
              <w:t>3</w:t>
            </w:r>
          </w:p>
        </w:tc>
        <w:tc>
          <w:tcPr>
            <w:tcW w:w="3823" w:type="dxa"/>
            <w:tcBorders>
              <w:top w:val="single" w:sz="4" w:space="0" w:color="000000"/>
              <w:left w:val="single" w:sz="4" w:space="0" w:color="000000"/>
              <w:bottom w:val="single" w:sz="4" w:space="0" w:color="000000"/>
              <w:right w:val="single" w:sz="4" w:space="0" w:color="000000"/>
            </w:tcBorders>
          </w:tcPr>
          <w:p w14:paraId="334473A8" w14:textId="77777777" w:rsidR="00C052AE" w:rsidRPr="009638EA" w:rsidRDefault="00C052AE" w:rsidP="00AB7271">
            <w:pPr>
              <w:shd w:val="clear" w:color="auto" w:fill="FFFFFF"/>
              <w:jc w:val="center"/>
            </w:pPr>
            <w:r w:rsidRPr="009638EA">
              <w:t>4</w:t>
            </w:r>
          </w:p>
        </w:tc>
        <w:tc>
          <w:tcPr>
            <w:tcW w:w="3123" w:type="dxa"/>
            <w:tcBorders>
              <w:top w:val="single" w:sz="4" w:space="0" w:color="000000"/>
              <w:left w:val="single" w:sz="4" w:space="0" w:color="000000"/>
              <w:bottom w:val="single" w:sz="4" w:space="0" w:color="000000"/>
              <w:right w:val="single" w:sz="4" w:space="0" w:color="000000"/>
            </w:tcBorders>
          </w:tcPr>
          <w:p w14:paraId="6415CC85" w14:textId="77777777" w:rsidR="00C052AE" w:rsidRPr="009638EA" w:rsidRDefault="00C052AE" w:rsidP="00AB7271">
            <w:pPr>
              <w:shd w:val="clear" w:color="auto" w:fill="FFFFFF"/>
              <w:jc w:val="center"/>
            </w:pPr>
            <w:r w:rsidRPr="009638EA">
              <w:t>5</w:t>
            </w:r>
          </w:p>
        </w:tc>
      </w:tr>
    </w:tbl>
    <w:p w14:paraId="375E61EF" w14:textId="77777777" w:rsidR="00E826D7" w:rsidRPr="00E826D7" w:rsidRDefault="003A316E" w:rsidP="00E826D7">
      <w:pPr>
        <w:jc w:val="center"/>
        <w:rPr>
          <w:b/>
        </w:rPr>
      </w:pPr>
      <w:r>
        <w:rPr>
          <w:b/>
        </w:rPr>
        <w:t>Tieslietu</w:t>
      </w:r>
      <w:r w:rsidR="005A6E3A">
        <w:rPr>
          <w:b/>
        </w:rPr>
        <w:t xml:space="preserve"> ministrija</w:t>
      </w:r>
    </w:p>
    <w:tbl>
      <w:tblPr>
        <w:tblpPr w:leftFromText="180" w:rightFromText="180" w:vertAnchor="text" w:tblpXSpec="right" w:tblpY="1"/>
        <w:tblOverlap w:val="never"/>
        <w:tblW w:w="14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31"/>
        <w:gridCol w:w="3827"/>
        <w:gridCol w:w="3261"/>
        <w:gridCol w:w="3260"/>
      </w:tblGrid>
      <w:tr w:rsidR="008D1463" w:rsidRPr="0052064D" w14:paraId="4EA74BE5"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ADFD54E" w14:textId="77777777" w:rsidR="008D1463" w:rsidRPr="00CF624B" w:rsidRDefault="00CF624B" w:rsidP="008D1463">
            <w:pPr>
              <w:shd w:val="clear" w:color="auto" w:fill="FFFFFF"/>
              <w:jc w:val="center"/>
              <w:rPr>
                <w:b/>
              </w:rPr>
            </w:pPr>
            <w:r w:rsidRPr="00CF624B">
              <w:rPr>
                <w:b/>
              </w:rPr>
              <w:t>1.</w:t>
            </w:r>
          </w:p>
        </w:tc>
        <w:tc>
          <w:tcPr>
            <w:tcW w:w="3431" w:type="dxa"/>
            <w:tcBorders>
              <w:top w:val="single" w:sz="4" w:space="0" w:color="000000"/>
              <w:left w:val="single" w:sz="4" w:space="0" w:color="000000"/>
              <w:bottom w:val="single" w:sz="4" w:space="0" w:color="000000"/>
              <w:right w:val="single" w:sz="4" w:space="0" w:color="000000"/>
            </w:tcBorders>
          </w:tcPr>
          <w:p w14:paraId="3806F61E" w14:textId="77777777" w:rsidR="008D1463" w:rsidRPr="0052064D" w:rsidRDefault="008D1463" w:rsidP="008D1463">
            <w:pPr>
              <w:shd w:val="clear" w:color="auto" w:fill="FFFFFF"/>
              <w:jc w:val="both"/>
              <w:rPr>
                <w:b/>
              </w:rPr>
            </w:pPr>
          </w:p>
        </w:tc>
        <w:tc>
          <w:tcPr>
            <w:tcW w:w="3827" w:type="dxa"/>
            <w:tcBorders>
              <w:top w:val="single" w:sz="4" w:space="0" w:color="000000"/>
              <w:left w:val="single" w:sz="4" w:space="0" w:color="000000"/>
              <w:bottom w:val="single" w:sz="4" w:space="0" w:color="000000"/>
              <w:right w:val="single" w:sz="4" w:space="0" w:color="000000"/>
            </w:tcBorders>
          </w:tcPr>
          <w:p w14:paraId="7E1C9C22" w14:textId="77777777" w:rsidR="008D1463" w:rsidRPr="005A6E3A" w:rsidRDefault="003A316E" w:rsidP="008D1463">
            <w:pPr>
              <w:shd w:val="clear" w:color="auto" w:fill="FFFFFF"/>
              <w:jc w:val="both"/>
            </w:pPr>
            <w:r w:rsidRPr="003A316E">
              <w:t xml:space="preserve">Projekta 1.6.apakšpunkts paredz svītrot Ministru kabineta 2016.gada 5.jūlija noteikumu Nr.445 "Pedagogu darba samaksas noteikumi" (turpmāk – MK noteikumi Nr.445) 4.pielikuma tabulā atsevišķus izglītības programmu kodus. Ņemot vērā to, ka MK noteikumu Nr.445 4.pielikums nosaka piemaksas apmēru pedagogiem par darbu īpašos apstākļos, lūdzam papildināt projekta </w:t>
            </w:r>
            <w:r w:rsidRPr="003A316E">
              <w:lastRenderedPageBreak/>
              <w:t>anotāciju ar skaidrojumu par šo izglītības programmu kodu svītrošanu. Papildus vēršam uzmanību, ka MK noteikumu Nr.445 4.pielikuma 1.1.apakšpunktā nav izglītības programmas kods "31015721".</w:t>
            </w:r>
          </w:p>
        </w:tc>
        <w:tc>
          <w:tcPr>
            <w:tcW w:w="3261" w:type="dxa"/>
            <w:tcBorders>
              <w:top w:val="single" w:sz="4" w:space="0" w:color="000000"/>
              <w:left w:val="single" w:sz="4" w:space="0" w:color="000000"/>
              <w:bottom w:val="single" w:sz="4" w:space="0" w:color="000000"/>
              <w:right w:val="single" w:sz="4" w:space="0" w:color="000000"/>
            </w:tcBorders>
          </w:tcPr>
          <w:p w14:paraId="2A9ED03F" w14:textId="77777777" w:rsidR="008D1463" w:rsidRPr="0052064D" w:rsidRDefault="008D1463" w:rsidP="003A316E">
            <w:pPr>
              <w:shd w:val="clear" w:color="auto" w:fill="FFFFFF"/>
              <w:jc w:val="both"/>
              <w:rPr>
                <w:b/>
              </w:rPr>
            </w:pPr>
            <w:r>
              <w:rPr>
                <w:b/>
              </w:rPr>
              <w:lastRenderedPageBreak/>
              <w:t xml:space="preserve">Ņemts vērā, papildinot </w:t>
            </w:r>
            <w:r w:rsidR="005A6E3A">
              <w:rPr>
                <w:b/>
              </w:rPr>
              <w:t xml:space="preserve">anotāciju </w:t>
            </w:r>
          </w:p>
        </w:tc>
        <w:tc>
          <w:tcPr>
            <w:tcW w:w="3260" w:type="dxa"/>
            <w:tcBorders>
              <w:top w:val="single" w:sz="4" w:space="0" w:color="000000"/>
              <w:left w:val="single" w:sz="4" w:space="0" w:color="000000"/>
              <w:bottom w:val="single" w:sz="4" w:space="0" w:color="000000"/>
              <w:right w:val="single" w:sz="4" w:space="0" w:color="000000"/>
            </w:tcBorders>
          </w:tcPr>
          <w:p w14:paraId="29A7B929" w14:textId="77777777" w:rsidR="00063692" w:rsidRDefault="00063692" w:rsidP="00063692">
            <w:pPr>
              <w:jc w:val="both"/>
            </w:pPr>
            <w:r>
              <w:t>Projekts paredz arī vairākus tehniskus precizējumus 4. pielikuma tabulā:</w:t>
            </w:r>
          </w:p>
          <w:p w14:paraId="22771D2F" w14:textId="77777777" w:rsidR="008D1463" w:rsidRPr="00E826D7" w:rsidRDefault="00063692" w:rsidP="00063692">
            <w:pPr>
              <w:jc w:val="both"/>
            </w:pPr>
            <w:r>
              <w:t>1.</w:t>
            </w:r>
            <w:r>
              <w:tab/>
              <w:t xml:space="preserve">svītrojot vidējās izglītības programmu kodus izglītojamiem ar garīgās veselības traucējumiem, ar garīgās attīstības traucējumiem un ar vairākiem attīstības traucējumiem attiecīgajos apakšpunktos, </w:t>
            </w:r>
            <w:r w:rsidRPr="00063692">
              <w:rPr>
                <w:b/>
              </w:rPr>
              <w:t xml:space="preserve">jo minētās </w:t>
            </w:r>
            <w:r w:rsidRPr="00063692">
              <w:rPr>
                <w:b/>
              </w:rPr>
              <w:lastRenderedPageBreak/>
              <w:t>speciālās izglītības programmas vidējā izglītībā netiek īstenotas;</w:t>
            </w:r>
          </w:p>
        </w:tc>
      </w:tr>
      <w:tr w:rsidR="005A6E3A" w:rsidRPr="0052064D" w14:paraId="3625D13E" w14:textId="77777777" w:rsidTr="00F824BB">
        <w:trPr>
          <w:trHeight w:val="300"/>
          <w:jc w:val="right"/>
        </w:trPr>
        <w:tc>
          <w:tcPr>
            <w:tcW w:w="14454" w:type="dxa"/>
            <w:gridSpan w:val="5"/>
            <w:tcBorders>
              <w:top w:val="single" w:sz="4" w:space="0" w:color="000000"/>
              <w:left w:val="single" w:sz="4" w:space="0" w:color="000000"/>
              <w:bottom w:val="single" w:sz="4" w:space="0" w:color="000000"/>
              <w:right w:val="single" w:sz="4" w:space="0" w:color="000000"/>
            </w:tcBorders>
          </w:tcPr>
          <w:p w14:paraId="03177666" w14:textId="77777777" w:rsidR="005A6E3A" w:rsidRPr="007D30A3" w:rsidRDefault="00063692" w:rsidP="005A6E3A">
            <w:pPr>
              <w:shd w:val="clear" w:color="auto" w:fill="FFFFFF"/>
              <w:jc w:val="center"/>
            </w:pPr>
            <w:r>
              <w:rPr>
                <w:b/>
              </w:rPr>
              <w:lastRenderedPageBreak/>
              <w:t>Kultūras</w:t>
            </w:r>
            <w:r w:rsidR="005A6E3A">
              <w:rPr>
                <w:b/>
              </w:rPr>
              <w:t xml:space="preserve"> ministrija</w:t>
            </w:r>
          </w:p>
        </w:tc>
      </w:tr>
      <w:tr w:rsidR="008D1463" w:rsidRPr="0052064D" w14:paraId="749112BA"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63D8F51D" w14:textId="77777777" w:rsidR="008D1463" w:rsidRPr="00CF624B" w:rsidRDefault="00063692" w:rsidP="008D1463">
            <w:pPr>
              <w:shd w:val="clear" w:color="auto" w:fill="FFFFFF"/>
              <w:jc w:val="center"/>
              <w:rPr>
                <w:b/>
              </w:rPr>
            </w:pPr>
            <w:r>
              <w:rPr>
                <w:b/>
              </w:rPr>
              <w:t>2</w:t>
            </w:r>
            <w:r w:rsidR="00CF624B" w:rsidRPr="00CF624B">
              <w:rPr>
                <w:b/>
              </w:rPr>
              <w:t>.</w:t>
            </w:r>
          </w:p>
        </w:tc>
        <w:tc>
          <w:tcPr>
            <w:tcW w:w="3431" w:type="dxa"/>
            <w:tcBorders>
              <w:top w:val="single" w:sz="4" w:space="0" w:color="000000"/>
              <w:left w:val="single" w:sz="4" w:space="0" w:color="000000"/>
              <w:bottom w:val="single" w:sz="4" w:space="0" w:color="000000"/>
              <w:right w:val="single" w:sz="4" w:space="0" w:color="000000"/>
            </w:tcBorders>
          </w:tcPr>
          <w:p w14:paraId="15405638" w14:textId="77777777" w:rsidR="008D1463" w:rsidRPr="000C4302" w:rsidRDefault="008D1463"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60385F69" w14:textId="77777777" w:rsidR="008D1463" w:rsidRDefault="00063692" w:rsidP="008D1463">
            <w:pPr>
              <w:pStyle w:val="tv2132"/>
              <w:spacing w:line="240" w:lineRule="auto"/>
              <w:ind w:firstLine="0"/>
              <w:jc w:val="both"/>
              <w:rPr>
                <w:color w:val="auto"/>
                <w:sz w:val="24"/>
                <w:szCs w:val="24"/>
              </w:rPr>
            </w:pPr>
            <w:r w:rsidRPr="00063692">
              <w:rPr>
                <w:color w:val="auto"/>
                <w:sz w:val="24"/>
                <w:szCs w:val="24"/>
              </w:rPr>
              <w:t>Lūdzam papildināt Projekta 1.1.apakšpunkta otrajā teikumā aiz vārdiem „izglītības iestādes dibinātāju” ar vārdiem „vai tā noteikto kompetento iestādi”, tādējādi nodrošinot izglītības iestādes dibinātājam deleģēt šo funkciju, tāpat kā šobrīd tarifikāciju saskaņošanas procedūru, kompetentai iestādei, piemēram, Izglītības pārvaldei vai, Kultūras ministrijas gadījumā, Latvijas Nacionālajam kultūras centram.</w:t>
            </w:r>
          </w:p>
        </w:tc>
        <w:tc>
          <w:tcPr>
            <w:tcW w:w="3261" w:type="dxa"/>
            <w:tcBorders>
              <w:top w:val="single" w:sz="4" w:space="0" w:color="000000"/>
              <w:left w:val="single" w:sz="4" w:space="0" w:color="000000"/>
              <w:bottom w:val="single" w:sz="4" w:space="0" w:color="000000"/>
              <w:right w:val="single" w:sz="4" w:space="0" w:color="000000"/>
            </w:tcBorders>
          </w:tcPr>
          <w:p w14:paraId="6DB11A68" w14:textId="77777777" w:rsidR="008D1463" w:rsidRPr="00E826D7" w:rsidRDefault="008D1463" w:rsidP="00140710">
            <w:pPr>
              <w:shd w:val="clear" w:color="auto" w:fill="FFFFFF"/>
              <w:rPr>
                <w:b/>
              </w:rPr>
            </w:pPr>
            <w:r w:rsidRPr="00E826D7">
              <w:rPr>
                <w:b/>
              </w:rPr>
              <w:t xml:space="preserve">Ņemts vērā, </w:t>
            </w:r>
            <w:r w:rsidR="005A6E3A">
              <w:rPr>
                <w:b/>
              </w:rPr>
              <w:t xml:space="preserve">papildinot </w:t>
            </w:r>
            <w:r w:rsidR="00063692">
              <w:rPr>
                <w:b/>
              </w:rPr>
              <w:t>1.1. apakšpunkta otro teikumu</w:t>
            </w:r>
          </w:p>
        </w:tc>
        <w:tc>
          <w:tcPr>
            <w:tcW w:w="3260" w:type="dxa"/>
            <w:tcBorders>
              <w:top w:val="single" w:sz="4" w:space="0" w:color="000000"/>
              <w:left w:val="single" w:sz="4" w:space="0" w:color="000000"/>
              <w:bottom w:val="single" w:sz="4" w:space="0" w:color="000000"/>
              <w:right w:val="single" w:sz="4" w:space="0" w:color="000000"/>
            </w:tcBorders>
          </w:tcPr>
          <w:p w14:paraId="3E4EEAC3" w14:textId="77777777" w:rsidR="008D1463" w:rsidRPr="007D30A3" w:rsidRDefault="00063692" w:rsidP="008D1463">
            <w:pPr>
              <w:jc w:val="both"/>
            </w:pPr>
            <w:r w:rsidRPr="00063692">
              <w:t xml:space="preserve">Izglītības iestādes vadītājam, saskaņā ar iestādē apstiprinātajiem kritērijiem, kas saskaņoti ar izglītības iestādes dibinātāju </w:t>
            </w:r>
            <w:r w:rsidRPr="00063692">
              <w:rPr>
                <w:b/>
              </w:rPr>
              <w:t>vai tā noteikto kompetento iestādi</w:t>
            </w:r>
            <w:r w:rsidRPr="00063692">
              <w:t>, izvērtējot pedagoga darba intensitāti un personīgo ieguldījumu izglītības iestādes attīstībā, apstiprinātā valsts budžeta finansējuma ietvaros ir tiesības noteikt līdz 50 procentiem augstāku vispārējās izglītības, profesionālās izglītības un interešu izglītības pedagoga mēneša darba algas likmi par šajos noteikumos minēto zemāko pedagoga mēneša darba algas likmi.</w:t>
            </w:r>
          </w:p>
        </w:tc>
      </w:tr>
      <w:tr w:rsidR="00CB4FC8" w:rsidRPr="0052064D" w14:paraId="18AD7E56" w14:textId="77777777" w:rsidTr="00593284">
        <w:trPr>
          <w:trHeight w:val="300"/>
          <w:jc w:val="right"/>
        </w:trPr>
        <w:tc>
          <w:tcPr>
            <w:tcW w:w="14454" w:type="dxa"/>
            <w:gridSpan w:val="5"/>
            <w:tcBorders>
              <w:top w:val="single" w:sz="4" w:space="0" w:color="000000"/>
              <w:left w:val="single" w:sz="4" w:space="0" w:color="000000"/>
              <w:bottom w:val="single" w:sz="4" w:space="0" w:color="000000"/>
              <w:right w:val="single" w:sz="4" w:space="0" w:color="000000"/>
            </w:tcBorders>
          </w:tcPr>
          <w:p w14:paraId="7C886C3E" w14:textId="77777777" w:rsidR="00CB4FC8" w:rsidRPr="00CB4FC8" w:rsidRDefault="00CB4FC8" w:rsidP="00CB4FC8">
            <w:pPr>
              <w:jc w:val="center"/>
              <w:rPr>
                <w:b/>
              </w:rPr>
            </w:pPr>
            <w:r w:rsidRPr="00CB4FC8">
              <w:rPr>
                <w:b/>
              </w:rPr>
              <w:t>Finanšu ministrija</w:t>
            </w:r>
          </w:p>
        </w:tc>
      </w:tr>
      <w:tr w:rsidR="00E64BFC" w:rsidRPr="0052064D" w14:paraId="6F31DD48"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2A1647F6" w14:textId="5089CB1F" w:rsidR="00E64BFC" w:rsidRDefault="00FD7C76" w:rsidP="008D1463">
            <w:pPr>
              <w:shd w:val="clear" w:color="auto" w:fill="FFFFFF"/>
              <w:jc w:val="center"/>
              <w:rPr>
                <w:b/>
              </w:rPr>
            </w:pPr>
            <w:r>
              <w:rPr>
                <w:b/>
              </w:rPr>
              <w:lastRenderedPageBreak/>
              <w:t>3.</w:t>
            </w:r>
          </w:p>
        </w:tc>
        <w:tc>
          <w:tcPr>
            <w:tcW w:w="3431" w:type="dxa"/>
            <w:tcBorders>
              <w:top w:val="single" w:sz="4" w:space="0" w:color="000000"/>
              <w:left w:val="single" w:sz="4" w:space="0" w:color="000000"/>
              <w:bottom w:val="single" w:sz="4" w:space="0" w:color="000000"/>
              <w:right w:val="single" w:sz="4" w:space="0" w:color="000000"/>
            </w:tcBorders>
          </w:tcPr>
          <w:p w14:paraId="33D366DC" w14:textId="77777777" w:rsidR="00E64BFC" w:rsidRPr="000C4302" w:rsidRDefault="00E64BFC"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10963EE8" w14:textId="77777777" w:rsidR="00E64BFC" w:rsidRPr="00E64BFC" w:rsidRDefault="00E64BFC" w:rsidP="00E64BFC">
            <w:pPr>
              <w:pStyle w:val="tv2132"/>
              <w:spacing w:line="240" w:lineRule="auto"/>
              <w:jc w:val="both"/>
              <w:rPr>
                <w:color w:val="auto"/>
                <w:sz w:val="24"/>
                <w:szCs w:val="24"/>
              </w:rPr>
            </w:pPr>
            <w:r w:rsidRPr="00E64BFC">
              <w:rPr>
                <w:color w:val="auto"/>
                <w:sz w:val="24"/>
                <w:szCs w:val="24"/>
              </w:rPr>
              <w:t xml:space="preserve">Norādām, ka noteikumu projekts paredz pedagogu darba samaksas palielināšanu. Savukārt likuma “Par valsts budžetu 2019.gadam” 58.pants paredz rezervēt budžeta resora “74. Gadskārtējā valsts budžeta izpildes procesā pārdalāmais finansējums” finansējumu 7 070 000 </w:t>
            </w:r>
            <w:proofErr w:type="spellStart"/>
            <w:r w:rsidRPr="00E64BFC">
              <w:rPr>
                <w:color w:val="auto"/>
                <w:sz w:val="24"/>
                <w:szCs w:val="24"/>
              </w:rPr>
              <w:t>euro</w:t>
            </w:r>
            <w:proofErr w:type="spellEnd"/>
            <w:r w:rsidRPr="00E64BFC">
              <w:rPr>
                <w:color w:val="auto"/>
                <w:sz w:val="24"/>
                <w:szCs w:val="24"/>
              </w:rPr>
              <w:t xml:space="preserve"> apmērā un novirzīt to valsts nozīmes reformu īstenošanai. Atzīmējam, ka grozījumi Ministru kabineta 2016.gada 5.jūlija noteikumos Nr. 445 “Pedagogu darba samaksas noteikumi” nav uzskatāmi par valsts nozīmes reformu īstenošanu, līdz ar to šobrīd nevaram atbalstīt rezervēto finansējumu budžeta resorā “74. Gadskārtējā valsts budžeta izpildes procesā pārdalāmais finansējums” novirzīt noteikumu projektā iekļauto normu īstenošanai. </w:t>
            </w:r>
          </w:p>
          <w:p w14:paraId="6EF80433" w14:textId="77777777" w:rsidR="00E64BFC" w:rsidRPr="00E64BFC" w:rsidRDefault="00E64BFC" w:rsidP="00E64BFC">
            <w:pPr>
              <w:pStyle w:val="tv2132"/>
              <w:spacing w:line="240" w:lineRule="auto"/>
              <w:jc w:val="both"/>
              <w:rPr>
                <w:color w:val="auto"/>
                <w:sz w:val="24"/>
                <w:szCs w:val="24"/>
              </w:rPr>
            </w:pPr>
            <w:r w:rsidRPr="00E64BFC">
              <w:rPr>
                <w:color w:val="auto"/>
                <w:sz w:val="24"/>
                <w:szCs w:val="24"/>
              </w:rPr>
              <w:t xml:space="preserve">Papildus, informējam, ka atbilstoši Ministru kabinetā apstiprinātajai Latvijas Stabilitātes programmai 2019.-2022.gadam, 2020. un 2021.gadā fiskālā telpa nav pieejama. Attiecīgi jautājums par papildus nepieciešamo finansējumu 24 587 969 </w:t>
            </w:r>
            <w:proofErr w:type="spellStart"/>
            <w:r w:rsidRPr="00E64BFC">
              <w:rPr>
                <w:color w:val="auto"/>
                <w:sz w:val="24"/>
                <w:szCs w:val="24"/>
              </w:rPr>
              <w:t>euro</w:t>
            </w:r>
            <w:proofErr w:type="spellEnd"/>
            <w:r w:rsidRPr="00E64BFC">
              <w:rPr>
                <w:color w:val="auto"/>
                <w:sz w:val="24"/>
                <w:szCs w:val="24"/>
              </w:rPr>
              <w:t xml:space="preserve"> apmērā 2020., 2021. un 2022. gadā ir izskatāms Ministru </w:t>
            </w:r>
            <w:r w:rsidRPr="00E64BFC">
              <w:rPr>
                <w:color w:val="auto"/>
                <w:sz w:val="24"/>
                <w:szCs w:val="24"/>
              </w:rPr>
              <w:lastRenderedPageBreak/>
              <w:t xml:space="preserve">kabinetā, sagatavojot likumprojektu “Par valsts budžetu 2020.gadam” un likumprojektu “Par vidēja termiņa budžeta ietvaru 2020., 2021. un 2022.gadam” kopā ar pārējiem prioritāro pasākumu pieprasījumiem. </w:t>
            </w:r>
          </w:p>
          <w:p w14:paraId="501DCC21" w14:textId="3BC60207" w:rsidR="00E64BFC" w:rsidRPr="00CB4FC8" w:rsidRDefault="00E64BFC" w:rsidP="00E64BFC">
            <w:pPr>
              <w:pStyle w:val="tv2132"/>
              <w:spacing w:line="240" w:lineRule="auto"/>
              <w:ind w:firstLine="0"/>
              <w:jc w:val="both"/>
              <w:rPr>
                <w:color w:val="auto"/>
                <w:sz w:val="24"/>
                <w:szCs w:val="24"/>
              </w:rPr>
            </w:pPr>
            <w:r w:rsidRPr="00E64BFC">
              <w:rPr>
                <w:color w:val="auto"/>
                <w:sz w:val="24"/>
                <w:szCs w:val="24"/>
              </w:rPr>
              <w:t xml:space="preserve">Vienlaikus, attiecībā uz anotācijā norādīto, ka noteikumu projekts izstrādāts, lai izpildītu arī Valdības rīcības plānu, norādām, ka 2019. gada 7. maija Ministru kabineta rīkojuma Nr. 210 “Par Valdības rīcības plānu Deklarācijas par Artura Krišjāņa Kariņa vadītā Ministru kabineta iecerēto darbību īstenošanai” 2.punkts paredz ministrijām, Valsts kancelejai, Korupcijas novēršanas un apkarošanas birojam, Sabiedrības integrācijas fondam un </w:t>
            </w:r>
            <w:proofErr w:type="spellStart"/>
            <w:r w:rsidRPr="00E64BFC">
              <w:rPr>
                <w:color w:val="auto"/>
                <w:sz w:val="24"/>
                <w:szCs w:val="24"/>
              </w:rPr>
              <w:t>Pārresoru</w:t>
            </w:r>
            <w:proofErr w:type="spellEnd"/>
            <w:r w:rsidRPr="00E64BFC">
              <w:rPr>
                <w:color w:val="auto"/>
                <w:sz w:val="24"/>
                <w:szCs w:val="24"/>
              </w:rPr>
              <w:t xml:space="preserve"> koordinācijas centram, plānojot un īstenojot Valdības rīcības plānā iekļautos pasākumus, ievērot attiecīgā gada likumos par valsts budžetu un par vidēja termiņa budžeta ietvaru paredzēto finansējuma apmēru. Kā arī šī rīkojuma 3.punkts paredz noteikt, ka Valdības rīcības plānā iekļautie finansiāli ietilpīgie pasākumi īstenojami, ievērojot Latvijas Republikas Ministru kabinetu </w:t>
            </w:r>
            <w:r w:rsidRPr="00E64BFC">
              <w:rPr>
                <w:color w:val="auto"/>
                <w:sz w:val="24"/>
                <w:szCs w:val="24"/>
              </w:rPr>
              <w:lastRenderedPageBreak/>
              <w:t>veidojošo 13. Saeimas frakciju 2019. gada 23. janvārī parakstīto Fiskālās disciplīnas līgumu un Ministru kabinetam budžeta izskatīšanas procesā lemjot par budžeta prioritāro pasākumu un tiem paredzētā finansējuma noteikšanu.</w:t>
            </w:r>
          </w:p>
        </w:tc>
        <w:tc>
          <w:tcPr>
            <w:tcW w:w="3261" w:type="dxa"/>
            <w:tcBorders>
              <w:top w:val="single" w:sz="4" w:space="0" w:color="000000"/>
              <w:left w:val="single" w:sz="4" w:space="0" w:color="000000"/>
              <w:bottom w:val="single" w:sz="4" w:space="0" w:color="000000"/>
              <w:right w:val="single" w:sz="4" w:space="0" w:color="000000"/>
            </w:tcBorders>
          </w:tcPr>
          <w:p w14:paraId="6CD6009A" w14:textId="77777777" w:rsidR="00E64BFC" w:rsidRDefault="00E64BFC" w:rsidP="00140710">
            <w:pPr>
              <w:shd w:val="clear" w:color="auto" w:fill="FFFFFF"/>
              <w:rPr>
                <w:b/>
              </w:rPr>
            </w:pPr>
            <w:r>
              <w:rPr>
                <w:b/>
              </w:rPr>
              <w:lastRenderedPageBreak/>
              <w:t>Saskaņošanā panākta vienošanās.</w:t>
            </w:r>
          </w:p>
          <w:p w14:paraId="2D5626AF" w14:textId="77777777" w:rsidR="00E64BFC" w:rsidRDefault="00E64BFC" w:rsidP="00140710">
            <w:pPr>
              <w:shd w:val="clear" w:color="auto" w:fill="FFFFFF"/>
              <w:rPr>
                <w:b/>
              </w:rPr>
            </w:pPr>
            <w:r>
              <w:rPr>
                <w:b/>
              </w:rPr>
              <w:t>FM atzinums 17.06.2019. Nr.</w:t>
            </w:r>
            <w:r w:rsidRPr="00E64BFC">
              <w:rPr>
                <w:b/>
              </w:rPr>
              <w:t>12/A-2/2795</w:t>
            </w:r>
          </w:p>
          <w:p w14:paraId="222CEF66" w14:textId="5D16D427" w:rsidR="00E64BFC" w:rsidRDefault="00E64BFC" w:rsidP="00140710">
            <w:pPr>
              <w:shd w:val="clear" w:color="auto" w:fill="FFFFFF"/>
              <w:rPr>
                <w:b/>
              </w:rPr>
            </w:pPr>
            <w:r w:rsidRPr="00E64BFC">
              <w:rPr>
                <w:b/>
              </w:rPr>
              <w:t>Ņemot vērā minēto un izprotot pedagogu darba samaksas palielināšanas jautājuma aktualitāti, konceptuāli neiebilstam 2019.gadā budžeta resorā “74. Gadskārtējā valsts budžeta izpildes procesā pārdalāmais finansējums” plānotā finansējuma novirzīšanai pedagogu darba samaksas paaugstināšanai.</w:t>
            </w:r>
          </w:p>
        </w:tc>
        <w:tc>
          <w:tcPr>
            <w:tcW w:w="3260" w:type="dxa"/>
            <w:tcBorders>
              <w:top w:val="single" w:sz="4" w:space="0" w:color="000000"/>
              <w:left w:val="single" w:sz="4" w:space="0" w:color="000000"/>
              <w:bottom w:val="single" w:sz="4" w:space="0" w:color="000000"/>
              <w:right w:val="single" w:sz="4" w:space="0" w:color="000000"/>
            </w:tcBorders>
          </w:tcPr>
          <w:p w14:paraId="30E8D4A0" w14:textId="77777777" w:rsidR="00E64BFC" w:rsidRPr="00063692" w:rsidRDefault="00E64BFC" w:rsidP="008D1463">
            <w:pPr>
              <w:jc w:val="both"/>
            </w:pPr>
          </w:p>
        </w:tc>
      </w:tr>
      <w:tr w:rsidR="00CB4FC8" w:rsidRPr="0052064D" w14:paraId="38308205"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2D46DCD" w14:textId="76F04A9F" w:rsidR="00CB4FC8" w:rsidRDefault="00FD7C76" w:rsidP="008D1463">
            <w:pPr>
              <w:shd w:val="clear" w:color="auto" w:fill="FFFFFF"/>
              <w:jc w:val="center"/>
              <w:rPr>
                <w:b/>
              </w:rPr>
            </w:pPr>
            <w:r>
              <w:rPr>
                <w:b/>
              </w:rPr>
              <w:lastRenderedPageBreak/>
              <w:t>4</w:t>
            </w:r>
            <w:r w:rsidR="0049798D">
              <w:rPr>
                <w:b/>
              </w:rPr>
              <w:t>.</w:t>
            </w:r>
          </w:p>
        </w:tc>
        <w:tc>
          <w:tcPr>
            <w:tcW w:w="3431" w:type="dxa"/>
            <w:tcBorders>
              <w:top w:val="single" w:sz="4" w:space="0" w:color="000000"/>
              <w:left w:val="single" w:sz="4" w:space="0" w:color="000000"/>
              <w:bottom w:val="single" w:sz="4" w:space="0" w:color="000000"/>
              <w:right w:val="single" w:sz="4" w:space="0" w:color="000000"/>
            </w:tcBorders>
          </w:tcPr>
          <w:p w14:paraId="3A853308" w14:textId="77777777" w:rsidR="00CB4FC8" w:rsidRPr="000C4302" w:rsidRDefault="00CB4FC8"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2303806A" w14:textId="77777777" w:rsidR="00CB4FC8" w:rsidRPr="00063692" w:rsidRDefault="00CB4FC8" w:rsidP="008D1463">
            <w:pPr>
              <w:pStyle w:val="tv2132"/>
              <w:spacing w:line="240" w:lineRule="auto"/>
              <w:ind w:firstLine="0"/>
              <w:jc w:val="both"/>
              <w:rPr>
                <w:color w:val="auto"/>
                <w:sz w:val="24"/>
                <w:szCs w:val="24"/>
              </w:rPr>
            </w:pPr>
            <w:r w:rsidRPr="00CB4FC8">
              <w:rPr>
                <w:color w:val="auto"/>
                <w:sz w:val="24"/>
                <w:szCs w:val="24"/>
              </w:rPr>
              <w:t xml:space="preserve">Sociālās korekcijas izglītības iestādes “Naukšēni” (turpmāk - SKII “Naukšēni”) mājas lapā pieejamajā pašnovērtējuma ziņojumā norādīts, ka 2018./2019. mācību gadā mācības iestādē uzsāka 14 audzēkņi, kuru apmācībai iestāde nodrošina 12,854 pedagoģiskās likmes un amatu skaitu. Savukārt attiecībā uz Murjāņu sporta ģimnāzijas audzēkņu skaitu vēršam uzmanību, ka atbilstoši likuma “Par valsts budžetu 2019.gadam” paskaidrojumā norādītajam, šajā iestādē 2019.gadā prognozētais audzēkņu skaits ir 376, taču pedagoģisko likmju un amatu skaits ir norādīts 94,257. Lūdzam skaidrot SKII “Naukšēni” un Murjāņu sporta ģimnāzijas pedagoģisko likmju un amatu skaita apmēra pamatojumu attiecībā pret prognozēto izglītojamo skaitu iestādēs, kā arī, vai aprēķinos ir </w:t>
            </w:r>
            <w:r w:rsidRPr="00CB4FC8">
              <w:rPr>
                <w:color w:val="auto"/>
                <w:sz w:val="24"/>
                <w:szCs w:val="24"/>
              </w:rPr>
              <w:lastRenderedPageBreak/>
              <w:t>korekti izmantot norādīto pedagoģisko likmju un amatu skaitu kopā;</w:t>
            </w:r>
          </w:p>
        </w:tc>
        <w:tc>
          <w:tcPr>
            <w:tcW w:w="3261" w:type="dxa"/>
            <w:tcBorders>
              <w:top w:val="single" w:sz="4" w:space="0" w:color="000000"/>
              <w:left w:val="single" w:sz="4" w:space="0" w:color="000000"/>
              <w:bottom w:val="single" w:sz="4" w:space="0" w:color="000000"/>
              <w:right w:val="single" w:sz="4" w:space="0" w:color="000000"/>
            </w:tcBorders>
          </w:tcPr>
          <w:p w14:paraId="5862396C" w14:textId="76E7BBE3" w:rsidR="00CB4FC8" w:rsidRPr="00E826D7" w:rsidRDefault="00CB4FC8" w:rsidP="00140710">
            <w:pPr>
              <w:shd w:val="clear" w:color="auto" w:fill="FFFFFF"/>
              <w:rPr>
                <w:b/>
              </w:rPr>
            </w:pPr>
            <w:r>
              <w:rPr>
                <w:b/>
              </w:rPr>
              <w:lastRenderedPageBreak/>
              <w:t xml:space="preserve">Ņemts vērā, </w:t>
            </w:r>
            <w:r w:rsidR="005B5415">
              <w:rPr>
                <w:b/>
              </w:rPr>
              <w:t>pieprasītā informācija nosūtīta Finanšu ministrijai</w:t>
            </w:r>
          </w:p>
        </w:tc>
        <w:tc>
          <w:tcPr>
            <w:tcW w:w="3260" w:type="dxa"/>
            <w:tcBorders>
              <w:top w:val="single" w:sz="4" w:space="0" w:color="000000"/>
              <w:left w:val="single" w:sz="4" w:space="0" w:color="000000"/>
              <w:bottom w:val="single" w:sz="4" w:space="0" w:color="000000"/>
              <w:right w:val="single" w:sz="4" w:space="0" w:color="000000"/>
            </w:tcBorders>
          </w:tcPr>
          <w:p w14:paraId="4B41D90C" w14:textId="77777777" w:rsidR="00CB4FC8" w:rsidRPr="00063692" w:rsidRDefault="00CB4FC8" w:rsidP="008D1463">
            <w:pPr>
              <w:jc w:val="both"/>
            </w:pPr>
          </w:p>
        </w:tc>
      </w:tr>
      <w:tr w:rsidR="00CB4FC8" w:rsidRPr="0052064D" w14:paraId="7287CE47"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7F8B96E" w14:textId="6C0B8F1A" w:rsidR="00CB4FC8" w:rsidRDefault="00FD7C76" w:rsidP="008D1463">
            <w:pPr>
              <w:shd w:val="clear" w:color="auto" w:fill="FFFFFF"/>
              <w:jc w:val="center"/>
              <w:rPr>
                <w:b/>
              </w:rPr>
            </w:pPr>
            <w:r>
              <w:rPr>
                <w:b/>
              </w:rPr>
              <w:t>5</w:t>
            </w:r>
            <w:r w:rsidR="0049798D">
              <w:rPr>
                <w:b/>
              </w:rPr>
              <w:t>.</w:t>
            </w:r>
          </w:p>
        </w:tc>
        <w:tc>
          <w:tcPr>
            <w:tcW w:w="3431" w:type="dxa"/>
            <w:tcBorders>
              <w:top w:val="single" w:sz="4" w:space="0" w:color="000000"/>
              <w:left w:val="single" w:sz="4" w:space="0" w:color="000000"/>
              <w:bottom w:val="single" w:sz="4" w:space="0" w:color="000000"/>
              <w:right w:val="single" w:sz="4" w:space="0" w:color="000000"/>
            </w:tcBorders>
          </w:tcPr>
          <w:p w14:paraId="5BEE92F7" w14:textId="77777777" w:rsidR="00CB4FC8" w:rsidRPr="000C4302" w:rsidRDefault="00CB4FC8"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6A88FE0C" w14:textId="77777777" w:rsidR="00CB4FC8" w:rsidRPr="00063692" w:rsidRDefault="00CB4FC8" w:rsidP="008D1463">
            <w:pPr>
              <w:pStyle w:val="tv2132"/>
              <w:spacing w:line="240" w:lineRule="auto"/>
              <w:ind w:firstLine="0"/>
              <w:jc w:val="both"/>
              <w:rPr>
                <w:color w:val="auto"/>
                <w:sz w:val="24"/>
                <w:szCs w:val="24"/>
              </w:rPr>
            </w:pPr>
            <w:r w:rsidRPr="00CB4FC8">
              <w:rPr>
                <w:color w:val="auto"/>
                <w:sz w:val="24"/>
                <w:szCs w:val="24"/>
              </w:rPr>
              <w:t>No noteikumu projektam pievienotajiem aprēķiniem nav saprotams, kā veidojas IZM budžeta apakšprogrammā 01.05.00 “Dotācija privātajām mācību iestādēm” norādītās summas kolonnās “Pedagogu darba samaksai un valsts sociālās apdrošināšanas obligātajām iemaksām” un “Piemaksām pedagogiem, kuri ieguvuši profesionālās darbības kvalitātes pakāpes”. Attiecīgi šīm pozīcijām ir pievienojami detalizēti aprēķini;</w:t>
            </w:r>
          </w:p>
        </w:tc>
        <w:tc>
          <w:tcPr>
            <w:tcW w:w="3261" w:type="dxa"/>
            <w:tcBorders>
              <w:top w:val="single" w:sz="4" w:space="0" w:color="000000"/>
              <w:left w:val="single" w:sz="4" w:space="0" w:color="000000"/>
              <w:bottom w:val="single" w:sz="4" w:space="0" w:color="000000"/>
              <w:right w:val="single" w:sz="4" w:space="0" w:color="000000"/>
            </w:tcBorders>
          </w:tcPr>
          <w:p w14:paraId="2486F6EA" w14:textId="4E879779" w:rsidR="00CB4FC8" w:rsidRPr="00E826D7" w:rsidRDefault="00CB4FC8" w:rsidP="00140710">
            <w:pPr>
              <w:shd w:val="clear" w:color="auto" w:fill="FFFFFF"/>
              <w:rPr>
                <w:b/>
              </w:rPr>
            </w:pPr>
            <w:r w:rsidRPr="00CB4FC8">
              <w:rPr>
                <w:b/>
              </w:rPr>
              <w:t xml:space="preserve">Ņemts vērā, </w:t>
            </w:r>
            <w:r w:rsidR="005B5415">
              <w:t xml:space="preserve"> </w:t>
            </w:r>
            <w:r w:rsidR="005B5415" w:rsidRPr="005B5415">
              <w:rPr>
                <w:b/>
              </w:rPr>
              <w:t>pieprasītā informācija nosūtīta Finanšu ministrijai</w:t>
            </w:r>
          </w:p>
        </w:tc>
        <w:tc>
          <w:tcPr>
            <w:tcW w:w="3260" w:type="dxa"/>
            <w:tcBorders>
              <w:top w:val="single" w:sz="4" w:space="0" w:color="000000"/>
              <w:left w:val="single" w:sz="4" w:space="0" w:color="000000"/>
              <w:bottom w:val="single" w:sz="4" w:space="0" w:color="000000"/>
              <w:right w:val="single" w:sz="4" w:space="0" w:color="000000"/>
            </w:tcBorders>
          </w:tcPr>
          <w:p w14:paraId="68BB3FB4" w14:textId="77777777" w:rsidR="00CB4FC8" w:rsidRPr="00063692" w:rsidRDefault="00CB4FC8" w:rsidP="008D1463">
            <w:pPr>
              <w:jc w:val="both"/>
            </w:pPr>
          </w:p>
        </w:tc>
      </w:tr>
      <w:tr w:rsidR="00CB4FC8" w:rsidRPr="0052064D" w14:paraId="2B708CF5"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F017D97" w14:textId="7E18CAA3" w:rsidR="00CB4FC8" w:rsidRDefault="00FD7C76" w:rsidP="008D1463">
            <w:pPr>
              <w:shd w:val="clear" w:color="auto" w:fill="FFFFFF"/>
              <w:jc w:val="center"/>
              <w:rPr>
                <w:b/>
              </w:rPr>
            </w:pPr>
            <w:r>
              <w:rPr>
                <w:b/>
              </w:rPr>
              <w:t>6</w:t>
            </w:r>
            <w:r w:rsidR="0049798D">
              <w:rPr>
                <w:b/>
              </w:rPr>
              <w:t>.</w:t>
            </w:r>
          </w:p>
        </w:tc>
        <w:tc>
          <w:tcPr>
            <w:tcW w:w="3431" w:type="dxa"/>
            <w:tcBorders>
              <w:top w:val="single" w:sz="4" w:space="0" w:color="000000"/>
              <w:left w:val="single" w:sz="4" w:space="0" w:color="000000"/>
              <w:bottom w:val="single" w:sz="4" w:space="0" w:color="000000"/>
              <w:right w:val="single" w:sz="4" w:space="0" w:color="000000"/>
            </w:tcBorders>
          </w:tcPr>
          <w:p w14:paraId="573BF72D" w14:textId="77777777" w:rsidR="00CB4FC8" w:rsidRPr="000C4302" w:rsidRDefault="00CB4FC8"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328653B6" w14:textId="77777777" w:rsidR="00CB4FC8" w:rsidRPr="00063692" w:rsidRDefault="00CB4FC8" w:rsidP="008D1463">
            <w:pPr>
              <w:pStyle w:val="tv2132"/>
              <w:spacing w:line="240" w:lineRule="auto"/>
              <w:ind w:firstLine="0"/>
              <w:jc w:val="both"/>
              <w:rPr>
                <w:color w:val="auto"/>
                <w:sz w:val="24"/>
                <w:szCs w:val="24"/>
              </w:rPr>
            </w:pPr>
            <w:r w:rsidRPr="00CB4FC8">
              <w:rPr>
                <w:color w:val="auto"/>
                <w:sz w:val="24"/>
                <w:szCs w:val="24"/>
              </w:rPr>
              <w:t>No noteikumu projektam pievienotajiem aprēķiniem nav skaidrs, kā veidojas IZM budžeta apakšprogrammai 02.01.00 “Profesionālās izglītības programmu īstenošana” norādītās summas kolonnās “Piemaksa PIKC 10%” un “Bāze 2019.g. 1 mēnesim”, attiecīgi arī šīm pozīcijām ir pievienojami detalizēti aprēķini;</w:t>
            </w:r>
          </w:p>
        </w:tc>
        <w:tc>
          <w:tcPr>
            <w:tcW w:w="3261" w:type="dxa"/>
            <w:tcBorders>
              <w:top w:val="single" w:sz="4" w:space="0" w:color="000000"/>
              <w:left w:val="single" w:sz="4" w:space="0" w:color="000000"/>
              <w:bottom w:val="single" w:sz="4" w:space="0" w:color="000000"/>
              <w:right w:val="single" w:sz="4" w:space="0" w:color="000000"/>
            </w:tcBorders>
          </w:tcPr>
          <w:p w14:paraId="66464934" w14:textId="5F9BB962" w:rsidR="00CB4FC8" w:rsidRPr="00E826D7" w:rsidRDefault="00CB4FC8" w:rsidP="00140710">
            <w:pPr>
              <w:shd w:val="clear" w:color="auto" w:fill="FFFFFF"/>
              <w:rPr>
                <w:b/>
              </w:rPr>
            </w:pPr>
            <w:r w:rsidRPr="00CB4FC8">
              <w:rPr>
                <w:b/>
              </w:rPr>
              <w:t xml:space="preserve">Ņemts vērā, </w:t>
            </w:r>
            <w:r w:rsidR="005B5415">
              <w:t xml:space="preserve"> </w:t>
            </w:r>
            <w:r w:rsidR="005B5415" w:rsidRPr="005B5415">
              <w:rPr>
                <w:b/>
              </w:rPr>
              <w:t>pieprasītā informācija nosūtīta Finanšu ministrijai</w:t>
            </w:r>
          </w:p>
        </w:tc>
        <w:tc>
          <w:tcPr>
            <w:tcW w:w="3260" w:type="dxa"/>
            <w:tcBorders>
              <w:top w:val="single" w:sz="4" w:space="0" w:color="000000"/>
              <w:left w:val="single" w:sz="4" w:space="0" w:color="000000"/>
              <w:bottom w:val="single" w:sz="4" w:space="0" w:color="000000"/>
              <w:right w:val="single" w:sz="4" w:space="0" w:color="000000"/>
            </w:tcBorders>
          </w:tcPr>
          <w:p w14:paraId="317332CC" w14:textId="77777777" w:rsidR="00CB4FC8" w:rsidRPr="00063692" w:rsidRDefault="00CB4FC8" w:rsidP="008D1463">
            <w:pPr>
              <w:jc w:val="both"/>
            </w:pPr>
          </w:p>
        </w:tc>
      </w:tr>
      <w:tr w:rsidR="00CB4FC8" w:rsidRPr="0052064D" w14:paraId="3D2C0A71"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17DC6C79" w14:textId="0BDD9DCA" w:rsidR="00CB4FC8" w:rsidRDefault="00FD7C76" w:rsidP="008D1463">
            <w:pPr>
              <w:shd w:val="clear" w:color="auto" w:fill="FFFFFF"/>
              <w:jc w:val="center"/>
              <w:rPr>
                <w:b/>
              </w:rPr>
            </w:pPr>
            <w:r>
              <w:rPr>
                <w:b/>
              </w:rPr>
              <w:t>7</w:t>
            </w:r>
            <w:r w:rsidR="0049798D">
              <w:rPr>
                <w:b/>
              </w:rPr>
              <w:t>.</w:t>
            </w:r>
          </w:p>
        </w:tc>
        <w:tc>
          <w:tcPr>
            <w:tcW w:w="3431" w:type="dxa"/>
            <w:tcBorders>
              <w:top w:val="single" w:sz="4" w:space="0" w:color="000000"/>
              <w:left w:val="single" w:sz="4" w:space="0" w:color="000000"/>
              <w:bottom w:val="single" w:sz="4" w:space="0" w:color="000000"/>
              <w:right w:val="single" w:sz="4" w:space="0" w:color="000000"/>
            </w:tcBorders>
          </w:tcPr>
          <w:p w14:paraId="7E3A0CC9" w14:textId="77777777" w:rsidR="00CB4FC8" w:rsidRPr="000C4302" w:rsidRDefault="00CB4FC8"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14096904" w14:textId="77777777" w:rsidR="00CB4FC8" w:rsidRPr="00063692" w:rsidRDefault="00CB4FC8" w:rsidP="008D1463">
            <w:pPr>
              <w:pStyle w:val="tv2132"/>
              <w:spacing w:line="240" w:lineRule="auto"/>
              <w:ind w:firstLine="0"/>
              <w:jc w:val="both"/>
              <w:rPr>
                <w:color w:val="auto"/>
                <w:sz w:val="24"/>
                <w:szCs w:val="24"/>
              </w:rPr>
            </w:pPr>
            <w:r w:rsidRPr="00CB4FC8">
              <w:rPr>
                <w:color w:val="auto"/>
                <w:sz w:val="24"/>
                <w:szCs w:val="24"/>
              </w:rPr>
              <w:t xml:space="preserve">Papildus norādām, ka ir novēršamas matemātiskās neprecizitātes anotācijā un pielikumos norādītajam </w:t>
            </w:r>
            <w:r w:rsidRPr="00CB4FC8">
              <w:rPr>
                <w:color w:val="auto"/>
                <w:sz w:val="24"/>
                <w:szCs w:val="24"/>
              </w:rPr>
              <w:lastRenderedPageBreak/>
              <w:t xml:space="preserve">Labklājības ministrijas papildus nepieciešamajam finansējuma apmēram sākot no 2020.gada (1 </w:t>
            </w:r>
            <w:proofErr w:type="spellStart"/>
            <w:r w:rsidRPr="00CB4FC8">
              <w:rPr>
                <w:color w:val="auto"/>
                <w:sz w:val="24"/>
                <w:szCs w:val="24"/>
              </w:rPr>
              <w:t>euro</w:t>
            </w:r>
            <w:proofErr w:type="spellEnd"/>
            <w:r w:rsidRPr="00CB4FC8">
              <w:rPr>
                <w:color w:val="auto"/>
                <w:sz w:val="24"/>
                <w:szCs w:val="24"/>
              </w:rPr>
              <w:t xml:space="preserve"> starpība), attiecīgi precizējot kopējo nepieciešamo finansējuma apmēru.</w:t>
            </w:r>
          </w:p>
        </w:tc>
        <w:tc>
          <w:tcPr>
            <w:tcW w:w="3261" w:type="dxa"/>
            <w:tcBorders>
              <w:top w:val="single" w:sz="4" w:space="0" w:color="000000"/>
              <w:left w:val="single" w:sz="4" w:space="0" w:color="000000"/>
              <w:bottom w:val="single" w:sz="4" w:space="0" w:color="000000"/>
              <w:right w:val="single" w:sz="4" w:space="0" w:color="000000"/>
            </w:tcBorders>
          </w:tcPr>
          <w:p w14:paraId="480E8ACE" w14:textId="77777777" w:rsidR="00CB4FC8" w:rsidRPr="00E826D7" w:rsidRDefault="00CB4FC8" w:rsidP="00140710">
            <w:pPr>
              <w:shd w:val="clear" w:color="auto" w:fill="FFFFFF"/>
              <w:rPr>
                <w:b/>
              </w:rPr>
            </w:pPr>
            <w:r w:rsidRPr="00CB4FC8">
              <w:rPr>
                <w:b/>
              </w:rPr>
              <w:lastRenderedPageBreak/>
              <w:t>Ņemts vērā, precizējot anotācijas III sadaļu</w:t>
            </w:r>
          </w:p>
        </w:tc>
        <w:tc>
          <w:tcPr>
            <w:tcW w:w="3260" w:type="dxa"/>
            <w:tcBorders>
              <w:top w:val="single" w:sz="4" w:space="0" w:color="000000"/>
              <w:left w:val="single" w:sz="4" w:space="0" w:color="000000"/>
              <w:bottom w:val="single" w:sz="4" w:space="0" w:color="000000"/>
              <w:right w:val="single" w:sz="4" w:space="0" w:color="000000"/>
            </w:tcBorders>
          </w:tcPr>
          <w:p w14:paraId="70EFDE32" w14:textId="77777777" w:rsidR="00CB4FC8" w:rsidRPr="00063692" w:rsidRDefault="00CB4FC8" w:rsidP="008D1463">
            <w:pPr>
              <w:jc w:val="both"/>
            </w:pPr>
          </w:p>
        </w:tc>
      </w:tr>
      <w:tr w:rsidR="00CB4FC8" w:rsidRPr="0052064D" w14:paraId="3DDF82F7"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D9968A4" w14:textId="6C4F3D69" w:rsidR="00CB4FC8" w:rsidRDefault="00FD7C76" w:rsidP="008D1463">
            <w:pPr>
              <w:shd w:val="clear" w:color="auto" w:fill="FFFFFF"/>
              <w:jc w:val="center"/>
              <w:rPr>
                <w:b/>
              </w:rPr>
            </w:pPr>
            <w:r>
              <w:rPr>
                <w:b/>
              </w:rPr>
              <w:t>8</w:t>
            </w:r>
            <w:r w:rsidR="0049798D">
              <w:rPr>
                <w:b/>
              </w:rPr>
              <w:t>.</w:t>
            </w:r>
          </w:p>
        </w:tc>
        <w:tc>
          <w:tcPr>
            <w:tcW w:w="3431" w:type="dxa"/>
            <w:tcBorders>
              <w:top w:val="single" w:sz="4" w:space="0" w:color="000000"/>
              <w:left w:val="single" w:sz="4" w:space="0" w:color="000000"/>
              <w:bottom w:val="single" w:sz="4" w:space="0" w:color="000000"/>
              <w:right w:val="single" w:sz="4" w:space="0" w:color="000000"/>
            </w:tcBorders>
          </w:tcPr>
          <w:p w14:paraId="61504261" w14:textId="77777777" w:rsidR="00CB4FC8" w:rsidRPr="000C4302" w:rsidRDefault="00CB4FC8"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5F0F652B" w14:textId="77777777" w:rsidR="00CB4FC8" w:rsidRPr="00063692" w:rsidRDefault="0049798D" w:rsidP="008D1463">
            <w:pPr>
              <w:pStyle w:val="tv2132"/>
              <w:spacing w:line="240" w:lineRule="auto"/>
              <w:ind w:firstLine="0"/>
              <w:jc w:val="both"/>
              <w:rPr>
                <w:color w:val="auto"/>
                <w:sz w:val="24"/>
                <w:szCs w:val="24"/>
              </w:rPr>
            </w:pPr>
            <w:r w:rsidRPr="0049798D">
              <w:rPr>
                <w:color w:val="auto"/>
                <w:sz w:val="24"/>
                <w:szCs w:val="24"/>
              </w:rPr>
              <w:t>anotācijas III sadaļas 6.punktā nav sniegts skaidrojums, kā veidojas IZM budžeta apakšprogrammas 01.07.00 “Dotācija brīvpusdienu nodrošināšanai 1., 2., 3. un 4.klases izglītojamiem”, apakšprogrammas 01.15.00 “Sociālā atbalsta programma vispārējās izglītības pedagogiem” un budžeta resora “62. Mērķdotācijas pašvaldībām” ietaupījums.</w:t>
            </w:r>
          </w:p>
        </w:tc>
        <w:tc>
          <w:tcPr>
            <w:tcW w:w="3261" w:type="dxa"/>
            <w:tcBorders>
              <w:top w:val="single" w:sz="4" w:space="0" w:color="000000"/>
              <w:left w:val="single" w:sz="4" w:space="0" w:color="000000"/>
              <w:bottom w:val="single" w:sz="4" w:space="0" w:color="000000"/>
              <w:right w:val="single" w:sz="4" w:space="0" w:color="000000"/>
            </w:tcBorders>
          </w:tcPr>
          <w:p w14:paraId="6CA90BF8" w14:textId="20DA0A21" w:rsidR="00CB4FC8" w:rsidRPr="00E826D7" w:rsidRDefault="0049798D" w:rsidP="00140710">
            <w:pPr>
              <w:shd w:val="clear" w:color="auto" w:fill="FFFFFF"/>
              <w:rPr>
                <w:b/>
              </w:rPr>
            </w:pPr>
            <w:r w:rsidRPr="0049798D">
              <w:rPr>
                <w:b/>
              </w:rPr>
              <w:t xml:space="preserve">Ņemts vērā, </w:t>
            </w:r>
            <w:r w:rsidR="005B5415">
              <w:t xml:space="preserve"> </w:t>
            </w:r>
            <w:r w:rsidR="005B5415" w:rsidRPr="005B5415">
              <w:rPr>
                <w:b/>
              </w:rPr>
              <w:t>pieprasītā informācija nosūtīta Finanšu ministrijai</w:t>
            </w:r>
          </w:p>
        </w:tc>
        <w:tc>
          <w:tcPr>
            <w:tcW w:w="3260" w:type="dxa"/>
            <w:tcBorders>
              <w:top w:val="single" w:sz="4" w:space="0" w:color="000000"/>
              <w:left w:val="single" w:sz="4" w:space="0" w:color="000000"/>
              <w:bottom w:val="single" w:sz="4" w:space="0" w:color="000000"/>
              <w:right w:val="single" w:sz="4" w:space="0" w:color="000000"/>
            </w:tcBorders>
          </w:tcPr>
          <w:p w14:paraId="2C3D11C5" w14:textId="77777777" w:rsidR="00CB4FC8" w:rsidRPr="00063692" w:rsidRDefault="00CB4FC8" w:rsidP="008D1463">
            <w:pPr>
              <w:jc w:val="both"/>
            </w:pPr>
          </w:p>
        </w:tc>
      </w:tr>
      <w:tr w:rsidR="00CB4FC8" w:rsidRPr="0052064D" w14:paraId="731A7EB8"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42B013C0" w14:textId="4206634B" w:rsidR="00CB4FC8" w:rsidRDefault="00FD7C76" w:rsidP="008D1463">
            <w:pPr>
              <w:shd w:val="clear" w:color="auto" w:fill="FFFFFF"/>
              <w:jc w:val="center"/>
              <w:rPr>
                <w:b/>
              </w:rPr>
            </w:pPr>
            <w:r>
              <w:rPr>
                <w:b/>
              </w:rPr>
              <w:t>9</w:t>
            </w:r>
            <w:r w:rsidR="0049798D">
              <w:rPr>
                <w:b/>
              </w:rPr>
              <w:t>.</w:t>
            </w:r>
          </w:p>
        </w:tc>
        <w:tc>
          <w:tcPr>
            <w:tcW w:w="3431" w:type="dxa"/>
            <w:tcBorders>
              <w:top w:val="single" w:sz="4" w:space="0" w:color="000000"/>
              <w:left w:val="single" w:sz="4" w:space="0" w:color="000000"/>
              <w:bottom w:val="single" w:sz="4" w:space="0" w:color="000000"/>
              <w:right w:val="single" w:sz="4" w:space="0" w:color="000000"/>
            </w:tcBorders>
          </w:tcPr>
          <w:p w14:paraId="77F2744E" w14:textId="77777777" w:rsidR="00CB4FC8" w:rsidRPr="000C4302" w:rsidRDefault="00CB4FC8"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2B64C016" w14:textId="77777777" w:rsidR="00CB4FC8" w:rsidRPr="00063692" w:rsidRDefault="0049798D" w:rsidP="008D1463">
            <w:pPr>
              <w:pStyle w:val="tv2132"/>
              <w:spacing w:line="240" w:lineRule="auto"/>
              <w:ind w:firstLine="0"/>
              <w:jc w:val="both"/>
              <w:rPr>
                <w:color w:val="auto"/>
                <w:sz w:val="24"/>
                <w:szCs w:val="24"/>
              </w:rPr>
            </w:pPr>
            <w:r w:rsidRPr="0049798D">
              <w:rPr>
                <w:color w:val="auto"/>
                <w:sz w:val="24"/>
                <w:szCs w:val="24"/>
              </w:rPr>
              <w:t xml:space="preserve">anotācijas III sadaļas 8.punktā nav sniegts skaidrojums par veicamajām darbībām, kuru rezultātā varētu tikt īstenotas šobrīd šajā punktā uzrādītās darbības. Norādām, ka anotācija nav normatīvais akts, uz kura pamata Finanšu ministrija varētu veikt apropriācijas izmaiņas kārtējā gadā, kā arī palielināt bāzes izdevumu turpmākajos gados. Līdz ar to, ja tiek rasts nepieciešamais finansējums, tad noteikumu projektam ir pievienojams Ministru kabineta sēdes </w:t>
            </w:r>
            <w:proofErr w:type="spellStart"/>
            <w:r w:rsidRPr="0049798D">
              <w:rPr>
                <w:color w:val="auto"/>
                <w:sz w:val="24"/>
                <w:szCs w:val="24"/>
              </w:rPr>
              <w:lastRenderedPageBreak/>
              <w:t>protokollēmuma</w:t>
            </w:r>
            <w:proofErr w:type="spellEnd"/>
            <w:r w:rsidRPr="0049798D">
              <w:rPr>
                <w:color w:val="auto"/>
                <w:sz w:val="24"/>
                <w:szCs w:val="24"/>
              </w:rPr>
              <w:t xml:space="preserve"> projekts, kurā uzrādīti konkrēti veicamie uzdevumi, lai nodrošinātu apropriācijas izmaiņas, ņemot vērā likumā “Par valsts budžetu 2019.gadam” un Likumā par budžetu un finanšu vadību noteiktos ierobežojumus.</w:t>
            </w:r>
          </w:p>
        </w:tc>
        <w:tc>
          <w:tcPr>
            <w:tcW w:w="3261" w:type="dxa"/>
            <w:tcBorders>
              <w:top w:val="single" w:sz="4" w:space="0" w:color="000000"/>
              <w:left w:val="single" w:sz="4" w:space="0" w:color="000000"/>
              <w:bottom w:val="single" w:sz="4" w:space="0" w:color="000000"/>
              <w:right w:val="single" w:sz="4" w:space="0" w:color="000000"/>
            </w:tcBorders>
          </w:tcPr>
          <w:p w14:paraId="5329C742" w14:textId="77777777" w:rsidR="00CB4FC8" w:rsidRPr="00E826D7" w:rsidRDefault="0049798D" w:rsidP="00140710">
            <w:pPr>
              <w:shd w:val="clear" w:color="auto" w:fill="FFFFFF"/>
              <w:rPr>
                <w:b/>
              </w:rPr>
            </w:pPr>
            <w:r w:rsidRPr="0049798D">
              <w:rPr>
                <w:b/>
              </w:rPr>
              <w:lastRenderedPageBreak/>
              <w:t xml:space="preserve">Ņemts vērā, </w:t>
            </w:r>
            <w:r>
              <w:rPr>
                <w:b/>
              </w:rPr>
              <w:t xml:space="preserve">sagatavojot </w:t>
            </w:r>
            <w:proofErr w:type="spellStart"/>
            <w:r>
              <w:rPr>
                <w:b/>
              </w:rPr>
              <w:t>protokollēmumu</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791AFD7F" w14:textId="77777777" w:rsidR="00CB4FC8" w:rsidRDefault="00CB4FC8" w:rsidP="008D1463">
            <w:pPr>
              <w:jc w:val="both"/>
            </w:pPr>
          </w:p>
          <w:p w14:paraId="1B7BE175" w14:textId="77777777" w:rsidR="00A6789F" w:rsidRDefault="00A6789F" w:rsidP="008D1463">
            <w:pPr>
              <w:jc w:val="both"/>
            </w:pPr>
          </w:p>
          <w:p w14:paraId="7A8503C4" w14:textId="77777777" w:rsidR="00A6789F" w:rsidRDefault="00A6789F" w:rsidP="008D1463">
            <w:pPr>
              <w:jc w:val="both"/>
            </w:pPr>
          </w:p>
          <w:p w14:paraId="5BEE743B" w14:textId="77777777" w:rsidR="00A6789F" w:rsidRDefault="00A6789F" w:rsidP="008D1463">
            <w:pPr>
              <w:jc w:val="both"/>
            </w:pPr>
          </w:p>
          <w:p w14:paraId="04CE22D2" w14:textId="77777777" w:rsidR="00A6789F" w:rsidRPr="00063692" w:rsidRDefault="00A6789F" w:rsidP="008D1463">
            <w:pPr>
              <w:jc w:val="both"/>
            </w:pPr>
          </w:p>
        </w:tc>
      </w:tr>
      <w:tr w:rsidR="00A6789F" w:rsidRPr="0052064D" w14:paraId="6D02111D" w14:textId="77777777" w:rsidTr="00CB4FC8">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81243A0" w14:textId="71FECC08" w:rsidR="00A6789F" w:rsidRDefault="00FD7C76" w:rsidP="008D1463">
            <w:pPr>
              <w:shd w:val="clear" w:color="auto" w:fill="FFFFFF"/>
              <w:jc w:val="center"/>
              <w:rPr>
                <w:b/>
              </w:rPr>
            </w:pPr>
            <w:r>
              <w:rPr>
                <w:b/>
              </w:rPr>
              <w:t>10</w:t>
            </w:r>
            <w:r w:rsidR="00A6789F">
              <w:rPr>
                <w:b/>
              </w:rPr>
              <w:t>.</w:t>
            </w:r>
          </w:p>
        </w:tc>
        <w:tc>
          <w:tcPr>
            <w:tcW w:w="3431" w:type="dxa"/>
            <w:tcBorders>
              <w:top w:val="single" w:sz="4" w:space="0" w:color="000000"/>
              <w:left w:val="single" w:sz="4" w:space="0" w:color="000000"/>
              <w:bottom w:val="single" w:sz="4" w:space="0" w:color="000000"/>
              <w:right w:val="single" w:sz="4" w:space="0" w:color="000000"/>
            </w:tcBorders>
          </w:tcPr>
          <w:p w14:paraId="4FB935AE" w14:textId="77777777" w:rsidR="00A6789F" w:rsidRPr="000C4302" w:rsidRDefault="00A6789F"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37F5FD12" w14:textId="77777777" w:rsidR="00A6789F" w:rsidRPr="00A6789F" w:rsidRDefault="00A6789F" w:rsidP="00A6789F">
            <w:pPr>
              <w:ind w:firstLine="720"/>
              <w:jc w:val="both"/>
              <w:rPr>
                <w:rFonts w:eastAsia="Calibri"/>
                <w:lang w:eastAsia="en-US"/>
              </w:rPr>
            </w:pPr>
            <w:r w:rsidRPr="00A6789F">
              <w:rPr>
                <w:rFonts w:eastAsia="Calibri"/>
                <w:lang w:eastAsia="en-US"/>
              </w:rPr>
              <w:t xml:space="preserve">Atbilstoši iesniegtajiem aprēķiniem budžeta resoram “62.Mērķdotācijas pašvaldībām” aprēķināts papildu finansējumus par 404 bērniem no 5 gadu vecuma un par 1 024 skolēniem, kam kopā nepieciešams papildu finansējums 2019.gadā 535 128 </w:t>
            </w:r>
            <w:proofErr w:type="spellStart"/>
            <w:r w:rsidRPr="00A6789F">
              <w:rPr>
                <w:rFonts w:eastAsia="Calibri"/>
                <w:i/>
                <w:iCs/>
                <w:lang w:eastAsia="en-US"/>
              </w:rPr>
              <w:t>euro</w:t>
            </w:r>
            <w:proofErr w:type="spellEnd"/>
            <w:r w:rsidRPr="00A6789F">
              <w:rPr>
                <w:rFonts w:eastAsia="Calibri"/>
                <w:lang w:eastAsia="en-US"/>
              </w:rPr>
              <w:t xml:space="preserve">, 2020.gadā un turpmāk ik gadu 1 605 385 </w:t>
            </w:r>
            <w:proofErr w:type="spellStart"/>
            <w:r w:rsidRPr="00A6789F">
              <w:rPr>
                <w:rFonts w:eastAsia="Calibri"/>
                <w:i/>
                <w:iCs/>
                <w:lang w:eastAsia="en-US"/>
              </w:rPr>
              <w:t>euro</w:t>
            </w:r>
            <w:proofErr w:type="spellEnd"/>
            <w:r w:rsidRPr="00A6789F">
              <w:rPr>
                <w:rFonts w:eastAsia="Calibri"/>
                <w:lang w:eastAsia="en-US"/>
              </w:rPr>
              <w:t xml:space="preserve">. Norādām, ka Valsts izglītības informācijas sistēmā līdz attiecīgā gada 5.septembrim tiek ievadīta un apstiprināta informācija par bērnu un skolēnu skaitu attiecīgā gada 1.septembrī izglītības iestādēs, līdz ar to uzskatām, ka šobrīd IZM nepieciešamais finansējums pedagogu minimālās algas likmes palielināšanai līdz 750 </w:t>
            </w:r>
            <w:proofErr w:type="spellStart"/>
            <w:r w:rsidRPr="00A6789F">
              <w:rPr>
                <w:rFonts w:eastAsia="Calibri"/>
                <w:i/>
                <w:iCs/>
                <w:lang w:eastAsia="en-US"/>
              </w:rPr>
              <w:t>euro</w:t>
            </w:r>
            <w:proofErr w:type="spellEnd"/>
            <w:r w:rsidRPr="00A6789F">
              <w:rPr>
                <w:rFonts w:eastAsia="Calibri"/>
                <w:lang w:eastAsia="en-US"/>
              </w:rPr>
              <w:t xml:space="preserve"> jārēķina uz aktuālo skolēnu skaitu 2018./2019.mācību gadā. Ņemot vērā minēto, lūdzam precizēt papildu </w:t>
            </w:r>
            <w:r w:rsidRPr="00A6789F">
              <w:rPr>
                <w:rFonts w:eastAsia="Calibri"/>
                <w:lang w:eastAsia="en-US"/>
              </w:rPr>
              <w:lastRenderedPageBreak/>
              <w:t xml:space="preserve">nepieciešamo finansējumu un Ministru kabineta </w:t>
            </w:r>
            <w:proofErr w:type="spellStart"/>
            <w:r w:rsidRPr="00A6789F">
              <w:rPr>
                <w:rFonts w:eastAsia="Calibri"/>
                <w:lang w:eastAsia="en-US"/>
              </w:rPr>
              <w:t>protokollēmuma</w:t>
            </w:r>
            <w:proofErr w:type="spellEnd"/>
            <w:r w:rsidRPr="00A6789F">
              <w:rPr>
                <w:rFonts w:eastAsia="Calibri"/>
                <w:lang w:eastAsia="en-US"/>
              </w:rPr>
              <w:t xml:space="preserve"> projektā iekļaut punktu šādā redakcijā: “Gadījumā, ja izglītojamo skaita uz 2019.gada 1.septembri un to struktūras izmaiņu rezultātā būs nepieciešams papildu finansējums pedagogu minimālās algas likmes palielināšanas līdz 750 </w:t>
            </w:r>
            <w:proofErr w:type="spellStart"/>
            <w:r w:rsidRPr="00A6789F">
              <w:rPr>
                <w:rFonts w:eastAsia="Calibri"/>
                <w:i/>
                <w:iCs/>
                <w:lang w:eastAsia="en-US"/>
              </w:rPr>
              <w:t>euro</w:t>
            </w:r>
            <w:proofErr w:type="spellEnd"/>
            <w:r w:rsidRPr="00A6789F">
              <w:rPr>
                <w:rFonts w:eastAsia="Calibri"/>
                <w:lang w:eastAsia="en-US"/>
              </w:rPr>
              <w:t xml:space="preserve"> nodrošināšanai ar 2019.gada 1.septembri, Izglītības un zinātnes ministrijai iesniegt priekšlikumu par finansēšanas avotiem”.</w:t>
            </w:r>
          </w:p>
          <w:p w14:paraId="72FA6856" w14:textId="77777777" w:rsidR="00A6789F" w:rsidRPr="00A6789F" w:rsidRDefault="00A6789F" w:rsidP="00A6789F">
            <w:pPr>
              <w:ind w:firstLine="720"/>
              <w:jc w:val="both"/>
              <w:rPr>
                <w:rFonts w:eastAsia="Calibri"/>
                <w:lang w:eastAsia="en-US"/>
              </w:rPr>
            </w:pPr>
          </w:p>
          <w:p w14:paraId="0F4D24E9" w14:textId="77777777" w:rsidR="00A6789F" w:rsidRPr="0049798D" w:rsidRDefault="00A6789F" w:rsidP="008D1463">
            <w:pPr>
              <w:pStyle w:val="tv2132"/>
              <w:spacing w:line="240" w:lineRule="auto"/>
              <w:ind w:firstLine="0"/>
              <w:jc w:val="both"/>
              <w:rPr>
                <w:color w:val="auto"/>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864B80D" w14:textId="57BF076F" w:rsidR="00140710" w:rsidRDefault="00140710" w:rsidP="00140710">
            <w:pPr>
              <w:rPr>
                <w:b/>
                <w:bCs/>
                <w:noProof/>
                <w:sz w:val="22"/>
                <w:szCs w:val="22"/>
                <w:lang w:val="en-GB" w:eastAsia="en-US"/>
              </w:rPr>
            </w:pPr>
            <w:r>
              <w:rPr>
                <w:b/>
                <w:bCs/>
                <w:noProof/>
                <w:lang w:val="en-GB"/>
              </w:rPr>
              <w:lastRenderedPageBreak/>
              <w:t>Ņemts vērā, precizējot anotācijas III sadaļu un sagatavojot protokollēmumu</w:t>
            </w:r>
          </w:p>
          <w:p w14:paraId="3AFD57B0" w14:textId="77777777" w:rsidR="00140710" w:rsidRDefault="00140710" w:rsidP="00140710">
            <w:pPr>
              <w:rPr>
                <w:noProof/>
                <w:color w:val="000000" w:themeColor="text1"/>
                <w:lang w:val="en-GB"/>
              </w:rPr>
            </w:pPr>
          </w:p>
          <w:p w14:paraId="0AF5A1A5" w14:textId="0CA03801" w:rsidR="00140710" w:rsidRPr="00140710" w:rsidRDefault="00140710" w:rsidP="00140710">
            <w:pPr>
              <w:rPr>
                <w:b/>
                <w:bCs/>
                <w:noProof/>
                <w:color w:val="000000" w:themeColor="text1"/>
                <w:lang w:val="en-GB"/>
              </w:rPr>
            </w:pPr>
            <w:r w:rsidRPr="00140710">
              <w:rPr>
                <w:noProof/>
                <w:color w:val="000000" w:themeColor="text1"/>
                <w:lang w:val="en-GB"/>
              </w:rPr>
              <w:t>Anotācijas III</w:t>
            </w:r>
            <w:r>
              <w:rPr>
                <w:noProof/>
                <w:color w:val="000000" w:themeColor="text1"/>
                <w:lang w:val="en-GB"/>
              </w:rPr>
              <w:t xml:space="preserve"> sadaļā precizēts nepieciešamai</w:t>
            </w:r>
            <w:r w:rsidRPr="00140710">
              <w:rPr>
                <w:noProof/>
                <w:color w:val="000000" w:themeColor="text1"/>
                <w:lang w:val="en-GB"/>
              </w:rPr>
              <w:t>s finansējums-</w:t>
            </w:r>
          </w:p>
          <w:p w14:paraId="0C46DF08" w14:textId="047DEC3C" w:rsidR="00140710" w:rsidRDefault="00140710" w:rsidP="00140710">
            <w:pPr>
              <w:rPr>
                <w:noProof/>
                <w:color w:val="1F497D"/>
                <w:lang w:val="en-GB"/>
              </w:rPr>
            </w:pPr>
            <w:r>
              <w:rPr>
                <w:noProof/>
                <w:lang w:val="en-GB"/>
              </w:rPr>
              <w:t>izņemta summa (2019.gadā -535 128 euro, 2020.gadā un turpmāk ik gadu par -1 605 385 euro) par prognozējamo bērnu skaita pieaugumu</w:t>
            </w:r>
            <w:r w:rsidR="006E7927">
              <w:rPr>
                <w:noProof/>
                <w:lang w:val="en-GB"/>
              </w:rPr>
              <w:t>.</w:t>
            </w:r>
          </w:p>
          <w:p w14:paraId="15E6F034" w14:textId="77777777" w:rsidR="00140710" w:rsidRPr="00140710" w:rsidRDefault="00140710" w:rsidP="00140710">
            <w:pPr>
              <w:rPr>
                <w:noProof/>
                <w:color w:val="000000" w:themeColor="text1"/>
                <w:lang w:val="en-GB"/>
              </w:rPr>
            </w:pPr>
          </w:p>
          <w:p w14:paraId="767BC537" w14:textId="77777777" w:rsidR="00140710" w:rsidRPr="00140710" w:rsidRDefault="00140710" w:rsidP="00140710">
            <w:pPr>
              <w:rPr>
                <w:rFonts w:ascii="Calibri" w:hAnsi="Calibri" w:cs="Calibri"/>
                <w:noProof/>
                <w:color w:val="1F497D"/>
                <w:lang w:val="en-GB"/>
              </w:rPr>
            </w:pPr>
          </w:p>
          <w:p w14:paraId="1D8DCA2D" w14:textId="5CDA2906" w:rsidR="00A6789F" w:rsidRPr="0049798D" w:rsidRDefault="00A6789F" w:rsidP="006E7927">
            <w:pPr>
              <w:rPr>
                <w:b/>
                <w:noProof/>
              </w:rPr>
            </w:pPr>
          </w:p>
        </w:tc>
        <w:tc>
          <w:tcPr>
            <w:tcW w:w="3260" w:type="dxa"/>
            <w:tcBorders>
              <w:top w:val="single" w:sz="4" w:space="0" w:color="000000"/>
              <w:left w:val="single" w:sz="4" w:space="0" w:color="000000"/>
              <w:bottom w:val="single" w:sz="4" w:space="0" w:color="000000"/>
              <w:right w:val="single" w:sz="4" w:space="0" w:color="000000"/>
            </w:tcBorders>
          </w:tcPr>
          <w:p w14:paraId="539FA550" w14:textId="77777777" w:rsidR="006E7927" w:rsidRPr="00140710" w:rsidRDefault="006E7927" w:rsidP="006E7927">
            <w:pPr>
              <w:rPr>
                <w:noProof/>
                <w:color w:val="000000" w:themeColor="text1"/>
                <w:lang w:val="en-GB"/>
              </w:rPr>
            </w:pPr>
            <w:r w:rsidRPr="00140710">
              <w:rPr>
                <w:noProof/>
                <w:color w:val="000000" w:themeColor="text1"/>
                <w:lang w:val="en-GB"/>
              </w:rPr>
              <w:t xml:space="preserve">Anotācijas III sadaļa papildināta ar skaidrojumu: </w:t>
            </w:r>
          </w:p>
          <w:p w14:paraId="2E95C415" w14:textId="77777777" w:rsidR="006E7927" w:rsidRPr="00140710" w:rsidRDefault="006E7927" w:rsidP="006E7927">
            <w:pPr>
              <w:rPr>
                <w:noProof/>
                <w:lang w:val="en-GB"/>
              </w:rPr>
            </w:pPr>
            <w:r w:rsidRPr="00140710">
              <w:rPr>
                <w:noProof/>
                <w:lang w:val="en-GB"/>
              </w:rPr>
              <w:t>“Papildu finansējuma aprēķins veikts</w:t>
            </w:r>
            <w:r>
              <w:rPr>
                <w:noProof/>
                <w:lang w:val="en-GB"/>
              </w:rPr>
              <w:t>,</w:t>
            </w:r>
            <w:r w:rsidRPr="00140710">
              <w:rPr>
                <w:noProof/>
                <w:lang w:val="en-GB"/>
              </w:rPr>
              <w:t xml:space="preserve"> pamatojoties uz izglītojamo un pedagogu likmju skaitu un struktūru 2018.gada 1.septembrī.</w:t>
            </w:r>
          </w:p>
          <w:p w14:paraId="42902130" w14:textId="77777777" w:rsidR="006E7927" w:rsidRPr="00140710" w:rsidRDefault="006E7927" w:rsidP="006E7927">
            <w:pPr>
              <w:rPr>
                <w:i/>
                <w:iCs/>
                <w:noProof/>
                <w:lang w:val="en-GB"/>
              </w:rPr>
            </w:pPr>
            <w:r w:rsidRPr="00140710">
              <w:rPr>
                <w:noProof/>
                <w:lang w:val="en-GB"/>
              </w:rPr>
              <w:t xml:space="preserve">2019.gada 1.septembrī prognozēts izglītojamo skaita pieaugums par </w:t>
            </w:r>
            <w:r w:rsidRPr="00140710">
              <w:rPr>
                <w:noProof/>
                <w:color w:val="000000"/>
                <w:lang w:val="en-GB"/>
              </w:rPr>
              <w:t xml:space="preserve">1 428 skolēniem, kam indikatīvi nepieciešams papildu finansējums </w:t>
            </w:r>
            <w:r w:rsidRPr="00140710">
              <w:rPr>
                <w:noProof/>
                <w:lang w:val="en-GB"/>
              </w:rPr>
              <w:t>2019.gadā 535 128 </w:t>
            </w:r>
            <w:r w:rsidRPr="00140710">
              <w:rPr>
                <w:i/>
                <w:iCs/>
                <w:noProof/>
                <w:lang w:val="en-GB"/>
              </w:rPr>
              <w:t>euro</w:t>
            </w:r>
            <w:r w:rsidRPr="00140710">
              <w:rPr>
                <w:noProof/>
                <w:lang w:val="en-GB"/>
              </w:rPr>
              <w:t>, 2020.gadā un turpmāk ik gadu par 1 605 385 </w:t>
            </w:r>
            <w:r w:rsidRPr="00140710">
              <w:rPr>
                <w:i/>
                <w:iCs/>
                <w:noProof/>
                <w:lang w:val="en-GB"/>
              </w:rPr>
              <w:t>euro.</w:t>
            </w:r>
          </w:p>
          <w:p w14:paraId="652E2A47" w14:textId="77777777" w:rsidR="006E7927" w:rsidRPr="00140710" w:rsidRDefault="006E7927" w:rsidP="006E7927">
            <w:pPr>
              <w:rPr>
                <w:noProof/>
                <w:lang w:val="en-GB"/>
              </w:rPr>
            </w:pPr>
            <w:r w:rsidRPr="00140710">
              <w:rPr>
                <w:noProof/>
                <w:color w:val="2A2A2A"/>
                <w:lang w:val="en-GB"/>
              </w:rPr>
              <w:t xml:space="preserve">Gadījumā, ja izglītojamo skaita uz 2019.gada 1.septembri un to struktūras izmaiņu rezultātā būs nepieciešams papildu finansējums pedagogu minimālās algas likmes </w:t>
            </w:r>
            <w:r w:rsidRPr="00140710">
              <w:rPr>
                <w:noProof/>
                <w:color w:val="2A2A2A"/>
                <w:lang w:val="en-GB"/>
              </w:rPr>
              <w:lastRenderedPageBreak/>
              <w:t>palielināšanas līdz 750 EUR nodrošināšanai ar 2019.gada 1.septembri, Izglītības un zinātnes ministrijai iesniegt priekšlikumu par finansēšanas avotiem.”</w:t>
            </w:r>
          </w:p>
          <w:p w14:paraId="3BBF2C01" w14:textId="3007F1B7" w:rsidR="006E7927" w:rsidRDefault="006E7927" w:rsidP="006E7927">
            <w:pPr>
              <w:rPr>
                <w:noProof/>
                <w:color w:val="1F497D"/>
                <w:lang w:val="en-GB"/>
              </w:rPr>
            </w:pPr>
            <w:r>
              <w:rPr>
                <w:noProof/>
                <w:lang w:val="en-GB"/>
              </w:rPr>
              <w:t xml:space="preserve">Ministru kabineta protokollēmuma projektā iekļauts 7.punkts šādā redakcijā: “7.Gadījumā, ja izglītojamo skaita uz 2019.gada 1.septembri un to struktūras izmaiņu rezultātā būs nepieciešams papildu finansējums pedagogu minimālās algas likmes palielināšanas līdz 750 </w:t>
            </w:r>
            <w:r>
              <w:rPr>
                <w:i/>
                <w:iCs/>
                <w:noProof/>
                <w:lang w:val="en-GB"/>
              </w:rPr>
              <w:t>euro</w:t>
            </w:r>
            <w:r>
              <w:rPr>
                <w:noProof/>
                <w:lang w:val="en-GB"/>
              </w:rPr>
              <w:t xml:space="preserve"> nodrošināšanai ar 2019.gada 1.septembri, Izglītības un zinātnes ministrijai iesniegt  priekšlikumu par finansēšanas avotiem”.</w:t>
            </w:r>
          </w:p>
          <w:p w14:paraId="6391D76B" w14:textId="4E6CB742" w:rsidR="00A6789F" w:rsidRDefault="00A6789F" w:rsidP="008D1463">
            <w:pPr>
              <w:jc w:val="both"/>
              <w:rPr>
                <w:noProof/>
              </w:rPr>
            </w:pPr>
          </w:p>
        </w:tc>
      </w:tr>
    </w:tbl>
    <w:p w14:paraId="5A7C4E08" w14:textId="77777777" w:rsidR="000D0CC0" w:rsidRPr="000D0CC0" w:rsidRDefault="00DD4381" w:rsidP="00DD4381">
      <w:pPr>
        <w:jc w:val="center"/>
        <w:rPr>
          <w:b/>
        </w:rPr>
      </w:pPr>
      <w:r w:rsidRPr="00DD4381">
        <w:rPr>
          <w:b/>
        </w:rPr>
        <w:lastRenderedPageBreak/>
        <w:t>Latvijas Pašvaldību savienība</w:t>
      </w:r>
    </w:p>
    <w:tbl>
      <w:tblPr>
        <w:tblpPr w:leftFromText="180" w:rightFromText="180" w:vertAnchor="text" w:tblpXSpec="right" w:tblpY="1"/>
        <w:tblOverlap w:val="never"/>
        <w:tblW w:w="1443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3534"/>
        <w:gridCol w:w="3827"/>
        <w:gridCol w:w="3261"/>
        <w:gridCol w:w="3241"/>
      </w:tblGrid>
      <w:tr w:rsidR="00ED0498" w:rsidRPr="0052064D" w14:paraId="3F7F6C73" w14:textId="77777777" w:rsidTr="002A454A">
        <w:trPr>
          <w:trHeight w:val="300"/>
          <w:jc w:val="right"/>
        </w:trPr>
        <w:tc>
          <w:tcPr>
            <w:tcW w:w="572" w:type="dxa"/>
            <w:tcBorders>
              <w:top w:val="single" w:sz="4" w:space="0" w:color="000000"/>
              <w:left w:val="single" w:sz="4" w:space="0" w:color="000000"/>
              <w:bottom w:val="single" w:sz="4" w:space="0" w:color="000000"/>
              <w:right w:val="single" w:sz="4" w:space="0" w:color="000000"/>
            </w:tcBorders>
          </w:tcPr>
          <w:p w14:paraId="0B54184F" w14:textId="56E641B2" w:rsidR="00ED0498" w:rsidRDefault="00FD7C76" w:rsidP="00AE42BA">
            <w:pPr>
              <w:shd w:val="clear" w:color="auto" w:fill="FFFFFF"/>
              <w:jc w:val="center"/>
              <w:rPr>
                <w:b/>
              </w:rPr>
            </w:pPr>
            <w:r>
              <w:rPr>
                <w:b/>
              </w:rPr>
              <w:t>11.</w:t>
            </w:r>
          </w:p>
        </w:tc>
        <w:tc>
          <w:tcPr>
            <w:tcW w:w="3534" w:type="dxa"/>
            <w:tcBorders>
              <w:top w:val="single" w:sz="4" w:space="0" w:color="000000"/>
              <w:left w:val="single" w:sz="4" w:space="0" w:color="000000"/>
              <w:bottom w:val="single" w:sz="4" w:space="0" w:color="000000"/>
              <w:right w:val="single" w:sz="4" w:space="0" w:color="000000"/>
            </w:tcBorders>
          </w:tcPr>
          <w:p w14:paraId="3435439A" w14:textId="77777777" w:rsidR="00ED0498" w:rsidRPr="00DF65EB" w:rsidRDefault="00ED0498" w:rsidP="00AE42BA">
            <w:pPr>
              <w:jc w:val="both"/>
            </w:pPr>
          </w:p>
        </w:tc>
        <w:tc>
          <w:tcPr>
            <w:tcW w:w="3827" w:type="dxa"/>
            <w:tcBorders>
              <w:top w:val="single" w:sz="4" w:space="0" w:color="000000"/>
              <w:left w:val="single" w:sz="4" w:space="0" w:color="000000"/>
              <w:bottom w:val="single" w:sz="4" w:space="0" w:color="000000"/>
              <w:right w:val="single" w:sz="4" w:space="0" w:color="000000"/>
            </w:tcBorders>
          </w:tcPr>
          <w:p w14:paraId="7A6F278F" w14:textId="35720A57" w:rsidR="00ED0498" w:rsidRPr="00063692" w:rsidRDefault="00ED0498" w:rsidP="00DD4381">
            <w:pPr>
              <w:tabs>
                <w:tab w:val="left" w:pos="851"/>
                <w:tab w:val="left" w:pos="1134"/>
              </w:tabs>
              <w:jc w:val="both"/>
            </w:pPr>
            <w:r w:rsidRPr="00ED0498">
              <w:t xml:space="preserve">Noteikumu </w:t>
            </w:r>
            <w:proofErr w:type="spellStart"/>
            <w:r w:rsidRPr="00ED0498">
              <w:t>protokollēmumā</w:t>
            </w:r>
            <w:proofErr w:type="spellEnd"/>
            <w:r w:rsidRPr="00ED0498">
              <w:t xml:space="preserve"> iekļaut punktu ar uzdevumu Izglītības un zinātnes ministrijai līdz 2020.gada 1.martam pārskatīt un samazināt pedagogu noslodzi – kontaktstundu </w:t>
            </w:r>
            <w:r w:rsidRPr="00ED0498">
              <w:lastRenderedPageBreak/>
              <w:t>skaitu, lai veiksmīgi 2020.gada 1.septembrī uzsāktu un realizētu kompetencēs balstītu izglītību.</w:t>
            </w:r>
          </w:p>
        </w:tc>
        <w:tc>
          <w:tcPr>
            <w:tcW w:w="3261" w:type="dxa"/>
            <w:tcBorders>
              <w:top w:val="single" w:sz="4" w:space="0" w:color="000000"/>
              <w:left w:val="single" w:sz="4" w:space="0" w:color="000000"/>
              <w:bottom w:val="single" w:sz="4" w:space="0" w:color="000000"/>
              <w:right w:val="single" w:sz="4" w:space="0" w:color="000000"/>
            </w:tcBorders>
          </w:tcPr>
          <w:p w14:paraId="154D9722" w14:textId="7D135F1D" w:rsidR="00ED0498" w:rsidRPr="00E826D7" w:rsidRDefault="00ED0498" w:rsidP="00140710">
            <w:pPr>
              <w:shd w:val="clear" w:color="auto" w:fill="FFFFFF"/>
              <w:rPr>
                <w:b/>
              </w:rPr>
            </w:pPr>
            <w:r>
              <w:rPr>
                <w:b/>
              </w:rPr>
              <w:lastRenderedPageBreak/>
              <w:t>Saskaņošanā panākta vienošanās.</w:t>
            </w:r>
          </w:p>
        </w:tc>
        <w:tc>
          <w:tcPr>
            <w:tcW w:w="3241" w:type="dxa"/>
            <w:tcBorders>
              <w:top w:val="single" w:sz="4" w:space="0" w:color="000000"/>
              <w:left w:val="single" w:sz="4" w:space="0" w:color="000000"/>
              <w:bottom w:val="single" w:sz="4" w:space="0" w:color="000000"/>
              <w:right w:val="single" w:sz="4" w:space="0" w:color="000000"/>
            </w:tcBorders>
          </w:tcPr>
          <w:p w14:paraId="5CABA255" w14:textId="77777777" w:rsidR="00ED0498" w:rsidRPr="001263C5" w:rsidRDefault="00ED0498" w:rsidP="00AE42BA">
            <w:pPr>
              <w:jc w:val="both"/>
            </w:pPr>
          </w:p>
        </w:tc>
      </w:tr>
      <w:tr w:rsidR="000D0CC0" w:rsidRPr="0052064D" w14:paraId="373BC41F" w14:textId="77777777" w:rsidTr="002A454A">
        <w:trPr>
          <w:trHeight w:val="300"/>
          <w:jc w:val="right"/>
        </w:trPr>
        <w:tc>
          <w:tcPr>
            <w:tcW w:w="572" w:type="dxa"/>
            <w:tcBorders>
              <w:top w:val="single" w:sz="4" w:space="0" w:color="000000"/>
              <w:left w:val="single" w:sz="4" w:space="0" w:color="000000"/>
              <w:bottom w:val="single" w:sz="4" w:space="0" w:color="000000"/>
              <w:right w:val="single" w:sz="4" w:space="0" w:color="000000"/>
            </w:tcBorders>
          </w:tcPr>
          <w:p w14:paraId="6DCA660A" w14:textId="0FB84B6F" w:rsidR="000D0CC0" w:rsidRPr="00CF624B" w:rsidRDefault="009175D2" w:rsidP="00FD7C76">
            <w:pPr>
              <w:shd w:val="clear" w:color="auto" w:fill="FFFFFF"/>
              <w:jc w:val="center"/>
              <w:rPr>
                <w:b/>
              </w:rPr>
            </w:pPr>
            <w:r>
              <w:rPr>
                <w:b/>
              </w:rPr>
              <w:t>1</w:t>
            </w:r>
            <w:r w:rsidR="00FD7C76">
              <w:rPr>
                <w:b/>
              </w:rPr>
              <w:t>2</w:t>
            </w:r>
            <w:r w:rsidR="00CF624B" w:rsidRPr="00CF624B">
              <w:rPr>
                <w:b/>
              </w:rPr>
              <w:t>.</w:t>
            </w:r>
          </w:p>
        </w:tc>
        <w:tc>
          <w:tcPr>
            <w:tcW w:w="3534" w:type="dxa"/>
            <w:tcBorders>
              <w:top w:val="single" w:sz="4" w:space="0" w:color="000000"/>
              <w:left w:val="single" w:sz="4" w:space="0" w:color="000000"/>
              <w:bottom w:val="single" w:sz="4" w:space="0" w:color="000000"/>
              <w:right w:val="single" w:sz="4" w:space="0" w:color="000000"/>
            </w:tcBorders>
          </w:tcPr>
          <w:p w14:paraId="08B9855F" w14:textId="77777777" w:rsidR="000D0CC0" w:rsidRPr="00DF65EB" w:rsidRDefault="000D0CC0" w:rsidP="00AE42BA">
            <w:pPr>
              <w:jc w:val="both"/>
            </w:pPr>
          </w:p>
        </w:tc>
        <w:tc>
          <w:tcPr>
            <w:tcW w:w="3827" w:type="dxa"/>
            <w:tcBorders>
              <w:top w:val="single" w:sz="4" w:space="0" w:color="000000"/>
              <w:left w:val="single" w:sz="4" w:space="0" w:color="000000"/>
              <w:bottom w:val="single" w:sz="4" w:space="0" w:color="000000"/>
              <w:right w:val="single" w:sz="4" w:space="0" w:color="000000"/>
            </w:tcBorders>
          </w:tcPr>
          <w:p w14:paraId="503E4B2D" w14:textId="77777777" w:rsidR="000D0CC0" w:rsidRPr="00DF65EB" w:rsidRDefault="00063692" w:rsidP="00DD4381">
            <w:pPr>
              <w:tabs>
                <w:tab w:val="left" w:pos="851"/>
                <w:tab w:val="left" w:pos="1134"/>
              </w:tabs>
              <w:jc w:val="both"/>
            </w:pPr>
            <w:r w:rsidRPr="00063692">
              <w:t>Noteikumu projekta anotācija ir jāpapildina ar precīzāku skaidrojumu par finanšu līdzekļiem, kas izglītības iestādei piešķirti atbalsta pasākumu nodrošināšanai izglītojamiem ar speciālām vajadzībām.</w:t>
            </w:r>
          </w:p>
        </w:tc>
        <w:tc>
          <w:tcPr>
            <w:tcW w:w="3261" w:type="dxa"/>
            <w:tcBorders>
              <w:top w:val="single" w:sz="4" w:space="0" w:color="000000"/>
              <w:left w:val="single" w:sz="4" w:space="0" w:color="000000"/>
              <w:bottom w:val="single" w:sz="4" w:space="0" w:color="000000"/>
              <w:right w:val="single" w:sz="4" w:space="0" w:color="000000"/>
            </w:tcBorders>
          </w:tcPr>
          <w:p w14:paraId="00D6E9FF" w14:textId="77777777" w:rsidR="000D0CC0" w:rsidRPr="00E826D7" w:rsidRDefault="00DF65EB" w:rsidP="00140710">
            <w:pPr>
              <w:shd w:val="clear" w:color="auto" w:fill="FFFFFF"/>
              <w:rPr>
                <w:b/>
              </w:rPr>
            </w:pPr>
            <w:r w:rsidRPr="00E826D7">
              <w:rPr>
                <w:b/>
              </w:rPr>
              <w:t xml:space="preserve">Ņemts vērā, </w:t>
            </w:r>
            <w:r>
              <w:rPr>
                <w:b/>
              </w:rPr>
              <w:t xml:space="preserve">papildinot </w:t>
            </w:r>
            <w:r w:rsidR="00063692">
              <w:rPr>
                <w:b/>
              </w:rPr>
              <w:t xml:space="preserve">anotāciju ar 10. punkta </w:t>
            </w:r>
            <w:r w:rsidR="001263C5">
              <w:rPr>
                <w:b/>
              </w:rPr>
              <w:t xml:space="preserve">grozījumu </w:t>
            </w:r>
            <w:r w:rsidR="00063692">
              <w:rPr>
                <w:b/>
              </w:rPr>
              <w:t>skaidrojumu</w:t>
            </w:r>
          </w:p>
        </w:tc>
        <w:tc>
          <w:tcPr>
            <w:tcW w:w="3241" w:type="dxa"/>
            <w:tcBorders>
              <w:top w:val="single" w:sz="4" w:space="0" w:color="000000"/>
              <w:left w:val="single" w:sz="4" w:space="0" w:color="000000"/>
              <w:bottom w:val="single" w:sz="4" w:space="0" w:color="000000"/>
              <w:right w:val="single" w:sz="4" w:space="0" w:color="000000"/>
            </w:tcBorders>
          </w:tcPr>
          <w:p w14:paraId="4FDB9DA6" w14:textId="77777777" w:rsidR="000D0CC0" w:rsidRPr="00BB2E5D" w:rsidRDefault="001263C5" w:rsidP="00AE42BA">
            <w:pPr>
              <w:jc w:val="both"/>
            </w:pPr>
            <w:r w:rsidRPr="001263C5">
              <w:t xml:space="preserve">Saskaņā ar Ministru kabineta 2016. gada 5. jūlija noteikumiem Nr. 447 “Par valsts budžeta mērķdotāciju pedagogu darba samaksai pašvaldību vispārējās izglītības iestādēs un valsts augstskolu vispārējās vidējās izglītības iestādēs” izglītības iestādēm, kas izglītojamos ar speciālām vajadzībām izglīto iekļaujoši, pedagogu darba samaksai par katru izglītojamo ar speciālām vajadzībām tiek aprēķināta divas reizes lielāka valsts mērķdotācija, kas nozīmē, ka katram izglītojamam ar speciālām vajadzībām valsts apmaksā vidēji trīs pedagoga darba stundas nedēļā papildus mācību plānā paredzētajām mācību stundām. Saskaņā ar noteikumu 31. punktu papildus aprēķinātā mērķdotācija izmantojama pedagoga palīga vai  speciālā pedagoga darba </w:t>
            </w:r>
            <w:r w:rsidRPr="001263C5">
              <w:lastRenderedPageBreak/>
              <w:t>stundu apmaksai. Savukārt projektā paredzētais 10. punkta papildinājums paredz, ka no minētās papildus aprēķinātās mērķdotācijas var arī palielināt pedagoga palīga vai speciālā pedagoga zemāko mēneša darba algas likmi. Prognozējoši ietekme uz minētā atbalsta personāla darba samaksu būs tajās izglītības iestādēs, kurās izglītojamo ar speciālām vajadzībām, kas izglītību iegūst iekļaujoši, skaits būs virs desmit.</w:t>
            </w:r>
          </w:p>
        </w:tc>
      </w:tr>
      <w:tr w:rsidR="00136A1F" w:rsidRPr="0052064D" w14:paraId="029BE58F" w14:textId="77777777" w:rsidTr="002A454A">
        <w:trPr>
          <w:trHeight w:val="300"/>
          <w:jc w:val="right"/>
        </w:trPr>
        <w:tc>
          <w:tcPr>
            <w:tcW w:w="572" w:type="dxa"/>
            <w:tcBorders>
              <w:top w:val="single" w:sz="4" w:space="0" w:color="000000"/>
              <w:left w:val="single" w:sz="4" w:space="0" w:color="000000"/>
              <w:bottom w:val="single" w:sz="4" w:space="0" w:color="000000"/>
              <w:right w:val="single" w:sz="4" w:space="0" w:color="000000"/>
            </w:tcBorders>
          </w:tcPr>
          <w:p w14:paraId="0ADF9DE6" w14:textId="2B389182" w:rsidR="00136A1F" w:rsidRDefault="0049798D" w:rsidP="00FD7C76">
            <w:pPr>
              <w:shd w:val="clear" w:color="auto" w:fill="FFFFFF"/>
              <w:jc w:val="center"/>
              <w:rPr>
                <w:b/>
              </w:rPr>
            </w:pPr>
            <w:r>
              <w:rPr>
                <w:b/>
              </w:rPr>
              <w:lastRenderedPageBreak/>
              <w:t>1</w:t>
            </w:r>
            <w:r w:rsidR="00FD7C76">
              <w:rPr>
                <w:b/>
              </w:rPr>
              <w:t>3</w:t>
            </w:r>
            <w:r w:rsidR="008C3ECD">
              <w:rPr>
                <w:b/>
              </w:rPr>
              <w:t>.</w:t>
            </w:r>
          </w:p>
        </w:tc>
        <w:tc>
          <w:tcPr>
            <w:tcW w:w="3534" w:type="dxa"/>
            <w:tcBorders>
              <w:top w:val="single" w:sz="4" w:space="0" w:color="000000"/>
              <w:left w:val="single" w:sz="4" w:space="0" w:color="000000"/>
              <w:bottom w:val="single" w:sz="4" w:space="0" w:color="000000"/>
              <w:right w:val="single" w:sz="4" w:space="0" w:color="000000"/>
            </w:tcBorders>
          </w:tcPr>
          <w:p w14:paraId="3FB942B7" w14:textId="77777777" w:rsidR="00136A1F" w:rsidRPr="00410257" w:rsidRDefault="00136A1F" w:rsidP="00136A1F">
            <w:pPr>
              <w:jc w:val="both"/>
            </w:pPr>
          </w:p>
        </w:tc>
        <w:tc>
          <w:tcPr>
            <w:tcW w:w="3827" w:type="dxa"/>
            <w:tcBorders>
              <w:top w:val="single" w:sz="4" w:space="0" w:color="000000"/>
              <w:left w:val="single" w:sz="4" w:space="0" w:color="000000"/>
              <w:bottom w:val="single" w:sz="4" w:space="0" w:color="000000"/>
              <w:right w:val="single" w:sz="4" w:space="0" w:color="000000"/>
            </w:tcBorders>
          </w:tcPr>
          <w:p w14:paraId="41414F3B" w14:textId="09FD3CEA" w:rsidR="00136A1F" w:rsidRPr="00217065" w:rsidRDefault="00217065" w:rsidP="00217065">
            <w:pPr>
              <w:pStyle w:val="Bodytext20"/>
              <w:tabs>
                <w:tab w:val="left" w:pos="1374"/>
              </w:tabs>
              <w:jc w:val="both"/>
              <w:rPr>
                <w:rFonts w:ascii="Times New Roman" w:hAnsi="Times New Roman" w:cs="Times New Roman"/>
                <w:sz w:val="24"/>
                <w:szCs w:val="24"/>
              </w:rPr>
            </w:pPr>
            <w:r w:rsidRPr="00217065">
              <w:rPr>
                <w:rFonts w:ascii="Times New Roman" w:hAnsi="Times New Roman" w:cs="Times New Roman"/>
                <w:sz w:val="24"/>
                <w:szCs w:val="24"/>
              </w:rPr>
              <w:t>Iebilstam pret Noteikumu projekta anot</w:t>
            </w:r>
            <w:r>
              <w:rPr>
                <w:rFonts w:ascii="Times New Roman" w:hAnsi="Times New Roman" w:cs="Times New Roman"/>
                <w:sz w:val="24"/>
                <w:szCs w:val="24"/>
              </w:rPr>
              <w:t xml:space="preserve">ācijas trešās sadaļas  “ III.  </w:t>
            </w:r>
            <w:r w:rsidRPr="00217065">
              <w:rPr>
                <w:rFonts w:ascii="Times New Roman" w:hAnsi="Times New Roman" w:cs="Times New Roman"/>
                <w:sz w:val="24"/>
                <w:szCs w:val="24"/>
              </w:rPr>
              <w:t>Tiesību akta projekta ietekme uz valsts budžetu un pašvaldību budžetiem” 1.3.punktā “pašvaldību budžets” norādīto, ka virzītajiem Noteikumiem nav ie</w:t>
            </w:r>
            <w:r>
              <w:rPr>
                <w:rFonts w:ascii="Times New Roman" w:hAnsi="Times New Roman" w:cs="Times New Roman"/>
                <w:sz w:val="24"/>
                <w:szCs w:val="24"/>
              </w:rPr>
              <w:t>tekmes uz pašvaldību budžetiem.</w:t>
            </w:r>
            <w:r w:rsidR="0057052D">
              <w:rPr>
                <w:rFonts w:ascii="Times New Roman" w:hAnsi="Times New Roman" w:cs="Times New Roman"/>
                <w:sz w:val="24"/>
                <w:szCs w:val="24"/>
              </w:rPr>
              <w:t xml:space="preserve"> </w:t>
            </w:r>
            <w:r w:rsidRPr="00217065">
              <w:rPr>
                <w:rFonts w:ascii="Times New Roman" w:hAnsi="Times New Roman" w:cs="Times New Roman"/>
                <w:sz w:val="24"/>
                <w:szCs w:val="24"/>
              </w:rPr>
              <w:t>Lūdzam papildināt Noteikumu projekta anotāciju ar aprēķiniem par Tiesību projekta ietekmi uz pašvaldību budžetiem.</w:t>
            </w:r>
          </w:p>
        </w:tc>
        <w:tc>
          <w:tcPr>
            <w:tcW w:w="3261" w:type="dxa"/>
            <w:tcBorders>
              <w:top w:val="single" w:sz="4" w:space="0" w:color="000000"/>
              <w:left w:val="single" w:sz="4" w:space="0" w:color="000000"/>
              <w:bottom w:val="single" w:sz="4" w:space="0" w:color="000000"/>
              <w:right w:val="single" w:sz="4" w:space="0" w:color="000000"/>
            </w:tcBorders>
          </w:tcPr>
          <w:p w14:paraId="018961BB" w14:textId="77777777" w:rsidR="00136A1F" w:rsidRPr="00A96C83" w:rsidRDefault="00217065" w:rsidP="00136A1F">
            <w:pPr>
              <w:shd w:val="clear" w:color="auto" w:fill="FFFFFF"/>
              <w:jc w:val="both"/>
            </w:pPr>
            <w:r>
              <w:rPr>
                <w:b/>
              </w:rPr>
              <w:t>Ņemts vērā, papildinot anotācijas trešo sadaļu</w:t>
            </w:r>
            <w:r w:rsidR="006561AD">
              <w:rPr>
                <w:b/>
              </w:rPr>
              <w:t>. Informācija par ietekmi uz pašvaldību budžetu iekļauta III sadaļas 8. punktā</w:t>
            </w:r>
          </w:p>
        </w:tc>
        <w:tc>
          <w:tcPr>
            <w:tcW w:w="3241" w:type="dxa"/>
            <w:tcBorders>
              <w:top w:val="single" w:sz="4" w:space="0" w:color="000000"/>
              <w:left w:val="single" w:sz="4" w:space="0" w:color="000000"/>
              <w:bottom w:val="single" w:sz="4" w:space="0" w:color="000000"/>
              <w:right w:val="single" w:sz="4" w:space="0" w:color="000000"/>
            </w:tcBorders>
          </w:tcPr>
          <w:p w14:paraId="0E76E781" w14:textId="77777777" w:rsidR="00136A1F" w:rsidRPr="00315F1C" w:rsidRDefault="001263C5" w:rsidP="00136A1F">
            <w:pPr>
              <w:jc w:val="both"/>
            </w:pPr>
            <w:r w:rsidRPr="001263C5">
              <w:t xml:space="preserve">Saskaņā ar Valsts izglītības informācijas sistēmā pieejamajām pedagogu tarifikācijām 2018./2019.mācību gadam, no pašvaldību budžetiem  pedagogiem, kuriem ir zemāka algas likme par 750 </w:t>
            </w:r>
            <w:proofErr w:type="spellStart"/>
            <w:r w:rsidRPr="001263C5">
              <w:t>euro</w:t>
            </w:r>
            <w:proofErr w:type="spellEnd"/>
            <w:r w:rsidRPr="001263C5">
              <w:t xml:space="preserve"> (neatkarīgi no iestādes tipa un amata) tarificētais finansējuma apjoms ir 58,2 milj. </w:t>
            </w:r>
            <w:proofErr w:type="spellStart"/>
            <w:r w:rsidRPr="001263C5">
              <w:t>euro</w:t>
            </w:r>
            <w:proofErr w:type="spellEnd"/>
            <w:r w:rsidRPr="001263C5">
              <w:t xml:space="preserve"> gadā. Ja zemākā algas likme palielinās par 5,633%, </w:t>
            </w:r>
            <w:r w:rsidRPr="001263C5">
              <w:lastRenderedPageBreak/>
              <w:t xml:space="preserve">pašvaldībām izdevumi pieaugtu par 3,3 </w:t>
            </w:r>
            <w:proofErr w:type="spellStart"/>
            <w:r w:rsidRPr="001263C5">
              <w:t>milj</w:t>
            </w:r>
            <w:proofErr w:type="spellEnd"/>
            <w:r w:rsidRPr="001263C5">
              <w:t xml:space="preserve"> </w:t>
            </w:r>
            <w:proofErr w:type="spellStart"/>
            <w:r w:rsidRPr="001263C5">
              <w:t>euro</w:t>
            </w:r>
            <w:proofErr w:type="spellEnd"/>
            <w:r w:rsidRPr="001263C5">
              <w:t xml:space="preserve"> gadā.</w:t>
            </w:r>
          </w:p>
        </w:tc>
      </w:tr>
      <w:tr w:rsidR="00BA05C7" w:rsidRPr="0052064D" w14:paraId="04F3F775" w14:textId="77777777" w:rsidTr="00BA05C7">
        <w:trPr>
          <w:trHeight w:val="289"/>
          <w:jc w:val="right"/>
        </w:trPr>
        <w:tc>
          <w:tcPr>
            <w:tcW w:w="14435" w:type="dxa"/>
            <w:gridSpan w:val="5"/>
            <w:tcBorders>
              <w:top w:val="single" w:sz="4" w:space="0" w:color="000000"/>
              <w:left w:val="single" w:sz="4" w:space="0" w:color="000000"/>
              <w:bottom w:val="single" w:sz="4" w:space="0" w:color="000000"/>
              <w:right w:val="single" w:sz="4" w:space="0" w:color="000000"/>
            </w:tcBorders>
          </w:tcPr>
          <w:p w14:paraId="31C24593" w14:textId="77777777" w:rsidR="00BA05C7" w:rsidRPr="00BA05C7" w:rsidRDefault="00BA05C7" w:rsidP="00BA05C7">
            <w:pPr>
              <w:jc w:val="center"/>
            </w:pPr>
            <w:r w:rsidRPr="00BA05C7">
              <w:rPr>
                <w:b/>
                <w:lang w:eastAsia="en-US"/>
              </w:rPr>
              <w:lastRenderedPageBreak/>
              <w:t>La</w:t>
            </w:r>
            <w:r>
              <w:rPr>
                <w:b/>
                <w:lang w:eastAsia="en-US"/>
              </w:rPr>
              <w:t>tvijas Lielo pilsētu asociācija</w:t>
            </w:r>
          </w:p>
        </w:tc>
      </w:tr>
      <w:tr w:rsidR="00BA05C7" w:rsidRPr="0052064D" w14:paraId="1295AC43" w14:textId="77777777" w:rsidTr="002A454A">
        <w:trPr>
          <w:trHeight w:val="300"/>
          <w:jc w:val="right"/>
        </w:trPr>
        <w:tc>
          <w:tcPr>
            <w:tcW w:w="572" w:type="dxa"/>
            <w:tcBorders>
              <w:top w:val="single" w:sz="4" w:space="0" w:color="000000"/>
              <w:left w:val="single" w:sz="4" w:space="0" w:color="000000"/>
              <w:bottom w:val="single" w:sz="4" w:space="0" w:color="000000"/>
              <w:right w:val="single" w:sz="4" w:space="0" w:color="000000"/>
            </w:tcBorders>
          </w:tcPr>
          <w:p w14:paraId="1E68E436" w14:textId="22A12656" w:rsidR="00BA05C7" w:rsidRDefault="0049798D" w:rsidP="00FD7C76">
            <w:pPr>
              <w:shd w:val="clear" w:color="auto" w:fill="FFFFFF"/>
              <w:jc w:val="center"/>
              <w:rPr>
                <w:b/>
              </w:rPr>
            </w:pPr>
            <w:r>
              <w:rPr>
                <w:b/>
              </w:rPr>
              <w:t>1</w:t>
            </w:r>
            <w:r w:rsidR="00FD7C76">
              <w:rPr>
                <w:b/>
              </w:rPr>
              <w:t>4</w:t>
            </w:r>
            <w:r w:rsidR="00CB4FC8">
              <w:rPr>
                <w:b/>
              </w:rPr>
              <w:t>.</w:t>
            </w:r>
          </w:p>
        </w:tc>
        <w:tc>
          <w:tcPr>
            <w:tcW w:w="3534" w:type="dxa"/>
            <w:tcBorders>
              <w:top w:val="single" w:sz="4" w:space="0" w:color="000000"/>
              <w:left w:val="single" w:sz="4" w:space="0" w:color="000000"/>
              <w:bottom w:val="single" w:sz="4" w:space="0" w:color="000000"/>
              <w:right w:val="single" w:sz="4" w:space="0" w:color="000000"/>
            </w:tcBorders>
          </w:tcPr>
          <w:p w14:paraId="3907BD41" w14:textId="77777777" w:rsidR="00BA05C7" w:rsidRPr="00410257" w:rsidRDefault="00BA05C7" w:rsidP="00136A1F">
            <w:pPr>
              <w:jc w:val="both"/>
            </w:pPr>
          </w:p>
        </w:tc>
        <w:tc>
          <w:tcPr>
            <w:tcW w:w="3827" w:type="dxa"/>
            <w:tcBorders>
              <w:top w:val="single" w:sz="4" w:space="0" w:color="000000"/>
              <w:left w:val="single" w:sz="4" w:space="0" w:color="000000"/>
              <w:bottom w:val="single" w:sz="4" w:space="0" w:color="000000"/>
              <w:right w:val="single" w:sz="4" w:space="0" w:color="000000"/>
            </w:tcBorders>
          </w:tcPr>
          <w:p w14:paraId="78F42955" w14:textId="77777777" w:rsidR="00BA05C7" w:rsidRPr="00217065" w:rsidRDefault="00BA05C7" w:rsidP="00BA05C7">
            <w:pPr>
              <w:pStyle w:val="Bodytext20"/>
              <w:tabs>
                <w:tab w:val="left" w:pos="1374"/>
              </w:tabs>
              <w:jc w:val="both"/>
              <w:rPr>
                <w:rFonts w:ascii="Times New Roman" w:hAnsi="Times New Roman" w:cs="Times New Roman"/>
                <w:sz w:val="24"/>
                <w:szCs w:val="24"/>
              </w:rPr>
            </w:pPr>
            <w:r w:rsidRPr="00BA05C7">
              <w:rPr>
                <w:rFonts w:ascii="Times New Roman" w:hAnsi="Times New Roman" w:cs="Times New Roman"/>
                <w:sz w:val="24"/>
                <w:szCs w:val="24"/>
              </w:rPr>
              <w:t>Lūdzam skaidrot Noteikumu projekta 10. punktā noteiktā: „No finanšu līdzekļiem, kas izglītības iestādei piešķirti atbalsta pasākumu nodrošināšanai izglītojamiem ar speciālām vajadzībām, zemāko mēneša darba algas likmi var paaugstināt tikai tiem pedagogiem, kas nodrošina minētos atbalsta pasākumus”, piemērošanu pedagogu atalgojuma noteikšanā.</w:t>
            </w:r>
          </w:p>
        </w:tc>
        <w:tc>
          <w:tcPr>
            <w:tcW w:w="3261" w:type="dxa"/>
            <w:tcBorders>
              <w:top w:val="single" w:sz="4" w:space="0" w:color="000000"/>
              <w:left w:val="single" w:sz="4" w:space="0" w:color="000000"/>
              <w:bottom w:val="single" w:sz="4" w:space="0" w:color="000000"/>
              <w:right w:val="single" w:sz="4" w:space="0" w:color="000000"/>
            </w:tcBorders>
          </w:tcPr>
          <w:p w14:paraId="49E2ABBF" w14:textId="77777777" w:rsidR="00BA05C7" w:rsidRDefault="00BA05C7" w:rsidP="00136A1F">
            <w:pPr>
              <w:shd w:val="clear" w:color="auto" w:fill="FFFFFF"/>
              <w:jc w:val="both"/>
              <w:rPr>
                <w:b/>
              </w:rPr>
            </w:pPr>
            <w:r w:rsidRPr="00BA05C7">
              <w:rPr>
                <w:b/>
              </w:rPr>
              <w:t>Ņemts vērā, papildinot anotāciju ar 10. punkta grozījumu skaidrojumu</w:t>
            </w:r>
          </w:p>
        </w:tc>
        <w:tc>
          <w:tcPr>
            <w:tcW w:w="3241" w:type="dxa"/>
            <w:tcBorders>
              <w:top w:val="single" w:sz="4" w:space="0" w:color="000000"/>
              <w:left w:val="single" w:sz="4" w:space="0" w:color="000000"/>
              <w:bottom w:val="single" w:sz="4" w:space="0" w:color="000000"/>
              <w:right w:val="single" w:sz="4" w:space="0" w:color="000000"/>
            </w:tcBorders>
          </w:tcPr>
          <w:p w14:paraId="17E3A09F" w14:textId="77777777" w:rsidR="00BA05C7" w:rsidRPr="001263C5" w:rsidRDefault="00BA05C7" w:rsidP="00136A1F">
            <w:pPr>
              <w:jc w:val="both"/>
            </w:pPr>
            <w:r w:rsidRPr="00BA05C7">
              <w:t xml:space="preserve">Saskaņā ar Ministru kabineta 2016. gada 5. jūlija noteikumiem Nr. 447 “Par valsts budžeta mērķdotāciju pedagogu darba samaksai pašvaldību vispārējās izglītības iestādēs un valsts augstskolu vispārējās vidējās izglītības iestādēs” izglītības iestādēm, kas izglītojamos ar speciālām vajadzībām izglīto iekļaujoši, pedagogu darba samaksai par katru izglītojamo ar speciālām vajadzībām tiek aprēķināta divas reizes lielāka valsts mērķdotācija, kas nozīmē, ka katram izglītojamam ar speciālām vajadzībām valsts apmaksā vidēji trīs pedagoga darba stundas nedēļā papildus mācību plānā paredzētajām mācību stundām. Saskaņā ar noteikumu 31. punktu papildus aprēķinātā mērķdotācija izmantojama pedagoga palīga vai  speciālā pedagoga darba </w:t>
            </w:r>
            <w:r w:rsidRPr="00BA05C7">
              <w:lastRenderedPageBreak/>
              <w:t>stundu apmaksai. Savukārt projektā paredzētais 10. punkta papildinājums paredz, ka no minētās papildus aprēķinātās mērķdotācijas var arī palielināt pedagoga palīga vai speciālā pedagoga zemāko mēneša darba algas likmi. Prognozējoši ietekme uz minētā atbalsta personāla darba samaksu būs tajās izglītības iestādēs, kurās izglītojamo ar speciālām vajadzībām, kas izglītību iegūst iekļaujoši, skaits būs virs desmit.</w:t>
            </w:r>
          </w:p>
        </w:tc>
      </w:tr>
      <w:tr w:rsidR="00BA05C7" w:rsidRPr="0052064D" w14:paraId="497137A0" w14:textId="77777777" w:rsidTr="00081AAC">
        <w:trPr>
          <w:trHeight w:val="4813"/>
          <w:jc w:val="right"/>
        </w:trPr>
        <w:tc>
          <w:tcPr>
            <w:tcW w:w="572" w:type="dxa"/>
            <w:tcBorders>
              <w:top w:val="single" w:sz="4" w:space="0" w:color="000000"/>
              <w:left w:val="single" w:sz="4" w:space="0" w:color="000000"/>
              <w:bottom w:val="single" w:sz="4" w:space="0" w:color="000000"/>
              <w:right w:val="single" w:sz="4" w:space="0" w:color="000000"/>
            </w:tcBorders>
          </w:tcPr>
          <w:p w14:paraId="12FE382C" w14:textId="43697739" w:rsidR="00BA05C7" w:rsidRDefault="0049798D" w:rsidP="00FD7C76">
            <w:pPr>
              <w:shd w:val="clear" w:color="auto" w:fill="FFFFFF"/>
              <w:jc w:val="center"/>
              <w:rPr>
                <w:b/>
              </w:rPr>
            </w:pPr>
            <w:r>
              <w:rPr>
                <w:b/>
              </w:rPr>
              <w:lastRenderedPageBreak/>
              <w:t>1</w:t>
            </w:r>
            <w:r w:rsidR="00FD7C76">
              <w:rPr>
                <w:b/>
              </w:rPr>
              <w:t>5</w:t>
            </w:r>
            <w:r w:rsidR="00CB4FC8">
              <w:rPr>
                <w:b/>
              </w:rPr>
              <w:t>.</w:t>
            </w:r>
          </w:p>
        </w:tc>
        <w:tc>
          <w:tcPr>
            <w:tcW w:w="3534" w:type="dxa"/>
            <w:tcBorders>
              <w:top w:val="single" w:sz="4" w:space="0" w:color="000000"/>
              <w:left w:val="single" w:sz="4" w:space="0" w:color="000000"/>
              <w:bottom w:val="single" w:sz="4" w:space="0" w:color="000000"/>
              <w:right w:val="single" w:sz="4" w:space="0" w:color="000000"/>
            </w:tcBorders>
          </w:tcPr>
          <w:p w14:paraId="3DBD9B71" w14:textId="77777777" w:rsidR="00BA05C7" w:rsidRPr="00410257" w:rsidRDefault="00BA05C7" w:rsidP="00136A1F">
            <w:pPr>
              <w:jc w:val="both"/>
            </w:pPr>
          </w:p>
        </w:tc>
        <w:tc>
          <w:tcPr>
            <w:tcW w:w="3827" w:type="dxa"/>
            <w:tcBorders>
              <w:top w:val="single" w:sz="4" w:space="0" w:color="000000"/>
              <w:left w:val="single" w:sz="4" w:space="0" w:color="000000"/>
              <w:bottom w:val="single" w:sz="4" w:space="0" w:color="000000"/>
              <w:right w:val="single" w:sz="4" w:space="0" w:color="000000"/>
            </w:tcBorders>
          </w:tcPr>
          <w:p w14:paraId="2E012561" w14:textId="77777777" w:rsidR="00BA05C7" w:rsidRPr="00BA05C7" w:rsidRDefault="00BA05C7" w:rsidP="00BA05C7">
            <w:pPr>
              <w:pStyle w:val="Bodytext20"/>
              <w:tabs>
                <w:tab w:val="left" w:pos="1374"/>
              </w:tabs>
              <w:jc w:val="both"/>
              <w:rPr>
                <w:rFonts w:ascii="Times New Roman" w:hAnsi="Times New Roman" w:cs="Times New Roman"/>
                <w:sz w:val="24"/>
                <w:szCs w:val="24"/>
              </w:rPr>
            </w:pPr>
            <w:r w:rsidRPr="00BA05C7">
              <w:rPr>
                <w:rFonts w:ascii="Times New Roman" w:hAnsi="Times New Roman" w:cs="Times New Roman"/>
                <w:sz w:val="24"/>
                <w:szCs w:val="24"/>
              </w:rPr>
              <w:t>Noteikumu projekts paredz pedagogu minimālās algas likmes celšanu ar š.g. 1. septembri no 710 EUR/</w:t>
            </w:r>
            <w:proofErr w:type="spellStart"/>
            <w:r w:rsidRPr="00BA05C7">
              <w:rPr>
                <w:rFonts w:ascii="Times New Roman" w:hAnsi="Times New Roman" w:cs="Times New Roman"/>
                <w:sz w:val="24"/>
                <w:szCs w:val="24"/>
              </w:rPr>
              <w:t>mēn</w:t>
            </w:r>
            <w:proofErr w:type="spellEnd"/>
            <w:r w:rsidRPr="00BA05C7">
              <w:rPr>
                <w:rFonts w:ascii="Times New Roman" w:hAnsi="Times New Roman" w:cs="Times New Roman"/>
                <w:sz w:val="24"/>
                <w:szCs w:val="24"/>
              </w:rPr>
              <w:t>. uz 750 EUR/</w:t>
            </w:r>
            <w:proofErr w:type="spellStart"/>
            <w:r w:rsidRPr="00BA05C7">
              <w:rPr>
                <w:rFonts w:ascii="Times New Roman" w:hAnsi="Times New Roman" w:cs="Times New Roman"/>
                <w:sz w:val="24"/>
                <w:szCs w:val="24"/>
              </w:rPr>
              <w:t>mēn</w:t>
            </w:r>
            <w:proofErr w:type="spellEnd"/>
            <w:r w:rsidRPr="00BA05C7">
              <w:rPr>
                <w:rFonts w:ascii="Times New Roman" w:hAnsi="Times New Roman" w:cs="Times New Roman"/>
                <w:sz w:val="24"/>
                <w:szCs w:val="24"/>
              </w:rPr>
              <w:t>. (5,6% pieaugums). Latvijas Lielo pilsētu asociācija, apzinoties jautājuma būtiskumu, konceptuāli bija atbalstījusi nepieciešamību paaugstināt pedagogu atalgojumu. Vienlaikus nav atbalstāms, ka Noteikumu projekta anotācijā nav norādes par pedagogu minimālās algas likmes celšanas ietekmi uz pašvaldību budžetiem, jo ikvienai pašvaldībai būs nepieciešami papildus finanšu līdzekļi, lai nodrošinātu minimālās algas likmes celšanu.</w:t>
            </w:r>
          </w:p>
        </w:tc>
        <w:tc>
          <w:tcPr>
            <w:tcW w:w="3261" w:type="dxa"/>
            <w:tcBorders>
              <w:top w:val="single" w:sz="4" w:space="0" w:color="000000"/>
              <w:left w:val="single" w:sz="4" w:space="0" w:color="000000"/>
              <w:bottom w:val="single" w:sz="4" w:space="0" w:color="000000"/>
              <w:right w:val="single" w:sz="4" w:space="0" w:color="000000"/>
            </w:tcBorders>
          </w:tcPr>
          <w:p w14:paraId="7D03C038" w14:textId="77777777" w:rsidR="00BA05C7" w:rsidRPr="00BA05C7" w:rsidRDefault="00BA05C7" w:rsidP="00136A1F">
            <w:pPr>
              <w:shd w:val="clear" w:color="auto" w:fill="FFFFFF"/>
              <w:jc w:val="both"/>
              <w:rPr>
                <w:b/>
              </w:rPr>
            </w:pPr>
            <w:r w:rsidRPr="00BA05C7">
              <w:rPr>
                <w:b/>
              </w:rPr>
              <w:t>Ņemts vērā, papildinot anotācijas trešo sadaļu. Informācija par ietekmi uz pašvaldību budžetu iekļauta III sadaļas 8. punktā</w:t>
            </w:r>
          </w:p>
        </w:tc>
        <w:tc>
          <w:tcPr>
            <w:tcW w:w="3241" w:type="dxa"/>
            <w:tcBorders>
              <w:top w:val="single" w:sz="4" w:space="0" w:color="000000"/>
              <w:left w:val="single" w:sz="4" w:space="0" w:color="000000"/>
              <w:bottom w:val="single" w:sz="4" w:space="0" w:color="000000"/>
              <w:right w:val="single" w:sz="4" w:space="0" w:color="000000"/>
            </w:tcBorders>
          </w:tcPr>
          <w:p w14:paraId="13F21736" w14:textId="77777777" w:rsidR="00BA05C7" w:rsidRPr="00BA05C7" w:rsidRDefault="00BA05C7" w:rsidP="00136A1F">
            <w:pPr>
              <w:jc w:val="both"/>
            </w:pPr>
            <w:r w:rsidRPr="00BA05C7">
              <w:t xml:space="preserve">Saskaņā ar Valsts izglītības informācijas sistēmā pieejamajām pedagogu tarifikācijām 2018./2019.mācību gadam, no pašvaldību budžetiem  pedagogiem, kuriem ir zemāka algas likme par 750 </w:t>
            </w:r>
            <w:proofErr w:type="spellStart"/>
            <w:r w:rsidRPr="00BA05C7">
              <w:t>euro</w:t>
            </w:r>
            <w:proofErr w:type="spellEnd"/>
            <w:r w:rsidRPr="00BA05C7">
              <w:t xml:space="preserve"> (neatkarīgi no iestādes tipa un amata) tarificētais finansējuma apjoms ir 58,2 milj. </w:t>
            </w:r>
            <w:proofErr w:type="spellStart"/>
            <w:r w:rsidRPr="00BA05C7">
              <w:t>euro</w:t>
            </w:r>
            <w:proofErr w:type="spellEnd"/>
            <w:r w:rsidRPr="00BA05C7">
              <w:t xml:space="preserve"> gadā. Ja zemākā algas likme palielinās par 5,633%, pašvaldībām izdevumi pieaugtu par 3,3 </w:t>
            </w:r>
            <w:proofErr w:type="spellStart"/>
            <w:r w:rsidRPr="00BA05C7">
              <w:t>milj</w:t>
            </w:r>
            <w:proofErr w:type="spellEnd"/>
            <w:r w:rsidRPr="00BA05C7">
              <w:t xml:space="preserve"> </w:t>
            </w:r>
            <w:proofErr w:type="spellStart"/>
            <w:r w:rsidRPr="00BA05C7">
              <w:t>euro</w:t>
            </w:r>
            <w:proofErr w:type="spellEnd"/>
            <w:r w:rsidRPr="00BA05C7">
              <w:t xml:space="preserve"> gadā.</w:t>
            </w:r>
          </w:p>
        </w:tc>
      </w:tr>
      <w:tr w:rsidR="00BA05C7" w:rsidRPr="0052064D" w14:paraId="3242E4BC" w14:textId="77777777" w:rsidTr="002A454A">
        <w:trPr>
          <w:trHeight w:val="300"/>
          <w:jc w:val="right"/>
        </w:trPr>
        <w:tc>
          <w:tcPr>
            <w:tcW w:w="572" w:type="dxa"/>
            <w:tcBorders>
              <w:top w:val="single" w:sz="4" w:space="0" w:color="000000"/>
              <w:left w:val="single" w:sz="4" w:space="0" w:color="000000"/>
              <w:bottom w:val="single" w:sz="4" w:space="0" w:color="000000"/>
              <w:right w:val="single" w:sz="4" w:space="0" w:color="000000"/>
            </w:tcBorders>
          </w:tcPr>
          <w:p w14:paraId="176FDA22" w14:textId="31EA1539" w:rsidR="00BA05C7" w:rsidRDefault="0049798D" w:rsidP="00FD7C76">
            <w:pPr>
              <w:shd w:val="clear" w:color="auto" w:fill="FFFFFF"/>
              <w:jc w:val="center"/>
              <w:rPr>
                <w:b/>
              </w:rPr>
            </w:pPr>
            <w:r>
              <w:rPr>
                <w:b/>
              </w:rPr>
              <w:t>1</w:t>
            </w:r>
            <w:r w:rsidR="00FD7C76">
              <w:rPr>
                <w:b/>
              </w:rPr>
              <w:t>6</w:t>
            </w:r>
            <w:r w:rsidR="00CB4FC8">
              <w:rPr>
                <w:b/>
              </w:rPr>
              <w:t>.</w:t>
            </w:r>
          </w:p>
        </w:tc>
        <w:tc>
          <w:tcPr>
            <w:tcW w:w="3534" w:type="dxa"/>
            <w:tcBorders>
              <w:top w:val="single" w:sz="4" w:space="0" w:color="000000"/>
              <w:left w:val="single" w:sz="4" w:space="0" w:color="000000"/>
              <w:bottom w:val="single" w:sz="4" w:space="0" w:color="000000"/>
              <w:right w:val="single" w:sz="4" w:space="0" w:color="000000"/>
            </w:tcBorders>
          </w:tcPr>
          <w:p w14:paraId="390FF822" w14:textId="77777777" w:rsidR="00BA05C7" w:rsidRPr="00410257" w:rsidRDefault="000503FA" w:rsidP="00136A1F">
            <w:pPr>
              <w:jc w:val="both"/>
            </w:pPr>
            <w:r>
              <w:t>2. Speciālo sko</w:t>
            </w:r>
            <w:r w:rsidRPr="000503FA">
              <w:t>lu direktoriem un speciālo skolu direktoru vietniekiem</w:t>
            </w:r>
          </w:p>
        </w:tc>
        <w:tc>
          <w:tcPr>
            <w:tcW w:w="3827" w:type="dxa"/>
            <w:tcBorders>
              <w:top w:val="single" w:sz="4" w:space="0" w:color="000000"/>
              <w:left w:val="single" w:sz="4" w:space="0" w:color="000000"/>
              <w:bottom w:val="single" w:sz="4" w:space="0" w:color="000000"/>
              <w:right w:val="single" w:sz="4" w:space="0" w:color="000000"/>
            </w:tcBorders>
          </w:tcPr>
          <w:p w14:paraId="34AF0984" w14:textId="77777777" w:rsidR="00BA05C7" w:rsidRPr="00BA05C7" w:rsidRDefault="000503FA" w:rsidP="00BA05C7">
            <w:pPr>
              <w:pStyle w:val="Bodytext20"/>
              <w:tabs>
                <w:tab w:val="left" w:pos="1374"/>
              </w:tabs>
              <w:jc w:val="both"/>
              <w:rPr>
                <w:rFonts w:ascii="Times New Roman" w:hAnsi="Times New Roman" w:cs="Times New Roman"/>
                <w:sz w:val="24"/>
                <w:szCs w:val="24"/>
              </w:rPr>
            </w:pPr>
            <w:r w:rsidRPr="000503FA">
              <w:rPr>
                <w:rFonts w:ascii="Times New Roman" w:hAnsi="Times New Roman" w:cs="Times New Roman"/>
                <w:sz w:val="24"/>
                <w:szCs w:val="24"/>
              </w:rPr>
              <w:t xml:space="preserve">Noteikumu projekts paredz piemaksu par darbu īpašos apstākļos “speciālo skolu direktoriem un speciālo direktoru vietniekiem”. Šie grozījumi nedod tiesības pašvaldībai noteikt piemaksu par darbu īpašos apstākļos speciālo pirmsskolas izglītības iestāžu vadītājiem un vietniekiem. Lūdzam skaidrot, vai periodā no 01.09.2019. – 31.08.2020. speciālo pirmsskolas izglītības iestāžu </w:t>
            </w:r>
            <w:r w:rsidRPr="000503FA">
              <w:rPr>
                <w:rFonts w:ascii="Times New Roman" w:hAnsi="Times New Roman" w:cs="Times New Roman"/>
                <w:sz w:val="24"/>
                <w:szCs w:val="24"/>
              </w:rPr>
              <w:lastRenderedPageBreak/>
              <w:t>vadītājiem un viņu vietniekiem tiek piemērota piemaksa par darbu īpašos apstākļos.</w:t>
            </w:r>
          </w:p>
        </w:tc>
        <w:tc>
          <w:tcPr>
            <w:tcW w:w="3261" w:type="dxa"/>
            <w:tcBorders>
              <w:top w:val="single" w:sz="4" w:space="0" w:color="000000"/>
              <w:left w:val="single" w:sz="4" w:space="0" w:color="000000"/>
              <w:bottom w:val="single" w:sz="4" w:space="0" w:color="000000"/>
              <w:right w:val="single" w:sz="4" w:space="0" w:color="000000"/>
            </w:tcBorders>
          </w:tcPr>
          <w:p w14:paraId="3A0CECA3" w14:textId="77777777" w:rsidR="00BA05C7" w:rsidRPr="00BA05C7" w:rsidRDefault="000503FA" w:rsidP="00136A1F">
            <w:pPr>
              <w:shd w:val="clear" w:color="auto" w:fill="FFFFFF"/>
              <w:jc w:val="both"/>
              <w:rPr>
                <w:b/>
              </w:rPr>
            </w:pPr>
            <w:r w:rsidRPr="000503FA">
              <w:rPr>
                <w:b/>
              </w:rPr>
              <w:lastRenderedPageBreak/>
              <w:t>Ņemts vērā,</w:t>
            </w:r>
            <w:r>
              <w:rPr>
                <w:b/>
              </w:rPr>
              <w:t xml:space="preserve"> precizējot projekta </w:t>
            </w:r>
            <w:r w:rsidRPr="000503FA">
              <w:rPr>
                <w:b/>
              </w:rPr>
              <w:t>1.7.</w:t>
            </w:r>
            <w:r>
              <w:rPr>
                <w:b/>
              </w:rPr>
              <w:t xml:space="preserve"> apakšpunktu</w:t>
            </w:r>
          </w:p>
        </w:tc>
        <w:tc>
          <w:tcPr>
            <w:tcW w:w="3241" w:type="dxa"/>
            <w:tcBorders>
              <w:top w:val="single" w:sz="4" w:space="0" w:color="000000"/>
              <w:left w:val="single" w:sz="4" w:space="0" w:color="000000"/>
              <w:bottom w:val="single" w:sz="4" w:space="0" w:color="000000"/>
              <w:right w:val="single" w:sz="4" w:space="0" w:color="000000"/>
            </w:tcBorders>
          </w:tcPr>
          <w:p w14:paraId="777FD92A" w14:textId="77777777" w:rsidR="00BA05C7" w:rsidRDefault="000503FA" w:rsidP="00136A1F">
            <w:pPr>
              <w:jc w:val="both"/>
            </w:pPr>
            <w:r>
              <w:t xml:space="preserve">2. </w:t>
            </w:r>
            <w:r w:rsidRPr="000503FA">
              <w:t>Speciālo izglītības iestāžu vadītājiem un speciālo izglītības iestāžu vadītāju vietniekiem</w:t>
            </w:r>
          </w:p>
          <w:p w14:paraId="1CDF0155" w14:textId="77777777" w:rsidR="00A6789F" w:rsidRPr="00BA05C7" w:rsidRDefault="00A6789F" w:rsidP="00136A1F">
            <w:pPr>
              <w:jc w:val="both"/>
            </w:pPr>
          </w:p>
        </w:tc>
      </w:tr>
    </w:tbl>
    <w:p w14:paraId="4B4DC561" w14:textId="77777777" w:rsidR="009638EA" w:rsidRDefault="009638EA" w:rsidP="000A605C">
      <w:pPr>
        <w:rPr>
          <w:b/>
        </w:rPr>
      </w:pPr>
    </w:p>
    <w:p w14:paraId="384984FE" w14:textId="77777777" w:rsidR="00A6789F" w:rsidRDefault="00A6789F" w:rsidP="000A605C">
      <w:pPr>
        <w:rPr>
          <w:b/>
        </w:rPr>
      </w:pPr>
    </w:p>
    <w:p w14:paraId="5522EF77" w14:textId="77777777" w:rsidR="00A6789F" w:rsidRPr="009638EA" w:rsidRDefault="00A6789F" w:rsidP="000A605C">
      <w:pPr>
        <w:rPr>
          <w:b/>
        </w:rPr>
      </w:pPr>
    </w:p>
    <w:p w14:paraId="019A0637" w14:textId="77777777" w:rsidR="005607AE" w:rsidRDefault="005607AE"/>
    <w:p w14:paraId="0CED15A5" w14:textId="77777777" w:rsidR="00D43340" w:rsidRPr="00D43340" w:rsidRDefault="00D43340" w:rsidP="00D43340">
      <w:pPr>
        <w:shd w:val="clear" w:color="auto" w:fill="FFFFFF"/>
        <w:tabs>
          <w:tab w:val="left" w:pos="240"/>
          <w:tab w:val="left" w:pos="720"/>
        </w:tabs>
      </w:pPr>
      <w:r w:rsidRPr="00D43340">
        <w:t>Atbildīgā amatpersona</w:t>
      </w:r>
      <w:r w:rsidRPr="00D43340">
        <w:tab/>
        <w:t>_________________________________________________________________</w:t>
      </w:r>
    </w:p>
    <w:p w14:paraId="7E640E1D" w14:textId="77777777" w:rsidR="00D43340" w:rsidRPr="00D43340" w:rsidRDefault="00D43340" w:rsidP="00D43340">
      <w:pPr>
        <w:shd w:val="clear" w:color="auto" w:fill="FFFFFF"/>
        <w:tabs>
          <w:tab w:val="left" w:pos="240"/>
          <w:tab w:val="left" w:pos="720"/>
        </w:tabs>
      </w:pPr>
      <w:r w:rsidRPr="00D43340">
        <w:tab/>
      </w:r>
    </w:p>
    <w:p w14:paraId="5F7E7C8F" w14:textId="77777777" w:rsidR="00D43340" w:rsidRPr="00D43340" w:rsidRDefault="00D43340" w:rsidP="00D43340">
      <w:pPr>
        <w:shd w:val="clear" w:color="auto" w:fill="FFFFFF"/>
        <w:tabs>
          <w:tab w:val="left" w:pos="240"/>
          <w:tab w:val="left" w:pos="720"/>
        </w:tabs>
      </w:pPr>
      <w:r w:rsidRPr="00D43340">
        <w:tab/>
      </w:r>
      <w:r w:rsidRPr="00D43340">
        <w:tab/>
      </w:r>
      <w:r w:rsidRPr="00D43340">
        <w:tab/>
      </w:r>
      <w:r w:rsidRPr="00D43340">
        <w:tab/>
      </w:r>
      <w:r w:rsidRPr="00D43340">
        <w:tab/>
      </w:r>
      <w:r w:rsidRPr="00D43340">
        <w:tab/>
      </w:r>
      <w:r w:rsidRPr="00D43340">
        <w:tab/>
      </w:r>
      <w:r w:rsidRPr="00D43340">
        <w:tab/>
      </w:r>
      <w:r w:rsidRPr="00D43340">
        <w:tab/>
      </w:r>
      <w:r w:rsidRPr="00D43340">
        <w:tab/>
        <w:t>(paraksts)</w:t>
      </w:r>
    </w:p>
    <w:p w14:paraId="127D7283" w14:textId="77777777" w:rsidR="009B3135" w:rsidRDefault="009B3135"/>
    <w:p w14:paraId="719EC907" w14:textId="77777777" w:rsidR="009B3135" w:rsidRDefault="009B3135"/>
    <w:p w14:paraId="73930FA5" w14:textId="413A6543" w:rsidR="009B3135" w:rsidRPr="009B3135" w:rsidRDefault="00217065" w:rsidP="00A046AC">
      <w:pPr>
        <w:tabs>
          <w:tab w:val="left" w:pos="4155"/>
        </w:tabs>
        <w:rPr>
          <w:rFonts w:eastAsiaTheme="minorHAnsi"/>
          <w:sz w:val="20"/>
          <w:szCs w:val="20"/>
          <w:lang w:eastAsia="en-US"/>
        </w:rPr>
      </w:pPr>
      <w:r>
        <w:rPr>
          <w:rFonts w:eastAsiaTheme="minorHAnsi"/>
          <w:sz w:val="20"/>
          <w:szCs w:val="20"/>
          <w:lang w:eastAsia="en-US"/>
        </w:rPr>
        <w:t>1</w:t>
      </w:r>
      <w:r w:rsidR="0050541D">
        <w:rPr>
          <w:rFonts w:eastAsiaTheme="minorHAnsi"/>
          <w:sz w:val="20"/>
          <w:szCs w:val="20"/>
          <w:lang w:eastAsia="en-US"/>
        </w:rPr>
        <w:t>7</w:t>
      </w:r>
      <w:bookmarkStart w:id="0" w:name="_GoBack"/>
      <w:bookmarkEnd w:id="0"/>
      <w:r>
        <w:rPr>
          <w:rFonts w:eastAsiaTheme="minorHAnsi"/>
          <w:sz w:val="20"/>
          <w:szCs w:val="20"/>
          <w:lang w:eastAsia="en-US"/>
        </w:rPr>
        <w:t>.06.2019</w:t>
      </w:r>
      <w:r w:rsidR="00A046AC">
        <w:rPr>
          <w:rFonts w:eastAsiaTheme="minorHAnsi"/>
          <w:sz w:val="20"/>
          <w:szCs w:val="20"/>
          <w:lang w:eastAsia="en-US"/>
        </w:rPr>
        <w:tab/>
      </w:r>
    </w:p>
    <w:p w14:paraId="6BCC21C1" w14:textId="77777777" w:rsidR="009B3135" w:rsidRPr="009B3135" w:rsidRDefault="009B3135" w:rsidP="009B3135">
      <w:pPr>
        <w:rPr>
          <w:rFonts w:eastAsiaTheme="minorHAnsi"/>
          <w:sz w:val="20"/>
          <w:szCs w:val="20"/>
          <w:lang w:eastAsia="en-US"/>
        </w:rPr>
      </w:pPr>
      <w:proofErr w:type="spellStart"/>
      <w:r w:rsidRPr="009B3135">
        <w:rPr>
          <w:rFonts w:eastAsiaTheme="minorHAnsi"/>
          <w:sz w:val="20"/>
          <w:szCs w:val="20"/>
          <w:lang w:eastAsia="en-US"/>
        </w:rPr>
        <w:t>M.Jansone</w:t>
      </w:r>
      <w:proofErr w:type="spellEnd"/>
      <w:r w:rsidRPr="009B3135">
        <w:rPr>
          <w:rFonts w:eastAsiaTheme="minorHAnsi"/>
          <w:sz w:val="20"/>
          <w:szCs w:val="20"/>
          <w:lang w:eastAsia="en-US"/>
        </w:rPr>
        <w:t xml:space="preserve">, </w:t>
      </w:r>
    </w:p>
    <w:p w14:paraId="1137C9D9" w14:textId="77777777" w:rsidR="009B3135" w:rsidRPr="009B3135" w:rsidRDefault="009B3135" w:rsidP="009B3135">
      <w:pPr>
        <w:rPr>
          <w:rFonts w:asciiTheme="minorHAnsi" w:eastAsiaTheme="minorHAnsi" w:hAnsiTheme="minorHAnsi" w:cstheme="minorBidi"/>
          <w:color w:val="0000FF"/>
          <w:sz w:val="22"/>
          <w:szCs w:val="22"/>
          <w:u w:val="single"/>
          <w:lang w:eastAsia="en-US"/>
        </w:rPr>
      </w:pPr>
      <w:r w:rsidRPr="009B3135">
        <w:rPr>
          <w:rFonts w:eastAsiaTheme="minorHAnsi"/>
          <w:sz w:val="20"/>
          <w:szCs w:val="20"/>
          <w:lang w:eastAsia="en-US"/>
        </w:rPr>
        <w:t xml:space="preserve">67047973, </w:t>
      </w:r>
      <w:hyperlink r:id="rId7" w:history="1">
        <w:r w:rsidRPr="009B3135">
          <w:rPr>
            <w:rFonts w:eastAsiaTheme="minorHAnsi"/>
            <w:color w:val="0000FF"/>
            <w:sz w:val="20"/>
            <w:szCs w:val="20"/>
            <w:u w:val="single"/>
            <w:lang w:eastAsia="en-US"/>
          </w:rPr>
          <w:t>modra.jansone@izm.gov.lv</w:t>
        </w:r>
      </w:hyperlink>
    </w:p>
    <w:p w14:paraId="2447507E" w14:textId="77777777" w:rsidR="009B3135" w:rsidRPr="00D43340" w:rsidRDefault="00D43340" w:rsidP="00D43340">
      <w:pPr>
        <w:tabs>
          <w:tab w:val="left" w:pos="5595"/>
        </w:tabs>
      </w:pPr>
      <w:r>
        <w:tab/>
      </w:r>
    </w:p>
    <w:sectPr w:rsidR="009B3135" w:rsidRPr="00D43340" w:rsidSect="00B349FB">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86702" w14:textId="77777777" w:rsidR="000223E1" w:rsidRDefault="000223E1" w:rsidP="00B67BFB">
      <w:r>
        <w:separator/>
      </w:r>
    </w:p>
  </w:endnote>
  <w:endnote w:type="continuationSeparator" w:id="0">
    <w:p w14:paraId="44C396C3" w14:textId="77777777" w:rsidR="000223E1" w:rsidRDefault="000223E1"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8F1B" w14:textId="126F3D27" w:rsidR="00B67BFB" w:rsidRPr="008A47F5" w:rsidRDefault="00B67BFB" w:rsidP="008A47F5">
    <w:pPr>
      <w:pStyle w:val="tv20787921"/>
      <w:spacing w:after="0" w:line="240" w:lineRule="auto"/>
      <w:jc w:val="both"/>
      <w:rPr>
        <w:rFonts w:ascii="Times New Roman" w:hAnsi="Times New Roman"/>
        <w:b w:val="0"/>
        <w:bCs w:val="0"/>
        <w:sz w:val="24"/>
        <w:szCs w:val="24"/>
      </w:rPr>
    </w:pPr>
    <w:r w:rsidRPr="00FD75C9">
      <w:rPr>
        <w:rFonts w:ascii="Times New Roman" w:hAnsi="Times New Roman"/>
        <w:b w:val="0"/>
        <w:sz w:val="24"/>
        <w:szCs w:val="24"/>
      </w:rPr>
      <w:t>IZMIzz_</w:t>
    </w:r>
    <w:r w:rsidR="003A316E">
      <w:rPr>
        <w:rFonts w:ascii="Times New Roman" w:hAnsi="Times New Roman"/>
        <w:b w:val="0"/>
        <w:sz w:val="24"/>
        <w:szCs w:val="24"/>
      </w:rPr>
      <w:t>1</w:t>
    </w:r>
    <w:r w:rsidR="00FD7C76">
      <w:rPr>
        <w:rFonts w:ascii="Times New Roman" w:hAnsi="Times New Roman"/>
        <w:b w:val="0"/>
        <w:sz w:val="24"/>
        <w:szCs w:val="24"/>
      </w:rPr>
      <w:t>7</w:t>
    </w:r>
    <w:r w:rsidR="003A316E">
      <w:rPr>
        <w:rFonts w:ascii="Times New Roman" w:hAnsi="Times New Roman"/>
        <w:b w:val="0"/>
        <w:sz w:val="24"/>
        <w:szCs w:val="24"/>
      </w:rPr>
      <w:t>0619</w:t>
    </w:r>
    <w:r w:rsidRPr="00FD75C9">
      <w:rPr>
        <w:rFonts w:ascii="Times New Roman" w:hAnsi="Times New Roman"/>
        <w:b w:val="0"/>
        <w:sz w:val="24"/>
        <w:szCs w:val="24"/>
      </w:rPr>
      <w:t xml:space="preserve">_ </w:t>
    </w:r>
    <w:r w:rsidR="00FD75C9">
      <w:rPr>
        <w:rFonts w:ascii="Times New Roman" w:hAnsi="Times New Roman"/>
        <w:b w:val="0"/>
        <w:sz w:val="24"/>
        <w:szCs w:val="24"/>
      </w:rPr>
      <w:t>G</w:t>
    </w:r>
    <w:r w:rsidR="00FD75C9" w:rsidRPr="00B86D91">
      <w:rPr>
        <w:rFonts w:ascii="Times New Roman" w:hAnsi="Times New Roman"/>
        <w:b w:val="0"/>
        <w:sz w:val="24"/>
        <w:szCs w:val="24"/>
      </w:rPr>
      <w:t>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887FF" w14:textId="77777777" w:rsidR="000223E1" w:rsidRDefault="000223E1" w:rsidP="00B67BFB">
      <w:r>
        <w:separator/>
      </w:r>
    </w:p>
  </w:footnote>
  <w:footnote w:type="continuationSeparator" w:id="0">
    <w:p w14:paraId="281C3070" w14:textId="77777777" w:rsidR="000223E1" w:rsidRDefault="000223E1" w:rsidP="00B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71321"/>
      <w:docPartObj>
        <w:docPartGallery w:val="Page Numbers (Top of Page)"/>
        <w:docPartUnique/>
      </w:docPartObj>
    </w:sdtPr>
    <w:sdtEndPr>
      <w:rPr>
        <w:noProof/>
      </w:rPr>
    </w:sdtEndPr>
    <w:sdtContent>
      <w:p w14:paraId="3C76F151" w14:textId="77777777" w:rsidR="003D2797" w:rsidRDefault="003D2797">
        <w:pPr>
          <w:pStyle w:val="Header"/>
          <w:jc w:val="center"/>
        </w:pPr>
        <w:r>
          <w:fldChar w:fldCharType="begin"/>
        </w:r>
        <w:r>
          <w:instrText xml:space="preserve"> PAGE   \* MERGEFORMAT </w:instrText>
        </w:r>
        <w:r>
          <w:fldChar w:fldCharType="separate"/>
        </w:r>
        <w:r w:rsidR="0050541D">
          <w:rPr>
            <w:noProof/>
          </w:rPr>
          <w:t>21</w:t>
        </w:r>
        <w:r>
          <w:rPr>
            <w:noProof/>
          </w:rPr>
          <w:fldChar w:fldCharType="end"/>
        </w:r>
      </w:p>
    </w:sdtContent>
  </w:sdt>
  <w:p w14:paraId="3A148851" w14:textId="77777777" w:rsidR="003D2797" w:rsidRDefault="003D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6" w15:restartNumberingAfterBreak="0">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B"/>
    <w:rsid w:val="00007104"/>
    <w:rsid w:val="000223E1"/>
    <w:rsid w:val="00023E8F"/>
    <w:rsid w:val="00035730"/>
    <w:rsid w:val="00036E42"/>
    <w:rsid w:val="000503FA"/>
    <w:rsid w:val="000566FF"/>
    <w:rsid w:val="00061890"/>
    <w:rsid w:val="00063692"/>
    <w:rsid w:val="000641E6"/>
    <w:rsid w:val="00065B16"/>
    <w:rsid w:val="00081AAC"/>
    <w:rsid w:val="00085DB5"/>
    <w:rsid w:val="000A605C"/>
    <w:rsid w:val="000C1045"/>
    <w:rsid w:val="000C23D4"/>
    <w:rsid w:val="000D0CC0"/>
    <w:rsid w:val="000D174E"/>
    <w:rsid w:val="000D7BCC"/>
    <w:rsid w:val="000E2A6B"/>
    <w:rsid w:val="000E412E"/>
    <w:rsid w:val="000E7420"/>
    <w:rsid w:val="000F1B84"/>
    <w:rsid w:val="001263C5"/>
    <w:rsid w:val="00134453"/>
    <w:rsid w:val="00136A1F"/>
    <w:rsid w:val="00140396"/>
    <w:rsid w:val="00140710"/>
    <w:rsid w:val="0014267A"/>
    <w:rsid w:val="00193287"/>
    <w:rsid w:val="001B56AB"/>
    <w:rsid w:val="001C1466"/>
    <w:rsid w:val="001C439A"/>
    <w:rsid w:val="001E04B0"/>
    <w:rsid w:val="001E5681"/>
    <w:rsid w:val="001E6B04"/>
    <w:rsid w:val="001F7F42"/>
    <w:rsid w:val="00206A80"/>
    <w:rsid w:val="002102DC"/>
    <w:rsid w:val="00210349"/>
    <w:rsid w:val="00217065"/>
    <w:rsid w:val="00223E9F"/>
    <w:rsid w:val="002240AC"/>
    <w:rsid w:val="00241133"/>
    <w:rsid w:val="00263236"/>
    <w:rsid w:val="002909BE"/>
    <w:rsid w:val="002A454A"/>
    <w:rsid w:val="002A5C42"/>
    <w:rsid w:val="002D5FE6"/>
    <w:rsid w:val="002E714B"/>
    <w:rsid w:val="002F22DE"/>
    <w:rsid w:val="00303C73"/>
    <w:rsid w:val="003055E0"/>
    <w:rsid w:val="00315F1C"/>
    <w:rsid w:val="003162EA"/>
    <w:rsid w:val="00332BB7"/>
    <w:rsid w:val="003358F2"/>
    <w:rsid w:val="00344BEF"/>
    <w:rsid w:val="00361BA6"/>
    <w:rsid w:val="00371121"/>
    <w:rsid w:val="0038163C"/>
    <w:rsid w:val="00394EDA"/>
    <w:rsid w:val="003A316E"/>
    <w:rsid w:val="003D2797"/>
    <w:rsid w:val="003D4EA3"/>
    <w:rsid w:val="003E71FE"/>
    <w:rsid w:val="003F4681"/>
    <w:rsid w:val="00400C23"/>
    <w:rsid w:val="00410257"/>
    <w:rsid w:val="00435904"/>
    <w:rsid w:val="00441FF4"/>
    <w:rsid w:val="0044591F"/>
    <w:rsid w:val="0045448D"/>
    <w:rsid w:val="004667FF"/>
    <w:rsid w:val="0049798D"/>
    <w:rsid w:val="00497BA3"/>
    <w:rsid w:val="004A3DE9"/>
    <w:rsid w:val="004A3F20"/>
    <w:rsid w:val="004B160E"/>
    <w:rsid w:val="004B632D"/>
    <w:rsid w:val="00500840"/>
    <w:rsid w:val="0050541D"/>
    <w:rsid w:val="00511A03"/>
    <w:rsid w:val="00514AC9"/>
    <w:rsid w:val="005607AE"/>
    <w:rsid w:val="005631B6"/>
    <w:rsid w:val="0057052D"/>
    <w:rsid w:val="00593425"/>
    <w:rsid w:val="005A6E3A"/>
    <w:rsid w:val="005B5415"/>
    <w:rsid w:val="005B7F02"/>
    <w:rsid w:val="005C7C30"/>
    <w:rsid w:val="005E297A"/>
    <w:rsid w:val="005E2DF7"/>
    <w:rsid w:val="00616151"/>
    <w:rsid w:val="0061659C"/>
    <w:rsid w:val="00637D54"/>
    <w:rsid w:val="00641F44"/>
    <w:rsid w:val="00646C73"/>
    <w:rsid w:val="006561AD"/>
    <w:rsid w:val="00670292"/>
    <w:rsid w:val="00680995"/>
    <w:rsid w:val="00683281"/>
    <w:rsid w:val="00684CBF"/>
    <w:rsid w:val="006933A9"/>
    <w:rsid w:val="00697DED"/>
    <w:rsid w:val="006A5981"/>
    <w:rsid w:val="006B3852"/>
    <w:rsid w:val="006D1860"/>
    <w:rsid w:val="006D6776"/>
    <w:rsid w:val="006E1CAC"/>
    <w:rsid w:val="006E62BE"/>
    <w:rsid w:val="006E6656"/>
    <w:rsid w:val="006E6FE0"/>
    <w:rsid w:val="006E7927"/>
    <w:rsid w:val="006F6289"/>
    <w:rsid w:val="00700393"/>
    <w:rsid w:val="007410A2"/>
    <w:rsid w:val="00762AB3"/>
    <w:rsid w:val="00777918"/>
    <w:rsid w:val="007A61BC"/>
    <w:rsid w:val="007A6F9C"/>
    <w:rsid w:val="007B1230"/>
    <w:rsid w:val="007B77B6"/>
    <w:rsid w:val="007D075E"/>
    <w:rsid w:val="007D30A3"/>
    <w:rsid w:val="007E6BA6"/>
    <w:rsid w:val="00810098"/>
    <w:rsid w:val="00814882"/>
    <w:rsid w:val="00824EF9"/>
    <w:rsid w:val="0083073F"/>
    <w:rsid w:val="008337C2"/>
    <w:rsid w:val="00836B5C"/>
    <w:rsid w:val="008508DE"/>
    <w:rsid w:val="00886C3C"/>
    <w:rsid w:val="00891721"/>
    <w:rsid w:val="008A47F5"/>
    <w:rsid w:val="008C3ECD"/>
    <w:rsid w:val="008D1463"/>
    <w:rsid w:val="008D4746"/>
    <w:rsid w:val="008E0B5C"/>
    <w:rsid w:val="008F26F1"/>
    <w:rsid w:val="009175D2"/>
    <w:rsid w:val="00937495"/>
    <w:rsid w:val="00950152"/>
    <w:rsid w:val="009553D7"/>
    <w:rsid w:val="00956F1E"/>
    <w:rsid w:val="00962735"/>
    <w:rsid w:val="009638EA"/>
    <w:rsid w:val="0097272B"/>
    <w:rsid w:val="00974951"/>
    <w:rsid w:val="00984853"/>
    <w:rsid w:val="00991ABE"/>
    <w:rsid w:val="009958E3"/>
    <w:rsid w:val="009A3BC6"/>
    <w:rsid w:val="009A5B28"/>
    <w:rsid w:val="009B3135"/>
    <w:rsid w:val="009B3725"/>
    <w:rsid w:val="009C1CF6"/>
    <w:rsid w:val="009E7FF4"/>
    <w:rsid w:val="009F5AFE"/>
    <w:rsid w:val="00A046AC"/>
    <w:rsid w:val="00A063FC"/>
    <w:rsid w:val="00A41C8B"/>
    <w:rsid w:val="00A6789F"/>
    <w:rsid w:val="00A865EA"/>
    <w:rsid w:val="00A9470B"/>
    <w:rsid w:val="00A9474E"/>
    <w:rsid w:val="00A96C83"/>
    <w:rsid w:val="00AB12A0"/>
    <w:rsid w:val="00AB7271"/>
    <w:rsid w:val="00AE42BA"/>
    <w:rsid w:val="00AF2B3B"/>
    <w:rsid w:val="00AF6C5F"/>
    <w:rsid w:val="00B16C9B"/>
    <w:rsid w:val="00B242CE"/>
    <w:rsid w:val="00B349FB"/>
    <w:rsid w:val="00B41C3B"/>
    <w:rsid w:val="00B42ED7"/>
    <w:rsid w:val="00B65F5B"/>
    <w:rsid w:val="00B67BFB"/>
    <w:rsid w:val="00B70F09"/>
    <w:rsid w:val="00B711D0"/>
    <w:rsid w:val="00BA05C7"/>
    <w:rsid w:val="00BA504F"/>
    <w:rsid w:val="00BB2E5D"/>
    <w:rsid w:val="00BC65C7"/>
    <w:rsid w:val="00BD5F83"/>
    <w:rsid w:val="00BD789B"/>
    <w:rsid w:val="00BF4E10"/>
    <w:rsid w:val="00C052AE"/>
    <w:rsid w:val="00C13A8F"/>
    <w:rsid w:val="00C5785E"/>
    <w:rsid w:val="00C63EAC"/>
    <w:rsid w:val="00C65740"/>
    <w:rsid w:val="00C67246"/>
    <w:rsid w:val="00C67EFE"/>
    <w:rsid w:val="00C76A0C"/>
    <w:rsid w:val="00C7796A"/>
    <w:rsid w:val="00C82457"/>
    <w:rsid w:val="00CA7592"/>
    <w:rsid w:val="00CB38D9"/>
    <w:rsid w:val="00CB4FC8"/>
    <w:rsid w:val="00CD554C"/>
    <w:rsid w:val="00CE7C6F"/>
    <w:rsid w:val="00CF5945"/>
    <w:rsid w:val="00CF624B"/>
    <w:rsid w:val="00D3511A"/>
    <w:rsid w:val="00D3555E"/>
    <w:rsid w:val="00D43340"/>
    <w:rsid w:val="00D46589"/>
    <w:rsid w:val="00D56974"/>
    <w:rsid w:val="00D57116"/>
    <w:rsid w:val="00D73B70"/>
    <w:rsid w:val="00D75C3C"/>
    <w:rsid w:val="00D7667F"/>
    <w:rsid w:val="00DA622D"/>
    <w:rsid w:val="00DC30BD"/>
    <w:rsid w:val="00DC66D2"/>
    <w:rsid w:val="00DC76C6"/>
    <w:rsid w:val="00DD128B"/>
    <w:rsid w:val="00DD4381"/>
    <w:rsid w:val="00DE237C"/>
    <w:rsid w:val="00DE5A4C"/>
    <w:rsid w:val="00DF65EB"/>
    <w:rsid w:val="00E05877"/>
    <w:rsid w:val="00E0621C"/>
    <w:rsid w:val="00E123D8"/>
    <w:rsid w:val="00E16AC0"/>
    <w:rsid w:val="00E303A9"/>
    <w:rsid w:val="00E43B52"/>
    <w:rsid w:val="00E52DC2"/>
    <w:rsid w:val="00E64BFC"/>
    <w:rsid w:val="00E826D7"/>
    <w:rsid w:val="00E97C6E"/>
    <w:rsid w:val="00EB20F5"/>
    <w:rsid w:val="00EB3F04"/>
    <w:rsid w:val="00EC1EB6"/>
    <w:rsid w:val="00ED0498"/>
    <w:rsid w:val="00ED065F"/>
    <w:rsid w:val="00ED07A4"/>
    <w:rsid w:val="00ED674B"/>
    <w:rsid w:val="00EE1A57"/>
    <w:rsid w:val="00EE254E"/>
    <w:rsid w:val="00F10EFA"/>
    <w:rsid w:val="00F146DA"/>
    <w:rsid w:val="00F360C0"/>
    <w:rsid w:val="00F40429"/>
    <w:rsid w:val="00F419E2"/>
    <w:rsid w:val="00F502EF"/>
    <w:rsid w:val="00F515DF"/>
    <w:rsid w:val="00F65AFF"/>
    <w:rsid w:val="00F74600"/>
    <w:rsid w:val="00F776E6"/>
    <w:rsid w:val="00F9293C"/>
    <w:rsid w:val="00F97840"/>
    <w:rsid w:val="00FB245F"/>
    <w:rsid w:val="00FC0071"/>
    <w:rsid w:val="00FD15E8"/>
    <w:rsid w:val="00FD3EA2"/>
    <w:rsid w:val="00FD4237"/>
    <w:rsid w:val="00FD75C9"/>
    <w:rsid w:val="00FD7C76"/>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C273"/>
  <w15:chartTrackingRefBased/>
  <w15:docId w15:val="{6C923A5F-DBB0-435E-9CFA-1394E58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49FB"/>
    <w:pPr>
      <w:spacing w:before="75" w:after="75"/>
      <w:ind w:firstLine="375"/>
      <w:jc w:val="both"/>
    </w:pPr>
  </w:style>
  <w:style w:type="paragraph" w:customStyle="1" w:styleId="naisc">
    <w:name w:val="naisc"/>
    <w:basedOn w:val="Normal"/>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Footer">
    <w:name w:val="footer"/>
    <w:basedOn w:val="Normal"/>
    <w:link w:val="FooterChar"/>
    <w:uiPriority w:val="99"/>
    <w:unhideWhenUsed/>
    <w:rsid w:val="009638EA"/>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9638EA"/>
    <w:rPr>
      <w:rFonts w:ascii="Times New Roman" w:eastAsia="Calibri" w:hAnsi="Times New Roman" w:cs="Times New Roman"/>
      <w:sz w:val="24"/>
    </w:rPr>
  </w:style>
  <w:style w:type="paragraph" w:styleId="ListParagraph">
    <w:name w:val="List Paragraph"/>
    <w:basedOn w:val="Normal"/>
    <w:uiPriority w:val="34"/>
    <w:qFormat/>
    <w:rsid w:val="00514AC9"/>
    <w:pPr>
      <w:widowControl w:val="0"/>
      <w:adjustRightInd w:val="0"/>
      <w:spacing w:line="360" w:lineRule="atLeast"/>
      <w:ind w:left="720"/>
      <w:contextualSpacing/>
      <w:jc w:val="both"/>
      <w:textAlignment w:val="baseline"/>
    </w:pPr>
  </w:style>
  <w:style w:type="paragraph" w:styleId="Header">
    <w:name w:val="header"/>
    <w:basedOn w:val="Normal"/>
    <w:link w:val="HeaderChar"/>
    <w:uiPriority w:val="99"/>
    <w:unhideWhenUsed/>
    <w:rsid w:val="00B67BFB"/>
    <w:pPr>
      <w:tabs>
        <w:tab w:val="center" w:pos="4153"/>
        <w:tab w:val="right" w:pos="8306"/>
      </w:tabs>
    </w:pPr>
  </w:style>
  <w:style w:type="character" w:customStyle="1" w:styleId="HeaderChar">
    <w:name w:val="Header Char"/>
    <w:basedOn w:val="DefaultParagraphFont"/>
    <w:link w:val="Header"/>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Normal"/>
    <w:rsid w:val="00FD75C9"/>
    <w:pPr>
      <w:spacing w:after="567" w:line="360" w:lineRule="auto"/>
      <w:jc w:val="center"/>
    </w:pPr>
    <w:rPr>
      <w:rFonts w:ascii="Verdana" w:hAnsi="Verdana"/>
      <w:b/>
      <w:bCs/>
      <w:sz w:val="28"/>
      <w:szCs w:val="28"/>
    </w:rPr>
  </w:style>
  <w:style w:type="paragraph" w:customStyle="1" w:styleId="tv2132">
    <w:name w:val="tv2132"/>
    <w:basedOn w:val="Normal"/>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Normal"/>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TableGrid">
    <w:name w:val="Table Grid"/>
    <w:basedOn w:val="TableNormal"/>
    <w:rsid w:val="00F978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9F5AFE"/>
    <w:rPr>
      <w:rFonts w:ascii="Calibri" w:eastAsia="Calibri" w:hAnsi="Calibri" w:cs="Times New Roman"/>
      <w:sz w:val="20"/>
      <w:szCs w:val="20"/>
      <w:lang w:val="en-US"/>
    </w:rPr>
  </w:style>
  <w:style w:type="character" w:styleId="FootnoteReference">
    <w:name w:val="footnote reference"/>
    <w:uiPriority w:val="99"/>
    <w:semiHidden/>
    <w:unhideWhenUsed/>
    <w:rsid w:val="009F5AFE"/>
    <w:rPr>
      <w:vertAlign w:val="superscript"/>
    </w:rPr>
  </w:style>
  <w:style w:type="character" w:styleId="Emphasis">
    <w:name w:val="Emphasis"/>
    <w:basedOn w:val="DefaultParagraphFont"/>
    <w:uiPriority w:val="20"/>
    <w:qFormat/>
    <w:rsid w:val="003162EA"/>
    <w:rPr>
      <w:i/>
      <w:iCs/>
    </w:rPr>
  </w:style>
  <w:style w:type="character" w:styleId="CommentReference">
    <w:name w:val="annotation reference"/>
    <w:basedOn w:val="DefaultParagraphFont"/>
    <w:uiPriority w:val="99"/>
    <w:semiHidden/>
    <w:unhideWhenUsed/>
    <w:rsid w:val="005C7C30"/>
    <w:rPr>
      <w:sz w:val="16"/>
      <w:szCs w:val="16"/>
    </w:rPr>
  </w:style>
  <w:style w:type="paragraph" w:styleId="CommentText">
    <w:name w:val="annotation text"/>
    <w:basedOn w:val="Normal"/>
    <w:link w:val="CommentTextChar"/>
    <w:uiPriority w:val="99"/>
    <w:semiHidden/>
    <w:unhideWhenUsed/>
    <w:rsid w:val="005C7C30"/>
    <w:rPr>
      <w:sz w:val="20"/>
      <w:szCs w:val="20"/>
    </w:rPr>
  </w:style>
  <w:style w:type="character" w:customStyle="1" w:styleId="CommentTextChar">
    <w:name w:val="Comment Text Char"/>
    <w:basedOn w:val="DefaultParagraphFont"/>
    <w:link w:val="CommentText"/>
    <w:uiPriority w:val="99"/>
    <w:semiHidden/>
    <w:rsid w:val="005C7C3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C7C30"/>
    <w:rPr>
      <w:b/>
      <w:bCs/>
    </w:rPr>
  </w:style>
  <w:style w:type="character" w:customStyle="1" w:styleId="CommentSubjectChar">
    <w:name w:val="Comment Subject Char"/>
    <w:basedOn w:val="CommentTextChar"/>
    <w:link w:val="CommentSubject"/>
    <w:uiPriority w:val="99"/>
    <w:semiHidden/>
    <w:rsid w:val="005C7C3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C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30"/>
    <w:rPr>
      <w:rFonts w:ascii="Segoe UI" w:eastAsia="Times New Roman" w:hAnsi="Segoe UI" w:cs="Segoe UI"/>
      <w:sz w:val="18"/>
      <w:szCs w:val="18"/>
      <w:lang w:eastAsia="lv-LV"/>
    </w:rPr>
  </w:style>
  <w:style w:type="paragraph" w:styleId="Revision">
    <w:name w:val="Revision"/>
    <w:hidden/>
    <w:uiPriority w:val="99"/>
    <w:semiHidden/>
    <w:rsid w:val="00303C7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398088801">
      <w:bodyDiv w:val="1"/>
      <w:marLeft w:val="0"/>
      <w:marRight w:val="0"/>
      <w:marTop w:val="0"/>
      <w:marBottom w:val="0"/>
      <w:divBdr>
        <w:top w:val="none" w:sz="0" w:space="0" w:color="auto"/>
        <w:left w:val="none" w:sz="0" w:space="0" w:color="auto"/>
        <w:bottom w:val="none" w:sz="0" w:space="0" w:color="auto"/>
        <w:right w:val="none" w:sz="0" w:space="0" w:color="auto"/>
      </w:divBdr>
    </w:div>
    <w:div w:id="144287097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dra.jansoen@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23</Pages>
  <Words>18911</Words>
  <Characters>10780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9</cp:revision>
  <cp:lastPrinted>2019-06-10T07:01:00Z</cp:lastPrinted>
  <dcterms:created xsi:type="dcterms:W3CDTF">2019-06-17T07:33:00Z</dcterms:created>
  <dcterms:modified xsi:type="dcterms:W3CDTF">2019-06-18T06:17:00Z</dcterms:modified>
</cp:coreProperties>
</file>