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9DEC5" w14:textId="647B0797" w:rsidR="000127E1" w:rsidRPr="0074575C" w:rsidRDefault="000127E1" w:rsidP="00354707">
      <w:pPr>
        <w:shd w:val="clear" w:color="auto" w:fill="FFFFFF" w:themeFill="background1"/>
        <w:spacing w:before="100" w:beforeAutospacing="1" w:after="100" w:afterAutospacing="1" w:line="240" w:lineRule="auto"/>
        <w:jc w:val="center"/>
        <w:rPr>
          <w:rFonts w:ascii="Times New Roman" w:hAnsi="Times New Roman" w:cs="Times New Roman"/>
          <w:b/>
          <w:sz w:val="24"/>
          <w:szCs w:val="24"/>
        </w:rPr>
      </w:pPr>
      <w:r w:rsidRPr="0074575C">
        <w:rPr>
          <w:rFonts w:ascii="Times New Roman" w:hAnsi="Times New Roman" w:cs="Times New Roman"/>
          <w:b/>
          <w:sz w:val="24"/>
          <w:szCs w:val="24"/>
        </w:rPr>
        <w:t>Ministru kabineta</w:t>
      </w:r>
      <w:r w:rsidRPr="0074575C">
        <w:rPr>
          <w:rFonts w:ascii="Times New Roman" w:hAnsi="Times New Roman" w:cs="Times New Roman"/>
          <w:b/>
          <w:sz w:val="28"/>
          <w:szCs w:val="28"/>
        </w:rPr>
        <w:t xml:space="preserve"> </w:t>
      </w:r>
      <w:r w:rsidRPr="0074575C">
        <w:rPr>
          <w:rFonts w:ascii="Times New Roman" w:hAnsi="Times New Roman" w:cs="Times New Roman"/>
          <w:b/>
          <w:sz w:val="24"/>
          <w:szCs w:val="24"/>
        </w:rPr>
        <w:t xml:space="preserve">noteikumu </w:t>
      </w:r>
      <w:r w:rsidR="005764F6" w:rsidRPr="0074575C">
        <w:rPr>
          <w:rFonts w:ascii="Times New Roman" w:hAnsi="Times New Roman" w:cs="Times New Roman"/>
          <w:b/>
          <w:sz w:val="24"/>
          <w:szCs w:val="24"/>
        </w:rPr>
        <w:t>“</w:t>
      </w:r>
      <w:r w:rsidR="008709FF" w:rsidRPr="0074575C">
        <w:rPr>
          <w:rFonts w:ascii="Times New Roman" w:hAnsi="Times New Roman" w:cs="Times New Roman"/>
          <w:b/>
          <w:bCs/>
          <w:sz w:val="24"/>
          <w:szCs w:val="24"/>
        </w:rPr>
        <w:t>Grozījumi Ministru kabineta 2009.</w:t>
      </w:r>
      <w:r w:rsidR="008709FF" w:rsidRPr="0074575C">
        <w:rPr>
          <w:rFonts w:ascii="Times New Roman" w:hAnsi="Times New Roman" w:cs="Times New Roman"/>
          <w:b/>
          <w:sz w:val="24"/>
          <w:szCs w:val="24"/>
          <w:lang w:eastAsia="lv-LV"/>
        </w:rPr>
        <w:t> </w:t>
      </w:r>
      <w:r w:rsidR="008709FF" w:rsidRPr="0074575C">
        <w:rPr>
          <w:rFonts w:ascii="Times New Roman" w:hAnsi="Times New Roman" w:cs="Times New Roman"/>
          <w:b/>
          <w:bCs/>
          <w:sz w:val="24"/>
          <w:szCs w:val="24"/>
        </w:rPr>
        <w:t>gada 7.</w:t>
      </w:r>
      <w:r w:rsidR="008709FF" w:rsidRPr="0074575C">
        <w:rPr>
          <w:rFonts w:ascii="Times New Roman" w:hAnsi="Times New Roman" w:cs="Times New Roman"/>
          <w:b/>
          <w:sz w:val="24"/>
          <w:szCs w:val="24"/>
          <w:lang w:eastAsia="lv-LV"/>
        </w:rPr>
        <w:t> </w:t>
      </w:r>
      <w:r w:rsidR="0018314A">
        <w:rPr>
          <w:rFonts w:ascii="Times New Roman" w:hAnsi="Times New Roman" w:cs="Times New Roman"/>
          <w:b/>
          <w:bCs/>
          <w:sz w:val="24"/>
          <w:szCs w:val="24"/>
        </w:rPr>
        <w:t>jūlija noteikumos Nr.733 “</w:t>
      </w:r>
      <w:r w:rsidR="008709FF" w:rsidRPr="0074575C">
        <w:rPr>
          <w:rFonts w:ascii="Times New Roman" w:hAnsi="Times New Roman" w:cs="Times New Roman"/>
          <w:b/>
          <w:bCs/>
          <w:sz w:val="24"/>
          <w:szCs w:val="24"/>
        </w:rPr>
        <w:t xml:space="preserve">Noteikumi par valsts valodas zināšanu apjomu un valsts valodas prasmes pārbaudes kārtību profesionālo un amata pienākumu veikšanai, pastāvīgās uzturēšanās atļaujas saņemšanai un </w:t>
      </w:r>
      <w:r w:rsidR="0018314A" w:rsidRPr="0018314A">
        <w:rPr>
          <w:rFonts w:ascii="Times New Roman" w:hAnsi="Times New Roman" w:cs="Times New Roman"/>
          <w:b/>
          <w:bCs/>
          <w:sz w:val="24"/>
          <w:szCs w:val="24"/>
        </w:rPr>
        <w:t xml:space="preserve">Eiropas Savienības </w:t>
      </w:r>
      <w:r w:rsidR="008709FF" w:rsidRPr="0018314A">
        <w:rPr>
          <w:rFonts w:ascii="Times New Roman" w:hAnsi="Times New Roman" w:cs="Times New Roman"/>
          <w:b/>
          <w:bCs/>
          <w:sz w:val="24"/>
          <w:szCs w:val="24"/>
        </w:rPr>
        <w:t>pastāvīgā</w:t>
      </w:r>
      <w:r w:rsidR="008709FF" w:rsidRPr="0074575C">
        <w:rPr>
          <w:rFonts w:ascii="Times New Roman" w:hAnsi="Times New Roman" w:cs="Times New Roman"/>
          <w:b/>
          <w:bCs/>
          <w:sz w:val="24"/>
          <w:szCs w:val="24"/>
        </w:rPr>
        <w:t xml:space="preserve"> iedzīvotāja statusa iegūšanai un valsts nodevu par valsts valodas prasmes pārbaudi”</w:t>
      </w:r>
      <w:r w:rsidR="005764F6" w:rsidRPr="0074575C">
        <w:rPr>
          <w:rFonts w:ascii="Times New Roman" w:hAnsi="Times New Roman" w:cs="Times New Roman"/>
          <w:b/>
          <w:sz w:val="24"/>
          <w:szCs w:val="24"/>
        </w:rPr>
        <w:t>”</w:t>
      </w:r>
      <w:r w:rsidRPr="0074575C">
        <w:rPr>
          <w:rFonts w:ascii="Times New Roman" w:hAnsi="Times New Roman" w:cs="Times New Roman"/>
          <w:b/>
          <w:color w:val="000000"/>
          <w:sz w:val="24"/>
          <w:szCs w:val="24"/>
        </w:rPr>
        <w:t xml:space="preserve"> </w:t>
      </w:r>
      <w:r w:rsidR="00B31596" w:rsidRPr="0074575C">
        <w:rPr>
          <w:rFonts w:ascii="Times New Roman" w:hAnsi="Times New Roman" w:cs="Times New Roman"/>
          <w:b/>
          <w:sz w:val="24"/>
          <w:szCs w:val="24"/>
        </w:rPr>
        <w:t xml:space="preserve">projekta </w:t>
      </w:r>
      <w:r w:rsidRPr="0074575C">
        <w:rPr>
          <w:rFonts w:ascii="Times New Roman" w:hAnsi="Times New Roman" w:cs="Times New Roman"/>
          <w:b/>
          <w:sz w:val="24"/>
          <w:szCs w:val="24"/>
        </w:rPr>
        <w:t>sākotnējās ietekmes novērtējuma ziņojums (anotācija)</w:t>
      </w:r>
    </w:p>
    <w:p w14:paraId="737430B6" w14:textId="07142716" w:rsidR="00F87952" w:rsidRPr="00F06410"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9"/>
        <w:gridCol w:w="6076"/>
      </w:tblGrid>
      <w:tr w:rsidR="00710139" w:rsidRPr="00710139" w14:paraId="12945E0B" w14:textId="77777777" w:rsidTr="002514E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74D110F" w14:textId="77777777" w:rsidR="002514EC" w:rsidRPr="00710139" w:rsidRDefault="002514E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Tiesību akta projekta anotācijas kopsavilkums</w:t>
            </w:r>
          </w:p>
        </w:tc>
      </w:tr>
      <w:tr w:rsidR="00710139" w:rsidRPr="00710139" w14:paraId="0679BB54" w14:textId="77777777" w:rsidTr="002514EC">
        <w:tc>
          <w:tcPr>
            <w:tcW w:w="1645" w:type="pct"/>
            <w:tcBorders>
              <w:top w:val="outset" w:sz="6" w:space="0" w:color="414142"/>
              <w:left w:val="outset" w:sz="6" w:space="0" w:color="414142"/>
              <w:bottom w:val="outset" w:sz="6" w:space="0" w:color="414142"/>
              <w:right w:val="outset" w:sz="6" w:space="0" w:color="414142"/>
            </w:tcBorders>
            <w:hideMark/>
          </w:tcPr>
          <w:p w14:paraId="60E88D8F" w14:textId="77777777" w:rsidR="002514EC" w:rsidRPr="00710139" w:rsidRDefault="002514EC">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Mērķis, risinājums un projekta spēkā stāšanās laiks (500 zīmes bez atstarpēm)</w:t>
            </w:r>
          </w:p>
        </w:tc>
        <w:tc>
          <w:tcPr>
            <w:tcW w:w="3355" w:type="pct"/>
            <w:tcBorders>
              <w:top w:val="outset" w:sz="6" w:space="0" w:color="414142"/>
              <w:left w:val="outset" w:sz="6" w:space="0" w:color="414142"/>
              <w:bottom w:val="outset" w:sz="6" w:space="0" w:color="414142"/>
              <w:right w:val="outset" w:sz="6" w:space="0" w:color="414142"/>
            </w:tcBorders>
            <w:hideMark/>
          </w:tcPr>
          <w:p w14:paraId="548B7E51" w14:textId="2333CD54" w:rsidR="00324F44" w:rsidRPr="00710139" w:rsidRDefault="00857945" w:rsidP="00E30488">
            <w:pPr>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 xml:space="preserve">Noteikumu </w:t>
            </w:r>
            <w:r w:rsidR="002514EC" w:rsidRPr="00710139">
              <w:rPr>
                <w:rFonts w:ascii="Times New Roman" w:hAnsi="Times New Roman" w:cs="Times New Roman"/>
                <w:sz w:val="24"/>
                <w:szCs w:val="24"/>
              </w:rPr>
              <w:t>projekts (turpmāk – projekts) sagatavots, i</w:t>
            </w:r>
            <w:r w:rsidR="00AC26A2" w:rsidRPr="00710139">
              <w:rPr>
                <w:rFonts w:ascii="Times New Roman" w:hAnsi="Times New Roman" w:cs="Times New Roman"/>
                <w:sz w:val="24"/>
                <w:szCs w:val="24"/>
              </w:rPr>
              <w:t xml:space="preserve">zpildot </w:t>
            </w:r>
            <w:r w:rsidR="00AC26A2" w:rsidRPr="00710139">
              <w:rPr>
                <w:rFonts w:ascii="Times New Roman" w:eastAsia="Times New Roman" w:hAnsi="Times New Roman" w:cs="Times New Roman"/>
                <w:sz w:val="24"/>
                <w:szCs w:val="24"/>
              </w:rPr>
              <w:t>Ministru kabineta 2017.</w:t>
            </w:r>
            <w:r w:rsidR="00AC26A2" w:rsidRPr="00710139">
              <w:rPr>
                <w:rFonts w:ascii="Times New Roman" w:hAnsi="Times New Roman" w:cs="Times New Roman"/>
                <w:sz w:val="24"/>
                <w:szCs w:val="24"/>
              </w:rPr>
              <w:t> </w:t>
            </w:r>
            <w:r w:rsidR="00AC26A2" w:rsidRPr="00710139">
              <w:rPr>
                <w:rFonts w:ascii="Times New Roman" w:eastAsia="Times New Roman" w:hAnsi="Times New Roman" w:cs="Times New Roman"/>
                <w:sz w:val="24"/>
                <w:szCs w:val="24"/>
              </w:rPr>
              <w:t>gada 23.</w:t>
            </w:r>
            <w:r w:rsidR="00AC26A2" w:rsidRPr="00710139">
              <w:rPr>
                <w:rFonts w:ascii="Times New Roman" w:hAnsi="Times New Roman" w:cs="Times New Roman"/>
                <w:sz w:val="24"/>
                <w:szCs w:val="24"/>
              </w:rPr>
              <w:t> </w:t>
            </w:r>
            <w:r w:rsidR="00AC26A2" w:rsidRPr="00710139">
              <w:rPr>
                <w:rFonts w:ascii="Times New Roman" w:eastAsia="Times New Roman" w:hAnsi="Times New Roman" w:cs="Times New Roman"/>
                <w:sz w:val="24"/>
                <w:szCs w:val="24"/>
              </w:rPr>
              <w:t xml:space="preserve">maija sēdes protokollēmuma </w:t>
            </w:r>
            <w:r w:rsidR="00AC26A2" w:rsidRPr="00E832FC">
              <w:rPr>
                <w:rFonts w:ascii="Times New Roman" w:eastAsia="Times New Roman" w:hAnsi="Times New Roman" w:cs="Times New Roman"/>
                <w:sz w:val="24"/>
                <w:szCs w:val="24"/>
              </w:rPr>
              <w:t>“</w:t>
            </w:r>
            <w:r w:rsidR="00AC26A2" w:rsidRPr="00E832FC">
              <w:rPr>
                <w:rFonts w:ascii="Times New Roman" w:hAnsi="Times New Roman" w:cs="Times New Roman"/>
                <w:sz w:val="24"/>
                <w:szCs w:val="24"/>
                <w:shd w:val="clear" w:color="auto" w:fill="FFFFFF"/>
              </w:rPr>
              <w:t>Noteikumu projekts “Noteikumi par Profesiju klasifikatoru, profesijai atbilstošiem pamatuzdevumiem un kvalifikācijas pamatprasībām”””</w:t>
            </w:r>
            <w:r w:rsidR="00AC26A2" w:rsidRPr="00E832FC">
              <w:rPr>
                <w:rFonts w:ascii="Times New Roman" w:eastAsia="Times New Roman" w:hAnsi="Times New Roman" w:cs="Times New Roman"/>
                <w:sz w:val="24"/>
                <w:szCs w:val="24"/>
              </w:rPr>
              <w:t xml:space="preserve"> (prot.</w:t>
            </w:r>
            <w:r w:rsidR="00AC26A2" w:rsidRPr="00E832FC">
              <w:rPr>
                <w:rFonts w:ascii="Times New Roman" w:hAnsi="Times New Roman" w:cs="Times New Roman"/>
                <w:sz w:val="24"/>
                <w:szCs w:val="24"/>
              </w:rPr>
              <w:t> </w:t>
            </w:r>
            <w:r w:rsidR="00AC26A2" w:rsidRPr="00E832FC">
              <w:rPr>
                <w:rFonts w:ascii="Times New Roman" w:eastAsia="Times New Roman" w:hAnsi="Times New Roman" w:cs="Times New Roman"/>
                <w:sz w:val="24"/>
                <w:szCs w:val="24"/>
              </w:rPr>
              <w:t>Nr.</w:t>
            </w:r>
            <w:r w:rsidR="00AC26A2" w:rsidRPr="00E832FC">
              <w:rPr>
                <w:rFonts w:ascii="Times New Roman" w:hAnsi="Times New Roman" w:cs="Times New Roman"/>
                <w:sz w:val="24"/>
                <w:szCs w:val="24"/>
              </w:rPr>
              <w:t> </w:t>
            </w:r>
            <w:r w:rsidR="00AC26A2" w:rsidRPr="00E832FC">
              <w:rPr>
                <w:rFonts w:ascii="Times New Roman" w:eastAsia="Times New Roman" w:hAnsi="Times New Roman" w:cs="Times New Roman"/>
                <w:sz w:val="24"/>
                <w:szCs w:val="24"/>
              </w:rPr>
              <w:t>27 11.§) 2.2.</w:t>
            </w:r>
            <w:r w:rsidR="00AC26A2" w:rsidRPr="00E832FC">
              <w:rPr>
                <w:rFonts w:ascii="Times New Roman" w:hAnsi="Times New Roman" w:cs="Times New Roman"/>
                <w:sz w:val="24"/>
                <w:szCs w:val="24"/>
              </w:rPr>
              <w:t> </w:t>
            </w:r>
            <w:r w:rsidR="00AC26A2" w:rsidRPr="00E832FC">
              <w:rPr>
                <w:rFonts w:ascii="Times New Roman" w:eastAsia="Times New Roman" w:hAnsi="Times New Roman" w:cs="Times New Roman"/>
                <w:sz w:val="24"/>
                <w:szCs w:val="24"/>
              </w:rPr>
              <w:t>apakš</w:t>
            </w:r>
            <w:r w:rsidR="00E5550C" w:rsidRPr="00E832FC">
              <w:rPr>
                <w:rFonts w:ascii="Times New Roman" w:eastAsia="Times New Roman" w:hAnsi="Times New Roman" w:cs="Times New Roman"/>
                <w:sz w:val="24"/>
                <w:szCs w:val="24"/>
              </w:rPr>
              <w:t>punktā doto uzdevumu un Ministru kabineta 2018.</w:t>
            </w:r>
            <w:r w:rsidR="00E5550C" w:rsidRPr="00E832FC">
              <w:rPr>
                <w:rFonts w:ascii="Times New Roman" w:hAnsi="Times New Roman" w:cs="Times New Roman"/>
                <w:sz w:val="24"/>
                <w:szCs w:val="24"/>
              </w:rPr>
              <w:t> </w:t>
            </w:r>
            <w:r w:rsidR="00E5550C" w:rsidRPr="00E832FC">
              <w:rPr>
                <w:rFonts w:ascii="Times New Roman" w:eastAsia="Times New Roman" w:hAnsi="Times New Roman" w:cs="Times New Roman"/>
                <w:sz w:val="24"/>
                <w:szCs w:val="24"/>
              </w:rPr>
              <w:t>gada 6.</w:t>
            </w:r>
            <w:r w:rsidR="00E5550C" w:rsidRPr="00E832FC">
              <w:rPr>
                <w:rFonts w:ascii="Times New Roman" w:hAnsi="Times New Roman" w:cs="Times New Roman"/>
                <w:sz w:val="24"/>
                <w:szCs w:val="24"/>
              </w:rPr>
              <w:t> </w:t>
            </w:r>
            <w:r w:rsidR="00E5550C" w:rsidRPr="00E832FC">
              <w:rPr>
                <w:rFonts w:ascii="Times New Roman" w:eastAsia="Times New Roman" w:hAnsi="Times New Roman" w:cs="Times New Roman"/>
                <w:sz w:val="24"/>
                <w:szCs w:val="24"/>
              </w:rPr>
              <w:t>marta sēdes protokollēmumu “</w:t>
            </w:r>
            <w:r w:rsidR="00E5550C" w:rsidRPr="00E832FC">
              <w:rPr>
                <w:rFonts w:ascii="Times New Roman" w:hAnsi="Times New Roman" w:cs="Times New Roman"/>
                <w:sz w:val="24"/>
                <w:szCs w:val="24"/>
                <w:shd w:val="clear" w:color="auto" w:fill="FFFFFF"/>
              </w:rPr>
              <w:t>Par Ministru kabineta 2017.</w:t>
            </w:r>
            <w:r w:rsidR="00E5550C" w:rsidRPr="00E832FC">
              <w:rPr>
                <w:rFonts w:ascii="Times New Roman" w:hAnsi="Times New Roman" w:cs="Times New Roman"/>
                <w:sz w:val="24"/>
                <w:szCs w:val="24"/>
              </w:rPr>
              <w:t> </w:t>
            </w:r>
            <w:r w:rsidR="00E5550C" w:rsidRPr="00E832FC">
              <w:rPr>
                <w:rFonts w:ascii="Times New Roman" w:hAnsi="Times New Roman" w:cs="Times New Roman"/>
                <w:sz w:val="24"/>
                <w:szCs w:val="24"/>
                <w:shd w:val="clear" w:color="auto" w:fill="FFFFFF"/>
              </w:rPr>
              <w:t>gada 23.</w:t>
            </w:r>
            <w:r w:rsidR="00E5550C" w:rsidRPr="00E832FC">
              <w:rPr>
                <w:rFonts w:ascii="Times New Roman" w:hAnsi="Times New Roman" w:cs="Times New Roman"/>
                <w:sz w:val="24"/>
                <w:szCs w:val="24"/>
              </w:rPr>
              <w:t> </w:t>
            </w:r>
            <w:r w:rsidR="00E5550C" w:rsidRPr="00E832FC">
              <w:rPr>
                <w:rFonts w:ascii="Times New Roman" w:hAnsi="Times New Roman" w:cs="Times New Roman"/>
                <w:sz w:val="24"/>
                <w:szCs w:val="24"/>
                <w:shd w:val="clear" w:color="auto" w:fill="FFFFFF"/>
              </w:rPr>
              <w:t>maija sēdes protokollēmuma (prot. Nr.</w:t>
            </w:r>
            <w:r w:rsidR="00E5550C" w:rsidRPr="00E832FC">
              <w:rPr>
                <w:rFonts w:ascii="Times New Roman" w:hAnsi="Times New Roman" w:cs="Times New Roman"/>
                <w:sz w:val="24"/>
                <w:szCs w:val="24"/>
              </w:rPr>
              <w:t> </w:t>
            </w:r>
            <w:r w:rsidR="00E5550C" w:rsidRPr="00E832FC">
              <w:rPr>
                <w:rFonts w:ascii="Times New Roman" w:hAnsi="Times New Roman" w:cs="Times New Roman"/>
                <w:sz w:val="24"/>
                <w:szCs w:val="24"/>
                <w:shd w:val="clear" w:color="auto" w:fill="FFFFFF"/>
              </w:rPr>
              <w:t xml:space="preserve">27 11.§) "Noteikumu projekts "Noteikumi par Profesiju klasifikatoru, profesijai atbilstošiem pamatuzdevumiem un kvalifikācijas pamatprasībām"" </w:t>
            </w:r>
            <w:r w:rsidR="00DF6702" w:rsidRPr="00E832FC">
              <w:rPr>
                <w:rFonts w:ascii="Times New Roman" w:eastAsia="Times New Roman" w:hAnsi="Times New Roman" w:cs="Times New Roman"/>
                <w:sz w:val="24"/>
                <w:szCs w:val="24"/>
              </w:rPr>
              <w:t>(prot.</w:t>
            </w:r>
            <w:r w:rsidR="00DF6702" w:rsidRPr="00E832FC">
              <w:rPr>
                <w:rFonts w:ascii="Times New Roman" w:hAnsi="Times New Roman" w:cs="Times New Roman"/>
                <w:sz w:val="24"/>
                <w:szCs w:val="24"/>
              </w:rPr>
              <w:t> </w:t>
            </w:r>
            <w:r w:rsidR="00DF6702" w:rsidRPr="00E832FC">
              <w:rPr>
                <w:rFonts w:ascii="Times New Roman" w:eastAsia="Times New Roman" w:hAnsi="Times New Roman" w:cs="Times New Roman"/>
                <w:sz w:val="24"/>
                <w:szCs w:val="24"/>
              </w:rPr>
              <w:t>Nr.</w:t>
            </w:r>
            <w:r w:rsidR="00DF6702" w:rsidRPr="00E832FC">
              <w:rPr>
                <w:rFonts w:ascii="Times New Roman" w:hAnsi="Times New Roman" w:cs="Times New Roman"/>
                <w:sz w:val="24"/>
                <w:szCs w:val="24"/>
              </w:rPr>
              <w:t> </w:t>
            </w:r>
            <w:r w:rsidR="00DF6702" w:rsidRPr="00E832FC">
              <w:rPr>
                <w:rFonts w:ascii="Times New Roman" w:eastAsia="Times New Roman" w:hAnsi="Times New Roman" w:cs="Times New Roman"/>
                <w:sz w:val="24"/>
                <w:szCs w:val="24"/>
              </w:rPr>
              <w:t xml:space="preserve">14 11.§) </w:t>
            </w:r>
            <w:r w:rsidR="00E5550C" w:rsidRPr="00E832FC">
              <w:rPr>
                <w:rFonts w:ascii="Times New Roman" w:hAnsi="Times New Roman" w:cs="Times New Roman"/>
                <w:sz w:val="24"/>
                <w:szCs w:val="24"/>
                <w:shd w:val="clear" w:color="auto" w:fill="FFFFFF"/>
              </w:rPr>
              <w:t>2.2.</w:t>
            </w:r>
            <w:r w:rsidR="00E5550C" w:rsidRPr="00E832FC">
              <w:rPr>
                <w:rFonts w:ascii="Times New Roman" w:hAnsi="Times New Roman" w:cs="Times New Roman"/>
                <w:sz w:val="24"/>
                <w:szCs w:val="24"/>
              </w:rPr>
              <w:t> </w:t>
            </w:r>
            <w:r w:rsidR="00E5550C" w:rsidRPr="00E832FC">
              <w:rPr>
                <w:rFonts w:ascii="Times New Roman" w:hAnsi="Times New Roman" w:cs="Times New Roman"/>
                <w:sz w:val="24"/>
                <w:szCs w:val="24"/>
                <w:shd w:val="clear" w:color="auto" w:fill="FFFFFF"/>
              </w:rPr>
              <w:t>apakšpunktā dotā uzdevuma izpildi”</w:t>
            </w:r>
            <w:r w:rsidR="00DF6702" w:rsidRPr="00E832FC">
              <w:rPr>
                <w:rFonts w:ascii="Times New Roman" w:eastAsia="Times New Roman" w:hAnsi="Times New Roman" w:cs="Times New Roman"/>
                <w:sz w:val="24"/>
                <w:szCs w:val="24"/>
              </w:rPr>
              <w:t>, lai veiktu izmaiņas profesiju nosaukumos un kodos</w:t>
            </w:r>
            <w:r w:rsidR="00880BEE" w:rsidRPr="00E832FC">
              <w:rPr>
                <w:rFonts w:ascii="Times New Roman" w:eastAsia="Times New Roman" w:hAnsi="Times New Roman" w:cs="Times New Roman"/>
                <w:sz w:val="24"/>
                <w:szCs w:val="24"/>
              </w:rPr>
              <w:t xml:space="preserve"> atbilstoši </w:t>
            </w:r>
            <w:r w:rsidR="000B3AD6" w:rsidRPr="00E832FC">
              <w:rPr>
                <w:rFonts w:ascii="Times New Roman" w:eastAsia="Times New Roman" w:hAnsi="Times New Roman" w:cs="Times New Roman"/>
                <w:sz w:val="24"/>
                <w:szCs w:val="24"/>
              </w:rPr>
              <w:t xml:space="preserve">aktuālajiem </w:t>
            </w:r>
            <w:r w:rsidR="00324F44" w:rsidRPr="00E832FC">
              <w:rPr>
                <w:rFonts w:ascii="Times New Roman" w:eastAsia="Times New Roman" w:hAnsi="Times New Roman" w:cs="Times New Roman"/>
                <w:sz w:val="24"/>
                <w:szCs w:val="24"/>
              </w:rPr>
              <w:t>Profesiju klasifikatorā</w:t>
            </w:r>
            <w:r w:rsidR="000B3AD6" w:rsidRPr="00E832FC">
              <w:rPr>
                <w:rFonts w:ascii="Times New Roman" w:eastAsia="Times New Roman" w:hAnsi="Times New Roman" w:cs="Times New Roman"/>
                <w:sz w:val="24"/>
                <w:szCs w:val="24"/>
              </w:rPr>
              <w:t xml:space="preserve"> iekļauto profesiju</w:t>
            </w:r>
            <w:r w:rsidR="00324F44" w:rsidRPr="00E832FC">
              <w:rPr>
                <w:rFonts w:ascii="Times New Roman" w:eastAsia="Times New Roman" w:hAnsi="Times New Roman" w:cs="Times New Roman"/>
                <w:sz w:val="24"/>
                <w:szCs w:val="24"/>
              </w:rPr>
              <w:t xml:space="preserve"> </w:t>
            </w:r>
            <w:r w:rsidR="000B3AD6" w:rsidRPr="00E832FC">
              <w:rPr>
                <w:rFonts w:ascii="Times New Roman" w:eastAsia="Times New Roman" w:hAnsi="Times New Roman" w:cs="Times New Roman"/>
                <w:sz w:val="24"/>
                <w:szCs w:val="24"/>
              </w:rPr>
              <w:t>nosaukumiem un kodiem</w:t>
            </w:r>
            <w:r w:rsidR="00DF6702" w:rsidRPr="00E832FC">
              <w:rPr>
                <w:rFonts w:ascii="Times New Roman" w:eastAsia="Times New Roman" w:hAnsi="Times New Roman" w:cs="Times New Roman"/>
                <w:sz w:val="24"/>
                <w:szCs w:val="24"/>
              </w:rPr>
              <w:t>.</w:t>
            </w:r>
            <w:r w:rsidR="00DF6702" w:rsidRPr="00E832FC">
              <w:rPr>
                <w:rFonts w:ascii="Times New Roman" w:hAnsi="Times New Roman" w:cs="Times New Roman"/>
                <w:sz w:val="24"/>
                <w:szCs w:val="24"/>
              </w:rPr>
              <w:t xml:space="preserve"> </w:t>
            </w:r>
          </w:p>
        </w:tc>
      </w:tr>
    </w:tbl>
    <w:p w14:paraId="6BCD367B" w14:textId="77777777" w:rsidR="006D02ED" w:rsidRPr="00710139" w:rsidRDefault="006D02ED" w:rsidP="00F87952">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001"/>
        <w:gridCol w:w="6661"/>
      </w:tblGrid>
      <w:tr w:rsidR="00710139" w:rsidRPr="00710139" w14:paraId="2F808848" w14:textId="77777777" w:rsidTr="001055B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DADC7"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I. Tiesību akta projekta izstrādes nepieciešamība</w:t>
            </w:r>
          </w:p>
        </w:tc>
      </w:tr>
      <w:tr w:rsidR="00710139" w:rsidRPr="00710139" w14:paraId="1977E2D4" w14:textId="77777777" w:rsidTr="003120D8">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70F8F597"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1.</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71A5ADEF"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Pamatojums</w:t>
            </w:r>
          </w:p>
          <w:p w14:paraId="19F28DFB" w14:textId="77777777" w:rsidR="001C67A4" w:rsidRPr="00710139" w:rsidRDefault="001C67A4" w:rsidP="00F87952">
            <w:pPr>
              <w:spacing w:after="0" w:line="240" w:lineRule="auto"/>
              <w:rPr>
                <w:rFonts w:ascii="Times New Roman" w:eastAsia="Times New Roman" w:hAnsi="Times New Roman" w:cs="Times New Roman"/>
                <w:sz w:val="24"/>
                <w:szCs w:val="24"/>
                <w:lang w:eastAsia="lv-LV"/>
              </w:rPr>
            </w:pPr>
          </w:p>
        </w:tc>
        <w:tc>
          <w:tcPr>
            <w:tcW w:w="3618" w:type="pct"/>
            <w:tcBorders>
              <w:top w:val="outset" w:sz="6" w:space="0" w:color="414142"/>
              <w:left w:val="outset" w:sz="6" w:space="0" w:color="414142"/>
              <w:bottom w:val="outset" w:sz="6" w:space="0" w:color="414142"/>
              <w:right w:val="outset" w:sz="6" w:space="0" w:color="414142"/>
            </w:tcBorders>
            <w:shd w:val="clear" w:color="auto" w:fill="auto"/>
            <w:hideMark/>
          </w:tcPr>
          <w:p w14:paraId="6AA7BC76" w14:textId="6D9CF92F" w:rsidR="00F87952" w:rsidRPr="00710139" w:rsidRDefault="00444C7B" w:rsidP="006D3287">
            <w:pPr>
              <w:spacing w:after="0" w:line="240" w:lineRule="auto"/>
              <w:jc w:val="both"/>
              <w:rPr>
                <w:rFonts w:ascii="Times New Roman" w:eastAsia="Times New Roman" w:hAnsi="Times New Roman" w:cs="Times New Roman"/>
                <w:sz w:val="24"/>
                <w:szCs w:val="24"/>
              </w:rPr>
            </w:pPr>
            <w:r w:rsidRPr="00710139">
              <w:rPr>
                <w:rFonts w:ascii="Times New Roman" w:eastAsia="Times New Roman" w:hAnsi="Times New Roman" w:cs="Times New Roman"/>
                <w:sz w:val="24"/>
                <w:szCs w:val="24"/>
              </w:rPr>
              <w:t>Ministru kabineta 2017.</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gada 23.</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ma</w:t>
            </w:r>
            <w:r w:rsidR="003F4AC2" w:rsidRPr="00710139">
              <w:rPr>
                <w:rFonts w:ascii="Times New Roman" w:eastAsia="Times New Roman" w:hAnsi="Times New Roman" w:cs="Times New Roman"/>
                <w:sz w:val="24"/>
                <w:szCs w:val="24"/>
              </w:rPr>
              <w:t>ija sēdes protokollēmuma</w:t>
            </w:r>
            <w:r w:rsidR="002036B4" w:rsidRPr="00710139">
              <w:rPr>
                <w:rFonts w:ascii="Times New Roman" w:eastAsia="Times New Roman" w:hAnsi="Times New Roman" w:cs="Times New Roman"/>
                <w:sz w:val="24"/>
                <w:szCs w:val="24"/>
              </w:rPr>
              <w:t xml:space="preserve">  “</w:t>
            </w:r>
            <w:r w:rsidR="00FC49BC" w:rsidRPr="00710139">
              <w:rPr>
                <w:rFonts w:ascii="Times New Roman" w:hAnsi="Times New Roman" w:cs="Times New Roman"/>
                <w:sz w:val="24"/>
                <w:szCs w:val="24"/>
                <w:shd w:val="clear" w:color="auto" w:fill="FFFFFF"/>
              </w:rPr>
              <w:t>Noteikumu projekts “</w:t>
            </w:r>
            <w:r w:rsidR="002036B4" w:rsidRPr="00710139">
              <w:rPr>
                <w:rFonts w:ascii="Times New Roman" w:hAnsi="Times New Roman" w:cs="Times New Roman"/>
                <w:sz w:val="24"/>
                <w:szCs w:val="24"/>
                <w:shd w:val="clear" w:color="auto" w:fill="FFFFFF"/>
              </w:rPr>
              <w:t>Noteikumi par Profesiju klasifikatoru, profesijai atbilstošiem pamatuzdevumiem un kvalifikācijas pamatprasībām</w:t>
            </w:r>
            <w:r w:rsidR="00FC49BC" w:rsidRPr="00710139">
              <w:rPr>
                <w:rFonts w:ascii="Times New Roman" w:hAnsi="Times New Roman" w:cs="Times New Roman"/>
                <w:sz w:val="24"/>
                <w:szCs w:val="24"/>
                <w:shd w:val="clear" w:color="auto" w:fill="FFFFFF"/>
              </w:rPr>
              <w:t>”</w:t>
            </w:r>
            <w:r w:rsidR="002036B4" w:rsidRPr="00710139">
              <w:rPr>
                <w:rFonts w:ascii="Times New Roman" w:hAnsi="Times New Roman" w:cs="Times New Roman"/>
                <w:sz w:val="24"/>
                <w:szCs w:val="24"/>
                <w:shd w:val="clear" w:color="auto" w:fill="FFFFFF"/>
              </w:rPr>
              <w:t>””</w:t>
            </w:r>
            <w:r w:rsidR="003F4AC2" w:rsidRPr="00710139">
              <w:rPr>
                <w:rFonts w:ascii="Times New Roman" w:eastAsia="Times New Roman" w:hAnsi="Times New Roman" w:cs="Times New Roman"/>
                <w:sz w:val="24"/>
                <w:szCs w:val="24"/>
              </w:rPr>
              <w:t xml:space="preserve"> (prot.</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Nr.</w:t>
            </w:r>
            <w:r w:rsidR="003F4AC2" w:rsidRPr="00710139">
              <w:rPr>
                <w:rFonts w:ascii="Times New Roman" w:hAnsi="Times New Roman" w:cs="Times New Roman"/>
                <w:sz w:val="24"/>
                <w:szCs w:val="24"/>
              </w:rPr>
              <w:t> </w:t>
            </w:r>
            <w:r w:rsidR="003F4AC2" w:rsidRPr="00710139">
              <w:rPr>
                <w:rFonts w:ascii="Times New Roman" w:eastAsia="Times New Roman" w:hAnsi="Times New Roman" w:cs="Times New Roman"/>
                <w:sz w:val="24"/>
                <w:szCs w:val="24"/>
              </w:rPr>
              <w:t>27 11.§) 2.2.</w:t>
            </w:r>
            <w:r w:rsidR="003F4AC2" w:rsidRPr="00710139">
              <w:rPr>
                <w:rFonts w:ascii="Times New Roman" w:hAnsi="Times New Roman" w:cs="Times New Roman"/>
                <w:sz w:val="24"/>
                <w:szCs w:val="24"/>
              </w:rPr>
              <w:t> </w:t>
            </w:r>
            <w:r w:rsidR="00D92336" w:rsidRPr="00710139">
              <w:rPr>
                <w:rFonts w:ascii="Times New Roman" w:eastAsia="Times New Roman" w:hAnsi="Times New Roman" w:cs="Times New Roman"/>
                <w:sz w:val="24"/>
                <w:szCs w:val="24"/>
              </w:rPr>
              <w:t>apakš</w:t>
            </w:r>
            <w:r w:rsidRPr="00710139">
              <w:rPr>
                <w:rFonts w:ascii="Times New Roman" w:eastAsia="Times New Roman" w:hAnsi="Times New Roman" w:cs="Times New Roman"/>
                <w:sz w:val="24"/>
                <w:szCs w:val="24"/>
              </w:rPr>
              <w:t xml:space="preserve">punktā dotais uzdevums </w:t>
            </w:r>
            <w:r w:rsidR="0096550C" w:rsidRPr="00710139">
              <w:rPr>
                <w:rFonts w:ascii="Times New Roman" w:eastAsia="Times New Roman" w:hAnsi="Times New Roman" w:cs="Times New Roman"/>
                <w:sz w:val="24"/>
                <w:szCs w:val="24"/>
              </w:rPr>
              <w:t xml:space="preserve">nosaka </w:t>
            </w:r>
            <w:r w:rsidR="00AC26A2" w:rsidRPr="00710139">
              <w:rPr>
                <w:rFonts w:ascii="Times New Roman" w:eastAsia="Times New Roman" w:hAnsi="Times New Roman" w:cs="Times New Roman"/>
                <w:sz w:val="24"/>
                <w:szCs w:val="24"/>
              </w:rPr>
              <w:t xml:space="preserve">Izglītības un zinātnes </w:t>
            </w:r>
            <w:r w:rsidRPr="00710139">
              <w:rPr>
                <w:rFonts w:ascii="Times New Roman" w:eastAsia="Times New Roman" w:hAnsi="Times New Roman" w:cs="Times New Roman"/>
                <w:sz w:val="24"/>
                <w:szCs w:val="24"/>
              </w:rPr>
              <w:t>ministrijai sagatavot un izglītības un zinātnes ministram līdz 2017.</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gada 31.</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decembrim iesniegt noteiktā kārtībā Ministru kabinetā Ministru kabineta noteikumu projektu “Grozījumi Ministru kabineta 2009.</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gada 7.</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jūlija noteikumos Nr.</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A1446E" w:rsidRPr="00710139">
              <w:rPr>
                <w:rFonts w:ascii="Times New Roman" w:eastAsia="Times New Roman" w:hAnsi="Times New Roman" w:cs="Times New Roman"/>
                <w:sz w:val="24"/>
                <w:szCs w:val="24"/>
              </w:rPr>
              <w:t xml:space="preserve"> (</w:t>
            </w:r>
            <w:r w:rsidR="001055B6" w:rsidRPr="00710139">
              <w:rPr>
                <w:rFonts w:ascii="Times New Roman" w:eastAsia="Times New Roman" w:hAnsi="Times New Roman" w:cs="Times New Roman"/>
                <w:sz w:val="24"/>
                <w:szCs w:val="24"/>
              </w:rPr>
              <w:t xml:space="preserve">turpmāk – </w:t>
            </w:r>
            <w:r w:rsidR="00A1446E" w:rsidRPr="00710139">
              <w:rPr>
                <w:rFonts w:ascii="Times New Roman" w:eastAsia="Times New Roman" w:hAnsi="Times New Roman" w:cs="Times New Roman"/>
                <w:sz w:val="24"/>
                <w:szCs w:val="24"/>
              </w:rPr>
              <w:t>projekts)</w:t>
            </w:r>
            <w:r w:rsidRPr="00710139">
              <w:rPr>
                <w:rFonts w:ascii="Times New Roman" w:eastAsia="Times New Roman" w:hAnsi="Times New Roman" w:cs="Times New Roman"/>
                <w:sz w:val="24"/>
                <w:szCs w:val="24"/>
              </w:rPr>
              <w:t>.</w:t>
            </w:r>
            <w:r w:rsidR="001C67A4" w:rsidRPr="00710139">
              <w:rPr>
                <w:rFonts w:ascii="Times New Roman" w:eastAsia="Times New Roman" w:hAnsi="Times New Roman" w:cs="Times New Roman"/>
                <w:sz w:val="24"/>
                <w:szCs w:val="24"/>
              </w:rPr>
              <w:t xml:space="preserve"> </w:t>
            </w:r>
          </w:p>
          <w:p w14:paraId="093D8DDC" w14:textId="4AE1AC8B" w:rsidR="001C67A4" w:rsidRPr="00710139" w:rsidRDefault="001C67A4" w:rsidP="006D3287">
            <w:pPr>
              <w:spacing w:after="0" w:line="240" w:lineRule="auto"/>
              <w:jc w:val="both"/>
              <w:rPr>
                <w:rFonts w:ascii="Times New Roman" w:eastAsia="Times New Roman" w:hAnsi="Times New Roman" w:cs="Times New Roman"/>
                <w:sz w:val="24"/>
                <w:szCs w:val="24"/>
              </w:rPr>
            </w:pPr>
            <w:r w:rsidRPr="00710139">
              <w:rPr>
                <w:rFonts w:ascii="Times New Roman" w:eastAsia="Times New Roman" w:hAnsi="Times New Roman" w:cs="Times New Roman"/>
                <w:sz w:val="24"/>
                <w:szCs w:val="24"/>
              </w:rPr>
              <w:t>Uzdevums pagarināts ar Ministru kabineta 2018.</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g</w:t>
            </w:r>
            <w:r w:rsidR="00556521" w:rsidRPr="00710139">
              <w:rPr>
                <w:rFonts w:ascii="Times New Roman" w:eastAsia="Times New Roman" w:hAnsi="Times New Roman" w:cs="Times New Roman"/>
                <w:sz w:val="24"/>
                <w:szCs w:val="24"/>
              </w:rPr>
              <w:t>ada 6.</w:t>
            </w:r>
            <w:r w:rsidR="003F4AC2" w:rsidRPr="00710139">
              <w:rPr>
                <w:rFonts w:ascii="Times New Roman" w:hAnsi="Times New Roman" w:cs="Times New Roman"/>
                <w:sz w:val="24"/>
                <w:szCs w:val="24"/>
              </w:rPr>
              <w:t> </w:t>
            </w:r>
            <w:r w:rsidR="00556521" w:rsidRPr="00710139">
              <w:rPr>
                <w:rFonts w:ascii="Times New Roman" w:eastAsia="Times New Roman" w:hAnsi="Times New Roman" w:cs="Times New Roman"/>
                <w:sz w:val="24"/>
                <w:szCs w:val="24"/>
              </w:rPr>
              <w:t>marta sēdes protokollēmumu</w:t>
            </w:r>
            <w:r w:rsidR="00C42BDB" w:rsidRPr="00710139">
              <w:rPr>
                <w:rFonts w:ascii="Times New Roman" w:eastAsia="Times New Roman" w:hAnsi="Times New Roman" w:cs="Times New Roman"/>
                <w:sz w:val="24"/>
                <w:szCs w:val="24"/>
              </w:rPr>
              <w:t xml:space="preserve"> “</w:t>
            </w:r>
            <w:r w:rsidR="00C42BDB" w:rsidRPr="00710139">
              <w:rPr>
                <w:rFonts w:ascii="Times New Roman" w:hAnsi="Times New Roman" w:cs="Times New Roman"/>
                <w:sz w:val="24"/>
                <w:szCs w:val="24"/>
                <w:shd w:val="clear" w:color="auto" w:fill="FFFFFF"/>
              </w:rPr>
              <w:t>Par Ministru kabineta 2017.</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gada 23.</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maija sēdes protokollēmuma (prot. Nr.</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27 11.§) "Noteikumu projekts "Noteikumi par Profesiju klasifikatoru, profesijai atbilstošiem pamatuzdevumiem un kvalifikācijas pamatprasībām"" 2.2.</w:t>
            </w:r>
            <w:r w:rsidR="00C705BD" w:rsidRPr="00710139">
              <w:rPr>
                <w:rFonts w:ascii="Times New Roman" w:hAnsi="Times New Roman" w:cs="Times New Roman"/>
                <w:sz w:val="24"/>
                <w:szCs w:val="24"/>
              </w:rPr>
              <w:t> </w:t>
            </w:r>
            <w:r w:rsidR="00C42BDB" w:rsidRPr="00710139">
              <w:rPr>
                <w:rFonts w:ascii="Times New Roman" w:hAnsi="Times New Roman" w:cs="Times New Roman"/>
                <w:sz w:val="24"/>
                <w:szCs w:val="24"/>
                <w:shd w:val="clear" w:color="auto" w:fill="FFFFFF"/>
              </w:rPr>
              <w:t>apakšpunktā dotā uzdevuma izpildi”</w:t>
            </w:r>
            <w:r w:rsidR="003F4AC2" w:rsidRPr="00710139">
              <w:rPr>
                <w:rFonts w:ascii="Times New Roman" w:eastAsia="Times New Roman" w:hAnsi="Times New Roman" w:cs="Times New Roman"/>
                <w:sz w:val="24"/>
                <w:szCs w:val="24"/>
              </w:rPr>
              <w:t xml:space="preserve"> (prot.</w:t>
            </w:r>
            <w:r w:rsidR="003F4AC2"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Nr.</w:t>
            </w:r>
            <w:r w:rsidR="00C705BD" w:rsidRPr="00710139">
              <w:rPr>
                <w:rFonts w:ascii="Times New Roman" w:hAnsi="Times New Roman" w:cs="Times New Roman"/>
                <w:sz w:val="24"/>
                <w:szCs w:val="24"/>
              </w:rPr>
              <w:t> </w:t>
            </w:r>
            <w:r w:rsidRPr="00710139">
              <w:rPr>
                <w:rFonts w:ascii="Times New Roman" w:eastAsia="Times New Roman" w:hAnsi="Times New Roman" w:cs="Times New Roman"/>
                <w:sz w:val="24"/>
                <w:szCs w:val="24"/>
              </w:rPr>
              <w:t>14 11.§)</w:t>
            </w:r>
            <w:r w:rsidR="00D919F7" w:rsidRPr="00710139">
              <w:rPr>
                <w:rFonts w:ascii="Times New Roman" w:eastAsia="Times New Roman" w:hAnsi="Times New Roman" w:cs="Times New Roman"/>
                <w:sz w:val="24"/>
                <w:szCs w:val="24"/>
              </w:rPr>
              <w:t xml:space="preserve"> līdz 2018.</w:t>
            </w:r>
            <w:r w:rsidR="003F4AC2" w:rsidRPr="00710139">
              <w:rPr>
                <w:rFonts w:ascii="Times New Roman" w:hAnsi="Times New Roman" w:cs="Times New Roman"/>
                <w:sz w:val="24"/>
                <w:szCs w:val="24"/>
              </w:rPr>
              <w:t> </w:t>
            </w:r>
            <w:r w:rsidR="00D919F7" w:rsidRPr="00710139">
              <w:rPr>
                <w:rFonts w:ascii="Times New Roman" w:eastAsia="Times New Roman" w:hAnsi="Times New Roman" w:cs="Times New Roman"/>
                <w:sz w:val="24"/>
                <w:szCs w:val="24"/>
              </w:rPr>
              <w:t>gada 2.</w:t>
            </w:r>
            <w:r w:rsidR="003F4AC2" w:rsidRPr="00710139">
              <w:rPr>
                <w:rFonts w:ascii="Times New Roman" w:hAnsi="Times New Roman" w:cs="Times New Roman"/>
                <w:sz w:val="24"/>
                <w:szCs w:val="24"/>
              </w:rPr>
              <w:t> </w:t>
            </w:r>
            <w:r w:rsidR="00D919F7" w:rsidRPr="00710139">
              <w:rPr>
                <w:rFonts w:ascii="Times New Roman" w:eastAsia="Times New Roman" w:hAnsi="Times New Roman" w:cs="Times New Roman"/>
                <w:sz w:val="24"/>
                <w:szCs w:val="24"/>
              </w:rPr>
              <w:t>jūlijam.</w:t>
            </w:r>
          </w:p>
        </w:tc>
      </w:tr>
      <w:tr w:rsidR="00710139" w:rsidRPr="00710139" w14:paraId="61E92809" w14:textId="77777777" w:rsidTr="003120D8">
        <w:trPr>
          <w:trHeight w:val="55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27459172" w14:textId="6B6894DD"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2.</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4072E505" w14:textId="2D83304A" w:rsidR="00014AE3" w:rsidRPr="00710139" w:rsidRDefault="00F87952" w:rsidP="00CA4ED3">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 xml:space="preserve">Pašreizējā situācija un problēmas, kuru </w:t>
            </w:r>
            <w:r w:rsidRPr="00710139">
              <w:rPr>
                <w:rFonts w:ascii="Times New Roman" w:eastAsia="Times New Roman" w:hAnsi="Times New Roman" w:cs="Times New Roman"/>
                <w:sz w:val="24"/>
                <w:szCs w:val="24"/>
                <w:lang w:eastAsia="lv-LV"/>
              </w:rPr>
              <w:lastRenderedPageBreak/>
              <w:t>risināšanai tiesību akta projekts izstrādāts, tiesiskā regulējuma mērķis un būtība</w:t>
            </w:r>
            <w:r w:rsidR="00014AE3" w:rsidRPr="00710139">
              <w:rPr>
                <w:rFonts w:ascii="Times New Roman" w:eastAsia="Times New Roman" w:hAnsi="Times New Roman" w:cs="Times New Roman"/>
                <w:sz w:val="24"/>
                <w:szCs w:val="24"/>
              </w:rPr>
              <w:t>.</w:t>
            </w:r>
          </w:p>
          <w:p w14:paraId="32E97F42" w14:textId="77777777" w:rsidR="00014AE3" w:rsidRPr="00710139" w:rsidRDefault="00014AE3" w:rsidP="00F87952">
            <w:pPr>
              <w:spacing w:after="0" w:line="240" w:lineRule="auto"/>
              <w:rPr>
                <w:rFonts w:ascii="Times New Roman" w:eastAsia="Times New Roman" w:hAnsi="Times New Roman" w:cs="Times New Roman"/>
                <w:sz w:val="24"/>
                <w:szCs w:val="24"/>
                <w:lang w:eastAsia="lv-LV"/>
              </w:rPr>
            </w:pPr>
          </w:p>
        </w:tc>
        <w:tc>
          <w:tcPr>
            <w:tcW w:w="3618" w:type="pct"/>
            <w:tcBorders>
              <w:top w:val="outset" w:sz="6" w:space="0" w:color="414142"/>
              <w:left w:val="outset" w:sz="6" w:space="0" w:color="414142"/>
              <w:bottom w:val="outset" w:sz="6" w:space="0" w:color="414142"/>
              <w:right w:val="outset" w:sz="6" w:space="0" w:color="414142"/>
            </w:tcBorders>
            <w:shd w:val="clear" w:color="auto" w:fill="auto"/>
            <w:hideMark/>
          </w:tcPr>
          <w:p w14:paraId="0B39CDDF" w14:textId="7A4F5615" w:rsidR="005D1E37" w:rsidRPr="00710139" w:rsidRDefault="003F4AC2" w:rsidP="003F4AC2">
            <w:pPr>
              <w:pStyle w:val="BodyTextIndent3"/>
              <w:spacing w:after="0"/>
              <w:ind w:left="0"/>
              <w:jc w:val="both"/>
              <w:rPr>
                <w:sz w:val="24"/>
                <w:szCs w:val="24"/>
              </w:rPr>
            </w:pPr>
            <w:r w:rsidRPr="00710139">
              <w:rPr>
                <w:sz w:val="24"/>
                <w:szCs w:val="24"/>
              </w:rPr>
              <w:lastRenderedPageBreak/>
              <w:t xml:space="preserve">Projekts </w:t>
            </w:r>
            <w:r w:rsidR="00A1446E" w:rsidRPr="00710139">
              <w:rPr>
                <w:sz w:val="24"/>
                <w:szCs w:val="24"/>
              </w:rPr>
              <w:t xml:space="preserve">izstrādāts ar mērķi </w:t>
            </w:r>
            <w:r w:rsidRPr="00710139">
              <w:rPr>
                <w:sz w:val="24"/>
                <w:szCs w:val="24"/>
              </w:rPr>
              <w:t xml:space="preserve">precizēt </w:t>
            </w:r>
            <w:r w:rsidR="005D1E37" w:rsidRPr="00710139">
              <w:rPr>
                <w:sz w:val="24"/>
                <w:szCs w:val="24"/>
              </w:rPr>
              <w:t xml:space="preserve">Ministru kabineta 2009. gada 7. jūlija noteikumus Nr. 733 “Noteikumi par valsts valodas zināšanu </w:t>
            </w:r>
            <w:r w:rsidR="005D1E37" w:rsidRPr="00710139">
              <w:rPr>
                <w:sz w:val="24"/>
                <w:szCs w:val="24"/>
              </w:rPr>
              <w:lastRenderedPageBreak/>
              <w:t>apjomu un valsts valodas prasmes pārbaudes kārtību profesionālo un amata pienākumu veikšanai, pastāvīgās uzturēšanās atļaujas saņemšanai un Eiropas Savienības pastāvīgā iedzīvotāja statusa iegūšanai un valsts nodevu par valsts valodas p</w:t>
            </w:r>
            <w:r w:rsidR="00B11972">
              <w:rPr>
                <w:sz w:val="24"/>
                <w:szCs w:val="24"/>
              </w:rPr>
              <w:t>rasmes pārbaudi””</w:t>
            </w:r>
            <w:r w:rsidR="00B7019F" w:rsidRPr="00710139">
              <w:rPr>
                <w:sz w:val="24"/>
                <w:szCs w:val="24"/>
              </w:rPr>
              <w:t xml:space="preserve"> </w:t>
            </w:r>
            <w:r w:rsidR="00B7019F">
              <w:rPr>
                <w:sz w:val="24"/>
                <w:szCs w:val="24"/>
              </w:rPr>
              <w:t>(turpmāk – MK noteikumi</w:t>
            </w:r>
            <w:r w:rsidR="00B7019F" w:rsidRPr="00710139">
              <w:rPr>
                <w:sz w:val="24"/>
                <w:szCs w:val="24"/>
              </w:rPr>
              <w:t xml:space="preserve"> Nr. 733</w:t>
            </w:r>
            <w:r w:rsidR="00B7019F">
              <w:rPr>
                <w:sz w:val="24"/>
                <w:szCs w:val="24"/>
              </w:rPr>
              <w:t>)</w:t>
            </w:r>
            <w:r w:rsidR="008321F0" w:rsidRPr="00710139">
              <w:rPr>
                <w:sz w:val="24"/>
                <w:szCs w:val="24"/>
              </w:rPr>
              <w:t>, lai risinātu šādas problēmu grupas:</w:t>
            </w:r>
          </w:p>
          <w:p w14:paraId="4C516C29" w14:textId="34187AF8" w:rsidR="005817AD" w:rsidRPr="007A7516" w:rsidRDefault="003D1B32" w:rsidP="003D1B32">
            <w:pPr>
              <w:pStyle w:val="BodyTextIndent3"/>
              <w:spacing w:after="0"/>
              <w:ind w:left="0"/>
              <w:jc w:val="both"/>
              <w:rPr>
                <w:sz w:val="24"/>
                <w:szCs w:val="24"/>
              </w:rPr>
            </w:pPr>
            <w:r w:rsidRPr="00710139">
              <w:rPr>
                <w:sz w:val="24"/>
                <w:szCs w:val="24"/>
              </w:rPr>
              <w:t>1.</w:t>
            </w:r>
            <w:r w:rsidR="003146D3" w:rsidRPr="00710139">
              <w:rPr>
                <w:sz w:val="24"/>
                <w:szCs w:val="24"/>
              </w:rPr>
              <w:t xml:space="preserve"> </w:t>
            </w:r>
            <w:r w:rsidR="00D21019" w:rsidRPr="00710139">
              <w:rPr>
                <w:sz w:val="24"/>
                <w:szCs w:val="24"/>
              </w:rPr>
              <w:t>Precizēts MK noteikumu Nr. 733</w:t>
            </w:r>
            <w:r w:rsidR="005817AD" w:rsidRPr="00710139">
              <w:rPr>
                <w:sz w:val="24"/>
                <w:szCs w:val="24"/>
              </w:rPr>
              <w:t xml:space="preserve"> nosaukums, to </w:t>
            </w:r>
            <w:r w:rsidR="00FC0980">
              <w:rPr>
                <w:sz w:val="24"/>
                <w:szCs w:val="24"/>
              </w:rPr>
              <w:t xml:space="preserve">izsakot vienkāršākā </w:t>
            </w:r>
            <w:r w:rsidR="00FC0980" w:rsidRPr="007A7516">
              <w:rPr>
                <w:sz w:val="24"/>
                <w:szCs w:val="24"/>
              </w:rPr>
              <w:t>formā</w:t>
            </w:r>
            <w:r w:rsidR="00970EDC" w:rsidRPr="007A7516">
              <w:rPr>
                <w:sz w:val="24"/>
                <w:szCs w:val="24"/>
              </w:rPr>
              <w:t xml:space="preserve"> (</w:t>
            </w:r>
            <w:r w:rsidR="00970EDC" w:rsidRPr="007A7516">
              <w:rPr>
                <w:color w:val="000000" w:themeColor="text1"/>
                <w:sz w:val="24"/>
                <w:szCs w:val="24"/>
              </w:rPr>
              <w:t xml:space="preserve">projekta </w:t>
            </w:r>
            <w:r w:rsidR="00970EDC" w:rsidRPr="003120D8">
              <w:rPr>
                <w:color w:val="000000" w:themeColor="text1"/>
                <w:sz w:val="24"/>
                <w:szCs w:val="24"/>
              </w:rPr>
              <w:t>1.</w:t>
            </w:r>
            <w:r w:rsidR="00B11972" w:rsidRPr="003120D8">
              <w:rPr>
                <w:color w:val="000000" w:themeColor="text1"/>
                <w:sz w:val="24"/>
                <w:szCs w:val="24"/>
              </w:rPr>
              <w:t xml:space="preserve"> </w:t>
            </w:r>
            <w:r w:rsidR="00970EDC" w:rsidRPr="003120D8">
              <w:rPr>
                <w:color w:val="000000" w:themeColor="text1"/>
                <w:sz w:val="24"/>
                <w:szCs w:val="24"/>
              </w:rPr>
              <w:t>punkts)</w:t>
            </w:r>
            <w:r w:rsidR="00FC0980" w:rsidRPr="003120D8">
              <w:rPr>
                <w:color w:val="000000" w:themeColor="text1"/>
                <w:sz w:val="24"/>
                <w:szCs w:val="24"/>
              </w:rPr>
              <w:t>.</w:t>
            </w:r>
          </w:p>
          <w:p w14:paraId="1FA1B555" w14:textId="77777777" w:rsidR="00B11972" w:rsidRDefault="00B11972" w:rsidP="003D1B32">
            <w:pPr>
              <w:pStyle w:val="BodyTextIndent3"/>
              <w:spacing w:after="0"/>
              <w:ind w:left="0"/>
              <w:jc w:val="both"/>
              <w:rPr>
                <w:sz w:val="24"/>
                <w:szCs w:val="24"/>
              </w:rPr>
            </w:pPr>
          </w:p>
          <w:p w14:paraId="7A0E0E01" w14:textId="0110767B" w:rsidR="00B11972" w:rsidRPr="00E91A4B" w:rsidRDefault="00B11972" w:rsidP="00B11972">
            <w:pPr>
              <w:pStyle w:val="BodyTextIndent3"/>
              <w:spacing w:after="0"/>
              <w:ind w:left="0"/>
              <w:jc w:val="both"/>
              <w:rPr>
                <w:color w:val="000000" w:themeColor="text1"/>
                <w:sz w:val="24"/>
                <w:szCs w:val="24"/>
              </w:rPr>
            </w:pPr>
            <w:r>
              <w:rPr>
                <w:sz w:val="24"/>
                <w:szCs w:val="24"/>
              </w:rPr>
              <w:t xml:space="preserve">2. </w:t>
            </w:r>
            <w:r w:rsidRPr="00710139">
              <w:rPr>
                <w:sz w:val="24"/>
                <w:szCs w:val="24"/>
              </w:rPr>
              <w:t>Noteikt</w:t>
            </w:r>
            <w:r>
              <w:rPr>
                <w:sz w:val="24"/>
                <w:szCs w:val="24"/>
              </w:rPr>
              <w:t>s</w:t>
            </w:r>
            <w:r w:rsidRPr="00710139">
              <w:rPr>
                <w:sz w:val="24"/>
                <w:szCs w:val="24"/>
              </w:rPr>
              <w:t xml:space="preserve">, ka valsts valodas prasmes pārbaudi nekārto </w:t>
            </w:r>
            <w:r>
              <w:rPr>
                <w:sz w:val="24"/>
                <w:szCs w:val="24"/>
              </w:rPr>
              <w:t xml:space="preserve">personas, kas nav sasniegušas </w:t>
            </w:r>
            <w:r w:rsidRPr="00E91A4B">
              <w:rPr>
                <w:color w:val="000000" w:themeColor="text1"/>
                <w:sz w:val="24"/>
                <w:szCs w:val="24"/>
              </w:rPr>
              <w:t xml:space="preserve">15 gadu </w:t>
            </w:r>
            <w:r w:rsidRPr="00710139">
              <w:rPr>
                <w:sz w:val="24"/>
                <w:szCs w:val="24"/>
              </w:rPr>
              <w:t>vecumu – regulējums paredz atbrīvot no valsts valodas prasmes pārbaudes nepilngadīg</w:t>
            </w:r>
            <w:r>
              <w:rPr>
                <w:sz w:val="24"/>
                <w:szCs w:val="24"/>
              </w:rPr>
              <w:t>us bērnus, kas nav sasnieguši 15</w:t>
            </w:r>
            <w:r w:rsidRPr="00710139">
              <w:rPr>
                <w:sz w:val="24"/>
                <w:szCs w:val="24"/>
              </w:rPr>
              <w:t xml:space="preserve"> gadu vecumu un vēlas pieprasīt pastāvīgās uzturēšanās atļauju vai Eiropas Savienības pastāvīgā iedzīvotāja statusu. </w:t>
            </w:r>
            <w:r w:rsidRPr="00B11972">
              <w:rPr>
                <w:sz w:val="24"/>
                <w:szCs w:val="24"/>
              </w:rPr>
              <w:t>Šobrīd nepilngadīgiem bērniem, tajā skaitā, pirmsskolas vecuma nepilngadīgajiem, nav paredzēti atbrīvojumi no valsts valodas prasmes pārbaudes, līdz ar to būtiski ierobežojot bērnu tiesības saņemt Eiropas Savienības pastāvīgā iedzīvotāja statusu Latvijas Republikā un, atsevišķos gadījumos, arī pastāvīgās uzturēšanās atļauju. Ievērojot to, ka atbilstoši Pilsonības likuma 15.</w:t>
            </w:r>
            <w:r w:rsidR="00BC088B">
              <w:rPr>
                <w:sz w:val="24"/>
                <w:szCs w:val="24"/>
              </w:rPr>
              <w:t xml:space="preserve"> </w:t>
            </w:r>
            <w:r w:rsidRPr="00B11972">
              <w:rPr>
                <w:sz w:val="24"/>
                <w:szCs w:val="24"/>
              </w:rPr>
              <w:t>pantā iekļautajiem bērnu naturalizācijas nosacījumiem paredzēts, ka valsts valodas pārbaudi nekārto bērni, kas nav sasnieguši 15 gadu vecumu, būtu lietderīgi analogu normu iekļaut arī attiecībā uz pastāvīgās uzturēšanās atļaujas un Eiropas Savienības pastāvīgā iedz</w:t>
            </w:r>
            <w:r>
              <w:rPr>
                <w:sz w:val="24"/>
                <w:szCs w:val="24"/>
              </w:rPr>
              <w:t xml:space="preserve">īvotāja statusa </w:t>
            </w:r>
            <w:r w:rsidRPr="003120D8">
              <w:rPr>
                <w:color w:val="000000" w:themeColor="text1"/>
                <w:sz w:val="24"/>
                <w:szCs w:val="24"/>
              </w:rPr>
              <w:t>pieprasītājiem (</w:t>
            </w:r>
            <w:r w:rsidR="002A3F6B" w:rsidRPr="003120D8">
              <w:rPr>
                <w:color w:val="000000" w:themeColor="text1"/>
                <w:sz w:val="24"/>
                <w:szCs w:val="24"/>
              </w:rPr>
              <w:t>projekta 4</w:t>
            </w:r>
            <w:r w:rsidRPr="003120D8">
              <w:rPr>
                <w:color w:val="000000" w:themeColor="text1"/>
                <w:sz w:val="24"/>
                <w:szCs w:val="24"/>
              </w:rPr>
              <w:t>. punkts).</w:t>
            </w:r>
          </w:p>
          <w:p w14:paraId="51B3CEB6" w14:textId="77777777" w:rsidR="00B11972" w:rsidRPr="00E91A4B" w:rsidRDefault="00B11972" w:rsidP="003D1B32">
            <w:pPr>
              <w:pStyle w:val="BodyTextIndent3"/>
              <w:spacing w:after="0"/>
              <w:ind w:left="0"/>
              <w:jc w:val="both"/>
              <w:rPr>
                <w:color w:val="000000" w:themeColor="text1"/>
                <w:sz w:val="24"/>
                <w:szCs w:val="24"/>
              </w:rPr>
            </w:pPr>
          </w:p>
          <w:p w14:paraId="0279631B" w14:textId="73385DFD" w:rsidR="000F2B48" w:rsidRPr="00E91A4B" w:rsidRDefault="00B11972" w:rsidP="003D1B32">
            <w:pPr>
              <w:pStyle w:val="BodyTextIndent3"/>
              <w:spacing w:after="0"/>
              <w:ind w:left="0"/>
              <w:jc w:val="both"/>
              <w:rPr>
                <w:color w:val="000000" w:themeColor="text1"/>
                <w:sz w:val="24"/>
                <w:szCs w:val="24"/>
              </w:rPr>
            </w:pPr>
            <w:r w:rsidRPr="00E91A4B">
              <w:rPr>
                <w:color w:val="000000" w:themeColor="text1"/>
                <w:sz w:val="24"/>
                <w:szCs w:val="24"/>
              </w:rPr>
              <w:t>3</w:t>
            </w:r>
            <w:r w:rsidR="000F2B48" w:rsidRPr="00E91A4B">
              <w:rPr>
                <w:color w:val="000000" w:themeColor="text1"/>
                <w:sz w:val="24"/>
                <w:szCs w:val="24"/>
              </w:rPr>
              <w:t xml:space="preserve">. Valsts valodas prasmes rakstveida daļas izpildes laiks pagarināts par 30 minūtēm, jo līdz šim iegūto pārbaudes rezultātu analīze un valsts valodas prasmes pārbaudes kārtotāju sniegums rakstu prasmes pārbaudē liecina, ka objektīvai valodas rakstītprasmes novērtēšanai nepieciešams palielināt rakstītā teksta apjomu, līdz ar to nepieciešams  palielināt arī laiku uzdevumu </w:t>
            </w:r>
            <w:r w:rsidR="000F2B48" w:rsidRPr="007A7516">
              <w:rPr>
                <w:color w:val="000000" w:themeColor="text1"/>
                <w:sz w:val="24"/>
                <w:szCs w:val="24"/>
              </w:rPr>
              <w:t>izpildei</w:t>
            </w:r>
            <w:r w:rsidRPr="007A7516">
              <w:rPr>
                <w:color w:val="000000" w:themeColor="text1"/>
                <w:sz w:val="24"/>
                <w:szCs w:val="24"/>
              </w:rPr>
              <w:t xml:space="preserve"> </w:t>
            </w:r>
            <w:r w:rsidRPr="003120D8">
              <w:rPr>
                <w:color w:val="000000" w:themeColor="text1"/>
                <w:sz w:val="24"/>
                <w:szCs w:val="24"/>
              </w:rPr>
              <w:t>(</w:t>
            </w:r>
            <w:r w:rsidR="002A3F6B" w:rsidRPr="003120D8">
              <w:rPr>
                <w:color w:val="000000" w:themeColor="text1"/>
                <w:sz w:val="24"/>
                <w:szCs w:val="24"/>
              </w:rPr>
              <w:t>projekta 5</w:t>
            </w:r>
            <w:r w:rsidR="000F2B48" w:rsidRPr="003120D8">
              <w:rPr>
                <w:color w:val="000000" w:themeColor="text1"/>
                <w:sz w:val="24"/>
                <w:szCs w:val="24"/>
              </w:rPr>
              <w:t>. punkts).</w:t>
            </w:r>
          </w:p>
          <w:p w14:paraId="1630E8F7" w14:textId="77777777" w:rsidR="00F744FE" w:rsidRPr="00E91A4B" w:rsidRDefault="00F744FE" w:rsidP="003D1B32">
            <w:pPr>
              <w:pStyle w:val="BodyTextIndent3"/>
              <w:spacing w:after="0"/>
              <w:ind w:left="0"/>
              <w:jc w:val="both"/>
              <w:rPr>
                <w:color w:val="000000" w:themeColor="text1"/>
                <w:sz w:val="24"/>
                <w:szCs w:val="24"/>
              </w:rPr>
            </w:pPr>
          </w:p>
          <w:p w14:paraId="712C5079" w14:textId="7664BFC9" w:rsidR="00F744FE" w:rsidRPr="00E91A4B" w:rsidRDefault="00F744FE" w:rsidP="00F744FE">
            <w:pPr>
              <w:spacing w:after="0" w:line="240" w:lineRule="auto"/>
              <w:jc w:val="both"/>
              <w:rPr>
                <w:rFonts w:ascii="Times New Roman" w:hAnsi="Times New Roman" w:cs="Times New Roman"/>
                <w:color w:val="000000" w:themeColor="text1"/>
                <w:sz w:val="24"/>
                <w:szCs w:val="24"/>
              </w:rPr>
            </w:pPr>
            <w:r w:rsidRPr="00E91A4B">
              <w:rPr>
                <w:rFonts w:ascii="Times New Roman" w:hAnsi="Times New Roman" w:cs="Times New Roman"/>
                <w:color w:val="000000" w:themeColor="text1"/>
                <w:sz w:val="24"/>
                <w:szCs w:val="24"/>
              </w:rPr>
              <w:t>4. Projekts paredz pārejas laiku līdz 2020. gada 1.jūlijam, lai nepieciešamības gadījumā apgūtu noteikto valsts valodas prasmes līmeni</w:t>
            </w:r>
            <w:r w:rsidR="001C1CE1" w:rsidRPr="00E91A4B">
              <w:rPr>
                <w:rFonts w:ascii="Times New Roman" w:hAnsi="Times New Roman" w:cs="Times New Roman"/>
                <w:color w:val="000000" w:themeColor="text1"/>
                <w:sz w:val="24"/>
                <w:szCs w:val="24"/>
              </w:rPr>
              <w:t xml:space="preserve">, </w:t>
            </w:r>
            <w:r w:rsidRPr="00E91A4B">
              <w:rPr>
                <w:rFonts w:ascii="Times New Roman" w:hAnsi="Times New Roman" w:cs="Times New Roman"/>
                <w:color w:val="000000" w:themeColor="text1"/>
                <w:sz w:val="24"/>
                <w:szCs w:val="24"/>
              </w:rPr>
              <w:t xml:space="preserve">ņemot vērā, ka </w:t>
            </w:r>
            <w:r w:rsidR="00AA2B0E" w:rsidRPr="00E91A4B">
              <w:rPr>
                <w:rFonts w:ascii="Times New Roman" w:hAnsi="Times New Roman" w:cs="Times New Roman"/>
                <w:color w:val="000000" w:themeColor="text1"/>
                <w:sz w:val="24"/>
                <w:szCs w:val="24"/>
              </w:rPr>
              <w:t xml:space="preserve">MK </w:t>
            </w:r>
            <w:r w:rsidRPr="00E91A4B">
              <w:rPr>
                <w:rFonts w:ascii="Times New Roman" w:hAnsi="Times New Roman" w:cs="Times New Roman"/>
                <w:color w:val="000000" w:themeColor="text1"/>
                <w:sz w:val="24"/>
                <w:szCs w:val="24"/>
              </w:rPr>
              <w:t xml:space="preserve">noteikumu Nr. 733 2. pielikumā līdz šim ir ietvertas profesijas un amati, kuriem noteikts zemāks amata pienākumu pildīšanai </w:t>
            </w:r>
            <w:r w:rsidRPr="00E91A4B">
              <w:rPr>
                <w:rFonts w:ascii="Times New Roman" w:hAnsi="Times New Roman" w:cs="Times New Roman"/>
                <w:bCs/>
                <w:color w:val="000000" w:themeColor="text1"/>
                <w:sz w:val="24"/>
                <w:szCs w:val="24"/>
              </w:rPr>
              <w:t>nepieciešamais valsts valodas prasmes līmenis un pakāpe nekā identiskām profesijām un amatiem šo noteikumu 1.pielikumā.</w:t>
            </w:r>
            <w:r w:rsidRPr="00E91A4B">
              <w:rPr>
                <w:rFonts w:ascii="Times New Roman" w:hAnsi="Times New Roman" w:cs="Times New Roman"/>
                <w:color w:val="000000" w:themeColor="text1"/>
                <w:sz w:val="24"/>
                <w:szCs w:val="24"/>
              </w:rPr>
              <w:t xml:space="preserve"> 1. un 2. pielikuma konsolidēšanas rezultātā izmaiņas skar šādas profesijas:</w:t>
            </w:r>
          </w:p>
          <w:p w14:paraId="4C182E30" w14:textId="77777777" w:rsidR="00F744FE" w:rsidRPr="00710139" w:rsidRDefault="00F744FE" w:rsidP="00F744FE">
            <w:pPr>
              <w:spacing w:after="0" w:line="240" w:lineRule="auto"/>
              <w:jc w:val="both"/>
              <w:rPr>
                <w:rFonts w:ascii="Times New Roman" w:hAnsi="Times New Roman" w:cs="Times New Roman"/>
                <w:sz w:val="24"/>
                <w:szCs w:val="24"/>
                <w:shd w:val="clear" w:color="auto" w:fill="FFFFFF"/>
              </w:rPr>
            </w:pPr>
            <w:r w:rsidRPr="00E91A4B">
              <w:rPr>
                <w:rFonts w:ascii="Times New Roman" w:hAnsi="Times New Roman" w:cs="Times New Roman"/>
                <w:color w:val="000000" w:themeColor="text1"/>
                <w:sz w:val="24"/>
                <w:szCs w:val="24"/>
                <w:shd w:val="clear" w:color="auto" w:fill="FFFFFF"/>
              </w:rPr>
              <w:t>Personām, kuru profesijas un amati bija iekļauti šo noteikumu</w:t>
            </w:r>
            <w:r w:rsidRPr="00E91A4B">
              <w:rPr>
                <w:rFonts w:ascii="Times New Roman" w:hAnsi="Times New Roman" w:cs="Times New Roman"/>
                <w:color w:val="000000" w:themeColor="text1"/>
                <w:sz w:val="24"/>
                <w:szCs w:val="24"/>
                <w:u w:val="single"/>
                <w:shd w:val="clear" w:color="auto" w:fill="FFFFFF"/>
              </w:rPr>
              <w:t xml:space="preserve"> </w:t>
            </w:r>
            <w:hyperlink r:id="rId8" w:anchor="piel2" w:history="1">
              <w:r w:rsidRPr="00E91A4B">
                <w:rPr>
                  <w:rStyle w:val="Hyperlink"/>
                  <w:rFonts w:ascii="Times New Roman" w:hAnsi="Times New Roman"/>
                  <w:color w:val="000000" w:themeColor="text1"/>
                  <w:sz w:val="24"/>
                  <w:szCs w:val="24"/>
                  <w:u w:val="none"/>
                  <w:shd w:val="clear" w:color="auto" w:fill="FFFFFF"/>
                </w:rPr>
                <w:t>2.</w:t>
              </w:r>
              <w:r w:rsidRPr="00E91A4B">
                <w:rPr>
                  <w:rFonts w:ascii="Times New Roman" w:hAnsi="Times New Roman" w:cs="Times New Roman"/>
                  <w:color w:val="000000" w:themeColor="text1"/>
                  <w:sz w:val="24"/>
                  <w:szCs w:val="24"/>
                  <w:shd w:val="clear" w:color="auto" w:fill="FFFFFF"/>
                </w:rPr>
                <w:t xml:space="preserve">  </w:t>
              </w:r>
              <w:r w:rsidRPr="00E91A4B">
                <w:rPr>
                  <w:rStyle w:val="Hyperlink"/>
                  <w:rFonts w:ascii="Times New Roman" w:hAnsi="Times New Roman"/>
                  <w:color w:val="000000" w:themeColor="text1"/>
                  <w:sz w:val="24"/>
                  <w:szCs w:val="24"/>
                  <w:u w:val="none"/>
                  <w:shd w:val="clear" w:color="auto" w:fill="FFFFFF"/>
                </w:rPr>
                <w:t xml:space="preserve"> pielikumā</w:t>
              </w:r>
            </w:hyperlink>
            <w:r w:rsidRPr="00E91A4B">
              <w:rPr>
                <w:rFonts w:ascii="Times New Roman" w:hAnsi="Times New Roman" w:cs="Times New Roman"/>
                <w:color w:val="000000" w:themeColor="text1"/>
                <w:sz w:val="24"/>
                <w:szCs w:val="24"/>
                <w:shd w:val="clear" w:color="auto" w:fill="FFFFFF"/>
              </w:rPr>
              <w:t xml:space="preserve"> un Profesiju klasifikatorā klasificēti ar kodiem</w:t>
            </w:r>
            <w:r w:rsidRPr="00710139">
              <w:rPr>
                <w:rFonts w:ascii="Times New Roman" w:hAnsi="Times New Roman" w:cs="Times New Roman"/>
                <w:sz w:val="24"/>
                <w:szCs w:val="24"/>
                <w:shd w:val="clear" w:color="auto" w:fill="FFFFFF"/>
              </w:rPr>
              <w:t>:</w:t>
            </w:r>
          </w:p>
          <w:p w14:paraId="56B0C792" w14:textId="453DF7AF" w:rsidR="00F744FE" w:rsidRPr="00E91A4B" w:rsidRDefault="00F744FE" w:rsidP="00F744FE">
            <w:pPr>
              <w:spacing w:after="0" w:line="240" w:lineRule="auto"/>
              <w:jc w:val="both"/>
              <w:rPr>
                <w:rFonts w:ascii="Times New Roman" w:hAnsi="Times New Roman" w:cs="Times New Roman"/>
                <w:color w:val="000000" w:themeColor="text1"/>
                <w:sz w:val="24"/>
                <w:szCs w:val="24"/>
                <w:lang w:eastAsia="lv-LV"/>
              </w:rPr>
            </w:pPr>
            <w:r w:rsidRPr="00E91A4B">
              <w:rPr>
                <w:rFonts w:ascii="Times New Roman" w:hAnsi="Times New Roman" w:cs="Times New Roman"/>
                <w:color w:val="000000" w:themeColor="text1"/>
                <w:sz w:val="24"/>
                <w:szCs w:val="24"/>
                <w:shd w:val="clear" w:color="auto" w:fill="FFFFFF"/>
              </w:rPr>
              <w:t xml:space="preserve">4.1. </w:t>
            </w:r>
            <w:r w:rsidRPr="00E91A4B">
              <w:rPr>
                <w:rFonts w:ascii="Times New Roman" w:hAnsi="Times New Roman" w:cs="Times New Roman"/>
                <w:color w:val="000000" w:themeColor="text1"/>
                <w:sz w:val="24"/>
                <w:szCs w:val="24"/>
              </w:rPr>
              <w:t xml:space="preserve">2431 09 </w:t>
            </w:r>
            <w:r w:rsidRPr="00E91A4B">
              <w:rPr>
                <w:rFonts w:ascii="Times New Roman" w:hAnsi="Times New Roman" w:cs="Times New Roman"/>
                <w:bCs/>
                <w:color w:val="000000" w:themeColor="text1"/>
                <w:sz w:val="24"/>
                <w:szCs w:val="24"/>
              </w:rPr>
              <w:t>Patentu AĢENTS</w:t>
            </w:r>
            <w:r w:rsidRPr="00E91A4B">
              <w:rPr>
                <w:rFonts w:ascii="Times New Roman" w:hAnsi="Times New Roman" w:cs="Times New Roman"/>
                <w:color w:val="000000" w:themeColor="text1"/>
                <w:sz w:val="24"/>
                <w:szCs w:val="24"/>
              </w:rPr>
              <w:t xml:space="preserve">, </w:t>
            </w:r>
            <w:r w:rsidRPr="00E91A4B">
              <w:rPr>
                <w:rFonts w:ascii="Times New Roman" w:hAnsi="Times New Roman" w:cs="Times New Roman"/>
                <w:bCs/>
                <w:color w:val="000000" w:themeColor="text1"/>
                <w:sz w:val="24"/>
                <w:szCs w:val="24"/>
              </w:rPr>
              <w:t xml:space="preserve">2631 02 EKONOMISTS, 3152 14 </w:t>
            </w:r>
            <w:proofErr w:type="spellStart"/>
            <w:r w:rsidRPr="00E91A4B">
              <w:rPr>
                <w:rFonts w:ascii="Times New Roman" w:hAnsi="Times New Roman" w:cs="Times New Roman"/>
                <w:bCs/>
                <w:color w:val="000000" w:themeColor="text1"/>
                <w:sz w:val="24"/>
                <w:szCs w:val="24"/>
              </w:rPr>
              <w:t>Tāljūras</w:t>
            </w:r>
            <w:proofErr w:type="spellEnd"/>
            <w:r w:rsidRPr="00E91A4B">
              <w:rPr>
                <w:rFonts w:ascii="Times New Roman" w:hAnsi="Times New Roman" w:cs="Times New Roman"/>
                <w:bCs/>
                <w:color w:val="000000" w:themeColor="text1"/>
                <w:sz w:val="24"/>
                <w:szCs w:val="24"/>
              </w:rPr>
              <w:t xml:space="preserve"> LOCIS, 3152 15 LOCIS, 3259 01</w:t>
            </w:r>
            <w:r w:rsidRPr="00E91A4B">
              <w:rPr>
                <w:rFonts w:ascii="Times New Roman" w:hAnsi="Times New Roman" w:cs="Times New Roman"/>
                <w:bCs/>
                <w:i/>
                <w:color w:val="000000" w:themeColor="text1"/>
                <w:sz w:val="24"/>
                <w:szCs w:val="24"/>
              </w:rPr>
              <w:t xml:space="preserve"> </w:t>
            </w:r>
            <w:r w:rsidRPr="00E91A4B">
              <w:rPr>
                <w:rFonts w:ascii="Times New Roman" w:hAnsi="Times New Roman" w:cs="Times New Roman"/>
                <w:bCs/>
                <w:color w:val="000000" w:themeColor="text1"/>
                <w:sz w:val="24"/>
                <w:szCs w:val="24"/>
              </w:rPr>
              <w:t xml:space="preserve">ORTOĒPISTS, 5131 06 Viesmīlības pakalpojumu SPECIĀLISTS, </w:t>
            </w:r>
            <w:r w:rsidRPr="00E91A4B">
              <w:rPr>
                <w:rFonts w:ascii="Times New Roman" w:hAnsi="Times New Roman" w:cs="Times New Roman"/>
                <w:color w:val="000000" w:themeColor="text1"/>
                <w:sz w:val="24"/>
                <w:szCs w:val="24"/>
              </w:rPr>
              <w:t>5142 19 KOSMĒTIĶIS (ārstniecības persona)</w:t>
            </w:r>
            <w:r w:rsidRPr="00E91A4B">
              <w:rPr>
                <w:rFonts w:ascii="Times New Roman" w:hAnsi="Times New Roman" w:cs="Times New Roman"/>
                <w:color w:val="000000" w:themeColor="text1"/>
                <w:sz w:val="24"/>
                <w:szCs w:val="24"/>
                <w:lang w:eastAsia="lv-LV"/>
              </w:rPr>
              <w:t xml:space="preserve"> – </w:t>
            </w:r>
            <w:r w:rsidRPr="00E91A4B">
              <w:rPr>
                <w:rFonts w:ascii="Times New Roman" w:hAnsi="Times New Roman" w:cs="Times New Roman"/>
                <w:color w:val="000000" w:themeColor="text1"/>
                <w:sz w:val="24"/>
                <w:szCs w:val="24"/>
                <w:shd w:val="clear" w:color="auto" w:fill="FFFFFF"/>
              </w:rPr>
              <w:t xml:space="preserve">nepieciešams valsts valodas zināšanu un prasmju apjoms augstākā līmeņa 1.pakāpē (C1), (2. pielikumā bija </w:t>
            </w:r>
            <w:r w:rsidRPr="00E91A4B">
              <w:rPr>
                <w:rFonts w:ascii="Times New Roman" w:hAnsi="Times New Roman" w:cs="Times New Roman"/>
                <w:color w:val="000000" w:themeColor="text1"/>
                <w:sz w:val="24"/>
                <w:szCs w:val="24"/>
                <w:shd w:val="clear" w:color="auto" w:fill="FFFFFF"/>
              </w:rPr>
              <w:lastRenderedPageBreak/>
              <w:t>nepieciešams valsts valodas zināšanu un prasmju apjoms vidējā līmeņa 2.pakāpē (B2);</w:t>
            </w:r>
          </w:p>
          <w:p w14:paraId="56E5079A" w14:textId="77B57688" w:rsidR="00F744FE" w:rsidRPr="00E91A4B" w:rsidRDefault="00B7019F" w:rsidP="00F744FE">
            <w:pPr>
              <w:spacing w:after="0" w:line="240" w:lineRule="auto"/>
              <w:jc w:val="both"/>
              <w:rPr>
                <w:rFonts w:ascii="Times New Roman" w:hAnsi="Times New Roman" w:cs="Times New Roman"/>
                <w:color w:val="000000" w:themeColor="text1"/>
                <w:sz w:val="24"/>
                <w:szCs w:val="24"/>
              </w:rPr>
            </w:pPr>
            <w:r w:rsidRPr="00E91A4B">
              <w:rPr>
                <w:rFonts w:ascii="Times New Roman" w:hAnsi="Times New Roman" w:cs="Times New Roman"/>
                <w:color w:val="000000" w:themeColor="text1"/>
                <w:sz w:val="24"/>
                <w:szCs w:val="24"/>
                <w:lang w:eastAsia="lv-LV"/>
              </w:rPr>
              <w:t>4</w:t>
            </w:r>
            <w:r w:rsidR="00F744FE" w:rsidRPr="00E91A4B">
              <w:rPr>
                <w:rFonts w:ascii="Times New Roman" w:hAnsi="Times New Roman" w:cs="Times New Roman"/>
                <w:color w:val="000000" w:themeColor="text1"/>
                <w:sz w:val="24"/>
                <w:szCs w:val="24"/>
                <w:lang w:eastAsia="lv-LV"/>
              </w:rPr>
              <w:t>.2.</w:t>
            </w:r>
            <w:r w:rsidR="00F744FE" w:rsidRPr="00E91A4B">
              <w:rPr>
                <w:rFonts w:ascii="Times New Roman" w:hAnsi="Times New Roman" w:cs="Times New Roman"/>
                <w:bCs/>
                <w:color w:val="000000" w:themeColor="text1"/>
                <w:sz w:val="24"/>
                <w:szCs w:val="24"/>
              </w:rPr>
              <w:t xml:space="preserve"> 3313 01 GRĀMATVEDIS (ceturtā līmeņa kvalifikācija), 3512 02 </w:t>
            </w:r>
            <w:proofErr w:type="spellStart"/>
            <w:r w:rsidR="00F744FE" w:rsidRPr="00E91A4B">
              <w:rPr>
                <w:rFonts w:ascii="Times New Roman" w:hAnsi="Times New Roman" w:cs="Times New Roman"/>
                <w:bCs/>
                <w:color w:val="000000" w:themeColor="text1"/>
                <w:sz w:val="24"/>
                <w:szCs w:val="24"/>
              </w:rPr>
              <w:t>Datortehniķis</w:t>
            </w:r>
            <w:proofErr w:type="spellEnd"/>
            <w:r w:rsidR="00F744FE" w:rsidRPr="00E91A4B">
              <w:rPr>
                <w:rFonts w:ascii="Times New Roman" w:hAnsi="Times New Roman" w:cs="Times New Roman"/>
                <w:bCs/>
                <w:color w:val="000000" w:themeColor="text1"/>
                <w:sz w:val="24"/>
                <w:szCs w:val="24"/>
              </w:rPr>
              <w:t xml:space="preserve">, </w:t>
            </w:r>
            <w:r w:rsidR="00F744FE" w:rsidRPr="00E91A4B">
              <w:rPr>
                <w:rFonts w:ascii="Times New Roman" w:hAnsi="Times New Roman" w:cs="Times New Roman"/>
                <w:color w:val="000000" w:themeColor="text1"/>
                <w:sz w:val="24"/>
                <w:szCs w:val="24"/>
              </w:rPr>
              <w:t>4224 01</w:t>
            </w:r>
            <w:r w:rsidR="00F744FE" w:rsidRPr="00E91A4B">
              <w:rPr>
                <w:rFonts w:ascii="Times New Roman" w:hAnsi="Times New Roman" w:cs="Times New Roman"/>
                <w:bCs/>
                <w:color w:val="000000" w:themeColor="text1"/>
                <w:sz w:val="24"/>
                <w:szCs w:val="24"/>
              </w:rPr>
              <w:t xml:space="preserve"> Viesu uzņemšanas ORGANIZATORS, </w:t>
            </w:r>
            <w:r w:rsidR="00F744FE" w:rsidRPr="00E91A4B">
              <w:rPr>
                <w:rFonts w:ascii="Times New Roman" w:hAnsi="Times New Roman" w:cs="Times New Roman"/>
                <w:color w:val="000000" w:themeColor="text1"/>
                <w:sz w:val="24"/>
                <w:szCs w:val="24"/>
              </w:rPr>
              <w:t xml:space="preserve">4311 01 GRĀMATVEDIS (trešā līmeņa kvalifikācija), 5414 04 APSARGS – </w:t>
            </w:r>
            <w:r w:rsidR="00F744FE" w:rsidRPr="00E91A4B">
              <w:rPr>
                <w:rFonts w:ascii="Times New Roman" w:hAnsi="Times New Roman" w:cs="Times New Roman"/>
                <w:color w:val="000000" w:themeColor="text1"/>
                <w:sz w:val="24"/>
                <w:szCs w:val="24"/>
                <w:shd w:val="clear" w:color="auto" w:fill="FFFFFF"/>
              </w:rPr>
              <w:t>nepieciešams valsts valodas zināšanu un prasmju apjoms vidējā līmeņa 2.pakāpē (B2), (2. pielikumā bija nepieciešams valsts valodas zināšanu un prasmju apjoms vidējā līmeņa 1.</w:t>
            </w:r>
            <w:r w:rsidR="00A72DF9">
              <w:rPr>
                <w:rFonts w:ascii="Times New Roman" w:hAnsi="Times New Roman" w:cs="Times New Roman"/>
                <w:color w:val="000000" w:themeColor="text1"/>
                <w:sz w:val="24"/>
                <w:szCs w:val="24"/>
                <w:shd w:val="clear" w:color="auto" w:fill="FFFFFF"/>
              </w:rPr>
              <w:t xml:space="preserve"> </w:t>
            </w:r>
            <w:r w:rsidR="00F744FE" w:rsidRPr="00E91A4B">
              <w:rPr>
                <w:rFonts w:ascii="Times New Roman" w:hAnsi="Times New Roman" w:cs="Times New Roman"/>
                <w:color w:val="000000" w:themeColor="text1"/>
                <w:sz w:val="24"/>
                <w:szCs w:val="24"/>
                <w:shd w:val="clear" w:color="auto" w:fill="FFFFFF"/>
              </w:rPr>
              <w:t>pakāpē (B1);</w:t>
            </w:r>
          </w:p>
          <w:p w14:paraId="2B617770" w14:textId="023604BE" w:rsidR="00F744FE" w:rsidRPr="00E91A4B" w:rsidRDefault="00B7019F" w:rsidP="00F744FE">
            <w:pPr>
              <w:spacing w:after="0" w:line="240" w:lineRule="auto"/>
              <w:jc w:val="both"/>
              <w:rPr>
                <w:rFonts w:ascii="Times New Roman" w:hAnsi="Times New Roman" w:cs="Times New Roman"/>
                <w:color w:val="000000" w:themeColor="text1"/>
                <w:sz w:val="24"/>
                <w:szCs w:val="24"/>
              </w:rPr>
            </w:pPr>
            <w:r w:rsidRPr="00E91A4B">
              <w:rPr>
                <w:rFonts w:ascii="Times New Roman" w:hAnsi="Times New Roman" w:cs="Times New Roman"/>
                <w:color w:val="000000" w:themeColor="text1"/>
                <w:sz w:val="24"/>
                <w:szCs w:val="24"/>
                <w:shd w:val="clear" w:color="auto" w:fill="FFFFFF"/>
              </w:rPr>
              <w:t>4</w:t>
            </w:r>
            <w:r w:rsidR="00F744FE" w:rsidRPr="00E91A4B">
              <w:rPr>
                <w:rFonts w:ascii="Times New Roman" w:hAnsi="Times New Roman" w:cs="Times New Roman"/>
                <w:color w:val="000000" w:themeColor="text1"/>
                <w:sz w:val="24"/>
                <w:szCs w:val="24"/>
                <w:shd w:val="clear" w:color="auto" w:fill="FFFFFF"/>
              </w:rPr>
              <w:t>.3.</w:t>
            </w:r>
            <w:r w:rsidR="00F744FE" w:rsidRPr="00E91A4B">
              <w:rPr>
                <w:rFonts w:ascii="Times New Roman" w:hAnsi="Times New Roman" w:cs="Times New Roman"/>
                <w:color w:val="000000" w:themeColor="text1"/>
                <w:sz w:val="24"/>
                <w:szCs w:val="24"/>
              </w:rPr>
              <w:t xml:space="preserve"> 5142 13 PIRTNIEKS –  </w:t>
            </w:r>
            <w:r w:rsidR="00F744FE" w:rsidRPr="00E91A4B">
              <w:rPr>
                <w:rFonts w:ascii="Times New Roman" w:hAnsi="Times New Roman" w:cs="Times New Roman"/>
                <w:color w:val="000000" w:themeColor="text1"/>
                <w:sz w:val="24"/>
                <w:szCs w:val="24"/>
                <w:shd w:val="clear" w:color="auto" w:fill="FFFFFF"/>
              </w:rPr>
              <w:t>nepieciešams valsts valodas zināšanu un prasmju apjoms vidējā līmeņa 1.pakāpē (B1), (2. pielikumā bija nepieciešams valsts valodas zināšanu un prasmju apjoms zemākā līmeņa 2.pakāpē (A2</w:t>
            </w:r>
            <w:r w:rsidRPr="00E91A4B">
              <w:rPr>
                <w:rFonts w:ascii="Times New Roman" w:hAnsi="Times New Roman" w:cs="Times New Roman"/>
                <w:color w:val="000000" w:themeColor="text1"/>
                <w:sz w:val="24"/>
                <w:szCs w:val="24"/>
                <w:shd w:val="clear" w:color="auto" w:fill="FFFFFF"/>
              </w:rPr>
              <w:t>) (</w:t>
            </w:r>
            <w:r w:rsidR="002A3F6B" w:rsidRPr="003120D8">
              <w:rPr>
                <w:rFonts w:ascii="Times New Roman" w:hAnsi="Times New Roman" w:cs="Times New Roman"/>
                <w:color w:val="000000" w:themeColor="text1"/>
                <w:sz w:val="24"/>
                <w:szCs w:val="24"/>
                <w:shd w:val="clear" w:color="auto" w:fill="FFFFFF"/>
              </w:rPr>
              <w:t xml:space="preserve">projekta </w:t>
            </w:r>
            <w:r w:rsidR="009A479E" w:rsidRPr="003120D8">
              <w:rPr>
                <w:rFonts w:ascii="Times New Roman" w:hAnsi="Times New Roman" w:cs="Times New Roman"/>
                <w:color w:val="000000" w:themeColor="text1"/>
                <w:sz w:val="24"/>
                <w:szCs w:val="24"/>
                <w:shd w:val="clear" w:color="auto" w:fill="FFFFFF"/>
              </w:rPr>
              <w:t>7</w:t>
            </w:r>
            <w:r w:rsidRPr="003120D8">
              <w:rPr>
                <w:rFonts w:ascii="Times New Roman" w:hAnsi="Times New Roman" w:cs="Times New Roman"/>
                <w:color w:val="000000" w:themeColor="text1"/>
                <w:sz w:val="24"/>
                <w:szCs w:val="24"/>
                <w:shd w:val="clear" w:color="auto" w:fill="FFFFFF"/>
              </w:rPr>
              <w:t>.</w:t>
            </w:r>
            <w:r w:rsidR="00A22BE1" w:rsidRPr="003120D8">
              <w:rPr>
                <w:rFonts w:ascii="Times New Roman" w:hAnsi="Times New Roman" w:cs="Times New Roman"/>
                <w:color w:val="000000" w:themeColor="text1"/>
                <w:sz w:val="24"/>
                <w:szCs w:val="24"/>
                <w:shd w:val="clear" w:color="auto" w:fill="FFFFFF"/>
              </w:rPr>
              <w:t xml:space="preserve"> </w:t>
            </w:r>
            <w:r w:rsidRPr="003120D8">
              <w:rPr>
                <w:rFonts w:ascii="Times New Roman" w:hAnsi="Times New Roman" w:cs="Times New Roman"/>
                <w:color w:val="000000" w:themeColor="text1"/>
                <w:sz w:val="24"/>
                <w:szCs w:val="24"/>
                <w:shd w:val="clear" w:color="auto" w:fill="FFFFFF"/>
              </w:rPr>
              <w:t>punkts).</w:t>
            </w:r>
          </w:p>
          <w:p w14:paraId="1AF7E728" w14:textId="77777777" w:rsidR="00B11972" w:rsidRPr="00E91A4B" w:rsidRDefault="00B11972" w:rsidP="003D1B32">
            <w:pPr>
              <w:pStyle w:val="BodyTextIndent3"/>
              <w:spacing w:after="0"/>
              <w:ind w:left="0"/>
              <w:jc w:val="both"/>
              <w:rPr>
                <w:color w:val="000000" w:themeColor="text1"/>
                <w:sz w:val="24"/>
                <w:szCs w:val="24"/>
              </w:rPr>
            </w:pPr>
          </w:p>
          <w:p w14:paraId="2F994161" w14:textId="713467F2" w:rsidR="00122010" w:rsidRDefault="00B7019F" w:rsidP="007D7830">
            <w:pPr>
              <w:shd w:val="clear" w:color="auto" w:fill="FFFFFF" w:themeFill="background1"/>
              <w:spacing w:after="0" w:line="240" w:lineRule="auto"/>
              <w:jc w:val="both"/>
              <w:rPr>
                <w:rFonts w:ascii="Times New Roman" w:hAnsi="Times New Roman" w:cs="Times New Roman"/>
                <w:color w:val="000000" w:themeColor="text1"/>
                <w:sz w:val="24"/>
                <w:szCs w:val="24"/>
              </w:rPr>
            </w:pPr>
            <w:r w:rsidRPr="00E60181">
              <w:rPr>
                <w:rFonts w:ascii="Times New Roman" w:hAnsi="Times New Roman" w:cs="Times New Roman"/>
                <w:color w:val="000000" w:themeColor="text1"/>
                <w:sz w:val="24"/>
                <w:szCs w:val="24"/>
              </w:rPr>
              <w:t>5</w:t>
            </w:r>
            <w:r w:rsidR="005817AD" w:rsidRPr="00E60181">
              <w:rPr>
                <w:rFonts w:ascii="Times New Roman" w:hAnsi="Times New Roman" w:cs="Times New Roman"/>
                <w:color w:val="000000" w:themeColor="text1"/>
                <w:sz w:val="24"/>
                <w:szCs w:val="24"/>
              </w:rPr>
              <w:t xml:space="preserve">. </w:t>
            </w:r>
            <w:r w:rsidR="005817AD" w:rsidRPr="00E91A4B">
              <w:rPr>
                <w:rFonts w:ascii="Times New Roman" w:hAnsi="Times New Roman" w:cs="Times New Roman"/>
                <w:color w:val="000000" w:themeColor="text1"/>
                <w:sz w:val="24"/>
                <w:szCs w:val="24"/>
              </w:rPr>
              <w:t>Projekts ir izstrādāts, lai saskaņotu MK noteikumu Nr. 733 1. un 2. pielikumā uzskaitītos amatus un profesijas ar Profesiju klasifikatorā iekļautajiem profesiju nosaukumiem un kodiem. Lai profesiju saraksts būtu pārskatāms un atbilstošs Profesiju klasif</w:t>
            </w:r>
            <w:r w:rsidR="000F2B48" w:rsidRPr="00E91A4B">
              <w:rPr>
                <w:rFonts w:ascii="Times New Roman" w:hAnsi="Times New Roman" w:cs="Times New Roman"/>
                <w:color w:val="000000" w:themeColor="text1"/>
                <w:sz w:val="24"/>
                <w:szCs w:val="24"/>
              </w:rPr>
              <w:t>ikatora profesiju, arodu, amatu,</w:t>
            </w:r>
            <w:r w:rsidR="005817AD" w:rsidRPr="00E91A4B">
              <w:rPr>
                <w:rFonts w:ascii="Times New Roman" w:hAnsi="Times New Roman" w:cs="Times New Roman"/>
                <w:color w:val="000000" w:themeColor="text1"/>
                <w:sz w:val="24"/>
                <w:szCs w:val="24"/>
              </w:rPr>
              <w:t xml:space="preserve"> specialitāšu sarakstam</w:t>
            </w:r>
            <w:r w:rsidR="000F2B48" w:rsidRPr="00E91A4B">
              <w:rPr>
                <w:rFonts w:ascii="Times New Roman" w:hAnsi="Times New Roman" w:cs="Times New Roman"/>
                <w:color w:val="000000" w:themeColor="text1"/>
                <w:sz w:val="24"/>
                <w:szCs w:val="24"/>
              </w:rPr>
              <w:t xml:space="preserve"> un dalījumam mazajās grupās (3 ciparu kods) un atsevišķā</w:t>
            </w:r>
            <w:r w:rsidR="005F1A4E" w:rsidRPr="00E91A4B">
              <w:rPr>
                <w:rFonts w:ascii="Times New Roman" w:hAnsi="Times New Roman" w:cs="Times New Roman"/>
                <w:color w:val="000000" w:themeColor="text1"/>
                <w:sz w:val="24"/>
                <w:szCs w:val="24"/>
              </w:rPr>
              <w:t>s</w:t>
            </w:r>
            <w:r w:rsidR="000F2B48" w:rsidRPr="00E91A4B">
              <w:rPr>
                <w:rFonts w:ascii="Times New Roman" w:hAnsi="Times New Roman" w:cs="Times New Roman"/>
                <w:color w:val="000000" w:themeColor="text1"/>
                <w:sz w:val="24"/>
                <w:szCs w:val="24"/>
              </w:rPr>
              <w:t xml:space="preserve"> profesij</w:t>
            </w:r>
            <w:r w:rsidR="005F1A4E" w:rsidRPr="00E91A4B">
              <w:rPr>
                <w:rFonts w:ascii="Times New Roman" w:hAnsi="Times New Roman" w:cs="Times New Roman"/>
                <w:color w:val="000000" w:themeColor="text1"/>
                <w:sz w:val="24"/>
                <w:szCs w:val="24"/>
              </w:rPr>
              <w:t>ās</w:t>
            </w:r>
            <w:r w:rsidR="000F2B48" w:rsidRPr="00E91A4B">
              <w:rPr>
                <w:rFonts w:ascii="Times New Roman" w:hAnsi="Times New Roman" w:cs="Times New Roman"/>
                <w:color w:val="000000" w:themeColor="text1"/>
                <w:sz w:val="24"/>
                <w:szCs w:val="24"/>
              </w:rPr>
              <w:t xml:space="preserve"> (6 ciparu kods),</w:t>
            </w:r>
            <w:r w:rsidR="005817AD" w:rsidRPr="00E91A4B">
              <w:rPr>
                <w:rFonts w:ascii="Times New Roman" w:hAnsi="Times New Roman" w:cs="Times New Roman"/>
                <w:color w:val="000000" w:themeColor="text1"/>
                <w:sz w:val="24"/>
                <w:szCs w:val="24"/>
              </w:rPr>
              <w:t xml:space="preserve"> kas nodrošina starptautiskai praksei atbilstošu darbaspēka uzskaiti un salīdzināšanu, un </w:t>
            </w:r>
            <w:r w:rsidR="000F2B48" w:rsidRPr="00E91A4B">
              <w:rPr>
                <w:rFonts w:ascii="Times New Roman" w:hAnsi="Times New Roman" w:cs="Times New Roman"/>
                <w:color w:val="000000" w:themeColor="text1"/>
                <w:sz w:val="24"/>
                <w:szCs w:val="24"/>
              </w:rPr>
              <w:t xml:space="preserve">MK </w:t>
            </w:r>
            <w:r w:rsidR="005817AD" w:rsidRPr="00E91A4B">
              <w:rPr>
                <w:rFonts w:ascii="Times New Roman" w:hAnsi="Times New Roman" w:cs="Times New Roman"/>
                <w:color w:val="000000" w:themeColor="text1"/>
                <w:sz w:val="24"/>
                <w:szCs w:val="24"/>
              </w:rPr>
              <w:t xml:space="preserve">noteikumu lietotājam būtu vieglāk un saprotamāk </w:t>
            </w:r>
            <w:r w:rsidR="005817AD" w:rsidRPr="00710139">
              <w:rPr>
                <w:rFonts w:ascii="Times New Roman" w:hAnsi="Times New Roman" w:cs="Times New Roman"/>
                <w:sz w:val="24"/>
                <w:szCs w:val="24"/>
              </w:rPr>
              <w:t>atrast profesijai nepieciešamo valsts valodas prasmes līmeni un pakāpi, ir izveidots viens pielikums (1. pielikums) ar izmainītu formu, t.i., profesiju klasifikācija ir izveidota tabulas veidā</w:t>
            </w:r>
            <w:r w:rsidR="000F2B48">
              <w:rPr>
                <w:rFonts w:ascii="Times New Roman" w:hAnsi="Times New Roman" w:cs="Times New Roman"/>
                <w:sz w:val="24"/>
                <w:szCs w:val="24"/>
              </w:rPr>
              <w:t>, kurā iekļauti profesiju grupu</w:t>
            </w:r>
            <w:r w:rsidR="005817AD" w:rsidRPr="00710139">
              <w:rPr>
                <w:rFonts w:ascii="Times New Roman" w:hAnsi="Times New Roman" w:cs="Times New Roman"/>
                <w:sz w:val="24"/>
                <w:szCs w:val="24"/>
              </w:rPr>
              <w:t xml:space="preserve"> </w:t>
            </w:r>
            <w:r w:rsidR="000F2B48">
              <w:rPr>
                <w:rFonts w:ascii="Times New Roman" w:hAnsi="Times New Roman" w:cs="Times New Roman"/>
                <w:sz w:val="24"/>
                <w:szCs w:val="24"/>
              </w:rPr>
              <w:t xml:space="preserve">un atsevišķu profesiju </w:t>
            </w:r>
            <w:r w:rsidR="005F1A4E">
              <w:rPr>
                <w:rFonts w:ascii="Times New Roman" w:hAnsi="Times New Roman" w:cs="Times New Roman"/>
                <w:sz w:val="24"/>
                <w:szCs w:val="24"/>
              </w:rPr>
              <w:t>nosaukumi un konsolidētas</w:t>
            </w:r>
            <w:r w:rsidR="005817AD" w:rsidRPr="00710139">
              <w:rPr>
                <w:rFonts w:ascii="Times New Roman" w:hAnsi="Times New Roman" w:cs="Times New Roman"/>
                <w:sz w:val="24"/>
                <w:szCs w:val="24"/>
              </w:rPr>
              <w:t xml:space="preserve"> 1. un 2.</w:t>
            </w:r>
            <w:r w:rsidR="00FC0980">
              <w:rPr>
                <w:rFonts w:ascii="Times New Roman" w:hAnsi="Times New Roman" w:cs="Times New Roman"/>
                <w:sz w:val="24"/>
                <w:szCs w:val="24"/>
              </w:rPr>
              <w:t xml:space="preserve"> </w:t>
            </w:r>
            <w:r w:rsidR="005817AD" w:rsidRPr="00710139">
              <w:rPr>
                <w:rFonts w:ascii="Times New Roman" w:hAnsi="Times New Roman" w:cs="Times New Roman"/>
                <w:sz w:val="24"/>
                <w:szCs w:val="24"/>
              </w:rPr>
              <w:t>p</w:t>
            </w:r>
            <w:r w:rsidR="005F1A4E">
              <w:rPr>
                <w:rFonts w:ascii="Times New Roman" w:hAnsi="Times New Roman" w:cs="Times New Roman"/>
                <w:sz w:val="24"/>
                <w:szCs w:val="24"/>
              </w:rPr>
              <w:t>ielikumā uzskaitītās profesijas un</w:t>
            </w:r>
            <w:r w:rsidR="005817AD" w:rsidRPr="00710139">
              <w:rPr>
                <w:rFonts w:ascii="Times New Roman" w:hAnsi="Times New Roman" w:cs="Times New Roman"/>
                <w:sz w:val="24"/>
                <w:szCs w:val="24"/>
              </w:rPr>
              <w:t xml:space="preserve"> to kodi saskaņā ar Profesiju klasifikatoru un </w:t>
            </w:r>
            <w:r w:rsidR="00122010" w:rsidRPr="00710139">
              <w:rPr>
                <w:rFonts w:ascii="Times New Roman" w:hAnsi="Times New Roman" w:cs="Times New Roman"/>
                <w:sz w:val="24"/>
                <w:szCs w:val="24"/>
              </w:rPr>
              <w:t xml:space="preserve">līdz šim noteikto </w:t>
            </w:r>
            <w:r w:rsidR="005817AD" w:rsidRPr="00710139">
              <w:rPr>
                <w:rFonts w:ascii="Times New Roman" w:hAnsi="Times New Roman" w:cs="Times New Roman"/>
                <w:sz w:val="24"/>
                <w:szCs w:val="24"/>
              </w:rPr>
              <w:t>valsts va</w:t>
            </w:r>
            <w:r w:rsidR="00122010" w:rsidRPr="00710139">
              <w:rPr>
                <w:rFonts w:ascii="Times New Roman" w:hAnsi="Times New Roman" w:cs="Times New Roman"/>
                <w:sz w:val="24"/>
                <w:szCs w:val="24"/>
              </w:rPr>
              <w:t xml:space="preserve">lodas prasmes līmeni un </w:t>
            </w:r>
            <w:r w:rsidR="00122010" w:rsidRPr="00E91A4B">
              <w:rPr>
                <w:rFonts w:ascii="Times New Roman" w:hAnsi="Times New Roman" w:cs="Times New Roman"/>
                <w:color w:val="000000" w:themeColor="text1"/>
                <w:sz w:val="24"/>
                <w:szCs w:val="24"/>
              </w:rPr>
              <w:t>pakāpi</w:t>
            </w:r>
            <w:r w:rsidR="005F1A4E" w:rsidRPr="00E91A4B">
              <w:rPr>
                <w:rFonts w:ascii="Times New Roman" w:hAnsi="Times New Roman" w:cs="Times New Roman"/>
                <w:color w:val="000000" w:themeColor="text1"/>
                <w:sz w:val="24"/>
                <w:szCs w:val="24"/>
              </w:rPr>
              <w:t xml:space="preserve"> </w:t>
            </w:r>
            <w:r w:rsidR="00AA2B0E" w:rsidRPr="007A7516">
              <w:rPr>
                <w:rFonts w:ascii="Times New Roman" w:hAnsi="Times New Roman" w:cs="Times New Roman"/>
                <w:color w:val="000000" w:themeColor="text1"/>
                <w:sz w:val="24"/>
                <w:szCs w:val="24"/>
              </w:rPr>
              <w:t xml:space="preserve">(projekta </w:t>
            </w:r>
            <w:r w:rsidR="00AA2B0E" w:rsidRPr="003120D8">
              <w:rPr>
                <w:rFonts w:ascii="Times New Roman" w:hAnsi="Times New Roman" w:cs="Times New Roman"/>
                <w:color w:val="000000" w:themeColor="text1"/>
                <w:sz w:val="24"/>
                <w:szCs w:val="24"/>
              </w:rPr>
              <w:t>2., 3</w:t>
            </w:r>
            <w:r w:rsidR="002C1917" w:rsidRPr="003120D8">
              <w:rPr>
                <w:rFonts w:ascii="Times New Roman" w:hAnsi="Times New Roman" w:cs="Times New Roman"/>
                <w:color w:val="000000" w:themeColor="text1"/>
                <w:sz w:val="24"/>
                <w:szCs w:val="24"/>
              </w:rPr>
              <w:t>.</w:t>
            </w:r>
            <w:r w:rsidR="00AA2B0E" w:rsidRPr="003120D8">
              <w:rPr>
                <w:rFonts w:ascii="Times New Roman" w:hAnsi="Times New Roman" w:cs="Times New Roman"/>
                <w:color w:val="000000" w:themeColor="text1"/>
                <w:sz w:val="24"/>
                <w:szCs w:val="24"/>
              </w:rPr>
              <w:t xml:space="preserve">, </w:t>
            </w:r>
            <w:r w:rsidR="001C1CE1" w:rsidRPr="003120D8">
              <w:rPr>
                <w:rFonts w:ascii="Times New Roman" w:hAnsi="Times New Roman" w:cs="Times New Roman"/>
                <w:color w:val="000000" w:themeColor="text1"/>
                <w:sz w:val="24"/>
                <w:szCs w:val="24"/>
              </w:rPr>
              <w:t>7., 8.</w:t>
            </w:r>
            <w:r w:rsidR="00AA2B0E" w:rsidRPr="003120D8">
              <w:rPr>
                <w:rFonts w:ascii="Times New Roman" w:hAnsi="Times New Roman" w:cs="Times New Roman"/>
                <w:color w:val="000000" w:themeColor="text1"/>
                <w:sz w:val="24"/>
                <w:szCs w:val="24"/>
              </w:rPr>
              <w:t xml:space="preserve"> </w:t>
            </w:r>
            <w:r w:rsidR="00D14F46" w:rsidRPr="003120D8">
              <w:rPr>
                <w:rFonts w:ascii="Times New Roman" w:hAnsi="Times New Roman" w:cs="Times New Roman"/>
                <w:color w:val="000000" w:themeColor="text1"/>
                <w:sz w:val="24"/>
                <w:szCs w:val="24"/>
              </w:rPr>
              <w:t>punkts)</w:t>
            </w:r>
            <w:r w:rsidR="00FC0980" w:rsidRPr="003120D8">
              <w:rPr>
                <w:rFonts w:ascii="Times New Roman" w:hAnsi="Times New Roman" w:cs="Times New Roman"/>
                <w:color w:val="000000" w:themeColor="text1"/>
                <w:sz w:val="24"/>
                <w:szCs w:val="24"/>
              </w:rPr>
              <w:t>.</w:t>
            </w:r>
          </w:p>
          <w:p w14:paraId="6D60A4FE" w14:textId="77777777" w:rsidR="009A479E" w:rsidRDefault="009A479E" w:rsidP="007D783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2FA6986A" w14:textId="0284A66E" w:rsidR="009A479E" w:rsidRPr="00E91A4B" w:rsidRDefault="009A479E" w:rsidP="007D7830">
            <w:pPr>
              <w:shd w:val="clear" w:color="auto" w:fill="FFFFFF" w:themeFill="background1"/>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6. Svītrots 2.pielikums (</w:t>
            </w:r>
            <w:r w:rsidR="002C1917">
              <w:rPr>
                <w:rFonts w:ascii="Times New Roman" w:hAnsi="Times New Roman" w:cs="Times New Roman"/>
                <w:color w:val="000000" w:themeColor="text1"/>
                <w:sz w:val="24"/>
                <w:szCs w:val="24"/>
              </w:rPr>
              <w:t xml:space="preserve">projekta </w:t>
            </w:r>
            <w:r>
              <w:rPr>
                <w:rFonts w:ascii="Times New Roman" w:hAnsi="Times New Roman" w:cs="Times New Roman"/>
                <w:color w:val="000000" w:themeColor="text1"/>
                <w:sz w:val="24"/>
                <w:szCs w:val="24"/>
              </w:rPr>
              <w:t xml:space="preserve">6. un </w:t>
            </w:r>
            <w:r w:rsidR="002C1917">
              <w:rPr>
                <w:rFonts w:ascii="Times New Roman" w:hAnsi="Times New Roman" w:cs="Times New Roman"/>
                <w:color w:val="000000" w:themeColor="text1"/>
                <w:sz w:val="24"/>
                <w:szCs w:val="24"/>
              </w:rPr>
              <w:t>9. punkts</w:t>
            </w:r>
            <w:r>
              <w:rPr>
                <w:rFonts w:ascii="Times New Roman" w:hAnsi="Times New Roman" w:cs="Times New Roman"/>
                <w:color w:val="000000" w:themeColor="text1"/>
                <w:sz w:val="24"/>
                <w:szCs w:val="24"/>
              </w:rPr>
              <w:t>).</w:t>
            </w:r>
          </w:p>
          <w:p w14:paraId="17C5B156" w14:textId="77777777" w:rsidR="00F744FE" w:rsidRPr="00E91A4B" w:rsidRDefault="00F744FE" w:rsidP="007D7830">
            <w:pPr>
              <w:shd w:val="clear" w:color="auto" w:fill="FFFFFF" w:themeFill="background1"/>
              <w:spacing w:after="0" w:line="240" w:lineRule="auto"/>
              <w:jc w:val="both"/>
              <w:rPr>
                <w:rFonts w:ascii="Times New Roman" w:hAnsi="Times New Roman" w:cs="Times New Roman"/>
                <w:color w:val="000000" w:themeColor="text1"/>
                <w:sz w:val="24"/>
                <w:szCs w:val="24"/>
              </w:rPr>
            </w:pPr>
          </w:p>
          <w:p w14:paraId="3953E0F0" w14:textId="3D6BF570" w:rsidR="00F87952" w:rsidRPr="00710139" w:rsidRDefault="009A479E" w:rsidP="0051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D2D9D" w:rsidRPr="00710139">
              <w:rPr>
                <w:rFonts w:ascii="Times New Roman" w:hAnsi="Times New Roman" w:cs="Times New Roman"/>
                <w:sz w:val="24"/>
                <w:szCs w:val="24"/>
              </w:rPr>
              <w:t xml:space="preserve">. Precizēta iesnieguma veidlapa 6. pielikumā, ņemot vērā </w:t>
            </w:r>
            <w:r w:rsidR="00A45798">
              <w:rPr>
                <w:rFonts w:ascii="Times New Roman" w:hAnsi="Times New Roman" w:cs="Times New Roman"/>
                <w:sz w:val="24"/>
                <w:szCs w:val="24"/>
              </w:rPr>
              <w:t>grozījumu noteikumu virsrakstā</w:t>
            </w:r>
            <w:r w:rsidR="00510B43">
              <w:rPr>
                <w:rFonts w:ascii="Times New Roman" w:hAnsi="Times New Roman" w:cs="Times New Roman"/>
                <w:sz w:val="24"/>
                <w:szCs w:val="24"/>
              </w:rPr>
              <w:t xml:space="preserve"> un</w:t>
            </w:r>
            <w:r w:rsidR="006D2D9D" w:rsidRPr="00710139">
              <w:rPr>
                <w:rFonts w:ascii="Times New Roman" w:hAnsi="Times New Roman" w:cs="Times New Roman"/>
                <w:sz w:val="24"/>
                <w:szCs w:val="24"/>
              </w:rPr>
              <w:t xml:space="preserve"> </w:t>
            </w:r>
            <w:r w:rsidR="008A7F80" w:rsidRPr="00710139">
              <w:rPr>
                <w:rFonts w:ascii="Times New Roman" w:hAnsi="Times New Roman" w:cs="Times New Roman"/>
                <w:sz w:val="24"/>
                <w:szCs w:val="24"/>
              </w:rPr>
              <w:t>Oficiālās elektroniskās adreses likuma pārejas noteikumu 4.</w:t>
            </w:r>
            <w:r w:rsidR="00A45798">
              <w:rPr>
                <w:rFonts w:ascii="Times New Roman" w:hAnsi="Times New Roman" w:cs="Times New Roman"/>
                <w:sz w:val="24"/>
                <w:szCs w:val="24"/>
              </w:rPr>
              <w:t xml:space="preserve"> </w:t>
            </w:r>
            <w:r w:rsidR="008A7F80" w:rsidRPr="00710139">
              <w:rPr>
                <w:rFonts w:ascii="Times New Roman" w:hAnsi="Times New Roman" w:cs="Times New Roman"/>
                <w:sz w:val="24"/>
                <w:szCs w:val="24"/>
              </w:rPr>
              <w:t xml:space="preserve">punktu, kas nosaka, ka Oficiālās elektroniskās adreses likuma 5.panta otrajā daļā minētās personas (Iedzīvotāju reģistrā reģistrēta fiziskā persona no 14 gadu vecuma un Uzņēmumu reģistrā </w:t>
            </w:r>
            <w:r w:rsidR="008A7F80" w:rsidRPr="00E91A4B">
              <w:rPr>
                <w:rFonts w:ascii="Times New Roman" w:hAnsi="Times New Roman" w:cs="Times New Roman"/>
                <w:color w:val="000000" w:themeColor="text1"/>
                <w:sz w:val="24"/>
                <w:szCs w:val="24"/>
              </w:rPr>
              <w:t>reģistros nereģistrēta persona) e-adres</w:t>
            </w:r>
            <w:r w:rsidR="001C56CA" w:rsidRPr="00E91A4B">
              <w:rPr>
                <w:rFonts w:ascii="Times New Roman" w:hAnsi="Times New Roman" w:cs="Times New Roman"/>
                <w:color w:val="000000" w:themeColor="text1"/>
                <w:sz w:val="24"/>
                <w:szCs w:val="24"/>
              </w:rPr>
              <w:t>i izveido no 2018.</w:t>
            </w:r>
            <w:r w:rsidR="00510B43" w:rsidRPr="00E91A4B">
              <w:rPr>
                <w:rFonts w:ascii="Times New Roman" w:hAnsi="Times New Roman" w:cs="Times New Roman"/>
                <w:color w:val="000000" w:themeColor="text1"/>
                <w:sz w:val="24"/>
                <w:szCs w:val="24"/>
              </w:rPr>
              <w:t xml:space="preserve"> gada 1.</w:t>
            </w:r>
            <w:r w:rsidR="00E91A4B">
              <w:rPr>
                <w:rFonts w:ascii="Times New Roman" w:hAnsi="Times New Roman" w:cs="Times New Roman"/>
                <w:color w:val="000000" w:themeColor="text1"/>
                <w:sz w:val="24"/>
                <w:szCs w:val="24"/>
              </w:rPr>
              <w:t xml:space="preserve"> </w:t>
            </w:r>
            <w:r w:rsidR="00510B43" w:rsidRPr="00E91A4B">
              <w:rPr>
                <w:rFonts w:ascii="Times New Roman" w:hAnsi="Times New Roman" w:cs="Times New Roman"/>
                <w:color w:val="000000" w:themeColor="text1"/>
                <w:sz w:val="24"/>
                <w:szCs w:val="24"/>
              </w:rPr>
              <w:t>jūnija</w:t>
            </w:r>
            <w:r w:rsidR="00510B43" w:rsidRPr="003120D8">
              <w:rPr>
                <w:rFonts w:ascii="Times New Roman" w:hAnsi="Times New Roman" w:cs="Times New Roman"/>
                <w:color w:val="000000" w:themeColor="text1"/>
                <w:sz w:val="24"/>
                <w:szCs w:val="24"/>
              </w:rPr>
              <w:t>) (</w:t>
            </w:r>
            <w:r w:rsidRPr="003120D8">
              <w:rPr>
                <w:rFonts w:ascii="Times New Roman" w:hAnsi="Times New Roman" w:cs="Times New Roman"/>
                <w:color w:val="000000" w:themeColor="text1"/>
                <w:sz w:val="24"/>
                <w:szCs w:val="24"/>
              </w:rPr>
              <w:t>projekta 10</w:t>
            </w:r>
            <w:r w:rsidR="001C56CA" w:rsidRPr="003120D8">
              <w:rPr>
                <w:rFonts w:ascii="Times New Roman" w:hAnsi="Times New Roman" w:cs="Times New Roman"/>
                <w:color w:val="000000" w:themeColor="text1"/>
                <w:sz w:val="24"/>
                <w:szCs w:val="24"/>
              </w:rPr>
              <w:t>. punkts).</w:t>
            </w:r>
            <w:r w:rsidR="001C56CA" w:rsidRPr="00E91A4B">
              <w:rPr>
                <w:rFonts w:ascii="Times New Roman" w:hAnsi="Times New Roman" w:cs="Times New Roman"/>
                <w:color w:val="000000" w:themeColor="text1"/>
                <w:sz w:val="24"/>
                <w:szCs w:val="24"/>
              </w:rPr>
              <w:t xml:space="preserve"> </w:t>
            </w:r>
          </w:p>
        </w:tc>
      </w:tr>
      <w:tr w:rsidR="00710139" w:rsidRPr="00710139" w14:paraId="136A3223" w14:textId="77777777" w:rsidTr="001055B6">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48B1BABC" w14:textId="7B7660DB"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lastRenderedPageBreak/>
              <w:t>3.</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6555937D"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Projekta izstrādē iesaistītās institūcijas un publiskas personas kapitālsabiedrības</w:t>
            </w:r>
          </w:p>
        </w:tc>
        <w:tc>
          <w:tcPr>
            <w:tcW w:w="3618" w:type="pct"/>
            <w:tcBorders>
              <w:top w:val="outset" w:sz="6" w:space="0" w:color="414142"/>
              <w:left w:val="outset" w:sz="6" w:space="0" w:color="414142"/>
              <w:bottom w:val="outset" w:sz="6" w:space="0" w:color="414142"/>
              <w:right w:val="outset" w:sz="6" w:space="0" w:color="414142"/>
            </w:tcBorders>
            <w:shd w:val="clear" w:color="auto" w:fill="FFFFFF"/>
            <w:hideMark/>
          </w:tcPr>
          <w:p w14:paraId="1F081068" w14:textId="1E03BA48" w:rsidR="00F87952" w:rsidRPr="00710139" w:rsidRDefault="00515DCE" w:rsidP="00F3286D">
            <w:pPr>
              <w:spacing w:after="0" w:line="240" w:lineRule="auto"/>
              <w:jc w:val="both"/>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t>Noteikumu projektu ir izstrādājusi Izglītības un zinātnes ministrija sadarbībā ar Valst</w:t>
            </w:r>
            <w:r w:rsidR="00DF6025" w:rsidRPr="00710139">
              <w:rPr>
                <w:rFonts w:ascii="Times New Roman" w:hAnsi="Times New Roman" w:cs="Times New Roman"/>
                <w:sz w:val="24"/>
                <w:szCs w:val="24"/>
              </w:rPr>
              <w:t xml:space="preserve">s izglītības satura centru, Valsts valodas centru, </w:t>
            </w:r>
            <w:r w:rsidR="00C01C0C" w:rsidRPr="00710139">
              <w:rPr>
                <w:rFonts w:ascii="Times New Roman" w:hAnsi="Times New Roman" w:cs="Times New Roman"/>
                <w:sz w:val="24"/>
                <w:szCs w:val="24"/>
              </w:rPr>
              <w:t xml:space="preserve">Tieslietu ministriju, </w:t>
            </w:r>
            <w:r w:rsidR="005924E7" w:rsidRPr="00710139">
              <w:rPr>
                <w:rFonts w:ascii="Times New Roman" w:hAnsi="Times New Roman" w:cs="Times New Roman"/>
                <w:sz w:val="24"/>
                <w:szCs w:val="24"/>
              </w:rPr>
              <w:t xml:space="preserve">Labklājības ministriju, Iekšlietu ministriju, Finanšu ministriju, </w:t>
            </w:r>
            <w:r w:rsidR="00181BDB" w:rsidRPr="00710139">
              <w:rPr>
                <w:rFonts w:ascii="Times New Roman" w:hAnsi="Times New Roman" w:cs="Times New Roman"/>
                <w:sz w:val="24"/>
                <w:szCs w:val="24"/>
              </w:rPr>
              <w:t>Valsts robežsardzi, Pilsonīb</w:t>
            </w:r>
            <w:r w:rsidR="00451310" w:rsidRPr="00710139">
              <w:rPr>
                <w:rFonts w:ascii="Times New Roman" w:hAnsi="Times New Roman" w:cs="Times New Roman"/>
                <w:sz w:val="24"/>
                <w:szCs w:val="24"/>
              </w:rPr>
              <w:t>as un migrācijas lietu pārvaldi Izglītības un zinātnes ministrijas organizētās darba grupas ietvaros (izveidota ar Izglītības un zinātnes ministrijas 25.09.2017. rīkojumu Nr.315 “Par darba grupas izveidi”).</w:t>
            </w:r>
          </w:p>
        </w:tc>
      </w:tr>
      <w:tr w:rsidR="00710139" w:rsidRPr="00710139" w14:paraId="3BF6A9F5" w14:textId="77777777" w:rsidTr="001055B6">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6C121FB6"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4.</w:t>
            </w:r>
          </w:p>
        </w:tc>
        <w:tc>
          <w:tcPr>
            <w:tcW w:w="1087" w:type="pct"/>
            <w:tcBorders>
              <w:top w:val="outset" w:sz="6" w:space="0" w:color="414142"/>
              <w:left w:val="outset" w:sz="6" w:space="0" w:color="414142"/>
              <w:bottom w:val="outset" w:sz="6" w:space="0" w:color="414142"/>
              <w:right w:val="outset" w:sz="6" w:space="0" w:color="414142"/>
            </w:tcBorders>
            <w:shd w:val="clear" w:color="auto" w:fill="FFFFFF"/>
            <w:hideMark/>
          </w:tcPr>
          <w:p w14:paraId="0E576F66"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Cita informācija</w:t>
            </w:r>
          </w:p>
        </w:tc>
        <w:tc>
          <w:tcPr>
            <w:tcW w:w="3618" w:type="pct"/>
            <w:tcBorders>
              <w:top w:val="outset" w:sz="6" w:space="0" w:color="414142"/>
              <w:left w:val="outset" w:sz="6" w:space="0" w:color="414142"/>
              <w:bottom w:val="outset" w:sz="6" w:space="0" w:color="414142"/>
              <w:right w:val="outset" w:sz="6" w:space="0" w:color="414142"/>
            </w:tcBorders>
            <w:shd w:val="clear" w:color="auto" w:fill="FFFFFF"/>
            <w:hideMark/>
          </w:tcPr>
          <w:p w14:paraId="4B594D48" w14:textId="77777777" w:rsidR="00F87952" w:rsidRPr="00710139" w:rsidRDefault="00515DCE"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Nav</w:t>
            </w:r>
          </w:p>
        </w:tc>
      </w:tr>
    </w:tbl>
    <w:p w14:paraId="00E2FDF0"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568"/>
        <w:gridCol w:w="5944"/>
      </w:tblGrid>
      <w:tr w:rsidR="00710139" w:rsidRPr="00710139" w14:paraId="4164B7A9" w14:textId="77777777"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4A32D"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10139" w:rsidRPr="00710139" w14:paraId="72D47D32"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E6AA38"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5F1D0401"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 xml:space="preserve">Sabiedrības </w:t>
            </w:r>
            <w:proofErr w:type="spellStart"/>
            <w:r w:rsidRPr="00710139">
              <w:rPr>
                <w:rFonts w:ascii="Times New Roman" w:eastAsia="Times New Roman" w:hAnsi="Times New Roman" w:cs="Times New Roman"/>
                <w:sz w:val="24"/>
                <w:szCs w:val="24"/>
                <w:lang w:eastAsia="lv-LV"/>
              </w:rPr>
              <w:t>mērķgrupas</w:t>
            </w:r>
            <w:proofErr w:type="spellEnd"/>
            <w:r w:rsidRPr="00710139">
              <w:rPr>
                <w:rFonts w:ascii="Times New Roman" w:eastAsia="Times New Roman" w:hAnsi="Times New Roman" w:cs="Times New Roman"/>
                <w:sz w:val="24"/>
                <w:szCs w:val="24"/>
                <w:lang w:eastAsia="lv-LV"/>
              </w:rPr>
              <w:t>,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772F7626" w14:textId="2364CE68" w:rsidR="00F87952" w:rsidRPr="00710139" w:rsidRDefault="0098208A" w:rsidP="004D0C0D">
            <w:pPr>
              <w:spacing w:after="0" w:line="240" w:lineRule="auto"/>
              <w:jc w:val="both"/>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Valsts  un pašvaldību iestāžu, tiesu un tiesu sist</w:t>
            </w:r>
            <w:r w:rsidR="0022590B" w:rsidRPr="00710139">
              <w:rPr>
                <w:rFonts w:ascii="Times New Roman" w:eastAsia="Times New Roman" w:hAnsi="Times New Roman" w:cs="Times New Roman"/>
                <w:sz w:val="24"/>
                <w:szCs w:val="24"/>
                <w:lang w:eastAsia="lv-LV"/>
              </w:rPr>
              <w:t xml:space="preserve">ēmai piederīgo iestāžu, </w:t>
            </w:r>
            <w:r w:rsidRPr="00710139">
              <w:rPr>
                <w:rFonts w:ascii="Times New Roman" w:eastAsia="Times New Roman" w:hAnsi="Times New Roman" w:cs="Times New Roman"/>
                <w:sz w:val="24"/>
                <w:szCs w:val="24"/>
                <w:lang w:eastAsia="lv-LV"/>
              </w:rPr>
              <w:t xml:space="preserve">privāto iestāžu, organizāciju, </w:t>
            </w:r>
            <w:r w:rsidR="0022590B" w:rsidRPr="00710139">
              <w:rPr>
                <w:rFonts w:ascii="Times New Roman" w:eastAsia="Times New Roman" w:hAnsi="Times New Roman" w:cs="Times New Roman"/>
                <w:sz w:val="24"/>
                <w:szCs w:val="24"/>
                <w:lang w:eastAsia="lv-LV"/>
              </w:rPr>
              <w:t xml:space="preserve">komercsabiedrību </w:t>
            </w:r>
            <w:r w:rsidR="001C2297" w:rsidRPr="00710139">
              <w:rPr>
                <w:rFonts w:ascii="Times New Roman" w:eastAsia="Times New Roman" w:hAnsi="Times New Roman" w:cs="Times New Roman"/>
                <w:sz w:val="24"/>
                <w:szCs w:val="24"/>
                <w:lang w:eastAsia="lv-LV"/>
              </w:rPr>
              <w:t>darbinieki, pašnodarbinātās personas</w:t>
            </w:r>
            <w:r w:rsidRPr="00710139">
              <w:rPr>
                <w:rFonts w:ascii="Times New Roman" w:eastAsia="Times New Roman" w:hAnsi="Times New Roman" w:cs="Times New Roman"/>
                <w:sz w:val="24"/>
                <w:szCs w:val="24"/>
                <w:lang w:eastAsia="lv-LV"/>
              </w:rPr>
              <w:t>, kas veic noteiktas publiska</w:t>
            </w:r>
            <w:r w:rsidR="003D6BF3" w:rsidRPr="00710139">
              <w:rPr>
                <w:rFonts w:ascii="Times New Roman" w:eastAsia="Times New Roman" w:hAnsi="Times New Roman" w:cs="Times New Roman"/>
                <w:sz w:val="24"/>
                <w:szCs w:val="24"/>
                <w:lang w:eastAsia="lv-LV"/>
              </w:rPr>
              <w:t>s</w:t>
            </w:r>
            <w:r w:rsidRPr="00710139">
              <w:rPr>
                <w:rFonts w:ascii="Times New Roman" w:eastAsia="Times New Roman" w:hAnsi="Times New Roman" w:cs="Times New Roman"/>
                <w:sz w:val="24"/>
                <w:szCs w:val="24"/>
                <w:lang w:eastAsia="lv-LV"/>
              </w:rPr>
              <w:t xml:space="preserve"> f</w:t>
            </w:r>
            <w:r w:rsidR="001C2297" w:rsidRPr="00710139">
              <w:rPr>
                <w:rFonts w:ascii="Times New Roman" w:eastAsia="Times New Roman" w:hAnsi="Times New Roman" w:cs="Times New Roman"/>
                <w:sz w:val="24"/>
                <w:szCs w:val="24"/>
                <w:lang w:eastAsia="lv-LV"/>
              </w:rPr>
              <w:t>unkcijas, ārvalstu speciālisti</w:t>
            </w:r>
            <w:r w:rsidRPr="00710139">
              <w:rPr>
                <w:rFonts w:ascii="Times New Roman" w:eastAsia="Times New Roman" w:hAnsi="Times New Roman" w:cs="Times New Roman"/>
                <w:sz w:val="24"/>
                <w:szCs w:val="24"/>
                <w:lang w:eastAsia="lv-LV"/>
              </w:rPr>
              <w:t xml:space="preserve"> un </w:t>
            </w:r>
            <w:r w:rsidR="004D0C0D" w:rsidRPr="00710139">
              <w:rPr>
                <w:rFonts w:ascii="Times New Roman" w:eastAsia="Times New Roman" w:hAnsi="Times New Roman" w:cs="Times New Roman"/>
                <w:sz w:val="24"/>
                <w:szCs w:val="24"/>
                <w:lang w:eastAsia="lv-LV"/>
              </w:rPr>
              <w:t xml:space="preserve">komercsabiedrību </w:t>
            </w:r>
            <w:r w:rsidR="001C2297" w:rsidRPr="00710139">
              <w:rPr>
                <w:rFonts w:ascii="Times New Roman" w:eastAsia="Times New Roman" w:hAnsi="Times New Roman" w:cs="Times New Roman"/>
                <w:sz w:val="24"/>
                <w:szCs w:val="24"/>
                <w:lang w:eastAsia="lv-LV"/>
              </w:rPr>
              <w:t>ārvalstu padomes locekļi</w:t>
            </w:r>
            <w:r w:rsidRPr="00710139">
              <w:rPr>
                <w:rFonts w:ascii="Times New Roman" w:eastAsia="Times New Roman" w:hAnsi="Times New Roman" w:cs="Times New Roman"/>
                <w:sz w:val="24"/>
                <w:szCs w:val="24"/>
                <w:lang w:eastAsia="lv-LV"/>
              </w:rPr>
              <w:t>, kuri strādā Latvijā.</w:t>
            </w:r>
          </w:p>
        </w:tc>
      </w:tr>
      <w:tr w:rsidR="00710139" w:rsidRPr="00710139" w14:paraId="05A1EE9B"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CD3EEDC"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497F45F6"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32ABD89E" w14:textId="65AB75D3" w:rsidR="00F87952" w:rsidRPr="00710139" w:rsidRDefault="00277E74" w:rsidP="00F87952">
            <w:pPr>
              <w:spacing w:after="0" w:line="240" w:lineRule="auto"/>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t>Nav</w:t>
            </w:r>
          </w:p>
        </w:tc>
      </w:tr>
      <w:tr w:rsidR="00710139" w:rsidRPr="00710139" w14:paraId="3B8E073F"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04B758B"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3.</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59E9290A"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60D852C7" w14:textId="77777777" w:rsidR="00EB144D" w:rsidRPr="00710139" w:rsidRDefault="00EB144D" w:rsidP="00EB144D">
            <w:pPr>
              <w:pStyle w:val="naiskr"/>
              <w:spacing w:before="0" w:after="0"/>
              <w:ind w:right="81"/>
            </w:pPr>
            <w:r w:rsidRPr="00710139">
              <w:t>Noteikumu projekts šo jomu neskar.</w:t>
            </w:r>
          </w:p>
          <w:p w14:paraId="65EC7694"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c>
      </w:tr>
      <w:tr w:rsidR="00710139" w:rsidRPr="00710139" w14:paraId="1A0CB27F"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2B8E2EA"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19E5FB7C"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26ED7AAC" w14:textId="77777777" w:rsidR="00EB144D" w:rsidRPr="00710139" w:rsidRDefault="00EB144D" w:rsidP="00EB144D">
            <w:pPr>
              <w:pStyle w:val="naiskr"/>
              <w:spacing w:before="0" w:after="0"/>
              <w:ind w:right="81"/>
            </w:pPr>
            <w:r w:rsidRPr="00710139">
              <w:t>Noteikumu projekts šo jomu neskar.</w:t>
            </w:r>
          </w:p>
          <w:p w14:paraId="7F87DBEB"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c>
      </w:tr>
      <w:tr w:rsidR="00710139" w:rsidRPr="00710139" w14:paraId="7F782AC2" w14:textId="77777777" w:rsidTr="00C02E16">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42869CE"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5.</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4D700277"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5D1B682B" w14:textId="77777777" w:rsidR="00F87952" w:rsidRPr="00710139" w:rsidRDefault="00EB144D"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Nav</w:t>
            </w:r>
          </w:p>
        </w:tc>
      </w:tr>
    </w:tbl>
    <w:p w14:paraId="400D5F52"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495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1"/>
        <w:gridCol w:w="1372"/>
        <w:gridCol w:w="1452"/>
        <w:gridCol w:w="1512"/>
        <w:gridCol w:w="1512"/>
        <w:gridCol w:w="1512"/>
      </w:tblGrid>
      <w:tr w:rsidR="00710139" w:rsidRPr="00710139" w14:paraId="5F9C463C" w14:textId="77777777" w:rsidTr="009F0D53">
        <w:trPr>
          <w:trHeight w:val="652"/>
          <w:jc w:val="center"/>
        </w:trPr>
        <w:tc>
          <w:tcPr>
            <w:tcW w:w="5000" w:type="pct"/>
            <w:gridSpan w:val="6"/>
          </w:tcPr>
          <w:p w14:paraId="415471BD" w14:textId="77777777" w:rsidR="003D6BF3" w:rsidRPr="00710139" w:rsidRDefault="003D6BF3" w:rsidP="009F0D53">
            <w:pPr>
              <w:pStyle w:val="naisnod"/>
              <w:spacing w:before="0" w:after="0"/>
              <w:rPr>
                <w:b w:val="0"/>
                <w:i/>
                <w:highlight w:val="yellow"/>
                <w:lang w:eastAsia="en-GB"/>
              </w:rPr>
            </w:pPr>
            <w:r w:rsidRPr="00710139">
              <w:br w:type="page"/>
            </w:r>
            <w:r w:rsidRPr="00710139">
              <w:rPr>
                <w:lang w:eastAsia="en-GB"/>
              </w:rPr>
              <w:t>III. Tiesību akta projekta ietekme uz valsts budžetu un pašvaldību budžetiem</w:t>
            </w:r>
          </w:p>
        </w:tc>
      </w:tr>
      <w:tr w:rsidR="00710139" w:rsidRPr="00710139" w14:paraId="60D0C4ED" w14:textId="77777777" w:rsidTr="009F0D53">
        <w:trPr>
          <w:jc w:val="center"/>
        </w:trPr>
        <w:tc>
          <w:tcPr>
            <w:tcW w:w="1066" w:type="pct"/>
            <w:vMerge w:val="restart"/>
            <w:vAlign w:val="center"/>
          </w:tcPr>
          <w:p w14:paraId="093F5F31" w14:textId="77777777" w:rsidR="003D6BF3" w:rsidRPr="00710139" w:rsidRDefault="003D6BF3" w:rsidP="00D33137">
            <w:pPr>
              <w:pStyle w:val="naisf"/>
              <w:spacing w:before="0" w:after="0"/>
              <w:jc w:val="center"/>
              <w:rPr>
                <w:b/>
                <w:lang w:eastAsia="en-GB"/>
              </w:rPr>
            </w:pPr>
            <w:r w:rsidRPr="00710139">
              <w:rPr>
                <w:b/>
                <w:lang w:eastAsia="en-GB"/>
              </w:rPr>
              <w:t>Rādītāji</w:t>
            </w:r>
          </w:p>
        </w:tc>
        <w:tc>
          <w:tcPr>
            <w:tcW w:w="1606" w:type="pct"/>
            <w:gridSpan w:val="2"/>
            <w:vMerge w:val="restart"/>
            <w:vAlign w:val="center"/>
          </w:tcPr>
          <w:p w14:paraId="5F3383C9" w14:textId="77777777" w:rsidR="003D6BF3" w:rsidRPr="00710139" w:rsidRDefault="003D6BF3" w:rsidP="00D33137">
            <w:pPr>
              <w:pStyle w:val="naisf"/>
              <w:spacing w:before="0" w:after="0"/>
              <w:jc w:val="center"/>
              <w:rPr>
                <w:b/>
                <w:lang w:eastAsia="en-GB"/>
              </w:rPr>
            </w:pPr>
            <w:r w:rsidRPr="00710139">
              <w:rPr>
                <w:b/>
                <w:lang w:eastAsia="en-GB"/>
              </w:rPr>
              <w:t>2019.gads</w:t>
            </w:r>
          </w:p>
        </w:tc>
        <w:tc>
          <w:tcPr>
            <w:tcW w:w="2329" w:type="pct"/>
            <w:gridSpan w:val="3"/>
            <w:vAlign w:val="center"/>
          </w:tcPr>
          <w:p w14:paraId="56539D92" w14:textId="77777777" w:rsidR="003D6BF3" w:rsidRPr="00710139" w:rsidRDefault="003D6BF3" w:rsidP="00D33137">
            <w:pPr>
              <w:pStyle w:val="naisf"/>
              <w:spacing w:before="0" w:after="0"/>
              <w:jc w:val="center"/>
              <w:rPr>
                <w:b/>
                <w:i/>
                <w:lang w:eastAsia="en-GB"/>
              </w:rPr>
            </w:pPr>
            <w:r w:rsidRPr="00710139">
              <w:rPr>
                <w:lang w:eastAsia="en-GB"/>
              </w:rPr>
              <w:t>Turpmākie trīs gadi (</w:t>
            </w:r>
            <w:proofErr w:type="spellStart"/>
            <w:r w:rsidRPr="00710139">
              <w:rPr>
                <w:i/>
                <w:lang w:eastAsia="en-GB"/>
              </w:rPr>
              <w:t>euro</w:t>
            </w:r>
            <w:proofErr w:type="spellEnd"/>
            <w:r w:rsidRPr="00710139">
              <w:rPr>
                <w:lang w:eastAsia="en-GB"/>
              </w:rPr>
              <w:t>)</w:t>
            </w:r>
          </w:p>
        </w:tc>
      </w:tr>
      <w:tr w:rsidR="00710139" w:rsidRPr="00710139" w14:paraId="0A675B41" w14:textId="77777777" w:rsidTr="009F0D53">
        <w:trPr>
          <w:trHeight w:val="326"/>
          <w:jc w:val="center"/>
        </w:trPr>
        <w:tc>
          <w:tcPr>
            <w:tcW w:w="1066" w:type="pct"/>
            <w:vMerge/>
            <w:vAlign w:val="center"/>
          </w:tcPr>
          <w:p w14:paraId="441F9E9A" w14:textId="77777777" w:rsidR="003D6BF3" w:rsidRPr="00710139" w:rsidRDefault="003D6BF3" w:rsidP="00D33137">
            <w:pPr>
              <w:spacing w:after="0" w:line="240" w:lineRule="auto"/>
              <w:rPr>
                <w:rFonts w:ascii="Times New Roman" w:hAnsi="Times New Roman" w:cs="Times New Roman"/>
                <w:b/>
                <w:sz w:val="24"/>
                <w:szCs w:val="24"/>
                <w:lang w:eastAsia="en-GB"/>
              </w:rPr>
            </w:pPr>
          </w:p>
        </w:tc>
        <w:tc>
          <w:tcPr>
            <w:tcW w:w="1606" w:type="pct"/>
            <w:gridSpan w:val="2"/>
            <w:vMerge/>
            <w:vAlign w:val="center"/>
          </w:tcPr>
          <w:p w14:paraId="0C144002" w14:textId="77777777" w:rsidR="003D6BF3" w:rsidRPr="00710139" w:rsidRDefault="003D6BF3" w:rsidP="00D33137">
            <w:pPr>
              <w:spacing w:after="0" w:line="240" w:lineRule="auto"/>
              <w:rPr>
                <w:rFonts w:ascii="Times New Roman" w:hAnsi="Times New Roman" w:cs="Times New Roman"/>
                <w:b/>
                <w:sz w:val="24"/>
                <w:szCs w:val="24"/>
                <w:lang w:eastAsia="en-GB"/>
              </w:rPr>
            </w:pPr>
          </w:p>
        </w:tc>
        <w:tc>
          <w:tcPr>
            <w:tcW w:w="824" w:type="pct"/>
            <w:vAlign w:val="center"/>
          </w:tcPr>
          <w:p w14:paraId="7FE839D4" w14:textId="77777777" w:rsidR="003D6BF3" w:rsidRPr="00710139" w:rsidRDefault="003D6BF3" w:rsidP="00587B9A">
            <w:pPr>
              <w:pStyle w:val="naisf"/>
              <w:spacing w:before="0" w:after="0"/>
              <w:ind w:firstLine="0"/>
              <w:rPr>
                <w:b/>
                <w:i/>
                <w:lang w:eastAsia="en-GB"/>
              </w:rPr>
            </w:pPr>
            <w:r w:rsidRPr="00710139">
              <w:rPr>
                <w:b/>
                <w:lang w:eastAsia="en-GB"/>
              </w:rPr>
              <w:t>2020.gads</w:t>
            </w:r>
          </w:p>
        </w:tc>
        <w:tc>
          <w:tcPr>
            <w:tcW w:w="824" w:type="pct"/>
            <w:vAlign w:val="center"/>
          </w:tcPr>
          <w:p w14:paraId="0AFF878F" w14:textId="77777777" w:rsidR="003D6BF3" w:rsidRPr="00710139" w:rsidRDefault="003D6BF3" w:rsidP="00587B9A">
            <w:pPr>
              <w:pStyle w:val="naisf"/>
              <w:spacing w:before="0" w:after="0"/>
              <w:ind w:firstLine="0"/>
              <w:rPr>
                <w:b/>
                <w:i/>
                <w:lang w:eastAsia="en-GB"/>
              </w:rPr>
            </w:pPr>
            <w:r w:rsidRPr="00710139">
              <w:rPr>
                <w:b/>
                <w:lang w:eastAsia="en-GB"/>
              </w:rPr>
              <w:t>2021.gads</w:t>
            </w:r>
          </w:p>
        </w:tc>
        <w:tc>
          <w:tcPr>
            <w:tcW w:w="681" w:type="pct"/>
            <w:vAlign w:val="center"/>
          </w:tcPr>
          <w:p w14:paraId="08003113" w14:textId="77777777" w:rsidR="003D6BF3" w:rsidRPr="00710139" w:rsidRDefault="003D6BF3" w:rsidP="00587B9A">
            <w:pPr>
              <w:pStyle w:val="naisf"/>
              <w:spacing w:before="0" w:after="0"/>
              <w:ind w:firstLine="0"/>
              <w:rPr>
                <w:b/>
                <w:i/>
                <w:lang w:eastAsia="en-GB"/>
              </w:rPr>
            </w:pPr>
            <w:r w:rsidRPr="00710139">
              <w:rPr>
                <w:b/>
                <w:lang w:eastAsia="en-GB"/>
              </w:rPr>
              <w:t>2022.gads</w:t>
            </w:r>
          </w:p>
        </w:tc>
      </w:tr>
      <w:tr w:rsidR="00710139" w:rsidRPr="00710139" w14:paraId="27075471" w14:textId="77777777" w:rsidTr="009F0D53">
        <w:trPr>
          <w:jc w:val="center"/>
        </w:trPr>
        <w:tc>
          <w:tcPr>
            <w:tcW w:w="1066" w:type="pct"/>
            <w:vMerge/>
            <w:vAlign w:val="center"/>
          </w:tcPr>
          <w:p w14:paraId="3A248CAD" w14:textId="77777777" w:rsidR="003D6BF3" w:rsidRPr="00710139" w:rsidRDefault="003D6BF3" w:rsidP="00D33137">
            <w:pPr>
              <w:spacing w:after="0" w:line="240" w:lineRule="auto"/>
              <w:rPr>
                <w:rFonts w:ascii="Times New Roman" w:hAnsi="Times New Roman" w:cs="Times New Roman"/>
                <w:b/>
                <w:sz w:val="24"/>
                <w:szCs w:val="24"/>
                <w:lang w:eastAsia="en-GB"/>
              </w:rPr>
            </w:pPr>
          </w:p>
        </w:tc>
        <w:tc>
          <w:tcPr>
            <w:tcW w:w="833" w:type="pct"/>
            <w:vAlign w:val="center"/>
          </w:tcPr>
          <w:p w14:paraId="2735AE4D" w14:textId="77777777" w:rsidR="003D6BF3" w:rsidRPr="00710139" w:rsidRDefault="003D6BF3" w:rsidP="00D33137">
            <w:pPr>
              <w:pStyle w:val="naisf"/>
              <w:spacing w:before="0" w:after="0"/>
              <w:rPr>
                <w:b/>
                <w:i/>
                <w:lang w:eastAsia="en-GB"/>
              </w:rPr>
            </w:pPr>
            <w:r w:rsidRPr="00710139">
              <w:rPr>
                <w:lang w:eastAsia="en-GB"/>
              </w:rPr>
              <w:t>Saskaņā ar valsts budžetu kārtējam gadam</w:t>
            </w:r>
          </w:p>
        </w:tc>
        <w:tc>
          <w:tcPr>
            <w:tcW w:w="773" w:type="pct"/>
            <w:vAlign w:val="center"/>
          </w:tcPr>
          <w:p w14:paraId="516C9790" w14:textId="77777777" w:rsidR="003D6BF3" w:rsidRPr="00710139" w:rsidRDefault="003D6BF3" w:rsidP="00D33137">
            <w:pPr>
              <w:pStyle w:val="naisf"/>
              <w:spacing w:before="0" w:after="0"/>
              <w:rPr>
                <w:b/>
                <w:i/>
                <w:lang w:eastAsia="en-GB"/>
              </w:rPr>
            </w:pPr>
            <w:r w:rsidRPr="00710139">
              <w:rPr>
                <w:lang w:eastAsia="en-GB"/>
              </w:rPr>
              <w:t>Izmaiņas kārtējā gadā, salīdzinot ar budžetu kārtējam gadam</w:t>
            </w:r>
          </w:p>
        </w:tc>
        <w:tc>
          <w:tcPr>
            <w:tcW w:w="824" w:type="pct"/>
            <w:vAlign w:val="center"/>
          </w:tcPr>
          <w:p w14:paraId="4DFF561D" w14:textId="77777777" w:rsidR="003D6BF3" w:rsidRPr="00710139" w:rsidRDefault="003D6BF3" w:rsidP="00D33137">
            <w:pPr>
              <w:pStyle w:val="naisf"/>
              <w:spacing w:before="0" w:after="0"/>
              <w:rPr>
                <w:b/>
                <w:i/>
                <w:lang w:eastAsia="en-GB"/>
              </w:rPr>
            </w:pPr>
            <w:r w:rsidRPr="00710139">
              <w:rPr>
                <w:lang w:eastAsia="en-GB"/>
              </w:rPr>
              <w:t>Izmaiņas, salīdzinot ar kārtējo 2018.gadu</w:t>
            </w:r>
          </w:p>
        </w:tc>
        <w:tc>
          <w:tcPr>
            <w:tcW w:w="824" w:type="pct"/>
            <w:vAlign w:val="center"/>
          </w:tcPr>
          <w:p w14:paraId="57977877" w14:textId="77777777" w:rsidR="003D6BF3" w:rsidRPr="00710139" w:rsidRDefault="003D6BF3" w:rsidP="00D33137">
            <w:pPr>
              <w:pStyle w:val="naisf"/>
              <w:spacing w:before="0" w:after="0"/>
              <w:rPr>
                <w:b/>
                <w:i/>
                <w:lang w:eastAsia="en-GB"/>
              </w:rPr>
            </w:pPr>
            <w:r w:rsidRPr="00710139">
              <w:rPr>
                <w:lang w:eastAsia="en-GB"/>
              </w:rPr>
              <w:t>Izmaiņas, salīdzinot ar kārtējo 2018.gadu</w:t>
            </w:r>
          </w:p>
        </w:tc>
        <w:tc>
          <w:tcPr>
            <w:tcW w:w="681" w:type="pct"/>
            <w:vAlign w:val="center"/>
          </w:tcPr>
          <w:p w14:paraId="68F55694" w14:textId="77777777" w:rsidR="003D6BF3" w:rsidRPr="00710139" w:rsidRDefault="003D6BF3" w:rsidP="00D33137">
            <w:pPr>
              <w:pStyle w:val="naisf"/>
              <w:spacing w:before="0" w:after="0"/>
              <w:rPr>
                <w:b/>
                <w:i/>
                <w:lang w:eastAsia="en-GB"/>
              </w:rPr>
            </w:pPr>
            <w:r w:rsidRPr="00710139">
              <w:rPr>
                <w:lang w:eastAsia="en-GB"/>
              </w:rPr>
              <w:t>Izmaiņas, salīdzinot ar kārtējo 2018.gadu</w:t>
            </w:r>
          </w:p>
        </w:tc>
      </w:tr>
      <w:tr w:rsidR="00710139" w:rsidRPr="00710139" w14:paraId="68E9E0C9" w14:textId="77777777" w:rsidTr="009F0D53">
        <w:trPr>
          <w:jc w:val="center"/>
        </w:trPr>
        <w:tc>
          <w:tcPr>
            <w:tcW w:w="1066" w:type="pct"/>
            <w:vAlign w:val="center"/>
          </w:tcPr>
          <w:p w14:paraId="5F3F435F" w14:textId="77777777" w:rsidR="003D6BF3" w:rsidRPr="00710139" w:rsidRDefault="003D6BF3" w:rsidP="00D33137">
            <w:pPr>
              <w:pStyle w:val="naisf"/>
              <w:spacing w:before="0" w:after="0"/>
              <w:jc w:val="center"/>
              <w:rPr>
                <w:bCs/>
                <w:lang w:eastAsia="en-GB"/>
              </w:rPr>
            </w:pPr>
            <w:r w:rsidRPr="00710139">
              <w:rPr>
                <w:bCs/>
                <w:lang w:eastAsia="en-GB"/>
              </w:rPr>
              <w:t>1</w:t>
            </w:r>
          </w:p>
        </w:tc>
        <w:tc>
          <w:tcPr>
            <w:tcW w:w="833" w:type="pct"/>
            <w:vAlign w:val="center"/>
          </w:tcPr>
          <w:p w14:paraId="190888ED" w14:textId="77777777" w:rsidR="003D6BF3" w:rsidRPr="00710139" w:rsidRDefault="003D6BF3" w:rsidP="00D33137">
            <w:pPr>
              <w:pStyle w:val="naisf"/>
              <w:spacing w:before="0" w:after="0"/>
              <w:jc w:val="center"/>
              <w:rPr>
                <w:bCs/>
                <w:lang w:eastAsia="en-GB"/>
              </w:rPr>
            </w:pPr>
            <w:r w:rsidRPr="00710139">
              <w:rPr>
                <w:bCs/>
                <w:lang w:eastAsia="en-GB"/>
              </w:rPr>
              <w:t>2</w:t>
            </w:r>
          </w:p>
        </w:tc>
        <w:tc>
          <w:tcPr>
            <w:tcW w:w="773" w:type="pct"/>
            <w:vAlign w:val="center"/>
          </w:tcPr>
          <w:p w14:paraId="7779B7C6" w14:textId="77777777" w:rsidR="003D6BF3" w:rsidRPr="00710139" w:rsidRDefault="003D6BF3" w:rsidP="00D33137">
            <w:pPr>
              <w:pStyle w:val="naisf"/>
              <w:spacing w:before="0" w:after="0"/>
              <w:jc w:val="center"/>
              <w:rPr>
                <w:bCs/>
                <w:lang w:eastAsia="en-GB"/>
              </w:rPr>
            </w:pPr>
            <w:r w:rsidRPr="00710139">
              <w:rPr>
                <w:bCs/>
                <w:lang w:eastAsia="en-GB"/>
              </w:rPr>
              <w:t>3</w:t>
            </w:r>
          </w:p>
        </w:tc>
        <w:tc>
          <w:tcPr>
            <w:tcW w:w="824" w:type="pct"/>
            <w:vAlign w:val="center"/>
          </w:tcPr>
          <w:p w14:paraId="138C124E" w14:textId="77777777" w:rsidR="003D6BF3" w:rsidRPr="00710139" w:rsidRDefault="003D6BF3" w:rsidP="00D33137">
            <w:pPr>
              <w:pStyle w:val="naisf"/>
              <w:spacing w:before="0" w:after="0"/>
              <w:jc w:val="center"/>
              <w:rPr>
                <w:bCs/>
                <w:lang w:eastAsia="en-GB"/>
              </w:rPr>
            </w:pPr>
            <w:r w:rsidRPr="00710139">
              <w:rPr>
                <w:bCs/>
                <w:lang w:eastAsia="en-GB"/>
              </w:rPr>
              <w:t>4</w:t>
            </w:r>
          </w:p>
        </w:tc>
        <w:tc>
          <w:tcPr>
            <w:tcW w:w="824" w:type="pct"/>
            <w:vAlign w:val="center"/>
          </w:tcPr>
          <w:p w14:paraId="7FA6F90C" w14:textId="77777777" w:rsidR="003D6BF3" w:rsidRPr="00710139" w:rsidRDefault="003D6BF3" w:rsidP="00D33137">
            <w:pPr>
              <w:pStyle w:val="naisf"/>
              <w:spacing w:before="0" w:after="0"/>
              <w:jc w:val="center"/>
              <w:rPr>
                <w:bCs/>
                <w:lang w:eastAsia="en-GB"/>
              </w:rPr>
            </w:pPr>
            <w:r w:rsidRPr="00710139">
              <w:rPr>
                <w:bCs/>
                <w:lang w:eastAsia="en-GB"/>
              </w:rPr>
              <w:t>5</w:t>
            </w:r>
          </w:p>
        </w:tc>
        <w:tc>
          <w:tcPr>
            <w:tcW w:w="681" w:type="pct"/>
            <w:vAlign w:val="center"/>
          </w:tcPr>
          <w:p w14:paraId="43AD42D6" w14:textId="77777777" w:rsidR="003D6BF3" w:rsidRPr="00710139" w:rsidRDefault="003D6BF3" w:rsidP="00D33137">
            <w:pPr>
              <w:pStyle w:val="naisf"/>
              <w:spacing w:before="0" w:after="0"/>
              <w:jc w:val="center"/>
              <w:rPr>
                <w:bCs/>
                <w:lang w:eastAsia="en-GB"/>
              </w:rPr>
            </w:pPr>
            <w:r w:rsidRPr="00710139">
              <w:rPr>
                <w:bCs/>
                <w:lang w:eastAsia="en-GB"/>
              </w:rPr>
              <w:t>6</w:t>
            </w:r>
          </w:p>
        </w:tc>
      </w:tr>
      <w:tr w:rsidR="00710139" w:rsidRPr="00710139" w14:paraId="0EE7D61C" w14:textId="77777777" w:rsidTr="009F0D53">
        <w:trPr>
          <w:jc w:val="center"/>
        </w:trPr>
        <w:tc>
          <w:tcPr>
            <w:tcW w:w="1066" w:type="pct"/>
          </w:tcPr>
          <w:p w14:paraId="6F615F13" w14:textId="77777777" w:rsidR="003D6BF3" w:rsidRPr="00710139" w:rsidRDefault="003D6BF3" w:rsidP="00D33137">
            <w:pPr>
              <w:pStyle w:val="naisf"/>
              <w:spacing w:before="0" w:after="0"/>
              <w:rPr>
                <w:i/>
                <w:lang w:eastAsia="en-GB"/>
              </w:rPr>
            </w:pPr>
            <w:r w:rsidRPr="00710139">
              <w:rPr>
                <w:lang w:eastAsia="en-GB"/>
              </w:rPr>
              <w:t>1. Budžeta ieņēmumi:</w:t>
            </w:r>
          </w:p>
        </w:tc>
        <w:tc>
          <w:tcPr>
            <w:tcW w:w="833" w:type="pct"/>
          </w:tcPr>
          <w:p w14:paraId="058956DD" w14:textId="77777777" w:rsidR="003D6BF3" w:rsidRPr="00710139" w:rsidRDefault="003D6BF3" w:rsidP="00D33137">
            <w:pPr>
              <w:pStyle w:val="naisf"/>
              <w:spacing w:before="0" w:after="0"/>
              <w:jc w:val="center"/>
              <w:rPr>
                <w:b/>
                <w:lang w:eastAsia="en-GB"/>
              </w:rPr>
            </w:pPr>
            <w:r w:rsidRPr="00710139">
              <w:rPr>
                <w:b/>
                <w:lang w:eastAsia="en-GB"/>
              </w:rPr>
              <w:t>0</w:t>
            </w:r>
          </w:p>
        </w:tc>
        <w:tc>
          <w:tcPr>
            <w:tcW w:w="773" w:type="pct"/>
          </w:tcPr>
          <w:p w14:paraId="00D6129D" w14:textId="77777777" w:rsidR="003D6BF3" w:rsidRPr="00710139" w:rsidRDefault="003D6BF3" w:rsidP="00D33137">
            <w:pPr>
              <w:pStyle w:val="naisf"/>
              <w:spacing w:before="0" w:after="0"/>
              <w:jc w:val="center"/>
              <w:rPr>
                <w:b/>
                <w:lang w:eastAsia="en-GB"/>
              </w:rPr>
            </w:pPr>
            <w:r w:rsidRPr="00710139">
              <w:rPr>
                <w:b/>
                <w:lang w:eastAsia="en-GB"/>
              </w:rPr>
              <w:t>0</w:t>
            </w:r>
          </w:p>
        </w:tc>
        <w:tc>
          <w:tcPr>
            <w:tcW w:w="824" w:type="pct"/>
          </w:tcPr>
          <w:p w14:paraId="2F94B899" w14:textId="77777777" w:rsidR="003D6BF3" w:rsidRPr="00710139" w:rsidRDefault="003D6BF3" w:rsidP="00D33137">
            <w:pPr>
              <w:pStyle w:val="naisf"/>
              <w:spacing w:before="0" w:after="0"/>
              <w:jc w:val="center"/>
              <w:rPr>
                <w:b/>
                <w:lang w:eastAsia="en-GB"/>
              </w:rPr>
            </w:pPr>
            <w:r w:rsidRPr="00710139">
              <w:rPr>
                <w:b/>
                <w:lang w:eastAsia="en-GB"/>
              </w:rPr>
              <w:t>0</w:t>
            </w:r>
          </w:p>
        </w:tc>
        <w:tc>
          <w:tcPr>
            <w:tcW w:w="824" w:type="pct"/>
          </w:tcPr>
          <w:p w14:paraId="777A9BD3" w14:textId="77777777" w:rsidR="003D6BF3" w:rsidRPr="00710139" w:rsidRDefault="003D6BF3" w:rsidP="00D33137">
            <w:pPr>
              <w:pStyle w:val="naisf"/>
              <w:spacing w:before="0" w:after="0"/>
              <w:jc w:val="center"/>
              <w:rPr>
                <w:b/>
                <w:lang w:eastAsia="en-GB"/>
              </w:rPr>
            </w:pPr>
            <w:r w:rsidRPr="00710139">
              <w:rPr>
                <w:b/>
                <w:lang w:eastAsia="en-GB"/>
              </w:rPr>
              <w:t>0</w:t>
            </w:r>
          </w:p>
        </w:tc>
        <w:tc>
          <w:tcPr>
            <w:tcW w:w="681" w:type="pct"/>
          </w:tcPr>
          <w:p w14:paraId="35B8D59E" w14:textId="77777777" w:rsidR="003D6BF3" w:rsidRPr="00710139" w:rsidRDefault="003D6BF3" w:rsidP="00D33137">
            <w:pPr>
              <w:pStyle w:val="naisf"/>
              <w:spacing w:before="0" w:after="0"/>
              <w:jc w:val="center"/>
              <w:rPr>
                <w:b/>
                <w:lang w:eastAsia="en-GB"/>
              </w:rPr>
            </w:pPr>
            <w:r w:rsidRPr="00710139">
              <w:rPr>
                <w:b/>
                <w:lang w:eastAsia="en-GB"/>
              </w:rPr>
              <w:t>0</w:t>
            </w:r>
          </w:p>
        </w:tc>
      </w:tr>
      <w:tr w:rsidR="00710139" w:rsidRPr="00710139" w14:paraId="0A83277C" w14:textId="77777777" w:rsidTr="009F0D53">
        <w:trPr>
          <w:jc w:val="center"/>
        </w:trPr>
        <w:tc>
          <w:tcPr>
            <w:tcW w:w="1066" w:type="pct"/>
          </w:tcPr>
          <w:p w14:paraId="6F0D9D20" w14:textId="77777777" w:rsidR="003D6BF3" w:rsidRPr="00710139" w:rsidRDefault="003D6BF3" w:rsidP="00D33137">
            <w:pPr>
              <w:pStyle w:val="naisf"/>
              <w:spacing w:before="0" w:after="0"/>
              <w:rPr>
                <w:i/>
                <w:lang w:eastAsia="en-GB"/>
              </w:rPr>
            </w:pPr>
            <w:r w:rsidRPr="00710139">
              <w:rPr>
                <w:lang w:eastAsia="en-GB"/>
              </w:rPr>
              <w:t>1.1. valsts pamatbudžets, tai skaitā ieņēmumi no maksas pakalpojumiem un citi pašu ieņēmumi</w:t>
            </w:r>
          </w:p>
        </w:tc>
        <w:tc>
          <w:tcPr>
            <w:tcW w:w="833" w:type="pct"/>
          </w:tcPr>
          <w:p w14:paraId="7851D43A"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76479BC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430BC26"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4CAECBF4"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68D33AC9"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526DFE14" w14:textId="77777777" w:rsidTr="009F0D53">
        <w:trPr>
          <w:jc w:val="center"/>
        </w:trPr>
        <w:tc>
          <w:tcPr>
            <w:tcW w:w="1066" w:type="pct"/>
          </w:tcPr>
          <w:p w14:paraId="648E7A30" w14:textId="77777777" w:rsidR="003D6BF3" w:rsidRPr="00710139" w:rsidRDefault="003D6BF3" w:rsidP="00D33137">
            <w:pPr>
              <w:pStyle w:val="naisf"/>
              <w:spacing w:before="0" w:after="0"/>
              <w:rPr>
                <w:i/>
                <w:lang w:eastAsia="en-GB"/>
              </w:rPr>
            </w:pPr>
            <w:r w:rsidRPr="00710139">
              <w:rPr>
                <w:lang w:eastAsia="en-GB"/>
              </w:rPr>
              <w:t>1.2. valsts speciālais budžets</w:t>
            </w:r>
          </w:p>
        </w:tc>
        <w:tc>
          <w:tcPr>
            <w:tcW w:w="833" w:type="pct"/>
          </w:tcPr>
          <w:p w14:paraId="48F281D7"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1A6BFF5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C300F44"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1AC668F1"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48B492BB"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16B082D0" w14:textId="77777777" w:rsidTr="009F0D53">
        <w:trPr>
          <w:jc w:val="center"/>
        </w:trPr>
        <w:tc>
          <w:tcPr>
            <w:tcW w:w="1066" w:type="pct"/>
          </w:tcPr>
          <w:p w14:paraId="60B91F8D" w14:textId="77777777" w:rsidR="003D6BF3" w:rsidRPr="00710139" w:rsidRDefault="003D6BF3" w:rsidP="00D33137">
            <w:pPr>
              <w:pStyle w:val="naisf"/>
              <w:spacing w:before="0" w:after="0"/>
              <w:rPr>
                <w:i/>
                <w:lang w:eastAsia="en-GB"/>
              </w:rPr>
            </w:pPr>
            <w:r w:rsidRPr="00710139">
              <w:rPr>
                <w:lang w:eastAsia="en-GB"/>
              </w:rPr>
              <w:t>1.3. pašvaldību budžets</w:t>
            </w:r>
          </w:p>
        </w:tc>
        <w:tc>
          <w:tcPr>
            <w:tcW w:w="833" w:type="pct"/>
          </w:tcPr>
          <w:p w14:paraId="38FC5FB5"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44F0636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5522D058"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39F9CF5"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D552671"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1699A276" w14:textId="77777777" w:rsidTr="009F0D53">
        <w:trPr>
          <w:jc w:val="center"/>
        </w:trPr>
        <w:tc>
          <w:tcPr>
            <w:tcW w:w="1066" w:type="pct"/>
          </w:tcPr>
          <w:p w14:paraId="0C971D2A"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lastRenderedPageBreak/>
              <w:t>2. Budžeta izdevumi:</w:t>
            </w:r>
          </w:p>
        </w:tc>
        <w:tc>
          <w:tcPr>
            <w:tcW w:w="833" w:type="pct"/>
          </w:tcPr>
          <w:p w14:paraId="1C467F32" w14:textId="77777777" w:rsidR="003D6BF3" w:rsidRPr="00565D2E" w:rsidRDefault="003D6BF3" w:rsidP="00D33137">
            <w:pPr>
              <w:pStyle w:val="naisf"/>
              <w:spacing w:before="0" w:after="0"/>
              <w:jc w:val="center"/>
              <w:rPr>
                <w:b/>
                <w:lang w:eastAsia="en-GB"/>
              </w:rPr>
            </w:pPr>
            <w:r w:rsidRPr="00565D2E">
              <w:rPr>
                <w:b/>
                <w:lang w:eastAsia="en-GB"/>
              </w:rPr>
              <w:t>0</w:t>
            </w:r>
          </w:p>
        </w:tc>
        <w:tc>
          <w:tcPr>
            <w:tcW w:w="773" w:type="pct"/>
          </w:tcPr>
          <w:p w14:paraId="578A57B6"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7153C3F2"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35910B28" w14:textId="77777777" w:rsidR="003D6BF3" w:rsidRPr="00565D2E" w:rsidRDefault="003D6BF3" w:rsidP="00D33137">
            <w:pPr>
              <w:pStyle w:val="naisf"/>
              <w:spacing w:before="0" w:after="0"/>
              <w:jc w:val="center"/>
              <w:rPr>
                <w:b/>
                <w:lang w:eastAsia="en-GB"/>
              </w:rPr>
            </w:pPr>
            <w:r w:rsidRPr="00565D2E">
              <w:rPr>
                <w:b/>
                <w:lang w:eastAsia="en-GB"/>
              </w:rPr>
              <w:t>0</w:t>
            </w:r>
          </w:p>
        </w:tc>
        <w:tc>
          <w:tcPr>
            <w:tcW w:w="681" w:type="pct"/>
          </w:tcPr>
          <w:p w14:paraId="1865DB45" w14:textId="77777777" w:rsidR="003D6BF3" w:rsidRPr="00565D2E" w:rsidRDefault="003D6BF3" w:rsidP="00D33137">
            <w:pPr>
              <w:pStyle w:val="naisf"/>
              <w:spacing w:before="0" w:after="0"/>
              <w:jc w:val="center"/>
              <w:rPr>
                <w:b/>
                <w:lang w:eastAsia="en-GB"/>
              </w:rPr>
            </w:pPr>
            <w:r w:rsidRPr="00565D2E">
              <w:rPr>
                <w:b/>
                <w:lang w:eastAsia="en-GB"/>
              </w:rPr>
              <w:t>0</w:t>
            </w:r>
          </w:p>
        </w:tc>
      </w:tr>
      <w:tr w:rsidR="00710139" w:rsidRPr="00710139" w14:paraId="46260917" w14:textId="77777777" w:rsidTr="009F0D53">
        <w:trPr>
          <w:jc w:val="center"/>
        </w:trPr>
        <w:tc>
          <w:tcPr>
            <w:tcW w:w="1066" w:type="pct"/>
          </w:tcPr>
          <w:p w14:paraId="1EFA4BC8"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2.1. valsts pamatbudžets</w:t>
            </w:r>
          </w:p>
        </w:tc>
        <w:tc>
          <w:tcPr>
            <w:tcW w:w="833" w:type="pct"/>
          </w:tcPr>
          <w:p w14:paraId="0339F301"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612C1B7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425B317"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5545F8E"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70E2C17F"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672AFA4E" w14:textId="77777777" w:rsidTr="009F0D53">
        <w:trPr>
          <w:jc w:val="center"/>
        </w:trPr>
        <w:tc>
          <w:tcPr>
            <w:tcW w:w="1066" w:type="pct"/>
          </w:tcPr>
          <w:p w14:paraId="3C379D2F"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2.2. valsts speciālais budžets</w:t>
            </w:r>
          </w:p>
        </w:tc>
        <w:tc>
          <w:tcPr>
            <w:tcW w:w="833" w:type="pct"/>
          </w:tcPr>
          <w:p w14:paraId="3C95E825"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5DF7A5A3"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009A4206"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8E3918F"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D53E954"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037529A2" w14:textId="77777777" w:rsidTr="009F0D53">
        <w:trPr>
          <w:jc w:val="center"/>
        </w:trPr>
        <w:tc>
          <w:tcPr>
            <w:tcW w:w="1066" w:type="pct"/>
          </w:tcPr>
          <w:p w14:paraId="76D1646A"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 xml:space="preserve">2.3. pašvaldību budžets </w:t>
            </w:r>
          </w:p>
        </w:tc>
        <w:tc>
          <w:tcPr>
            <w:tcW w:w="833" w:type="pct"/>
          </w:tcPr>
          <w:p w14:paraId="5A062DCB"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3A17A52E"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828A6C9"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0A933507"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4C66165F"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203674F4" w14:textId="77777777" w:rsidTr="009F0D53">
        <w:trPr>
          <w:jc w:val="center"/>
        </w:trPr>
        <w:tc>
          <w:tcPr>
            <w:tcW w:w="1066" w:type="pct"/>
          </w:tcPr>
          <w:p w14:paraId="40CAEDA4"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3. Finansiālā ietekme:</w:t>
            </w:r>
          </w:p>
        </w:tc>
        <w:tc>
          <w:tcPr>
            <w:tcW w:w="833" w:type="pct"/>
          </w:tcPr>
          <w:p w14:paraId="440B727C" w14:textId="77777777" w:rsidR="003D6BF3" w:rsidRPr="00565D2E" w:rsidRDefault="003D6BF3" w:rsidP="00D33137">
            <w:pPr>
              <w:pStyle w:val="naisf"/>
              <w:spacing w:before="0" w:after="0"/>
              <w:jc w:val="center"/>
              <w:rPr>
                <w:b/>
                <w:lang w:eastAsia="en-GB"/>
              </w:rPr>
            </w:pPr>
            <w:r w:rsidRPr="00565D2E">
              <w:rPr>
                <w:b/>
                <w:lang w:eastAsia="en-GB"/>
              </w:rPr>
              <w:t>0</w:t>
            </w:r>
          </w:p>
        </w:tc>
        <w:tc>
          <w:tcPr>
            <w:tcW w:w="773" w:type="pct"/>
          </w:tcPr>
          <w:p w14:paraId="0633EAF3"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10C90EF9"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0C501DC2" w14:textId="77777777" w:rsidR="003D6BF3" w:rsidRPr="00565D2E" w:rsidRDefault="003D6BF3" w:rsidP="00D33137">
            <w:pPr>
              <w:pStyle w:val="naisf"/>
              <w:spacing w:before="0" w:after="0"/>
              <w:jc w:val="center"/>
              <w:rPr>
                <w:b/>
                <w:lang w:eastAsia="en-GB"/>
              </w:rPr>
            </w:pPr>
            <w:r w:rsidRPr="00565D2E">
              <w:rPr>
                <w:b/>
                <w:lang w:eastAsia="en-GB"/>
              </w:rPr>
              <w:t>0</w:t>
            </w:r>
          </w:p>
        </w:tc>
        <w:tc>
          <w:tcPr>
            <w:tcW w:w="681" w:type="pct"/>
          </w:tcPr>
          <w:p w14:paraId="789250E6" w14:textId="77777777" w:rsidR="003D6BF3" w:rsidRPr="00565D2E" w:rsidRDefault="003D6BF3" w:rsidP="00D33137">
            <w:pPr>
              <w:pStyle w:val="naisf"/>
              <w:spacing w:before="0" w:after="0"/>
              <w:jc w:val="center"/>
              <w:rPr>
                <w:b/>
                <w:lang w:eastAsia="en-GB"/>
              </w:rPr>
            </w:pPr>
            <w:r w:rsidRPr="00565D2E">
              <w:rPr>
                <w:b/>
                <w:lang w:eastAsia="en-GB"/>
              </w:rPr>
              <w:t>0</w:t>
            </w:r>
          </w:p>
        </w:tc>
      </w:tr>
      <w:tr w:rsidR="00710139" w:rsidRPr="00710139" w14:paraId="2CEFA29F" w14:textId="77777777" w:rsidTr="009F0D53">
        <w:trPr>
          <w:jc w:val="center"/>
        </w:trPr>
        <w:tc>
          <w:tcPr>
            <w:tcW w:w="1066" w:type="pct"/>
          </w:tcPr>
          <w:p w14:paraId="64316F9B"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3.1. valsts pamatbudžets</w:t>
            </w:r>
          </w:p>
        </w:tc>
        <w:tc>
          <w:tcPr>
            <w:tcW w:w="833" w:type="pct"/>
          </w:tcPr>
          <w:p w14:paraId="57938BA3"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5260CF7E"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7050876"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47228217"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11E5836D"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01CF4A49" w14:textId="77777777" w:rsidTr="009F0D53">
        <w:trPr>
          <w:jc w:val="center"/>
        </w:trPr>
        <w:tc>
          <w:tcPr>
            <w:tcW w:w="1066" w:type="pct"/>
          </w:tcPr>
          <w:p w14:paraId="003E862E"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3.2. speciālais budžets</w:t>
            </w:r>
          </w:p>
        </w:tc>
        <w:tc>
          <w:tcPr>
            <w:tcW w:w="833" w:type="pct"/>
          </w:tcPr>
          <w:p w14:paraId="79AE5312"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2FB5DADE"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E9A4C24"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067E496"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1CB90A5D"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233F4B44" w14:textId="77777777" w:rsidTr="009F0D53">
        <w:trPr>
          <w:jc w:val="center"/>
        </w:trPr>
        <w:tc>
          <w:tcPr>
            <w:tcW w:w="1066" w:type="pct"/>
          </w:tcPr>
          <w:p w14:paraId="0861845A"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 xml:space="preserve">3.3. pašvaldību budžets </w:t>
            </w:r>
          </w:p>
        </w:tc>
        <w:tc>
          <w:tcPr>
            <w:tcW w:w="833" w:type="pct"/>
          </w:tcPr>
          <w:p w14:paraId="201F1C29" w14:textId="77777777" w:rsidR="003D6BF3" w:rsidRPr="00710139" w:rsidRDefault="003D6BF3" w:rsidP="00D33137">
            <w:pPr>
              <w:pStyle w:val="naisf"/>
              <w:spacing w:before="0" w:after="0"/>
              <w:jc w:val="center"/>
              <w:rPr>
                <w:lang w:eastAsia="en-GB"/>
              </w:rPr>
            </w:pPr>
            <w:r w:rsidRPr="00710139">
              <w:rPr>
                <w:lang w:eastAsia="en-GB"/>
              </w:rPr>
              <w:t>0</w:t>
            </w:r>
          </w:p>
        </w:tc>
        <w:tc>
          <w:tcPr>
            <w:tcW w:w="773" w:type="pct"/>
          </w:tcPr>
          <w:p w14:paraId="6488027C"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50D4497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B1255E7"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97687AA"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7407E0CB" w14:textId="77777777" w:rsidTr="009F0D53">
        <w:trPr>
          <w:jc w:val="center"/>
        </w:trPr>
        <w:tc>
          <w:tcPr>
            <w:tcW w:w="1066" w:type="pct"/>
            <w:vMerge w:val="restart"/>
          </w:tcPr>
          <w:p w14:paraId="4E37469F"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4. Finanšu līdzekļi papildu izde</w:t>
            </w:r>
            <w:r w:rsidRPr="00710139">
              <w:rPr>
                <w:rFonts w:ascii="Times New Roman" w:hAnsi="Times New Roman" w:cs="Times New Roman"/>
                <w:sz w:val="24"/>
                <w:szCs w:val="24"/>
              </w:rPr>
              <w:softHyphen/>
              <w:t>vumu finansēšanai (kompensējošu izdevumu samazinājumu norāda ar "+" zīmi)</w:t>
            </w:r>
          </w:p>
        </w:tc>
        <w:tc>
          <w:tcPr>
            <w:tcW w:w="833" w:type="pct"/>
            <w:vMerge w:val="restart"/>
          </w:tcPr>
          <w:p w14:paraId="399D1036" w14:textId="77777777" w:rsidR="003D6BF3" w:rsidRPr="00710139" w:rsidRDefault="003D6BF3" w:rsidP="00D33137">
            <w:pPr>
              <w:pStyle w:val="naisf"/>
              <w:spacing w:before="0" w:after="0"/>
              <w:jc w:val="center"/>
              <w:rPr>
                <w:i/>
                <w:lang w:eastAsia="en-GB"/>
              </w:rPr>
            </w:pPr>
            <w:r w:rsidRPr="00710139">
              <w:rPr>
                <w:lang w:eastAsia="en-GB"/>
              </w:rPr>
              <w:t>X</w:t>
            </w:r>
          </w:p>
        </w:tc>
        <w:tc>
          <w:tcPr>
            <w:tcW w:w="773" w:type="pct"/>
          </w:tcPr>
          <w:p w14:paraId="5983C846"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2FA70B69"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366D76CA" w14:textId="77777777" w:rsidR="003D6BF3" w:rsidRPr="00565D2E" w:rsidRDefault="003D6BF3" w:rsidP="00D33137">
            <w:pPr>
              <w:pStyle w:val="naisf"/>
              <w:spacing w:before="0" w:after="0"/>
              <w:jc w:val="center"/>
              <w:rPr>
                <w:b/>
                <w:lang w:eastAsia="en-GB"/>
              </w:rPr>
            </w:pPr>
            <w:r w:rsidRPr="00565D2E">
              <w:rPr>
                <w:b/>
                <w:lang w:eastAsia="en-GB"/>
              </w:rPr>
              <w:t>0</w:t>
            </w:r>
          </w:p>
        </w:tc>
        <w:tc>
          <w:tcPr>
            <w:tcW w:w="681" w:type="pct"/>
          </w:tcPr>
          <w:p w14:paraId="2072ED57" w14:textId="77777777" w:rsidR="003D6BF3" w:rsidRPr="00565D2E" w:rsidRDefault="003D6BF3" w:rsidP="00D33137">
            <w:pPr>
              <w:pStyle w:val="naisf"/>
              <w:spacing w:before="0" w:after="0"/>
              <w:jc w:val="center"/>
              <w:rPr>
                <w:b/>
                <w:lang w:eastAsia="en-GB"/>
              </w:rPr>
            </w:pPr>
            <w:r w:rsidRPr="00565D2E">
              <w:rPr>
                <w:b/>
                <w:lang w:eastAsia="en-GB"/>
              </w:rPr>
              <w:t>0</w:t>
            </w:r>
          </w:p>
        </w:tc>
      </w:tr>
      <w:tr w:rsidR="00710139" w:rsidRPr="00710139" w14:paraId="72F206D2" w14:textId="77777777" w:rsidTr="009F0D53">
        <w:trPr>
          <w:jc w:val="center"/>
        </w:trPr>
        <w:tc>
          <w:tcPr>
            <w:tcW w:w="1066" w:type="pct"/>
            <w:vMerge/>
            <w:vAlign w:val="center"/>
          </w:tcPr>
          <w:p w14:paraId="6D47C2CE" w14:textId="77777777" w:rsidR="003D6BF3" w:rsidRPr="00710139" w:rsidRDefault="003D6BF3" w:rsidP="00D33137">
            <w:pPr>
              <w:spacing w:after="0" w:line="240" w:lineRule="auto"/>
              <w:rPr>
                <w:rFonts w:ascii="Times New Roman" w:hAnsi="Times New Roman" w:cs="Times New Roman"/>
                <w:sz w:val="24"/>
                <w:szCs w:val="24"/>
              </w:rPr>
            </w:pPr>
          </w:p>
        </w:tc>
        <w:tc>
          <w:tcPr>
            <w:tcW w:w="833" w:type="pct"/>
            <w:vMerge/>
            <w:vAlign w:val="center"/>
          </w:tcPr>
          <w:p w14:paraId="75094ACD"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00877EF5"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691E207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43CF8C08"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C3BF350"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3A100455" w14:textId="77777777" w:rsidTr="009F0D53">
        <w:trPr>
          <w:jc w:val="center"/>
        </w:trPr>
        <w:tc>
          <w:tcPr>
            <w:tcW w:w="1066" w:type="pct"/>
            <w:vMerge/>
            <w:vAlign w:val="center"/>
          </w:tcPr>
          <w:p w14:paraId="49FCA06C" w14:textId="77777777" w:rsidR="003D6BF3" w:rsidRPr="00710139" w:rsidRDefault="003D6BF3" w:rsidP="00D33137">
            <w:pPr>
              <w:spacing w:after="0" w:line="240" w:lineRule="auto"/>
              <w:rPr>
                <w:rFonts w:ascii="Times New Roman" w:hAnsi="Times New Roman" w:cs="Times New Roman"/>
                <w:sz w:val="24"/>
                <w:szCs w:val="24"/>
              </w:rPr>
            </w:pPr>
          </w:p>
        </w:tc>
        <w:tc>
          <w:tcPr>
            <w:tcW w:w="833" w:type="pct"/>
            <w:vMerge/>
            <w:vAlign w:val="center"/>
          </w:tcPr>
          <w:p w14:paraId="7BA32C11"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3DDE8A67"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1D705F92"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B0F28D2"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0F9DF6C1"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6A845EDF" w14:textId="77777777" w:rsidTr="009F0D53">
        <w:trPr>
          <w:jc w:val="center"/>
        </w:trPr>
        <w:tc>
          <w:tcPr>
            <w:tcW w:w="1066" w:type="pct"/>
          </w:tcPr>
          <w:p w14:paraId="13830FE4"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5. Precizēta finansiālā ietekme:</w:t>
            </w:r>
          </w:p>
        </w:tc>
        <w:tc>
          <w:tcPr>
            <w:tcW w:w="833" w:type="pct"/>
            <w:vMerge w:val="restart"/>
          </w:tcPr>
          <w:p w14:paraId="26055D98" w14:textId="77777777" w:rsidR="003D6BF3" w:rsidRPr="00710139" w:rsidRDefault="003D6BF3" w:rsidP="00D33137">
            <w:pPr>
              <w:pStyle w:val="naisf"/>
              <w:spacing w:before="0" w:after="0"/>
              <w:jc w:val="center"/>
              <w:rPr>
                <w:i/>
                <w:lang w:eastAsia="en-GB"/>
              </w:rPr>
            </w:pPr>
            <w:r w:rsidRPr="00710139">
              <w:rPr>
                <w:lang w:eastAsia="en-GB"/>
              </w:rPr>
              <w:t>X</w:t>
            </w:r>
          </w:p>
        </w:tc>
        <w:tc>
          <w:tcPr>
            <w:tcW w:w="773" w:type="pct"/>
          </w:tcPr>
          <w:p w14:paraId="36E459CD"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7155CF2F" w14:textId="77777777" w:rsidR="003D6BF3" w:rsidRPr="00565D2E" w:rsidRDefault="003D6BF3" w:rsidP="00D33137">
            <w:pPr>
              <w:pStyle w:val="naisf"/>
              <w:spacing w:before="0" w:after="0"/>
              <w:jc w:val="center"/>
              <w:rPr>
                <w:b/>
                <w:lang w:eastAsia="en-GB"/>
              </w:rPr>
            </w:pPr>
            <w:r w:rsidRPr="00565D2E">
              <w:rPr>
                <w:b/>
                <w:lang w:eastAsia="en-GB"/>
              </w:rPr>
              <w:t>0</w:t>
            </w:r>
          </w:p>
        </w:tc>
        <w:tc>
          <w:tcPr>
            <w:tcW w:w="824" w:type="pct"/>
          </w:tcPr>
          <w:p w14:paraId="03FA2362" w14:textId="77777777" w:rsidR="003D6BF3" w:rsidRPr="00565D2E" w:rsidRDefault="003D6BF3" w:rsidP="00D33137">
            <w:pPr>
              <w:pStyle w:val="naisf"/>
              <w:spacing w:before="0" w:after="0"/>
              <w:jc w:val="center"/>
              <w:rPr>
                <w:b/>
                <w:lang w:eastAsia="en-GB"/>
              </w:rPr>
            </w:pPr>
            <w:r w:rsidRPr="00565D2E">
              <w:rPr>
                <w:b/>
                <w:lang w:eastAsia="en-GB"/>
              </w:rPr>
              <w:t>0</w:t>
            </w:r>
          </w:p>
        </w:tc>
        <w:tc>
          <w:tcPr>
            <w:tcW w:w="681" w:type="pct"/>
          </w:tcPr>
          <w:p w14:paraId="2E2C09E5" w14:textId="77777777" w:rsidR="003D6BF3" w:rsidRPr="00565D2E" w:rsidRDefault="003D6BF3" w:rsidP="00D33137">
            <w:pPr>
              <w:pStyle w:val="naisf"/>
              <w:spacing w:before="0" w:after="0"/>
              <w:jc w:val="center"/>
              <w:rPr>
                <w:b/>
                <w:lang w:eastAsia="en-GB"/>
              </w:rPr>
            </w:pPr>
            <w:r w:rsidRPr="00565D2E">
              <w:rPr>
                <w:b/>
                <w:lang w:eastAsia="en-GB"/>
              </w:rPr>
              <w:t>0</w:t>
            </w:r>
          </w:p>
        </w:tc>
      </w:tr>
      <w:tr w:rsidR="00710139" w:rsidRPr="00710139" w14:paraId="1C5A26AD" w14:textId="77777777" w:rsidTr="009F0D53">
        <w:trPr>
          <w:jc w:val="center"/>
        </w:trPr>
        <w:tc>
          <w:tcPr>
            <w:tcW w:w="1066" w:type="pct"/>
          </w:tcPr>
          <w:p w14:paraId="73387231"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5.1. valsts pamatbudžets</w:t>
            </w:r>
          </w:p>
        </w:tc>
        <w:tc>
          <w:tcPr>
            <w:tcW w:w="833" w:type="pct"/>
            <w:vMerge/>
            <w:vAlign w:val="center"/>
          </w:tcPr>
          <w:p w14:paraId="5781B231"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259DED53"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36A655BB"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2633B2D6"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286095A8"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6371BEB0" w14:textId="77777777" w:rsidTr="009F0D53">
        <w:trPr>
          <w:jc w:val="center"/>
        </w:trPr>
        <w:tc>
          <w:tcPr>
            <w:tcW w:w="1066" w:type="pct"/>
          </w:tcPr>
          <w:p w14:paraId="498A69C1"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5.2. speciālais budžets</w:t>
            </w:r>
          </w:p>
        </w:tc>
        <w:tc>
          <w:tcPr>
            <w:tcW w:w="833" w:type="pct"/>
            <w:vMerge/>
            <w:vAlign w:val="center"/>
          </w:tcPr>
          <w:p w14:paraId="5E07DFB6"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6F1E37B5"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754C1ED9"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04487408"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6A97FA7F"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11022738" w14:textId="77777777" w:rsidTr="009F0D53">
        <w:trPr>
          <w:jc w:val="center"/>
        </w:trPr>
        <w:tc>
          <w:tcPr>
            <w:tcW w:w="1066" w:type="pct"/>
          </w:tcPr>
          <w:p w14:paraId="1DAD5D00"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 xml:space="preserve">5.3. pašvaldību budžets </w:t>
            </w:r>
          </w:p>
        </w:tc>
        <w:tc>
          <w:tcPr>
            <w:tcW w:w="833" w:type="pct"/>
            <w:vMerge/>
            <w:vAlign w:val="center"/>
          </w:tcPr>
          <w:p w14:paraId="1ED59488" w14:textId="77777777" w:rsidR="003D6BF3" w:rsidRPr="00710139" w:rsidRDefault="003D6BF3" w:rsidP="00D33137">
            <w:pPr>
              <w:spacing w:after="0" w:line="240" w:lineRule="auto"/>
              <w:rPr>
                <w:rFonts w:ascii="Times New Roman" w:hAnsi="Times New Roman" w:cs="Times New Roman"/>
                <w:i/>
                <w:sz w:val="24"/>
                <w:szCs w:val="24"/>
                <w:lang w:eastAsia="en-GB"/>
              </w:rPr>
            </w:pPr>
          </w:p>
        </w:tc>
        <w:tc>
          <w:tcPr>
            <w:tcW w:w="773" w:type="pct"/>
          </w:tcPr>
          <w:p w14:paraId="02AFDC7C"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2FAA2191" w14:textId="77777777" w:rsidR="003D6BF3" w:rsidRPr="00710139" w:rsidRDefault="003D6BF3" w:rsidP="00D33137">
            <w:pPr>
              <w:pStyle w:val="naisf"/>
              <w:spacing w:before="0" w:after="0"/>
              <w:jc w:val="center"/>
              <w:rPr>
                <w:lang w:eastAsia="en-GB"/>
              </w:rPr>
            </w:pPr>
            <w:r w:rsidRPr="00710139">
              <w:rPr>
                <w:lang w:eastAsia="en-GB"/>
              </w:rPr>
              <w:t>0</w:t>
            </w:r>
          </w:p>
        </w:tc>
        <w:tc>
          <w:tcPr>
            <w:tcW w:w="824" w:type="pct"/>
          </w:tcPr>
          <w:p w14:paraId="2CD68B13" w14:textId="77777777" w:rsidR="003D6BF3" w:rsidRPr="00710139" w:rsidRDefault="003D6BF3" w:rsidP="00D33137">
            <w:pPr>
              <w:pStyle w:val="naisf"/>
              <w:spacing w:before="0" w:after="0"/>
              <w:jc w:val="center"/>
              <w:rPr>
                <w:lang w:eastAsia="en-GB"/>
              </w:rPr>
            </w:pPr>
            <w:r w:rsidRPr="00710139">
              <w:rPr>
                <w:lang w:eastAsia="en-GB"/>
              </w:rPr>
              <w:t>0</w:t>
            </w:r>
          </w:p>
        </w:tc>
        <w:tc>
          <w:tcPr>
            <w:tcW w:w="681" w:type="pct"/>
          </w:tcPr>
          <w:p w14:paraId="3DA228C0" w14:textId="77777777" w:rsidR="003D6BF3" w:rsidRPr="00710139" w:rsidRDefault="003D6BF3" w:rsidP="00D33137">
            <w:pPr>
              <w:pStyle w:val="naisf"/>
              <w:spacing w:before="0" w:after="0"/>
              <w:jc w:val="center"/>
              <w:rPr>
                <w:lang w:eastAsia="en-GB"/>
              </w:rPr>
            </w:pPr>
            <w:r w:rsidRPr="00710139">
              <w:rPr>
                <w:lang w:eastAsia="en-GB"/>
              </w:rPr>
              <w:t>0</w:t>
            </w:r>
          </w:p>
        </w:tc>
      </w:tr>
      <w:tr w:rsidR="00710139" w:rsidRPr="00710139" w14:paraId="26402D22" w14:textId="77777777" w:rsidTr="009F0D53">
        <w:trPr>
          <w:jc w:val="center"/>
        </w:trPr>
        <w:tc>
          <w:tcPr>
            <w:tcW w:w="1066" w:type="pct"/>
          </w:tcPr>
          <w:p w14:paraId="1AA73E2D" w14:textId="77777777" w:rsidR="003D6BF3" w:rsidRPr="00710139" w:rsidRDefault="003D6BF3" w:rsidP="00D33137">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t>6. Detalizēts ieņēmumu un izdevu</w:t>
            </w:r>
            <w:r w:rsidRPr="00710139">
              <w:rPr>
                <w:rFonts w:ascii="Times New Roman" w:hAnsi="Times New Roman" w:cs="Times New Roman"/>
                <w:sz w:val="24"/>
                <w:szCs w:val="24"/>
              </w:rPr>
              <w:softHyphen/>
              <w:t>mu aprēķins (ja nepieciešams, detalizētu ieņēmumu un izdevumu aprēķinu var pievienot anotācijas pielikumā):</w:t>
            </w:r>
          </w:p>
        </w:tc>
        <w:tc>
          <w:tcPr>
            <w:tcW w:w="3934" w:type="pct"/>
            <w:gridSpan w:val="5"/>
            <w:vMerge w:val="restart"/>
          </w:tcPr>
          <w:p w14:paraId="7F1D6888" w14:textId="0E921B4A" w:rsidR="003D6BF3" w:rsidRPr="00710139" w:rsidRDefault="00A56A2D" w:rsidP="00466CBC">
            <w:pPr>
              <w:pStyle w:val="naisf"/>
              <w:spacing w:before="0" w:after="0"/>
              <w:ind w:firstLine="0"/>
              <w:rPr>
                <w:highlight w:val="yellow"/>
                <w:lang w:eastAsia="en-GB"/>
              </w:rPr>
            </w:pPr>
            <w:r w:rsidRPr="00710139">
              <w:rPr>
                <w:lang w:eastAsia="en-GB"/>
              </w:rPr>
              <w:t>Nav.</w:t>
            </w:r>
          </w:p>
        </w:tc>
      </w:tr>
      <w:tr w:rsidR="00710139" w:rsidRPr="00710139" w14:paraId="491378F5" w14:textId="77777777" w:rsidTr="009F0D53">
        <w:trPr>
          <w:jc w:val="center"/>
        </w:trPr>
        <w:tc>
          <w:tcPr>
            <w:tcW w:w="1066" w:type="pct"/>
          </w:tcPr>
          <w:p w14:paraId="0710316B" w14:textId="77777777" w:rsidR="003D6BF3" w:rsidRPr="00710139" w:rsidRDefault="003D6BF3" w:rsidP="009F0D53">
            <w:pPr>
              <w:spacing w:line="240" w:lineRule="auto"/>
              <w:rPr>
                <w:rFonts w:ascii="Times New Roman" w:hAnsi="Times New Roman" w:cs="Times New Roman"/>
                <w:sz w:val="24"/>
                <w:szCs w:val="24"/>
              </w:rPr>
            </w:pPr>
            <w:r w:rsidRPr="00710139">
              <w:rPr>
                <w:rFonts w:ascii="Times New Roman" w:hAnsi="Times New Roman" w:cs="Times New Roman"/>
                <w:sz w:val="24"/>
                <w:szCs w:val="24"/>
              </w:rPr>
              <w:lastRenderedPageBreak/>
              <w:t>6.1. detalizēts ieņēmumu aprēķins</w:t>
            </w:r>
          </w:p>
        </w:tc>
        <w:tc>
          <w:tcPr>
            <w:tcW w:w="3934" w:type="pct"/>
            <w:gridSpan w:val="5"/>
            <w:vMerge/>
            <w:vAlign w:val="center"/>
          </w:tcPr>
          <w:p w14:paraId="134494F7" w14:textId="77777777" w:rsidR="003D6BF3" w:rsidRPr="00710139" w:rsidRDefault="003D6BF3" w:rsidP="009F0D53">
            <w:pPr>
              <w:spacing w:line="240" w:lineRule="auto"/>
              <w:rPr>
                <w:rFonts w:ascii="Times New Roman" w:hAnsi="Times New Roman" w:cs="Times New Roman"/>
                <w:sz w:val="24"/>
                <w:szCs w:val="24"/>
                <w:highlight w:val="yellow"/>
                <w:lang w:eastAsia="en-GB"/>
              </w:rPr>
            </w:pPr>
          </w:p>
        </w:tc>
      </w:tr>
      <w:tr w:rsidR="00710139" w:rsidRPr="00710139" w14:paraId="218DA58E" w14:textId="77777777" w:rsidTr="009F0D53">
        <w:trPr>
          <w:trHeight w:val="661"/>
          <w:jc w:val="center"/>
        </w:trPr>
        <w:tc>
          <w:tcPr>
            <w:tcW w:w="1066" w:type="pct"/>
          </w:tcPr>
          <w:p w14:paraId="0B1435CF" w14:textId="77777777" w:rsidR="003D6BF3" w:rsidRPr="00710139" w:rsidRDefault="003D6BF3" w:rsidP="009F0D53">
            <w:pPr>
              <w:spacing w:line="240" w:lineRule="auto"/>
              <w:rPr>
                <w:rFonts w:ascii="Times New Roman" w:hAnsi="Times New Roman" w:cs="Times New Roman"/>
                <w:sz w:val="24"/>
                <w:szCs w:val="24"/>
              </w:rPr>
            </w:pPr>
            <w:r w:rsidRPr="00710139">
              <w:rPr>
                <w:rFonts w:ascii="Times New Roman" w:hAnsi="Times New Roman" w:cs="Times New Roman"/>
                <w:sz w:val="24"/>
                <w:szCs w:val="24"/>
              </w:rPr>
              <w:t>6.2. detalizēts izdevumu aprēķins</w:t>
            </w:r>
          </w:p>
        </w:tc>
        <w:tc>
          <w:tcPr>
            <w:tcW w:w="3934" w:type="pct"/>
            <w:gridSpan w:val="5"/>
            <w:vMerge/>
            <w:vAlign w:val="center"/>
          </w:tcPr>
          <w:p w14:paraId="216101C5" w14:textId="77777777" w:rsidR="003D6BF3" w:rsidRPr="00710139" w:rsidRDefault="003D6BF3" w:rsidP="009F0D53">
            <w:pPr>
              <w:spacing w:line="240" w:lineRule="auto"/>
              <w:rPr>
                <w:rFonts w:ascii="Times New Roman" w:hAnsi="Times New Roman" w:cs="Times New Roman"/>
                <w:sz w:val="24"/>
                <w:szCs w:val="24"/>
                <w:highlight w:val="yellow"/>
                <w:lang w:eastAsia="en-GB"/>
              </w:rPr>
            </w:pPr>
          </w:p>
        </w:tc>
      </w:tr>
      <w:tr w:rsidR="00710139" w:rsidRPr="00710139" w14:paraId="74EF9BC9" w14:textId="77777777" w:rsidTr="009F0D53">
        <w:trPr>
          <w:trHeight w:val="814"/>
          <w:jc w:val="center"/>
        </w:trPr>
        <w:tc>
          <w:tcPr>
            <w:tcW w:w="1066" w:type="pct"/>
            <w:shd w:val="clear" w:color="auto" w:fill="auto"/>
          </w:tcPr>
          <w:p w14:paraId="5214FAE6" w14:textId="77777777" w:rsidR="003D6BF3" w:rsidRPr="00710139" w:rsidRDefault="003D6BF3" w:rsidP="009F0D53">
            <w:pPr>
              <w:spacing w:line="240" w:lineRule="auto"/>
              <w:rPr>
                <w:rFonts w:ascii="Times New Roman" w:hAnsi="Times New Roman" w:cs="Times New Roman"/>
                <w:sz w:val="24"/>
                <w:szCs w:val="24"/>
              </w:rPr>
            </w:pPr>
            <w:r w:rsidRPr="00710139">
              <w:rPr>
                <w:rFonts w:ascii="Times New Roman" w:hAnsi="Times New Roman" w:cs="Times New Roman"/>
                <w:sz w:val="24"/>
                <w:szCs w:val="24"/>
              </w:rPr>
              <w:t>7. Cita informācija</w:t>
            </w:r>
          </w:p>
        </w:tc>
        <w:tc>
          <w:tcPr>
            <w:tcW w:w="3934" w:type="pct"/>
            <w:gridSpan w:val="5"/>
            <w:shd w:val="clear" w:color="auto" w:fill="auto"/>
          </w:tcPr>
          <w:p w14:paraId="09EA19E2" w14:textId="77777777" w:rsidR="003D6BF3" w:rsidRPr="00710139" w:rsidRDefault="003D6BF3" w:rsidP="009F0D53">
            <w:pPr>
              <w:pStyle w:val="NormalWeb"/>
              <w:spacing w:before="0" w:beforeAutospacing="0" w:after="0" w:afterAutospacing="0"/>
              <w:jc w:val="both"/>
            </w:pPr>
            <w:r w:rsidRPr="00710139">
              <w:t>Nav.</w:t>
            </w:r>
          </w:p>
        </w:tc>
      </w:tr>
    </w:tbl>
    <w:p w14:paraId="6D4F40D3" w14:textId="77777777" w:rsidR="003D6BF3" w:rsidRPr="00710139" w:rsidRDefault="003D6BF3" w:rsidP="00F87952">
      <w:pPr>
        <w:spacing w:after="0" w:line="240" w:lineRule="auto"/>
        <w:rPr>
          <w:rFonts w:ascii="Times New Roman" w:eastAsia="Times New Roman" w:hAnsi="Times New Roman" w:cs="Times New Roman"/>
          <w:bCs/>
          <w:sz w:val="24"/>
          <w:szCs w:val="24"/>
          <w:lang w:eastAsia="lv-LV"/>
        </w:rPr>
      </w:pPr>
    </w:p>
    <w:p w14:paraId="18161B4E"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2975"/>
        <w:gridCol w:w="5520"/>
      </w:tblGrid>
      <w:tr w:rsidR="00710139" w:rsidRPr="00710139" w14:paraId="71E1A8C9" w14:textId="77777777"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231EA"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IV. Tiesību akta projekta ietekme uz spēkā esošo tiesību normu sistēmu</w:t>
            </w:r>
          </w:p>
        </w:tc>
      </w:tr>
      <w:tr w:rsidR="00710139" w:rsidRPr="00710139" w14:paraId="3766F74E" w14:textId="77777777" w:rsidTr="004D17A3">
        <w:tc>
          <w:tcPr>
            <w:tcW w:w="309" w:type="pct"/>
            <w:tcBorders>
              <w:top w:val="outset" w:sz="6" w:space="0" w:color="414142"/>
              <w:left w:val="outset" w:sz="6" w:space="0" w:color="414142"/>
              <w:bottom w:val="outset" w:sz="6" w:space="0" w:color="414142"/>
              <w:right w:val="outset" w:sz="6" w:space="0" w:color="414142"/>
            </w:tcBorders>
          </w:tcPr>
          <w:p w14:paraId="5E140754" w14:textId="6550999E" w:rsidR="004D17A3" w:rsidRPr="00710139" w:rsidRDefault="004D17A3" w:rsidP="004D17A3">
            <w:pPr>
              <w:pStyle w:val="naiskr"/>
              <w:spacing w:before="0" w:after="0"/>
              <w:ind w:right="81"/>
            </w:pPr>
            <w:r w:rsidRPr="00710139">
              <w:t>1.</w:t>
            </w:r>
          </w:p>
        </w:tc>
        <w:tc>
          <w:tcPr>
            <w:tcW w:w="1643" w:type="pct"/>
            <w:tcBorders>
              <w:top w:val="outset" w:sz="6" w:space="0" w:color="414142"/>
              <w:left w:val="outset" w:sz="6" w:space="0" w:color="414142"/>
              <w:bottom w:val="outset" w:sz="6" w:space="0" w:color="414142"/>
              <w:right w:val="outset" w:sz="6" w:space="0" w:color="414142"/>
            </w:tcBorders>
          </w:tcPr>
          <w:p w14:paraId="416A1608" w14:textId="60222587" w:rsidR="004D17A3" w:rsidRPr="00710139" w:rsidRDefault="004D17A3" w:rsidP="00AE21CC">
            <w:pPr>
              <w:pStyle w:val="naiskr"/>
              <w:spacing w:before="100" w:beforeAutospacing="1" w:after="100" w:afterAutospacing="1"/>
              <w:ind w:right="79"/>
            </w:pPr>
            <w:r w:rsidRPr="00710139">
              <w:t>Nepieciešamie saistītie tiesību aktu projekti</w:t>
            </w:r>
          </w:p>
        </w:tc>
        <w:tc>
          <w:tcPr>
            <w:tcW w:w="3048" w:type="pct"/>
            <w:tcBorders>
              <w:top w:val="outset" w:sz="6" w:space="0" w:color="414142"/>
              <w:left w:val="outset" w:sz="6" w:space="0" w:color="414142"/>
              <w:bottom w:val="outset" w:sz="6" w:space="0" w:color="414142"/>
              <w:right w:val="outset" w:sz="6" w:space="0" w:color="414142"/>
            </w:tcBorders>
            <w:shd w:val="clear" w:color="auto" w:fill="FFFFFF"/>
          </w:tcPr>
          <w:p w14:paraId="79150B7F" w14:textId="70DFA4AD" w:rsidR="004D17A3" w:rsidRPr="00710139" w:rsidRDefault="00B96971" w:rsidP="00AE21CC">
            <w:pPr>
              <w:pStyle w:val="naiskr"/>
              <w:spacing w:before="100" w:beforeAutospacing="1" w:after="100" w:afterAutospacing="1"/>
              <w:ind w:right="79"/>
            </w:pPr>
            <w:r w:rsidRPr="00710139">
              <w:t>Nav.</w:t>
            </w:r>
          </w:p>
        </w:tc>
      </w:tr>
      <w:tr w:rsidR="00710139" w:rsidRPr="00710139" w14:paraId="7C8AFD52" w14:textId="77777777" w:rsidTr="004D17A3">
        <w:trPr>
          <w:trHeight w:val="35"/>
        </w:trPr>
        <w:tc>
          <w:tcPr>
            <w:tcW w:w="309" w:type="pct"/>
            <w:tcBorders>
              <w:top w:val="outset" w:sz="6" w:space="0" w:color="414142"/>
              <w:left w:val="outset" w:sz="6" w:space="0" w:color="414142"/>
              <w:bottom w:val="outset" w:sz="6" w:space="0" w:color="414142"/>
              <w:right w:val="outset" w:sz="6" w:space="0" w:color="414142"/>
            </w:tcBorders>
          </w:tcPr>
          <w:p w14:paraId="0D5696E8" w14:textId="190691CC" w:rsidR="004D17A3" w:rsidRPr="00710139" w:rsidRDefault="004D17A3" w:rsidP="004D17A3">
            <w:pPr>
              <w:pStyle w:val="naiskr"/>
              <w:spacing w:before="0" w:after="0"/>
              <w:ind w:right="81"/>
            </w:pPr>
            <w:r w:rsidRPr="00710139">
              <w:t>2.</w:t>
            </w:r>
          </w:p>
        </w:tc>
        <w:tc>
          <w:tcPr>
            <w:tcW w:w="1643" w:type="pct"/>
            <w:tcBorders>
              <w:top w:val="outset" w:sz="6" w:space="0" w:color="414142"/>
              <w:left w:val="outset" w:sz="6" w:space="0" w:color="414142"/>
              <w:bottom w:val="outset" w:sz="6" w:space="0" w:color="414142"/>
              <w:right w:val="outset" w:sz="6" w:space="0" w:color="414142"/>
            </w:tcBorders>
          </w:tcPr>
          <w:p w14:paraId="4DE7FFF2" w14:textId="2C140C36" w:rsidR="004D17A3" w:rsidRPr="00710139" w:rsidRDefault="004D17A3" w:rsidP="00AE21CC">
            <w:pPr>
              <w:pStyle w:val="naiskr"/>
              <w:spacing w:before="100" w:beforeAutospacing="1" w:after="100" w:afterAutospacing="1"/>
              <w:ind w:right="79"/>
            </w:pPr>
            <w:r w:rsidRPr="00710139">
              <w:t>Atbildīgā institūcija</w:t>
            </w:r>
          </w:p>
        </w:tc>
        <w:tc>
          <w:tcPr>
            <w:tcW w:w="3048" w:type="pct"/>
            <w:tcBorders>
              <w:top w:val="outset" w:sz="6" w:space="0" w:color="414142"/>
              <w:left w:val="outset" w:sz="6" w:space="0" w:color="414142"/>
              <w:bottom w:val="outset" w:sz="6" w:space="0" w:color="414142"/>
              <w:right w:val="outset" w:sz="6" w:space="0" w:color="414142"/>
            </w:tcBorders>
            <w:shd w:val="clear" w:color="auto" w:fill="FFFFFF"/>
          </w:tcPr>
          <w:p w14:paraId="5852D38F" w14:textId="53C26770" w:rsidR="004D17A3" w:rsidRPr="00710139" w:rsidRDefault="00B96971" w:rsidP="00AE21CC">
            <w:pPr>
              <w:pStyle w:val="naiskr"/>
              <w:spacing w:before="100" w:beforeAutospacing="1" w:after="100" w:afterAutospacing="1"/>
              <w:ind w:right="79"/>
            </w:pPr>
            <w:r w:rsidRPr="00710139">
              <w:t>Nav.</w:t>
            </w:r>
          </w:p>
        </w:tc>
      </w:tr>
      <w:tr w:rsidR="00710139" w:rsidRPr="00710139" w14:paraId="58D39BE3" w14:textId="77777777" w:rsidTr="004D17A3">
        <w:trPr>
          <w:trHeight w:val="35"/>
        </w:trPr>
        <w:tc>
          <w:tcPr>
            <w:tcW w:w="309" w:type="pct"/>
            <w:tcBorders>
              <w:top w:val="outset" w:sz="6" w:space="0" w:color="414142"/>
              <w:left w:val="outset" w:sz="6" w:space="0" w:color="414142"/>
              <w:bottom w:val="outset" w:sz="6" w:space="0" w:color="414142"/>
              <w:right w:val="outset" w:sz="6" w:space="0" w:color="414142"/>
            </w:tcBorders>
          </w:tcPr>
          <w:p w14:paraId="01D7BE4F" w14:textId="7C3239B2" w:rsidR="004D17A3" w:rsidRPr="00710139" w:rsidRDefault="004D17A3" w:rsidP="004D17A3">
            <w:pPr>
              <w:pStyle w:val="naiskr"/>
              <w:spacing w:before="0" w:after="0"/>
              <w:ind w:right="81"/>
            </w:pPr>
            <w:r w:rsidRPr="00710139">
              <w:t>3.</w:t>
            </w:r>
          </w:p>
        </w:tc>
        <w:tc>
          <w:tcPr>
            <w:tcW w:w="1643" w:type="pct"/>
            <w:tcBorders>
              <w:top w:val="outset" w:sz="6" w:space="0" w:color="414142"/>
              <w:left w:val="outset" w:sz="6" w:space="0" w:color="414142"/>
              <w:bottom w:val="outset" w:sz="6" w:space="0" w:color="414142"/>
              <w:right w:val="outset" w:sz="6" w:space="0" w:color="414142"/>
            </w:tcBorders>
          </w:tcPr>
          <w:p w14:paraId="4CAC82B0" w14:textId="2DDC4EE9" w:rsidR="004D17A3" w:rsidRPr="00710139" w:rsidRDefault="004D17A3" w:rsidP="00AE21CC">
            <w:pPr>
              <w:pStyle w:val="naiskr"/>
              <w:spacing w:before="100" w:beforeAutospacing="1" w:after="100" w:afterAutospacing="1"/>
              <w:ind w:right="79"/>
            </w:pPr>
            <w:r w:rsidRPr="00710139">
              <w:t>Cita informācija</w:t>
            </w:r>
          </w:p>
        </w:tc>
        <w:tc>
          <w:tcPr>
            <w:tcW w:w="3048" w:type="pct"/>
            <w:tcBorders>
              <w:top w:val="outset" w:sz="6" w:space="0" w:color="414142"/>
              <w:left w:val="outset" w:sz="6" w:space="0" w:color="414142"/>
              <w:bottom w:val="outset" w:sz="6" w:space="0" w:color="414142"/>
              <w:right w:val="outset" w:sz="6" w:space="0" w:color="414142"/>
            </w:tcBorders>
            <w:shd w:val="clear" w:color="auto" w:fill="FFFFFF"/>
          </w:tcPr>
          <w:p w14:paraId="111E774E" w14:textId="640706DB" w:rsidR="004D17A3" w:rsidRPr="00710139" w:rsidRDefault="00B96971" w:rsidP="00B96971">
            <w:pPr>
              <w:pStyle w:val="naiskr"/>
              <w:spacing w:before="100" w:beforeAutospacing="1" w:after="100" w:afterAutospacing="1"/>
              <w:ind w:right="79"/>
            </w:pPr>
            <w:r w:rsidRPr="00710139">
              <w:t>Nav</w:t>
            </w:r>
          </w:p>
        </w:tc>
      </w:tr>
    </w:tbl>
    <w:p w14:paraId="042A4208"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10139" w:rsidRPr="00710139" w14:paraId="361CB6CD" w14:textId="77777777"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3E673"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V. Tiesību akta projekta atbilstība Latvijas Republikas starptautiskajām saistībām</w:t>
            </w:r>
          </w:p>
        </w:tc>
      </w:tr>
      <w:tr w:rsidR="00710139" w:rsidRPr="00710139" w14:paraId="66688DF0" w14:textId="77777777"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69D94F7" w14:textId="77777777" w:rsidR="00A60038" w:rsidRPr="00710139" w:rsidRDefault="00A60038" w:rsidP="00A60038">
            <w:pPr>
              <w:spacing w:after="0" w:line="240" w:lineRule="auto"/>
              <w:jc w:val="center"/>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t xml:space="preserve">Noteikumu projekts </w:t>
            </w:r>
            <w:r w:rsidRPr="00710139">
              <w:rPr>
                <w:rFonts w:ascii="Times New Roman" w:eastAsia="Times New Roman" w:hAnsi="Times New Roman" w:cs="Times New Roman"/>
                <w:sz w:val="24"/>
                <w:szCs w:val="24"/>
                <w:lang w:eastAsia="lv-LV"/>
              </w:rPr>
              <w:t>šo jomu neskar.</w:t>
            </w:r>
          </w:p>
        </w:tc>
      </w:tr>
    </w:tbl>
    <w:p w14:paraId="541A1198"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p w14:paraId="00EEC70A"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108"/>
        <w:gridCol w:w="7059"/>
      </w:tblGrid>
      <w:tr w:rsidR="00710139" w:rsidRPr="00710139" w14:paraId="609FFEEB" w14:textId="77777777" w:rsidTr="009F0D53">
        <w:trPr>
          <w:trHeight w:val="420"/>
        </w:trPr>
        <w:tc>
          <w:tcPr>
            <w:tcW w:w="5000" w:type="pct"/>
            <w:gridSpan w:val="2"/>
            <w:tcBorders>
              <w:top w:val="outset" w:sz="6" w:space="0" w:color="414142"/>
              <w:bottom w:val="outset" w:sz="6" w:space="0" w:color="414142"/>
            </w:tcBorders>
            <w:vAlign w:val="center"/>
          </w:tcPr>
          <w:p w14:paraId="42D781EB" w14:textId="77777777" w:rsidR="00B96971" w:rsidRPr="00710139" w:rsidRDefault="00B96971" w:rsidP="009F0D53">
            <w:pPr>
              <w:spacing w:after="0" w:line="240" w:lineRule="auto"/>
              <w:ind w:firstLine="300"/>
              <w:jc w:val="center"/>
              <w:rPr>
                <w:rFonts w:ascii="Times New Roman" w:hAnsi="Times New Roman" w:cs="Times New Roman"/>
                <w:b/>
                <w:bCs/>
                <w:sz w:val="24"/>
                <w:szCs w:val="24"/>
                <w:highlight w:val="yellow"/>
                <w:lang w:eastAsia="lv-LV"/>
              </w:rPr>
            </w:pPr>
            <w:r w:rsidRPr="00710139">
              <w:rPr>
                <w:rFonts w:ascii="Times New Roman" w:hAnsi="Times New Roman" w:cs="Times New Roman"/>
                <w:b/>
                <w:bCs/>
                <w:sz w:val="24"/>
                <w:szCs w:val="24"/>
                <w:lang w:eastAsia="lv-LV"/>
              </w:rPr>
              <w:t>VI. Sabiedrības līdzdalība un komunikācijas aktivitātes</w:t>
            </w:r>
          </w:p>
        </w:tc>
      </w:tr>
      <w:tr w:rsidR="00710139" w:rsidRPr="00710139" w14:paraId="13991E13" w14:textId="77777777" w:rsidTr="00F02871">
        <w:trPr>
          <w:trHeight w:val="540"/>
        </w:trPr>
        <w:tc>
          <w:tcPr>
            <w:tcW w:w="1150" w:type="pct"/>
            <w:tcBorders>
              <w:top w:val="outset" w:sz="6" w:space="0" w:color="414142"/>
              <w:left w:val="outset" w:sz="6" w:space="0" w:color="414142"/>
              <w:bottom w:val="outset" w:sz="6" w:space="0" w:color="414142"/>
              <w:right w:val="outset" w:sz="6" w:space="0" w:color="414142"/>
            </w:tcBorders>
          </w:tcPr>
          <w:p w14:paraId="75036272" w14:textId="77777777"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t>Plānotās sabiedrības līdzdalības un komunikācijas aktivitātes saistībā ar projektu</w:t>
            </w:r>
          </w:p>
        </w:tc>
        <w:tc>
          <w:tcPr>
            <w:tcW w:w="3850" w:type="pct"/>
            <w:tcBorders>
              <w:top w:val="outset" w:sz="6" w:space="0" w:color="414142"/>
              <w:left w:val="outset" w:sz="6" w:space="0" w:color="414142"/>
              <w:bottom w:val="outset" w:sz="6" w:space="0" w:color="414142"/>
            </w:tcBorders>
          </w:tcPr>
          <w:p w14:paraId="1DE4B0E4" w14:textId="29207EF0" w:rsidR="00B96971" w:rsidRPr="006E2EE9" w:rsidRDefault="00B96971" w:rsidP="009F0D53">
            <w:pPr>
              <w:spacing w:after="0" w:line="240" w:lineRule="auto"/>
              <w:jc w:val="both"/>
              <w:rPr>
                <w:rFonts w:ascii="Times New Roman" w:hAnsi="Times New Roman" w:cs="Times New Roman"/>
                <w:color w:val="000000" w:themeColor="text1"/>
                <w:sz w:val="24"/>
                <w:szCs w:val="24"/>
              </w:rPr>
            </w:pPr>
            <w:r w:rsidRPr="006E2EE9">
              <w:rPr>
                <w:rFonts w:ascii="Times New Roman" w:hAnsi="Times New Roman" w:cs="Times New Roman"/>
                <w:color w:val="000000" w:themeColor="text1"/>
                <w:sz w:val="24"/>
                <w:szCs w:val="24"/>
              </w:rPr>
              <w:t xml:space="preserve">Lai informētu sabiedrību par </w:t>
            </w:r>
            <w:r w:rsidR="00796092" w:rsidRPr="006E2EE9">
              <w:rPr>
                <w:rFonts w:ascii="Times New Roman" w:hAnsi="Times New Roman" w:cs="Times New Roman"/>
                <w:color w:val="000000" w:themeColor="text1"/>
                <w:sz w:val="24"/>
                <w:szCs w:val="24"/>
              </w:rPr>
              <w:t xml:space="preserve">noteikumu projektu </w:t>
            </w:r>
            <w:r w:rsidRPr="006E2EE9">
              <w:rPr>
                <w:rFonts w:ascii="Times New Roman" w:hAnsi="Times New Roman" w:cs="Times New Roman"/>
                <w:color w:val="000000" w:themeColor="text1"/>
                <w:sz w:val="24"/>
                <w:szCs w:val="24"/>
              </w:rPr>
              <w:t xml:space="preserve">un nodrošinātu iespēju izteikt viedokli, </w:t>
            </w:r>
            <w:r w:rsidR="00796092" w:rsidRPr="006E2EE9">
              <w:rPr>
                <w:rFonts w:ascii="Times New Roman" w:hAnsi="Times New Roman" w:cs="Times New Roman"/>
                <w:color w:val="000000" w:themeColor="text1"/>
                <w:sz w:val="24"/>
                <w:szCs w:val="24"/>
              </w:rPr>
              <w:t xml:space="preserve">noteikumu projekts </w:t>
            </w:r>
            <w:r w:rsidRPr="006E2EE9">
              <w:rPr>
                <w:rFonts w:ascii="Times New Roman" w:hAnsi="Times New Roman" w:cs="Times New Roman"/>
                <w:color w:val="000000" w:themeColor="text1"/>
                <w:sz w:val="24"/>
                <w:szCs w:val="24"/>
              </w:rPr>
              <w:t xml:space="preserve">pirms tā iesniegšanas Valsts sekretāru sanāksmē 2019. gada </w:t>
            </w:r>
            <w:r w:rsidR="00051147" w:rsidRPr="006E2EE9">
              <w:rPr>
                <w:rFonts w:ascii="Times New Roman" w:hAnsi="Times New Roman" w:cs="Times New Roman"/>
                <w:color w:val="000000" w:themeColor="text1"/>
                <w:sz w:val="24"/>
                <w:szCs w:val="24"/>
              </w:rPr>
              <w:t>22. janvārī</w:t>
            </w:r>
            <w:r w:rsidRPr="006E2EE9">
              <w:rPr>
                <w:rFonts w:ascii="Times New Roman" w:hAnsi="Times New Roman" w:cs="Times New Roman"/>
                <w:color w:val="000000" w:themeColor="text1"/>
                <w:sz w:val="24"/>
                <w:szCs w:val="24"/>
              </w:rPr>
              <w:t xml:space="preserve"> ievietots </w:t>
            </w:r>
            <w:r w:rsidR="00796092" w:rsidRPr="006E2EE9">
              <w:rPr>
                <w:rFonts w:ascii="Times New Roman" w:hAnsi="Times New Roman" w:cs="Times New Roman"/>
                <w:color w:val="000000" w:themeColor="text1"/>
                <w:sz w:val="24"/>
                <w:szCs w:val="24"/>
              </w:rPr>
              <w:t xml:space="preserve">Izglītības un zinātnes ministrijas </w:t>
            </w:r>
            <w:r w:rsidRPr="006E2EE9">
              <w:rPr>
                <w:rFonts w:ascii="Times New Roman" w:hAnsi="Times New Roman" w:cs="Times New Roman"/>
                <w:color w:val="000000" w:themeColor="text1"/>
                <w:sz w:val="24"/>
                <w:szCs w:val="24"/>
              </w:rPr>
              <w:t xml:space="preserve">tīmekļa vietnē </w:t>
            </w:r>
            <w:hyperlink r:id="rId9" w:history="1">
              <w:r w:rsidR="00136573" w:rsidRPr="006E2EE9">
                <w:rPr>
                  <w:rStyle w:val="Hyperlink"/>
                  <w:rFonts w:ascii="Times New Roman" w:hAnsi="Times New Roman"/>
                  <w:color w:val="000000" w:themeColor="text1"/>
                  <w:sz w:val="24"/>
                  <w:szCs w:val="24"/>
                </w:rPr>
                <w:t>http://izm.gov.lv/lv/sabiedribas-lidzdaliba</w:t>
              </w:r>
            </w:hyperlink>
            <w:r w:rsidR="009C51F6" w:rsidRPr="006E2EE9">
              <w:rPr>
                <w:rFonts w:ascii="Times New Roman" w:hAnsi="Times New Roman" w:cs="Times New Roman"/>
                <w:color w:val="000000" w:themeColor="text1"/>
                <w:sz w:val="24"/>
                <w:szCs w:val="24"/>
              </w:rPr>
              <w:t>.</w:t>
            </w:r>
          </w:p>
          <w:p w14:paraId="6962EFDF" w14:textId="5C111B50" w:rsidR="00B96971" w:rsidRPr="006E2EE9" w:rsidRDefault="00B96971" w:rsidP="009F0D53">
            <w:pPr>
              <w:spacing w:after="0" w:line="240" w:lineRule="auto"/>
              <w:jc w:val="both"/>
              <w:rPr>
                <w:rFonts w:ascii="Times New Roman" w:hAnsi="Times New Roman" w:cs="Times New Roman"/>
                <w:color w:val="000000" w:themeColor="text1"/>
                <w:sz w:val="24"/>
                <w:szCs w:val="24"/>
                <w:highlight w:val="yellow"/>
              </w:rPr>
            </w:pPr>
          </w:p>
        </w:tc>
      </w:tr>
      <w:tr w:rsidR="00710139" w:rsidRPr="00710139" w14:paraId="453903B0" w14:textId="77777777" w:rsidTr="00F02871">
        <w:trPr>
          <w:trHeight w:val="330"/>
        </w:trPr>
        <w:tc>
          <w:tcPr>
            <w:tcW w:w="1150" w:type="pct"/>
            <w:tcBorders>
              <w:top w:val="outset" w:sz="6" w:space="0" w:color="414142"/>
              <w:left w:val="outset" w:sz="6" w:space="0" w:color="414142"/>
              <w:bottom w:val="outset" w:sz="6" w:space="0" w:color="414142"/>
              <w:right w:val="outset" w:sz="6" w:space="0" w:color="414142"/>
            </w:tcBorders>
          </w:tcPr>
          <w:p w14:paraId="74236D21" w14:textId="77777777"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t>Sabiedrības līdzdalība projekta izstrādē</w:t>
            </w:r>
          </w:p>
        </w:tc>
        <w:tc>
          <w:tcPr>
            <w:tcW w:w="3850" w:type="pct"/>
            <w:tcBorders>
              <w:top w:val="outset" w:sz="6" w:space="0" w:color="414142"/>
              <w:left w:val="outset" w:sz="6" w:space="0" w:color="414142"/>
              <w:bottom w:val="outset" w:sz="6" w:space="0" w:color="414142"/>
            </w:tcBorders>
          </w:tcPr>
          <w:p w14:paraId="0E1E8DF7" w14:textId="34F5C5A9" w:rsidR="00B96971" w:rsidRPr="006E2EE9" w:rsidRDefault="008D2DB7" w:rsidP="000E707C">
            <w:pPr>
              <w:spacing w:after="0" w:line="240" w:lineRule="auto"/>
              <w:jc w:val="both"/>
              <w:rPr>
                <w:rFonts w:ascii="Times New Roman" w:hAnsi="Times New Roman" w:cs="Times New Roman"/>
                <w:color w:val="000000" w:themeColor="text1"/>
                <w:sz w:val="24"/>
                <w:szCs w:val="24"/>
                <w:lang w:eastAsia="lv-LV"/>
              </w:rPr>
            </w:pPr>
            <w:r w:rsidRPr="006E2EE9">
              <w:rPr>
                <w:rFonts w:ascii="Times New Roman" w:hAnsi="Times New Roman" w:cs="Times New Roman"/>
                <w:color w:val="000000" w:themeColor="text1"/>
                <w:sz w:val="24"/>
                <w:szCs w:val="24"/>
                <w:lang w:eastAsia="lv-LV"/>
              </w:rPr>
              <w:t>Sabiedrības pārstāvju viedokļi par Izglītības un zinātnes ministrijas tīmekļa vietnē ievietoto projektu netika saņemti.</w:t>
            </w:r>
            <w:r w:rsidR="00EF3D98" w:rsidRPr="006E2EE9">
              <w:rPr>
                <w:rFonts w:ascii="Times New Roman" w:hAnsi="Times New Roman" w:cs="Times New Roman"/>
                <w:color w:val="000000" w:themeColor="text1"/>
                <w:sz w:val="24"/>
                <w:szCs w:val="24"/>
                <w:lang w:eastAsia="lv-LV"/>
              </w:rPr>
              <w:t xml:space="preserve"> </w:t>
            </w:r>
            <w:r w:rsidR="000E707C" w:rsidRPr="006E2EE9">
              <w:rPr>
                <w:rFonts w:ascii="Times New Roman" w:hAnsi="Times New Roman" w:cs="Times New Roman"/>
                <w:color w:val="000000" w:themeColor="text1"/>
                <w:sz w:val="24"/>
                <w:szCs w:val="24"/>
                <w:lang w:eastAsia="lv-LV"/>
              </w:rPr>
              <w:t xml:space="preserve">Viedokļi </w:t>
            </w:r>
            <w:r w:rsidR="00B96971" w:rsidRPr="006E2EE9">
              <w:rPr>
                <w:rFonts w:ascii="Times New Roman" w:hAnsi="Times New Roman" w:cs="Times New Roman"/>
                <w:color w:val="000000" w:themeColor="text1"/>
                <w:sz w:val="24"/>
                <w:szCs w:val="24"/>
                <w:lang w:eastAsia="lv-LV"/>
              </w:rPr>
              <w:t>pēc projekta pieteikšanas Valsts sekretāru sanāksmē</w:t>
            </w:r>
            <w:r w:rsidR="000E707C" w:rsidRPr="006E2EE9">
              <w:rPr>
                <w:rFonts w:ascii="Times New Roman" w:hAnsi="Times New Roman" w:cs="Times New Roman"/>
                <w:color w:val="000000" w:themeColor="text1"/>
                <w:sz w:val="24"/>
                <w:szCs w:val="24"/>
                <w:lang w:eastAsia="lv-LV"/>
              </w:rPr>
              <w:t xml:space="preserve"> netika saņemti.</w:t>
            </w:r>
          </w:p>
        </w:tc>
      </w:tr>
      <w:tr w:rsidR="00710139" w:rsidRPr="00710139" w14:paraId="7D23C95A" w14:textId="77777777" w:rsidTr="00F02871">
        <w:trPr>
          <w:trHeight w:val="465"/>
        </w:trPr>
        <w:tc>
          <w:tcPr>
            <w:tcW w:w="1150" w:type="pct"/>
            <w:tcBorders>
              <w:top w:val="outset" w:sz="6" w:space="0" w:color="414142"/>
              <w:left w:val="outset" w:sz="6" w:space="0" w:color="414142"/>
              <w:bottom w:val="outset" w:sz="6" w:space="0" w:color="414142"/>
              <w:right w:val="outset" w:sz="6" w:space="0" w:color="414142"/>
            </w:tcBorders>
          </w:tcPr>
          <w:p w14:paraId="374F514D" w14:textId="58A2C588"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t>Sabiedrības līdzdalības rezultāti</w:t>
            </w:r>
          </w:p>
        </w:tc>
        <w:tc>
          <w:tcPr>
            <w:tcW w:w="3850" w:type="pct"/>
            <w:tcBorders>
              <w:top w:val="outset" w:sz="6" w:space="0" w:color="414142"/>
              <w:left w:val="outset" w:sz="6" w:space="0" w:color="414142"/>
              <w:bottom w:val="outset" w:sz="6" w:space="0" w:color="414142"/>
            </w:tcBorders>
          </w:tcPr>
          <w:p w14:paraId="78EED30E" w14:textId="5F8FC078" w:rsidR="00B96971" w:rsidRPr="006E2EE9" w:rsidRDefault="00B96971" w:rsidP="00CE42FE">
            <w:pPr>
              <w:spacing w:after="0" w:line="240" w:lineRule="auto"/>
              <w:jc w:val="both"/>
              <w:rPr>
                <w:rFonts w:ascii="Times New Roman" w:hAnsi="Times New Roman" w:cs="Times New Roman"/>
                <w:color w:val="000000" w:themeColor="text1"/>
                <w:sz w:val="24"/>
                <w:szCs w:val="24"/>
              </w:rPr>
            </w:pPr>
            <w:r w:rsidRPr="006E2EE9">
              <w:rPr>
                <w:rFonts w:ascii="Times New Roman" w:hAnsi="Times New Roman" w:cs="Times New Roman"/>
                <w:color w:val="000000" w:themeColor="text1"/>
                <w:sz w:val="24"/>
                <w:szCs w:val="24"/>
              </w:rPr>
              <w:t xml:space="preserve">Par </w:t>
            </w:r>
            <w:r w:rsidR="00DC39DA" w:rsidRPr="006E2EE9">
              <w:rPr>
                <w:rFonts w:ascii="Times New Roman" w:hAnsi="Times New Roman" w:cs="Times New Roman"/>
                <w:color w:val="000000" w:themeColor="text1"/>
                <w:sz w:val="24"/>
                <w:szCs w:val="24"/>
              </w:rPr>
              <w:t xml:space="preserve">Izglītības un zinātnes ministrijas </w:t>
            </w:r>
            <w:r w:rsidRPr="006E2EE9">
              <w:rPr>
                <w:rFonts w:ascii="Times New Roman" w:hAnsi="Times New Roman" w:cs="Times New Roman"/>
                <w:color w:val="000000" w:themeColor="text1"/>
                <w:sz w:val="24"/>
                <w:szCs w:val="24"/>
              </w:rPr>
              <w:t>tīmekļa vietnē publiskoto noteikumu projektu sabiedrības viedokļi nav saņemti.</w:t>
            </w:r>
          </w:p>
        </w:tc>
      </w:tr>
      <w:tr w:rsidR="00710139" w:rsidRPr="00710139" w14:paraId="3A2C9574" w14:textId="77777777" w:rsidTr="00F02871">
        <w:trPr>
          <w:trHeight w:val="465"/>
        </w:trPr>
        <w:tc>
          <w:tcPr>
            <w:tcW w:w="1150" w:type="pct"/>
            <w:tcBorders>
              <w:top w:val="outset" w:sz="6" w:space="0" w:color="414142"/>
              <w:left w:val="outset" w:sz="6" w:space="0" w:color="414142"/>
              <w:bottom w:val="outset" w:sz="6" w:space="0" w:color="414142"/>
              <w:right w:val="outset" w:sz="6" w:space="0" w:color="414142"/>
            </w:tcBorders>
          </w:tcPr>
          <w:p w14:paraId="60F078E8" w14:textId="77777777" w:rsidR="00B96971" w:rsidRPr="00710139" w:rsidRDefault="00B96971" w:rsidP="009F0D53">
            <w:pPr>
              <w:spacing w:after="0" w:line="240" w:lineRule="auto"/>
              <w:rPr>
                <w:rFonts w:ascii="Times New Roman" w:hAnsi="Times New Roman" w:cs="Times New Roman"/>
                <w:sz w:val="24"/>
                <w:szCs w:val="24"/>
                <w:lang w:eastAsia="lv-LV"/>
              </w:rPr>
            </w:pPr>
            <w:r w:rsidRPr="00710139">
              <w:rPr>
                <w:rFonts w:ascii="Times New Roman" w:hAnsi="Times New Roman" w:cs="Times New Roman"/>
                <w:sz w:val="24"/>
                <w:szCs w:val="24"/>
                <w:lang w:eastAsia="lv-LV"/>
              </w:rPr>
              <w:t>Cita informācija</w:t>
            </w:r>
          </w:p>
        </w:tc>
        <w:tc>
          <w:tcPr>
            <w:tcW w:w="3850" w:type="pct"/>
            <w:tcBorders>
              <w:top w:val="outset" w:sz="6" w:space="0" w:color="414142"/>
              <w:left w:val="outset" w:sz="6" w:space="0" w:color="414142"/>
              <w:bottom w:val="outset" w:sz="6" w:space="0" w:color="414142"/>
            </w:tcBorders>
          </w:tcPr>
          <w:p w14:paraId="045B35D3" w14:textId="77777777" w:rsidR="00B96971" w:rsidRPr="00710139" w:rsidRDefault="00B96971" w:rsidP="009F0D53">
            <w:pPr>
              <w:spacing w:after="0" w:line="240" w:lineRule="auto"/>
              <w:jc w:val="both"/>
              <w:rPr>
                <w:rFonts w:ascii="Times New Roman" w:hAnsi="Times New Roman" w:cs="Times New Roman"/>
                <w:sz w:val="24"/>
                <w:szCs w:val="24"/>
                <w:lang w:eastAsia="lv-LV"/>
              </w:rPr>
            </w:pPr>
            <w:r w:rsidRPr="00710139">
              <w:rPr>
                <w:rFonts w:ascii="Times New Roman" w:hAnsi="Times New Roman" w:cs="Times New Roman"/>
                <w:sz w:val="24"/>
                <w:szCs w:val="24"/>
                <w:lang w:eastAsia="lv-LV"/>
              </w:rPr>
              <w:t>Nav.</w:t>
            </w:r>
          </w:p>
        </w:tc>
      </w:tr>
    </w:tbl>
    <w:p w14:paraId="7C9EF139" w14:textId="77777777" w:rsidR="00B96971" w:rsidRPr="00710139" w:rsidRDefault="00B96971" w:rsidP="00F87952">
      <w:pPr>
        <w:spacing w:after="0" w:line="240" w:lineRule="auto"/>
        <w:rPr>
          <w:rFonts w:ascii="Times New Roman" w:eastAsia="Times New Roman" w:hAnsi="Times New Roman" w:cs="Times New Roman"/>
          <w:sz w:val="24"/>
          <w:szCs w:val="24"/>
          <w:lang w:eastAsia="lv-LV"/>
        </w:rPr>
      </w:pPr>
    </w:p>
    <w:p w14:paraId="58049511" w14:textId="77777777" w:rsidR="00B96971" w:rsidRPr="00710139" w:rsidRDefault="00B96971" w:rsidP="00F8795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10139" w:rsidRPr="00710139" w14:paraId="08DA6238" w14:textId="77777777"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68287"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0139">
              <w:rPr>
                <w:rFonts w:ascii="Times New Roman" w:eastAsia="Times New Roman" w:hAnsi="Times New Roman" w:cs="Times New Roman"/>
                <w:b/>
                <w:bCs/>
                <w:sz w:val="24"/>
                <w:szCs w:val="24"/>
                <w:lang w:eastAsia="lv-LV"/>
              </w:rPr>
              <w:t>VII. Tiesību akta projekta izpildes nodrošināšana un tās ietekme uz institūcijām</w:t>
            </w:r>
          </w:p>
        </w:tc>
      </w:tr>
      <w:tr w:rsidR="00710139" w:rsidRPr="00710139" w14:paraId="54409F6E" w14:textId="77777777"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F6AFDF"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EC5DA52"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7557399" w14:textId="5EB2795A" w:rsidR="00F87952" w:rsidRPr="00710139" w:rsidRDefault="0050396B" w:rsidP="00C73404">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Labklājības ministrija, Tieslietu ministrija, Iekšlietu ministrija, Finanšu ministrija, Valsts valodas centrs, Valsts i</w:t>
            </w:r>
            <w:r w:rsidR="00AB29BD" w:rsidRPr="00710139">
              <w:rPr>
                <w:rFonts w:ascii="Times New Roman" w:eastAsia="Times New Roman" w:hAnsi="Times New Roman" w:cs="Times New Roman"/>
                <w:sz w:val="24"/>
                <w:szCs w:val="24"/>
                <w:lang w:eastAsia="lv-LV"/>
              </w:rPr>
              <w:t>zglītības satura centrs</w:t>
            </w:r>
            <w:r w:rsidR="00057FCB" w:rsidRPr="00710139">
              <w:rPr>
                <w:rFonts w:ascii="Times New Roman" w:eastAsia="Times New Roman" w:hAnsi="Times New Roman" w:cs="Times New Roman"/>
                <w:sz w:val="24"/>
                <w:szCs w:val="24"/>
                <w:lang w:eastAsia="lv-LV"/>
              </w:rPr>
              <w:t>, Pilsonības un migrācijas lietu pārvalde</w:t>
            </w:r>
            <w:r w:rsidR="00051147">
              <w:rPr>
                <w:rFonts w:ascii="Times New Roman" w:eastAsia="Times New Roman" w:hAnsi="Times New Roman" w:cs="Times New Roman"/>
                <w:sz w:val="24"/>
                <w:szCs w:val="24"/>
                <w:lang w:eastAsia="lv-LV"/>
              </w:rPr>
              <w:t>.</w:t>
            </w:r>
          </w:p>
        </w:tc>
      </w:tr>
      <w:tr w:rsidR="00710139" w:rsidRPr="00710139" w14:paraId="31CC72C1" w14:textId="77777777"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E31198C"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CAE00DA" w14:textId="5E9ADA13"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Projekta izpildes ietekme uz pārvaldes funkcij</w:t>
            </w:r>
            <w:r w:rsidR="00562683" w:rsidRPr="00710139">
              <w:rPr>
                <w:rFonts w:ascii="Times New Roman" w:eastAsia="Times New Roman" w:hAnsi="Times New Roman" w:cs="Times New Roman"/>
                <w:sz w:val="24"/>
                <w:szCs w:val="24"/>
                <w:lang w:eastAsia="lv-LV"/>
              </w:rPr>
              <w:t xml:space="preserve">ām un </w:t>
            </w:r>
            <w:r w:rsidR="00562683" w:rsidRPr="00710139">
              <w:rPr>
                <w:rFonts w:ascii="Times New Roman" w:eastAsia="Times New Roman" w:hAnsi="Times New Roman" w:cs="Times New Roman"/>
                <w:sz w:val="24"/>
                <w:szCs w:val="24"/>
                <w:lang w:eastAsia="lv-LV"/>
              </w:rPr>
              <w:lastRenderedPageBreak/>
              <w:t xml:space="preserve">institucionālo struktūru. </w:t>
            </w:r>
            <w:r w:rsidRPr="0071013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6381BD" w14:textId="77777777" w:rsidR="00A60038" w:rsidRPr="00710139" w:rsidRDefault="00A60038" w:rsidP="00A60038">
            <w:pPr>
              <w:spacing w:after="0" w:line="240" w:lineRule="auto"/>
              <w:rPr>
                <w:rFonts w:ascii="Times New Roman" w:hAnsi="Times New Roman" w:cs="Times New Roman"/>
                <w:sz w:val="24"/>
                <w:szCs w:val="24"/>
              </w:rPr>
            </w:pPr>
            <w:r w:rsidRPr="00710139">
              <w:rPr>
                <w:rFonts w:ascii="Times New Roman" w:hAnsi="Times New Roman" w:cs="Times New Roman"/>
                <w:sz w:val="24"/>
                <w:szCs w:val="24"/>
              </w:rPr>
              <w:lastRenderedPageBreak/>
              <w:t>Netiek paplašinātas vai sašaurinātas esošo institūciju funkcijas.</w:t>
            </w:r>
          </w:p>
          <w:p w14:paraId="667501A1" w14:textId="77777777" w:rsidR="00F87952" w:rsidRPr="00710139" w:rsidRDefault="00A60038" w:rsidP="00F87952">
            <w:pPr>
              <w:spacing w:after="0" w:line="240" w:lineRule="auto"/>
              <w:rPr>
                <w:rFonts w:ascii="Times New Roman" w:eastAsia="Times New Roman" w:hAnsi="Times New Roman" w:cs="Times New Roman"/>
                <w:sz w:val="24"/>
                <w:szCs w:val="24"/>
                <w:lang w:eastAsia="lv-LV"/>
              </w:rPr>
            </w:pPr>
            <w:r w:rsidRPr="00710139">
              <w:rPr>
                <w:rFonts w:ascii="Times New Roman" w:hAnsi="Times New Roman" w:cs="Times New Roman"/>
                <w:sz w:val="24"/>
                <w:szCs w:val="24"/>
              </w:rPr>
              <w:lastRenderedPageBreak/>
              <w:t>Noteikumu projekta īstenošanu nodrošinās jau esošās institūcijas un jaunas netiks veidotas, tāpat noteikumu projekta īstenošana tiks nodrošināta institūciju esošo cilvēkresursu ietvaros.</w:t>
            </w:r>
          </w:p>
        </w:tc>
      </w:tr>
      <w:tr w:rsidR="00710139" w:rsidRPr="00710139" w14:paraId="6DBE4F53" w14:textId="77777777"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5B13DC" w14:textId="77777777" w:rsidR="00F87952" w:rsidRPr="00710139" w:rsidRDefault="00F87952" w:rsidP="00F879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1585CF" w14:textId="77777777" w:rsidR="00F87952" w:rsidRPr="00710139" w:rsidRDefault="00F87952"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4BB3A75" w14:textId="77777777" w:rsidR="00F87952" w:rsidRPr="00710139" w:rsidRDefault="00A60038" w:rsidP="00F87952">
            <w:pPr>
              <w:spacing w:after="0" w:line="240" w:lineRule="auto"/>
              <w:rPr>
                <w:rFonts w:ascii="Times New Roman" w:eastAsia="Times New Roman" w:hAnsi="Times New Roman" w:cs="Times New Roman"/>
                <w:sz w:val="24"/>
                <w:szCs w:val="24"/>
                <w:lang w:eastAsia="lv-LV"/>
              </w:rPr>
            </w:pPr>
            <w:r w:rsidRPr="00710139">
              <w:rPr>
                <w:rFonts w:ascii="Times New Roman" w:eastAsia="Times New Roman" w:hAnsi="Times New Roman" w:cs="Times New Roman"/>
                <w:sz w:val="24"/>
                <w:szCs w:val="24"/>
                <w:lang w:eastAsia="lv-LV"/>
              </w:rPr>
              <w:t>Nav</w:t>
            </w:r>
          </w:p>
        </w:tc>
      </w:tr>
    </w:tbl>
    <w:p w14:paraId="38F62587" w14:textId="77777777" w:rsidR="00971AA9" w:rsidRPr="00710139" w:rsidRDefault="00971AA9" w:rsidP="00971AA9">
      <w:pPr>
        <w:spacing w:after="0" w:line="240" w:lineRule="auto"/>
        <w:jc w:val="both"/>
        <w:rPr>
          <w:rFonts w:ascii="Times New Roman" w:hAnsi="Times New Roman" w:cs="Times New Roman"/>
          <w:sz w:val="24"/>
          <w:szCs w:val="24"/>
        </w:rPr>
      </w:pPr>
    </w:p>
    <w:p w14:paraId="0A992EC5" w14:textId="77777777" w:rsidR="00971AA9" w:rsidRPr="00710139" w:rsidRDefault="00971AA9" w:rsidP="00971AA9">
      <w:pPr>
        <w:spacing w:after="0" w:line="240" w:lineRule="auto"/>
        <w:jc w:val="both"/>
        <w:rPr>
          <w:rFonts w:ascii="Times New Roman" w:hAnsi="Times New Roman" w:cs="Times New Roman"/>
          <w:sz w:val="24"/>
          <w:szCs w:val="24"/>
        </w:rPr>
      </w:pPr>
    </w:p>
    <w:p w14:paraId="26BA5944" w14:textId="096416B9" w:rsidR="00470A20" w:rsidRPr="00710139" w:rsidRDefault="00AE7184" w:rsidP="00470A20">
      <w:pPr>
        <w:tabs>
          <w:tab w:val="left" w:pos="4545"/>
          <w:tab w:val="left"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w:t>
      </w:r>
      <w:r w:rsidR="004B5C66">
        <w:rPr>
          <w:rFonts w:ascii="Times New Roman" w:hAnsi="Times New Roman" w:cs="Times New Roman"/>
          <w:sz w:val="24"/>
          <w:szCs w:val="24"/>
        </w:rPr>
        <w:t>tī</w:t>
      </w:r>
      <w:r w:rsidR="0024058B">
        <w:rPr>
          <w:rFonts w:ascii="Times New Roman" w:hAnsi="Times New Roman" w:cs="Times New Roman"/>
          <w:sz w:val="24"/>
          <w:szCs w:val="24"/>
        </w:rPr>
        <w:t xml:space="preserve">bas un zinātnes ministre </w:t>
      </w:r>
      <w:r w:rsidR="0024058B">
        <w:rPr>
          <w:rFonts w:ascii="Times New Roman" w:hAnsi="Times New Roman" w:cs="Times New Roman"/>
          <w:sz w:val="24"/>
          <w:szCs w:val="24"/>
        </w:rPr>
        <w:tab/>
      </w:r>
      <w:r w:rsidR="0024058B">
        <w:rPr>
          <w:rFonts w:ascii="Times New Roman" w:hAnsi="Times New Roman" w:cs="Times New Roman"/>
          <w:sz w:val="24"/>
          <w:szCs w:val="24"/>
        </w:rPr>
        <w:tab/>
        <w:t xml:space="preserve">I. </w:t>
      </w:r>
      <w:r>
        <w:rPr>
          <w:rFonts w:ascii="Times New Roman" w:hAnsi="Times New Roman" w:cs="Times New Roman"/>
          <w:sz w:val="24"/>
          <w:szCs w:val="24"/>
        </w:rPr>
        <w:t>Šuplinska</w:t>
      </w:r>
    </w:p>
    <w:p w14:paraId="002E91C4" w14:textId="77777777" w:rsidR="00470A20" w:rsidRDefault="00470A20" w:rsidP="00470A20">
      <w:pPr>
        <w:tabs>
          <w:tab w:val="left" w:pos="4545"/>
          <w:tab w:val="left" w:pos="6804"/>
        </w:tabs>
        <w:spacing w:after="0" w:line="240" w:lineRule="auto"/>
        <w:jc w:val="both"/>
        <w:rPr>
          <w:rFonts w:ascii="Times New Roman" w:hAnsi="Times New Roman" w:cs="Times New Roman"/>
          <w:sz w:val="24"/>
          <w:szCs w:val="24"/>
        </w:rPr>
      </w:pPr>
    </w:p>
    <w:p w14:paraId="2A96A34A" w14:textId="77777777" w:rsidR="00707650" w:rsidRDefault="00707650" w:rsidP="00470A20">
      <w:pPr>
        <w:tabs>
          <w:tab w:val="left" w:pos="4545"/>
          <w:tab w:val="left" w:pos="6804"/>
        </w:tabs>
        <w:spacing w:after="0" w:line="240" w:lineRule="auto"/>
        <w:jc w:val="both"/>
        <w:rPr>
          <w:rFonts w:ascii="Times New Roman" w:hAnsi="Times New Roman" w:cs="Times New Roman"/>
          <w:sz w:val="24"/>
          <w:szCs w:val="24"/>
        </w:rPr>
      </w:pPr>
    </w:p>
    <w:p w14:paraId="70031789" w14:textId="77777777" w:rsidR="00707650" w:rsidRPr="00710139" w:rsidRDefault="00707650" w:rsidP="00470A20">
      <w:pPr>
        <w:tabs>
          <w:tab w:val="left" w:pos="4545"/>
          <w:tab w:val="left" w:pos="6804"/>
        </w:tabs>
        <w:spacing w:after="0" w:line="240" w:lineRule="auto"/>
        <w:jc w:val="both"/>
        <w:rPr>
          <w:rFonts w:ascii="Times New Roman" w:hAnsi="Times New Roman" w:cs="Times New Roman"/>
          <w:sz w:val="24"/>
          <w:szCs w:val="24"/>
        </w:rPr>
      </w:pPr>
    </w:p>
    <w:p w14:paraId="159AAE13" w14:textId="77777777" w:rsidR="00470A20" w:rsidRPr="00710139" w:rsidRDefault="00470A20" w:rsidP="00470A20">
      <w:pPr>
        <w:tabs>
          <w:tab w:val="left" w:pos="4545"/>
          <w:tab w:val="left" w:pos="6804"/>
        </w:tabs>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Vīza:</w:t>
      </w:r>
    </w:p>
    <w:p w14:paraId="6A14C646" w14:textId="265E3100" w:rsidR="00470A20" w:rsidRPr="00710139" w:rsidRDefault="00470A20" w:rsidP="00470A20">
      <w:pPr>
        <w:tabs>
          <w:tab w:val="left" w:pos="4545"/>
          <w:tab w:val="left" w:pos="6804"/>
        </w:tabs>
        <w:spacing w:after="0" w:line="240" w:lineRule="auto"/>
        <w:jc w:val="both"/>
        <w:rPr>
          <w:rFonts w:ascii="Times New Roman" w:hAnsi="Times New Roman" w:cs="Times New Roman"/>
          <w:sz w:val="24"/>
          <w:szCs w:val="24"/>
        </w:rPr>
      </w:pPr>
      <w:r w:rsidRPr="00710139">
        <w:rPr>
          <w:rFonts w:ascii="Times New Roman" w:hAnsi="Times New Roman" w:cs="Times New Roman"/>
          <w:sz w:val="24"/>
          <w:szCs w:val="24"/>
        </w:rPr>
        <w:t>Valsts sekretāre</w:t>
      </w:r>
      <w:r w:rsidRPr="00710139">
        <w:rPr>
          <w:rFonts w:ascii="Times New Roman" w:hAnsi="Times New Roman" w:cs="Times New Roman"/>
          <w:sz w:val="24"/>
          <w:szCs w:val="24"/>
        </w:rPr>
        <w:tab/>
      </w:r>
      <w:r w:rsidR="00E0134C" w:rsidRPr="00710139">
        <w:rPr>
          <w:rFonts w:ascii="Times New Roman" w:hAnsi="Times New Roman" w:cs="Times New Roman"/>
          <w:sz w:val="24"/>
          <w:szCs w:val="24"/>
        </w:rPr>
        <w:tab/>
      </w:r>
      <w:r w:rsidR="0024058B">
        <w:rPr>
          <w:rFonts w:ascii="Times New Roman" w:hAnsi="Times New Roman" w:cs="Times New Roman"/>
          <w:sz w:val="24"/>
          <w:szCs w:val="24"/>
        </w:rPr>
        <w:t xml:space="preserve">L. </w:t>
      </w:r>
      <w:r w:rsidRPr="00710139">
        <w:rPr>
          <w:rFonts w:ascii="Times New Roman" w:hAnsi="Times New Roman" w:cs="Times New Roman"/>
          <w:sz w:val="24"/>
          <w:szCs w:val="24"/>
        </w:rPr>
        <w:t>Lejiņa</w:t>
      </w:r>
    </w:p>
    <w:p w14:paraId="4B7FC408" w14:textId="77777777" w:rsidR="00971AA9" w:rsidRPr="00710139" w:rsidRDefault="00971AA9"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6AFF2A4C" w14:textId="77777777" w:rsidR="00D47D16" w:rsidRPr="00710139" w:rsidRDefault="00D47D16" w:rsidP="00971AA9">
      <w:pPr>
        <w:tabs>
          <w:tab w:val="left" w:pos="4545"/>
          <w:tab w:val="left" w:pos="6804"/>
        </w:tabs>
        <w:spacing w:after="0" w:line="240" w:lineRule="auto"/>
        <w:jc w:val="both"/>
        <w:rPr>
          <w:rFonts w:ascii="Times New Roman" w:eastAsia="Times New Roman" w:hAnsi="Times New Roman" w:cs="Times New Roman"/>
          <w:iCs/>
          <w:sz w:val="24"/>
          <w:szCs w:val="24"/>
          <w:lang w:eastAsia="lv-LV"/>
        </w:rPr>
      </w:pPr>
    </w:p>
    <w:p w14:paraId="2F43C98E" w14:textId="41DEE90B" w:rsidR="00063659" w:rsidRPr="00710139" w:rsidRDefault="00063659" w:rsidP="001D612A">
      <w:pPr>
        <w:spacing w:line="240" w:lineRule="auto"/>
        <w:rPr>
          <w:rFonts w:ascii="Times New Roman" w:hAnsi="Times New Roman" w:cs="Times New Roman"/>
          <w:sz w:val="24"/>
          <w:szCs w:val="24"/>
        </w:rPr>
      </w:pPr>
    </w:p>
    <w:sectPr w:rsidR="00063659" w:rsidRPr="00710139" w:rsidSect="00AD372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0F22" w14:textId="77777777" w:rsidR="0047729C" w:rsidRDefault="0047729C" w:rsidP="00EB144D">
      <w:pPr>
        <w:spacing w:after="0" w:line="240" w:lineRule="auto"/>
      </w:pPr>
      <w:r>
        <w:separator/>
      </w:r>
    </w:p>
  </w:endnote>
  <w:endnote w:type="continuationSeparator" w:id="0">
    <w:p w14:paraId="2471B838" w14:textId="77777777" w:rsidR="0047729C" w:rsidRDefault="0047729C" w:rsidP="00EB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5CD0" w14:textId="77777777" w:rsidR="00E832FC" w:rsidRDefault="00E8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60DF" w14:textId="7F184568" w:rsidR="00AD3720" w:rsidRDefault="00AD3720">
    <w:pPr>
      <w:pStyle w:val="Footer"/>
      <w:jc w:val="center"/>
    </w:pPr>
  </w:p>
  <w:p w14:paraId="22E8E31E" w14:textId="45696153" w:rsidR="005C4C53" w:rsidRPr="0060682F" w:rsidRDefault="00494AD7" w:rsidP="005C4C53">
    <w:pPr>
      <w:tabs>
        <w:tab w:val="left" w:pos="2685"/>
      </w:tabs>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noProof/>
        <w:sz w:val="20"/>
        <w:szCs w:val="20"/>
      </w:rPr>
      <w:t>IZMa</w:t>
    </w:r>
    <w:r w:rsidR="00E9649C">
      <w:rPr>
        <w:rFonts w:ascii="Times New Roman" w:hAnsi="Times New Roman" w:cs="Times New Roman"/>
        <w:noProof/>
        <w:sz w:val="20"/>
        <w:szCs w:val="20"/>
      </w:rPr>
      <w:t>not_</w:t>
    </w:r>
    <w:r w:rsidR="003120D8">
      <w:rPr>
        <w:rFonts w:ascii="Times New Roman" w:hAnsi="Times New Roman" w:cs="Times New Roman"/>
        <w:noProof/>
        <w:sz w:val="20"/>
        <w:szCs w:val="20"/>
      </w:rPr>
      <w:t>0705</w:t>
    </w:r>
    <w:r w:rsidR="005C4C53">
      <w:rPr>
        <w:rFonts w:ascii="Times New Roman" w:hAnsi="Times New Roman" w:cs="Times New Roman"/>
        <w:noProof/>
        <w:sz w:val="20"/>
        <w:szCs w:val="20"/>
      </w:rPr>
      <w:t>19_groz733</w:t>
    </w:r>
    <w:r w:rsidR="005C4C53">
      <w:rPr>
        <w:rFonts w:ascii="Times New Roman" w:hAnsi="Times New Roman" w:cs="Times New Roman"/>
        <w:noProof/>
        <w:sz w:val="20"/>
        <w:szCs w:val="20"/>
      </w:rPr>
      <w:tab/>
    </w:r>
  </w:p>
  <w:p w14:paraId="15CA6961" w14:textId="77777777" w:rsidR="00EB144D" w:rsidRDefault="00EB1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A010" w14:textId="77777777" w:rsidR="00AD1C50" w:rsidRDefault="00AD1C50" w:rsidP="00AD1C50">
    <w:pPr>
      <w:pStyle w:val="Footer"/>
    </w:pPr>
  </w:p>
  <w:p w14:paraId="01A342E2" w14:textId="77777777" w:rsidR="00AD1C50" w:rsidRDefault="00AD1C50" w:rsidP="00AD1C50">
    <w:pPr>
      <w:pStyle w:val="Footer"/>
    </w:pPr>
  </w:p>
  <w:p w14:paraId="76151C3A" w14:textId="5E407600" w:rsidR="005C4C53" w:rsidRPr="0060682F" w:rsidRDefault="00494AD7" w:rsidP="005C4C53">
    <w:pPr>
      <w:tabs>
        <w:tab w:val="left" w:pos="2685"/>
      </w:tabs>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noProof/>
        <w:sz w:val="20"/>
        <w:szCs w:val="20"/>
      </w:rPr>
      <w:t>IZMa</w:t>
    </w:r>
    <w:r w:rsidR="001F02F5">
      <w:rPr>
        <w:rFonts w:ascii="Times New Roman" w:hAnsi="Times New Roman" w:cs="Times New Roman"/>
        <w:noProof/>
        <w:sz w:val="20"/>
        <w:szCs w:val="20"/>
      </w:rPr>
      <w:t>not_0705</w:t>
    </w:r>
    <w:bookmarkStart w:id="0" w:name="_GoBack"/>
    <w:bookmarkEnd w:id="0"/>
    <w:r w:rsidR="005C4C53">
      <w:rPr>
        <w:rFonts w:ascii="Times New Roman" w:hAnsi="Times New Roman" w:cs="Times New Roman"/>
        <w:noProof/>
        <w:sz w:val="20"/>
        <w:szCs w:val="20"/>
      </w:rPr>
      <w:t>19_groz733</w:t>
    </w:r>
    <w:r w:rsidR="005C4C53">
      <w:rPr>
        <w:rFonts w:ascii="Times New Roman" w:hAnsi="Times New Roman" w:cs="Times New Roman"/>
        <w:noProof/>
        <w:sz w:val="20"/>
        <w:szCs w:val="20"/>
      </w:rPr>
      <w:tab/>
    </w:r>
  </w:p>
  <w:p w14:paraId="312196FA" w14:textId="77777777" w:rsidR="0060682F" w:rsidRPr="00AD1C50" w:rsidRDefault="0060682F" w:rsidP="005C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0EB0" w14:textId="77777777" w:rsidR="0047729C" w:rsidRDefault="0047729C" w:rsidP="00EB144D">
      <w:pPr>
        <w:spacing w:after="0" w:line="240" w:lineRule="auto"/>
      </w:pPr>
      <w:r>
        <w:separator/>
      </w:r>
    </w:p>
  </w:footnote>
  <w:footnote w:type="continuationSeparator" w:id="0">
    <w:p w14:paraId="2421F78F" w14:textId="77777777" w:rsidR="0047729C" w:rsidRDefault="0047729C" w:rsidP="00EB1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2E21" w14:textId="77777777" w:rsidR="00E832FC" w:rsidRDefault="00E8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84335"/>
      <w:docPartObj>
        <w:docPartGallery w:val="Page Numbers (Top of Page)"/>
        <w:docPartUnique/>
      </w:docPartObj>
    </w:sdtPr>
    <w:sdtEndPr>
      <w:rPr>
        <w:noProof/>
      </w:rPr>
    </w:sdtEndPr>
    <w:sdtContent>
      <w:p w14:paraId="2A2CD375" w14:textId="17AE5D68" w:rsidR="00346C0C" w:rsidRDefault="00346C0C">
        <w:pPr>
          <w:pStyle w:val="Header"/>
          <w:jc w:val="center"/>
        </w:pPr>
        <w:r>
          <w:fldChar w:fldCharType="begin"/>
        </w:r>
        <w:r>
          <w:instrText xml:space="preserve"> PAGE   \* MERGEFORMAT </w:instrText>
        </w:r>
        <w:r>
          <w:fldChar w:fldCharType="separate"/>
        </w:r>
        <w:r w:rsidR="001F02F5">
          <w:rPr>
            <w:noProof/>
          </w:rPr>
          <w:t>7</w:t>
        </w:r>
        <w:r>
          <w:rPr>
            <w:noProof/>
          </w:rPr>
          <w:fldChar w:fldCharType="end"/>
        </w:r>
      </w:p>
    </w:sdtContent>
  </w:sdt>
  <w:p w14:paraId="023F8582" w14:textId="77777777" w:rsidR="00346C0C" w:rsidRDefault="00346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C443" w14:textId="77777777" w:rsidR="00E832FC" w:rsidRDefault="00E8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DC8"/>
    <w:multiLevelType w:val="hybridMultilevel"/>
    <w:tmpl w:val="80E2C374"/>
    <w:lvl w:ilvl="0" w:tplc="5FD277C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1F3B53F2"/>
    <w:multiLevelType w:val="hybridMultilevel"/>
    <w:tmpl w:val="425C1806"/>
    <w:lvl w:ilvl="0" w:tplc="3BD6DAFA">
      <w:start w:val="1"/>
      <w:numFmt w:val="decimal"/>
      <w:lvlText w:val="%1."/>
      <w:lvlJc w:val="left"/>
      <w:pPr>
        <w:ind w:left="720" w:hanging="360"/>
      </w:pPr>
      <w:rPr>
        <w:rFonts w:asciiTheme="minorHAnsi" w:hAnsi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D5DB3"/>
    <w:multiLevelType w:val="hybridMultilevel"/>
    <w:tmpl w:val="4BD24F0E"/>
    <w:lvl w:ilvl="0" w:tplc="B76093FA">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465CCC"/>
    <w:multiLevelType w:val="hybridMultilevel"/>
    <w:tmpl w:val="D020E162"/>
    <w:lvl w:ilvl="0" w:tplc="9C4A2946">
      <w:start w:val="1"/>
      <w:numFmt w:val="decimal"/>
      <w:lvlText w:val="%1)"/>
      <w:lvlJc w:val="left"/>
      <w:pPr>
        <w:ind w:left="720" w:hanging="360"/>
      </w:pPr>
      <w:rPr>
        <w:rFonts w:asciiTheme="minorHAnsi" w:hAnsi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5146F1"/>
    <w:multiLevelType w:val="hybridMultilevel"/>
    <w:tmpl w:val="133C34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5A2621"/>
    <w:multiLevelType w:val="hybridMultilevel"/>
    <w:tmpl w:val="620496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D26FB8"/>
    <w:multiLevelType w:val="hybridMultilevel"/>
    <w:tmpl w:val="56A8F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3E3622"/>
    <w:multiLevelType w:val="hybridMultilevel"/>
    <w:tmpl w:val="C24A4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52"/>
    <w:rsid w:val="00006214"/>
    <w:rsid w:val="000127E1"/>
    <w:rsid w:val="00014AE3"/>
    <w:rsid w:val="00015C18"/>
    <w:rsid w:val="0002638A"/>
    <w:rsid w:val="000277C4"/>
    <w:rsid w:val="0003144E"/>
    <w:rsid w:val="00034717"/>
    <w:rsid w:val="00047E3A"/>
    <w:rsid w:val="000503AF"/>
    <w:rsid w:val="00051147"/>
    <w:rsid w:val="00054508"/>
    <w:rsid w:val="0005571E"/>
    <w:rsid w:val="00057FCB"/>
    <w:rsid w:val="00063659"/>
    <w:rsid w:val="00063AA5"/>
    <w:rsid w:val="00064A64"/>
    <w:rsid w:val="000657B5"/>
    <w:rsid w:val="00070EB1"/>
    <w:rsid w:val="00074384"/>
    <w:rsid w:val="00076ECF"/>
    <w:rsid w:val="0008186D"/>
    <w:rsid w:val="00083400"/>
    <w:rsid w:val="00083A11"/>
    <w:rsid w:val="000853E6"/>
    <w:rsid w:val="00090FAE"/>
    <w:rsid w:val="000947F7"/>
    <w:rsid w:val="000963E7"/>
    <w:rsid w:val="000A5BDE"/>
    <w:rsid w:val="000B3AD6"/>
    <w:rsid w:val="000B59A2"/>
    <w:rsid w:val="000B6008"/>
    <w:rsid w:val="000B6345"/>
    <w:rsid w:val="000D4965"/>
    <w:rsid w:val="000D5371"/>
    <w:rsid w:val="000D6E98"/>
    <w:rsid w:val="000D72D0"/>
    <w:rsid w:val="000E32AB"/>
    <w:rsid w:val="000E707C"/>
    <w:rsid w:val="000E75CA"/>
    <w:rsid w:val="000F2B48"/>
    <w:rsid w:val="000F35D3"/>
    <w:rsid w:val="000F6CE5"/>
    <w:rsid w:val="001048F2"/>
    <w:rsid w:val="001055B6"/>
    <w:rsid w:val="00105E95"/>
    <w:rsid w:val="0011393C"/>
    <w:rsid w:val="00114841"/>
    <w:rsid w:val="0012011E"/>
    <w:rsid w:val="0012133A"/>
    <w:rsid w:val="00121EEB"/>
    <w:rsid w:val="00122010"/>
    <w:rsid w:val="001243AE"/>
    <w:rsid w:val="00130E5F"/>
    <w:rsid w:val="00134E50"/>
    <w:rsid w:val="0013587F"/>
    <w:rsid w:val="00136573"/>
    <w:rsid w:val="001436E3"/>
    <w:rsid w:val="001475AF"/>
    <w:rsid w:val="00147B1C"/>
    <w:rsid w:val="0015287B"/>
    <w:rsid w:val="00153C6A"/>
    <w:rsid w:val="001556F3"/>
    <w:rsid w:val="0016350E"/>
    <w:rsid w:val="001652E4"/>
    <w:rsid w:val="001677F6"/>
    <w:rsid w:val="00167E7A"/>
    <w:rsid w:val="0017065A"/>
    <w:rsid w:val="00172FF3"/>
    <w:rsid w:val="00173BA4"/>
    <w:rsid w:val="00181BDB"/>
    <w:rsid w:val="001829C9"/>
    <w:rsid w:val="0018314A"/>
    <w:rsid w:val="001833D0"/>
    <w:rsid w:val="00184E38"/>
    <w:rsid w:val="00190A8A"/>
    <w:rsid w:val="001942DE"/>
    <w:rsid w:val="00196475"/>
    <w:rsid w:val="001A059B"/>
    <w:rsid w:val="001A1066"/>
    <w:rsid w:val="001A4FBE"/>
    <w:rsid w:val="001B1AD1"/>
    <w:rsid w:val="001B2038"/>
    <w:rsid w:val="001B2306"/>
    <w:rsid w:val="001C1CE1"/>
    <w:rsid w:val="001C2297"/>
    <w:rsid w:val="001C56CA"/>
    <w:rsid w:val="001C67A4"/>
    <w:rsid w:val="001D03A5"/>
    <w:rsid w:val="001D2FF6"/>
    <w:rsid w:val="001D612A"/>
    <w:rsid w:val="001D6B25"/>
    <w:rsid w:val="001E0126"/>
    <w:rsid w:val="001E3B1B"/>
    <w:rsid w:val="001E408B"/>
    <w:rsid w:val="001F02F5"/>
    <w:rsid w:val="001F1082"/>
    <w:rsid w:val="001F38E7"/>
    <w:rsid w:val="002036B4"/>
    <w:rsid w:val="0021292D"/>
    <w:rsid w:val="00220A72"/>
    <w:rsid w:val="002229A2"/>
    <w:rsid w:val="002250AF"/>
    <w:rsid w:val="0022590B"/>
    <w:rsid w:val="00233312"/>
    <w:rsid w:val="0024058B"/>
    <w:rsid w:val="00240F46"/>
    <w:rsid w:val="002438F9"/>
    <w:rsid w:val="00245393"/>
    <w:rsid w:val="00247644"/>
    <w:rsid w:val="002514EC"/>
    <w:rsid w:val="0025552F"/>
    <w:rsid w:val="00261553"/>
    <w:rsid w:val="002640E9"/>
    <w:rsid w:val="00265CB2"/>
    <w:rsid w:val="00277E74"/>
    <w:rsid w:val="00281A13"/>
    <w:rsid w:val="00284A01"/>
    <w:rsid w:val="0028625A"/>
    <w:rsid w:val="002915B8"/>
    <w:rsid w:val="002A00A5"/>
    <w:rsid w:val="002A3BD0"/>
    <w:rsid w:val="002A3F6B"/>
    <w:rsid w:val="002A48DB"/>
    <w:rsid w:val="002B0E8E"/>
    <w:rsid w:val="002B112F"/>
    <w:rsid w:val="002B16C6"/>
    <w:rsid w:val="002B21E7"/>
    <w:rsid w:val="002C1917"/>
    <w:rsid w:val="002C41D1"/>
    <w:rsid w:val="002D0A27"/>
    <w:rsid w:val="002D490E"/>
    <w:rsid w:val="002D680C"/>
    <w:rsid w:val="002D7BE3"/>
    <w:rsid w:val="002E5C3B"/>
    <w:rsid w:val="003002B7"/>
    <w:rsid w:val="00301B49"/>
    <w:rsid w:val="00302B35"/>
    <w:rsid w:val="00304BEB"/>
    <w:rsid w:val="00304EF7"/>
    <w:rsid w:val="00311EEB"/>
    <w:rsid w:val="00311F86"/>
    <w:rsid w:val="003120D8"/>
    <w:rsid w:val="003146D3"/>
    <w:rsid w:val="00316942"/>
    <w:rsid w:val="00324F44"/>
    <w:rsid w:val="003257A8"/>
    <w:rsid w:val="00332646"/>
    <w:rsid w:val="00333CA6"/>
    <w:rsid w:val="003375B3"/>
    <w:rsid w:val="00346C0C"/>
    <w:rsid w:val="00354707"/>
    <w:rsid w:val="00356796"/>
    <w:rsid w:val="00356D10"/>
    <w:rsid w:val="00356F84"/>
    <w:rsid w:val="0036610A"/>
    <w:rsid w:val="0037039D"/>
    <w:rsid w:val="00371040"/>
    <w:rsid w:val="00372CBE"/>
    <w:rsid w:val="00380C1F"/>
    <w:rsid w:val="003826DF"/>
    <w:rsid w:val="00391E27"/>
    <w:rsid w:val="00392571"/>
    <w:rsid w:val="003A566A"/>
    <w:rsid w:val="003A5DD2"/>
    <w:rsid w:val="003A75EC"/>
    <w:rsid w:val="003D1B32"/>
    <w:rsid w:val="003D6BF3"/>
    <w:rsid w:val="003E132F"/>
    <w:rsid w:val="003E4DB9"/>
    <w:rsid w:val="003E5C74"/>
    <w:rsid w:val="003F320C"/>
    <w:rsid w:val="003F4AC2"/>
    <w:rsid w:val="004031FC"/>
    <w:rsid w:val="00406359"/>
    <w:rsid w:val="004076CE"/>
    <w:rsid w:val="00411AEE"/>
    <w:rsid w:val="00411C3E"/>
    <w:rsid w:val="00413FB0"/>
    <w:rsid w:val="00414B89"/>
    <w:rsid w:val="00421591"/>
    <w:rsid w:val="00426CC4"/>
    <w:rsid w:val="00430D3C"/>
    <w:rsid w:val="00430EDD"/>
    <w:rsid w:val="004356B8"/>
    <w:rsid w:val="00441426"/>
    <w:rsid w:val="00444C7B"/>
    <w:rsid w:val="00446DD1"/>
    <w:rsid w:val="00451310"/>
    <w:rsid w:val="00452F9B"/>
    <w:rsid w:val="00454A74"/>
    <w:rsid w:val="00460B85"/>
    <w:rsid w:val="004638E7"/>
    <w:rsid w:val="00466CBC"/>
    <w:rsid w:val="00467DD6"/>
    <w:rsid w:val="00470A20"/>
    <w:rsid w:val="00471592"/>
    <w:rsid w:val="0047729C"/>
    <w:rsid w:val="004829AE"/>
    <w:rsid w:val="004876B5"/>
    <w:rsid w:val="00494AD7"/>
    <w:rsid w:val="004B0347"/>
    <w:rsid w:val="004B426A"/>
    <w:rsid w:val="004B5C66"/>
    <w:rsid w:val="004C21C6"/>
    <w:rsid w:val="004D0C0D"/>
    <w:rsid w:val="004D17A3"/>
    <w:rsid w:val="004D4C0B"/>
    <w:rsid w:val="004E2AC6"/>
    <w:rsid w:val="004E3E30"/>
    <w:rsid w:val="004E4374"/>
    <w:rsid w:val="004E6F8A"/>
    <w:rsid w:val="004E7189"/>
    <w:rsid w:val="004F3E45"/>
    <w:rsid w:val="004F752B"/>
    <w:rsid w:val="005007FB"/>
    <w:rsid w:val="0050396B"/>
    <w:rsid w:val="00504B7C"/>
    <w:rsid w:val="00510B43"/>
    <w:rsid w:val="00511AF7"/>
    <w:rsid w:val="005135EA"/>
    <w:rsid w:val="00515DCE"/>
    <w:rsid w:val="005241CD"/>
    <w:rsid w:val="00524B39"/>
    <w:rsid w:val="005262EA"/>
    <w:rsid w:val="005275F6"/>
    <w:rsid w:val="005318E9"/>
    <w:rsid w:val="005322E2"/>
    <w:rsid w:val="00542730"/>
    <w:rsid w:val="005427C9"/>
    <w:rsid w:val="00550DE0"/>
    <w:rsid w:val="00550E50"/>
    <w:rsid w:val="00551FD8"/>
    <w:rsid w:val="00556521"/>
    <w:rsid w:val="00561269"/>
    <w:rsid w:val="00562683"/>
    <w:rsid w:val="00565D2E"/>
    <w:rsid w:val="00574F9C"/>
    <w:rsid w:val="005764F6"/>
    <w:rsid w:val="005817AD"/>
    <w:rsid w:val="00583F0D"/>
    <w:rsid w:val="0058432B"/>
    <w:rsid w:val="00587B9A"/>
    <w:rsid w:val="005924E7"/>
    <w:rsid w:val="005A0EB9"/>
    <w:rsid w:val="005B3813"/>
    <w:rsid w:val="005B391E"/>
    <w:rsid w:val="005B5F50"/>
    <w:rsid w:val="005B689F"/>
    <w:rsid w:val="005C4C53"/>
    <w:rsid w:val="005C4E13"/>
    <w:rsid w:val="005D1C3D"/>
    <w:rsid w:val="005D1E37"/>
    <w:rsid w:val="005D3F22"/>
    <w:rsid w:val="005E04A3"/>
    <w:rsid w:val="005F08B9"/>
    <w:rsid w:val="005F167A"/>
    <w:rsid w:val="005F1A4E"/>
    <w:rsid w:val="005F4ADC"/>
    <w:rsid w:val="005F5CAD"/>
    <w:rsid w:val="005F679F"/>
    <w:rsid w:val="00600BD0"/>
    <w:rsid w:val="00605433"/>
    <w:rsid w:val="0060682F"/>
    <w:rsid w:val="00617B08"/>
    <w:rsid w:val="00623FA7"/>
    <w:rsid w:val="00626F9C"/>
    <w:rsid w:val="0064488F"/>
    <w:rsid w:val="00654566"/>
    <w:rsid w:val="006562C9"/>
    <w:rsid w:val="00661D1E"/>
    <w:rsid w:val="0066220D"/>
    <w:rsid w:val="00674986"/>
    <w:rsid w:val="006779F8"/>
    <w:rsid w:val="0068148E"/>
    <w:rsid w:val="00682C6A"/>
    <w:rsid w:val="006A58D0"/>
    <w:rsid w:val="006A5E5B"/>
    <w:rsid w:val="006C052F"/>
    <w:rsid w:val="006C4D2F"/>
    <w:rsid w:val="006D02ED"/>
    <w:rsid w:val="006D2D9D"/>
    <w:rsid w:val="006D3287"/>
    <w:rsid w:val="006E2EE9"/>
    <w:rsid w:val="006E6C15"/>
    <w:rsid w:val="006F086F"/>
    <w:rsid w:val="006F566F"/>
    <w:rsid w:val="00700860"/>
    <w:rsid w:val="0070507F"/>
    <w:rsid w:val="00707650"/>
    <w:rsid w:val="00710139"/>
    <w:rsid w:val="00714EA0"/>
    <w:rsid w:val="00721BE0"/>
    <w:rsid w:val="007260D8"/>
    <w:rsid w:val="00743CF7"/>
    <w:rsid w:val="0074575C"/>
    <w:rsid w:val="007464E7"/>
    <w:rsid w:val="007528FE"/>
    <w:rsid w:val="007539F8"/>
    <w:rsid w:val="00762789"/>
    <w:rsid w:val="00762CBA"/>
    <w:rsid w:val="00763EC3"/>
    <w:rsid w:val="0076700D"/>
    <w:rsid w:val="007671A7"/>
    <w:rsid w:val="007721B2"/>
    <w:rsid w:val="0077756F"/>
    <w:rsid w:val="00782721"/>
    <w:rsid w:val="007843F2"/>
    <w:rsid w:val="0078651C"/>
    <w:rsid w:val="00792429"/>
    <w:rsid w:val="00796092"/>
    <w:rsid w:val="007A19A6"/>
    <w:rsid w:val="007A7516"/>
    <w:rsid w:val="007A7A72"/>
    <w:rsid w:val="007B0797"/>
    <w:rsid w:val="007B5096"/>
    <w:rsid w:val="007B6620"/>
    <w:rsid w:val="007C0383"/>
    <w:rsid w:val="007C4B01"/>
    <w:rsid w:val="007C750B"/>
    <w:rsid w:val="007D08C4"/>
    <w:rsid w:val="007D7830"/>
    <w:rsid w:val="007E5B97"/>
    <w:rsid w:val="007F3A6E"/>
    <w:rsid w:val="007F60E4"/>
    <w:rsid w:val="008014FC"/>
    <w:rsid w:val="0080495B"/>
    <w:rsid w:val="008049C0"/>
    <w:rsid w:val="00806E30"/>
    <w:rsid w:val="00811452"/>
    <w:rsid w:val="00815310"/>
    <w:rsid w:val="00816F43"/>
    <w:rsid w:val="00817BC1"/>
    <w:rsid w:val="008203E4"/>
    <w:rsid w:val="00821F69"/>
    <w:rsid w:val="008307E1"/>
    <w:rsid w:val="008321F0"/>
    <w:rsid w:val="008336CD"/>
    <w:rsid w:val="008448A2"/>
    <w:rsid w:val="00847D76"/>
    <w:rsid w:val="008504E5"/>
    <w:rsid w:val="00854146"/>
    <w:rsid w:val="00857945"/>
    <w:rsid w:val="008619C3"/>
    <w:rsid w:val="00861BEE"/>
    <w:rsid w:val="00862542"/>
    <w:rsid w:val="008709FF"/>
    <w:rsid w:val="008737FE"/>
    <w:rsid w:val="00874940"/>
    <w:rsid w:val="00876613"/>
    <w:rsid w:val="00876E43"/>
    <w:rsid w:val="008771B3"/>
    <w:rsid w:val="00880BEE"/>
    <w:rsid w:val="00892D82"/>
    <w:rsid w:val="00893E78"/>
    <w:rsid w:val="008A2481"/>
    <w:rsid w:val="008A342F"/>
    <w:rsid w:val="008A4600"/>
    <w:rsid w:val="008A5224"/>
    <w:rsid w:val="008A7F80"/>
    <w:rsid w:val="008B71CB"/>
    <w:rsid w:val="008C6B19"/>
    <w:rsid w:val="008C6E8E"/>
    <w:rsid w:val="008C72C8"/>
    <w:rsid w:val="008D2DB7"/>
    <w:rsid w:val="008D4A98"/>
    <w:rsid w:val="008E2217"/>
    <w:rsid w:val="008E5B98"/>
    <w:rsid w:val="00910910"/>
    <w:rsid w:val="00914CAB"/>
    <w:rsid w:val="00914CC8"/>
    <w:rsid w:val="009160F1"/>
    <w:rsid w:val="009268CE"/>
    <w:rsid w:val="009366AD"/>
    <w:rsid w:val="00943BA5"/>
    <w:rsid w:val="00960855"/>
    <w:rsid w:val="0096550C"/>
    <w:rsid w:val="009663D2"/>
    <w:rsid w:val="009672C4"/>
    <w:rsid w:val="00967F68"/>
    <w:rsid w:val="00970EDC"/>
    <w:rsid w:val="00971AA9"/>
    <w:rsid w:val="009739A0"/>
    <w:rsid w:val="00974343"/>
    <w:rsid w:val="00974EE6"/>
    <w:rsid w:val="009814E6"/>
    <w:rsid w:val="00981BB5"/>
    <w:rsid w:val="0098208A"/>
    <w:rsid w:val="009917EA"/>
    <w:rsid w:val="0099620E"/>
    <w:rsid w:val="009A0528"/>
    <w:rsid w:val="009A479E"/>
    <w:rsid w:val="009C3139"/>
    <w:rsid w:val="009C51F6"/>
    <w:rsid w:val="009C6000"/>
    <w:rsid w:val="009D2941"/>
    <w:rsid w:val="009D764A"/>
    <w:rsid w:val="009E44AA"/>
    <w:rsid w:val="009E4EDA"/>
    <w:rsid w:val="009E54EA"/>
    <w:rsid w:val="009F5A8D"/>
    <w:rsid w:val="00A10560"/>
    <w:rsid w:val="00A1446E"/>
    <w:rsid w:val="00A154C3"/>
    <w:rsid w:val="00A17957"/>
    <w:rsid w:val="00A20246"/>
    <w:rsid w:val="00A223D2"/>
    <w:rsid w:val="00A22BE1"/>
    <w:rsid w:val="00A23DE2"/>
    <w:rsid w:val="00A355DA"/>
    <w:rsid w:val="00A45798"/>
    <w:rsid w:val="00A47EC4"/>
    <w:rsid w:val="00A50839"/>
    <w:rsid w:val="00A514B0"/>
    <w:rsid w:val="00A56A2D"/>
    <w:rsid w:val="00A60038"/>
    <w:rsid w:val="00A72DF9"/>
    <w:rsid w:val="00A73801"/>
    <w:rsid w:val="00A73CE5"/>
    <w:rsid w:val="00A820F2"/>
    <w:rsid w:val="00A97E5C"/>
    <w:rsid w:val="00AA2B0E"/>
    <w:rsid w:val="00AB0EE1"/>
    <w:rsid w:val="00AB1A7C"/>
    <w:rsid w:val="00AB29BD"/>
    <w:rsid w:val="00AB5206"/>
    <w:rsid w:val="00AC26A2"/>
    <w:rsid w:val="00AC5872"/>
    <w:rsid w:val="00AD00FE"/>
    <w:rsid w:val="00AD1760"/>
    <w:rsid w:val="00AD1C50"/>
    <w:rsid w:val="00AD3720"/>
    <w:rsid w:val="00AD50A3"/>
    <w:rsid w:val="00AE05BA"/>
    <w:rsid w:val="00AE21BD"/>
    <w:rsid w:val="00AE21CC"/>
    <w:rsid w:val="00AE4BAE"/>
    <w:rsid w:val="00AE7184"/>
    <w:rsid w:val="00AF0C7D"/>
    <w:rsid w:val="00AF0CEC"/>
    <w:rsid w:val="00AF5CD5"/>
    <w:rsid w:val="00B04CF0"/>
    <w:rsid w:val="00B07567"/>
    <w:rsid w:val="00B11972"/>
    <w:rsid w:val="00B1547C"/>
    <w:rsid w:val="00B221E9"/>
    <w:rsid w:val="00B23AF9"/>
    <w:rsid w:val="00B250F4"/>
    <w:rsid w:val="00B25176"/>
    <w:rsid w:val="00B31596"/>
    <w:rsid w:val="00B42FA6"/>
    <w:rsid w:val="00B50623"/>
    <w:rsid w:val="00B6702B"/>
    <w:rsid w:val="00B7019F"/>
    <w:rsid w:val="00B7256C"/>
    <w:rsid w:val="00B730CD"/>
    <w:rsid w:val="00B800CA"/>
    <w:rsid w:val="00B87644"/>
    <w:rsid w:val="00B93163"/>
    <w:rsid w:val="00B94B17"/>
    <w:rsid w:val="00B96971"/>
    <w:rsid w:val="00B96AA3"/>
    <w:rsid w:val="00BA33F3"/>
    <w:rsid w:val="00BA7337"/>
    <w:rsid w:val="00BB3F1C"/>
    <w:rsid w:val="00BB47DB"/>
    <w:rsid w:val="00BB554D"/>
    <w:rsid w:val="00BB5807"/>
    <w:rsid w:val="00BC0885"/>
    <w:rsid w:val="00BC088B"/>
    <w:rsid w:val="00BC71DE"/>
    <w:rsid w:val="00BC7377"/>
    <w:rsid w:val="00BD66F2"/>
    <w:rsid w:val="00BE0E1D"/>
    <w:rsid w:val="00BE0F9F"/>
    <w:rsid w:val="00BE23DE"/>
    <w:rsid w:val="00BE7C69"/>
    <w:rsid w:val="00BF54F2"/>
    <w:rsid w:val="00C01C0C"/>
    <w:rsid w:val="00C02E16"/>
    <w:rsid w:val="00C03FE2"/>
    <w:rsid w:val="00C04934"/>
    <w:rsid w:val="00C07F47"/>
    <w:rsid w:val="00C1260E"/>
    <w:rsid w:val="00C14177"/>
    <w:rsid w:val="00C2232B"/>
    <w:rsid w:val="00C37F44"/>
    <w:rsid w:val="00C42BDB"/>
    <w:rsid w:val="00C44B1C"/>
    <w:rsid w:val="00C50D91"/>
    <w:rsid w:val="00C5432E"/>
    <w:rsid w:val="00C54453"/>
    <w:rsid w:val="00C65E11"/>
    <w:rsid w:val="00C705BD"/>
    <w:rsid w:val="00C71D89"/>
    <w:rsid w:val="00C733F5"/>
    <w:rsid w:val="00C73404"/>
    <w:rsid w:val="00C73870"/>
    <w:rsid w:val="00C76EA4"/>
    <w:rsid w:val="00C80647"/>
    <w:rsid w:val="00C80BCD"/>
    <w:rsid w:val="00C842B7"/>
    <w:rsid w:val="00C9138E"/>
    <w:rsid w:val="00C9336E"/>
    <w:rsid w:val="00C97BDB"/>
    <w:rsid w:val="00CA4ED3"/>
    <w:rsid w:val="00CB043E"/>
    <w:rsid w:val="00CB0B7C"/>
    <w:rsid w:val="00CB1A4C"/>
    <w:rsid w:val="00CC0F1B"/>
    <w:rsid w:val="00CC50EA"/>
    <w:rsid w:val="00CD257A"/>
    <w:rsid w:val="00CE2699"/>
    <w:rsid w:val="00CE3F63"/>
    <w:rsid w:val="00CE42FE"/>
    <w:rsid w:val="00CE7CC0"/>
    <w:rsid w:val="00D02A5D"/>
    <w:rsid w:val="00D13585"/>
    <w:rsid w:val="00D14F46"/>
    <w:rsid w:val="00D21019"/>
    <w:rsid w:val="00D23180"/>
    <w:rsid w:val="00D24343"/>
    <w:rsid w:val="00D2689B"/>
    <w:rsid w:val="00D32AFB"/>
    <w:rsid w:val="00D33137"/>
    <w:rsid w:val="00D33D52"/>
    <w:rsid w:val="00D4717C"/>
    <w:rsid w:val="00D47D16"/>
    <w:rsid w:val="00D53F9B"/>
    <w:rsid w:val="00D61903"/>
    <w:rsid w:val="00D705A6"/>
    <w:rsid w:val="00D80009"/>
    <w:rsid w:val="00D85B45"/>
    <w:rsid w:val="00D919F7"/>
    <w:rsid w:val="00D92336"/>
    <w:rsid w:val="00DA1357"/>
    <w:rsid w:val="00DA3B94"/>
    <w:rsid w:val="00DA4D0A"/>
    <w:rsid w:val="00DB317C"/>
    <w:rsid w:val="00DB3EBB"/>
    <w:rsid w:val="00DB5621"/>
    <w:rsid w:val="00DB5C9D"/>
    <w:rsid w:val="00DC0CBC"/>
    <w:rsid w:val="00DC17AF"/>
    <w:rsid w:val="00DC39DA"/>
    <w:rsid w:val="00DD27F2"/>
    <w:rsid w:val="00DD434D"/>
    <w:rsid w:val="00DE69A3"/>
    <w:rsid w:val="00DF6025"/>
    <w:rsid w:val="00DF6702"/>
    <w:rsid w:val="00DF6C57"/>
    <w:rsid w:val="00E0134C"/>
    <w:rsid w:val="00E02494"/>
    <w:rsid w:val="00E04E22"/>
    <w:rsid w:val="00E06A81"/>
    <w:rsid w:val="00E14E8D"/>
    <w:rsid w:val="00E16EC0"/>
    <w:rsid w:val="00E20EAA"/>
    <w:rsid w:val="00E20F16"/>
    <w:rsid w:val="00E21742"/>
    <w:rsid w:val="00E24E65"/>
    <w:rsid w:val="00E26629"/>
    <w:rsid w:val="00E272E6"/>
    <w:rsid w:val="00E30488"/>
    <w:rsid w:val="00E33FB5"/>
    <w:rsid w:val="00E37CAE"/>
    <w:rsid w:val="00E453F8"/>
    <w:rsid w:val="00E45C48"/>
    <w:rsid w:val="00E46F73"/>
    <w:rsid w:val="00E5140C"/>
    <w:rsid w:val="00E51C05"/>
    <w:rsid w:val="00E5550C"/>
    <w:rsid w:val="00E559DD"/>
    <w:rsid w:val="00E56D00"/>
    <w:rsid w:val="00E60181"/>
    <w:rsid w:val="00E6245E"/>
    <w:rsid w:val="00E6293D"/>
    <w:rsid w:val="00E66CBE"/>
    <w:rsid w:val="00E71EE1"/>
    <w:rsid w:val="00E755E1"/>
    <w:rsid w:val="00E7758C"/>
    <w:rsid w:val="00E832FC"/>
    <w:rsid w:val="00E90CDB"/>
    <w:rsid w:val="00E9151C"/>
    <w:rsid w:val="00E91A4B"/>
    <w:rsid w:val="00E9649C"/>
    <w:rsid w:val="00EA0BEC"/>
    <w:rsid w:val="00EA1BBC"/>
    <w:rsid w:val="00EA4EF9"/>
    <w:rsid w:val="00EA6DB1"/>
    <w:rsid w:val="00EB144D"/>
    <w:rsid w:val="00EB493B"/>
    <w:rsid w:val="00EC2F6A"/>
    <w:rsid w:val="00EC41F8"/>
    <w:rsid w:val="00EC47FC"/>
    <w:rsid w:val="00EC6407"/>
    <w:rsid w:val="00ED0D75"/>
    <w:rsid w:val="00ED778D"/>
    <w:rsid w:val="00EF2C56"/>
    <w:rsid w:val="00EF3D98"/>
    <w:rsid w:val="00EF58C4"/>
    <w:rsid w:val="00F02871"/>
    <w:rsid w:val="00F03444"/>
    <w:rsid w:val="00F03842"/>
    <w:rsid w:val="00F03F83"/>
    <w:rsid w:val="00F06410"/>
    <w:rsid w:val="00F0651F"/>
    <w:rsid w:val="00F173E7"/>
    <w:rsid w:val="00F201EC"/>
    <w:rsid w:val="00F2605B"/>
    <w:rsid w:val="00F3286D"/>
    <w:rsid w:val="00F34FCD"/>
    <w:rsid w:val="00F41F9C"/>
    <w:rsid w:val="00F500C7"/>
    <w:rsid w:val="00F51BFC"/>
    <w:rsid w:val="00F53A88"/>
    <w:rsid w:val="00F63C04"/>
    <w:rsid w:val="00F63C25"/>
    <w:rsid w:val="00F71955"/>
    <w:rsid w:val="00F744FE"/>
    <w:rsid w:val="00F8123E"/>
    <w:rsid w:val="00F81E72"/>
    <w:rsid w:val="00F8340D"/>
    <w:rsid w:val="00F87952"/>
    <w:rsid w:val="00F949CD"/>
    <w:rsid w:val="00F9608D"/>
    <w:rsid w:val="00FA2E74"/>
    <w:rsid w:val="00FA5802"/>
    <w:rsid w:val="00FC0980"/>
    <w:rsid w:val="00FC18CB"/>
    <w:rsid w:val="00FC25CB"/>
    <w:rsid w:val="00FC2C30"/>
    <w:rsid w:val="00FC49BC"/>
    <w:rsid w:val="00FC54AD"/>
    <w:rsid w:val="00FD3696"/>
    <w:rsid w:val="00FD6697"/>
    <w:rsid w:val="00FE0C4D"/>
    <w:rsid w:val="00FE0D27"/>
    <w:rsid w:val="00FE13EF"/>
    <w:rsid w:val="00FE5AD8"/>
    <w:rsid w:val="00FF1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7147"/>
  <w15:chartTrackingRefBased/>
  <w15:docId w15:val="{8BAFE64D-F27D-4E55-AC9F-427ABE00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014AE3"/>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9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B144D"/>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B14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44D"/>
  </w:style>
  <w:style w:type="paragraph" w:styleId="Footer">
    <w:name w:val="footer"/>
    <w:basedOn w:val="Normal"/>
    <w:link w:val="FooterChar"/>
    <w:uiPriority w:val="99"/>
    <w:unhideWhenUsed/>
    <w:rsid w:val="00EB14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44D"/>
  </w:style>
  <w:style w:type="paragraph" w:customStyle="1" w:styleId="naisf">
    <w:name w:val="naisf"/>
    <w:basedOn w:val="Normal"/>
    <w:link w:val="naisfChar"/>
    <w:uiPriority w:val="99"/>
    <w:rsid w:val="00A6003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971AA9"/>
    <w:rPr>
      <w:rFonts w:cs="Times New Roman"/>
      <w:color w:val="0000FF"/>
      <w:u w:val="single"/>
    </w:rPr>
  </w:style>
  <w:style w:type="paragraph" w:styleId="BodyTextIndent3">
    <w:name w:val="Body Text Indent 3"/>
    <w:basedOn w:val="Normal"/>
    <w:link w:val="BodyTextIndent3Char"/>
    <w:rsid w:val="008307E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307E1"/>
    <w:rPr>
      <w:rFonts w:ascii="Times New Roman" w:eastAsia="Times New Roman" w:hAnsi="Times New Roman" w:cs="Times New Roman"/>
      <w:sz w:val="16"/>
      <w:szCs w:val="16"/>
    </w:rPr>
  </w:style>
  <w:style w:type="character" w:customStyle="1" w:styleId="spelle">
    <w:name w:val="spelle"/>
    <w:rsid w:val="00E755E1"/>
  </w:style>
  <w:style w:type="paragraph" w:styleId="ListParagraph">
    <w:name w:val="List Paragraph"/>
    <w:basedOn w:val="Normal"/>
    <w:uiPriority w:val="99"/>
    <w:qFormat/>
    <w:rsid w:val="00E755E1"/>
    <w:pPr>
      <w:ind w:left="720"/>
      <w:contextualSpacing/>
    </w:pPr>
  </w:style>
  <w:style w:type="paragraph" w:styleId="BalloonText">
    <w:name w:val="Balloon Text"/>
    <w:basedOn w:val="Normal"/>
    <w:link w:val="BalloonTextChar"/>
    <w:uiPriority w:val="99"/>
    <w:semiHidden/>
    <w:unhideWhenUsed/>
    <w:rsid w:val="0096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0C"/>
    <w:rPr>
      <w:rFonts w:ascii="Segoe UI" w:hAnsi="Segoe UI" w:cs="Segoe UI"/>
      <w:sz w:val="18"/>
      <w:szCs w:val="18"/>
    </w:rPr>
  </w:style>
  <w:style w:type="character" w:styleId="CommentReference">
    <w:name w:val="annotation reference"/>
    <w:basedOn w:val="DefaultParagraphFont"/>
    <w:uiPriority w:val="99"/>
    <w:semiHidden/>
    <w:unhideWhenUsed/>
    <w:rsid w:val="00C03FE2"/>
    <w:rPr>
      <w:sz w:val="16"/>
      <w:szCs w:val="16"/>
    </w:rPr>
  </w:style>
  <w:style w:type="paragraph" w:styleId="CommentText">
    <w:name w:val="annotation text"/>
    <w:basedOn w:val="Normal"/>
    <w:link w:val="CommentTextChar"/>
    <w:uiPriority w:val="99"/>
    <w:unhideWhenUsed/>
    <w:rsid w:val="00C03FE2"/>
    <w:pPr>
      <w:spacing w:line="240" w:lineRule="auto"/>
    </w:pPr>
    <w:rPr>
      <w:sz w:val="20"/>
      <w:szCs w:val="20"/>
    </w:rPr>
  </w:style>
  <w:style w:type="character" w:customStyle="1" w:styleId="CommentTextChar">
    <w:name w:val="Comment Text Char"/>
    <w:basedOn w:val="DefaultParagraphFont"/>
    <w:link w:val="CommentText"/>
    <w:uiPriority w:val="99"/>
    <w:rsid w:val="00C03FE2"/>
    <w:rPr>
      <w:sz w:val="20"/>
      <w:szCs w:val="20"/>
    </w:rPr>
  </w:style>
  <w:style w:type="paragraph" w:styleId="CommentSubject">
    <w:name w:val="annotation subject"/>
    <w:basedOn w:val="CommentText"/>
    <w:next w:val="CommentText"/>
    <w:link w:val="CommentSubjectChar"/>
    <w:uiPriority w:val="99"/>
    <w:semiHidden/>
    <w:unhideWhenUsed/>
    <w:rsid w:val="00C03FE2"/>
    <w:rPr>
      <w:b/>
      <w:bCs/>
    </w:rPr>
  </w:style>
  <w:style w:type="character" w:customStyle="1" w:styleId="CommentSubjectChar">
    <w:name w:val="Comment Subject Char"/>
    <w:basedOn w:val="CommentTextChar"/>
    <w:link w:val="CommentSubject"/>
    <w:uiPriority w:val="99"/>
    <w:semiHidden/>
    <w:rsid w:val="00C03FE2"/>
    <w:rPr>
      <w:b/>
      <w:bCs/>
      <w:sz w:val="20"/>
      <w:szCs w:val="20"/>
    </w:rPr>
  </w:style>
  <w:style w:type="character" w:customStyle="1" w:styleId="Heading3Char">
    <w:name w:val="Heading 3 Char"/>
    <w:basedOn w:val="DefaultParagraphFont"/>
    <w:link w:val="Heading3"/>
    <w:uiPriority w:val="9"/>
    <w:semiHidden/>
    <w:rsid w:val="00014AE3"/>
    <w:rPr>
      <w:rFonts w:ascii="Times New Roman" w:hAnsi="Times New Roman" w:cs="Times New Roman"/>
      <w:b/>
      <w:bCs/>
      <w:sz w:val="27"/>
      <w:szCs w:val="27"/>
      <w:lang w:eastAsia="lv-LV"/>
    </w:rPr>
  </w:style>
  <w:style w:type="character" w:styleId="FootnoteReference">
    <w:name w:val="footnote reference"/>
    <w:basedOn w:val="DefaultParagraphFont"/>
    <w:uiPriority w:val="99"/>
    <w:semiHidden/>
    <w:unhideWhenUsed/>
    <w:rsid w:val="00EF58C4"/>
    <w:rPr>
      <w:vertAlign w:val="superscript"/>
    </w:rPr>
  </w:style>
  <w:style w:type="paragraph" w:customStyle="1" w:styleId="tv213">
    <w:name w:val="tv213"/>
    <w:basedOn w:val="Normal"/>
    <w:rsid w:val="005007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514EC"/>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isfChar">
    <w:name w:val="naisf Char"/>
    <w:link w:val="naisf"/>
    <w:uiPriority w:val="99"/>
    <w:locked/>
    <w:rsid w:val="003D6BF3"/>
    <w:rPr>
      <w:rFonts w:ascii="Times New Roman" w:eastAsia="Times New Roman" w:hAnsi="Times New Roman" w:cs="Times New Roman"/>
      <w:sz w:val="24"/>
      <w:szCs w:val="24"/>
      <w:lang w:eastAsia="lv-LV"/>
    </w:rPr>
  </w:style>
  <w:style w:type="paragraph" w:customStyle="1" w:styleId="naisc">
    <w:name w:val="naisc"/>
    <w:basedOn w:val="Normal"/>
    <w:rsid w:val="00B1197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4314">
      <w:bodyDiv w:val="1"/>
      <w:marLeft w:val="0"/>
      <w:marRight w:val="0"/>
      <w:marTop w:val="0"/>
      <w:marBottom w:val="0"/>
      <w:divBdr>
        <w:top w:val="none" w:sz="0" w:space="0" w:color="auto"/>
        <w:left w:val="none" w:sz="0" w:space="0" w:color="auto"/>
        <w:bottom w:val="none" w:sz="0" w:space="0" w:color="auto"/>
        <w:right w:val="none" w:sz="0" w:space="0" w:color="auto"/>
      </w:divBdr>
    </w:div>
    <w:div w:id="492572854">
      <w:bodyDiv w:val="1"/>
      <w:marLeft w:val="0"/>
      <w:marRight w:val="0"/>
      <w:marTop w:val="0"/>
      <w:marBottom w:val="0"/>
      <w:divBdr>
        <w:top w:val="none" w:sz="0" w:space="0" w:color="auto"/>
        <w:left w:val="none" w:sz="0" w:space="0" w:color="auto"/>
        <w:bottom w:val="none" w:sz="0" w:space="0" w:color="auto"/>
        <w:right w:val="none" w:sz="0" w:space="0" w:color="auto"/>
      </w:divBdr>
    </w:div>
    <w:div w:id="510951363">
      <w:bodyDiv w:val="1"/>
      <w:marLeft w:val="0"/>
      <w:marRight w:val="0"/>
      <w:marTop w:val="0"/>
      <w:marBottom w:val="0"/>
      <w:divBdr>
        <w:top w:val="none" w:sz="0" w:space="0" w:color="auto"/>
        <w:left w:val="none" w:sz="0" w:space="0" w:color="auto"/>
        <w:bottom w:val="none" w:sz="0" w:space="0" w:color="auto"/>
        <w:right w:val="none" w:sz="0" w:space="0" w:color="auto"/>
      </w:divBdr>
      <w:divsChild>
        <w:div w:id="1710453502">
          <w:marLeft w:val="150"/>
          <w:marRight w:val="150"/>
          <w:marTop w:val="480"/>
          <w:marBottom w:val="0"/>
          <w:divBdr>
            <w:top w:val="none" w:sz="0" w:space="0" w:color="auto"/>
            <w:left w:val="none" w:sz="0" w:space="0" w:color="auto"/>
            <w:bottom w:val="none" w:sz="0" w:space="0" w:color="auto"/>
            <w:right w:val="none" w:sz="0" w:space="0" w:color="auto"/>
          </w:divBdr>
        </w:div>
      </w:divsChild>
    </w:div>
    <w:div w:id="518204863">
      <w:bodyDiv w:val="1"/>
      <w:marLeft w:val="0"/>
      <w:marRight w:val="0"/>
      <w:marTop w:val="0"/>
      <w:marBottom w:val="0"/>
      <w:divBdr>
        <w:top w:val="none" w:sz="0" w:space="0" w:color="auto"/>
        <w:left w:val="none" w:sz="0" w:space="0" w:color="auto"/>
        <w:bottom w:val="none" w:sz="0" w:space="0" w:color="auto"/>
        <w:right w:val="none" w:sz="0" w:space="0" w:color="auto"/>
      </w:divBdr>
    </w:div>
    <w:div w:id="618296447">
      <w:bodyDiv w:val="1"/>
      <w:marLeft w:val="0"/>
      <w:marRight w:val="0"/>
      <w:marTop w:val="0"/>
      <w:marBottom w:val="0"/>
      <w:divBdr>
        <w:top w:val="none" w:sz="0" w:space="0" w:color="auto"/>
        <w:left w:val="none" w:sz="0" w:space="0" w:color="auto"/>
        <w:bottom w:val="none" w:sz="0" w:space="0" w:color="auto"/>
        <w:right w:val="none" w:sz="0" w:space="0" w:color="auto"/>
      </w:divBdr>
    </w:div>
    <w:div w:id="1016662939">
      <w:bodyDiv w:val="1"/>
      <w:marLeft w:val="0"/>
      <w:marRight w:val="0"/>
      <w:marTop w:val="0"/>
      <w:marBottom w:val="0"/>
      <w:divBdr>
        <w:top w:val="none" w:sz="0" w:space="0" w:color="auto"/>
        <w:left w:val="none" w:sz="0" w:space="0" w:color="auto"/>
        <w:bottom w:val="none" w:sz="0" w:space="0" w:color="auto"/>
        <w:right w:val="none" w:sz="0" w:space="0" w:color="auto"/>
      </w:divBdr>
      <w:divsChild>
        <w:div w:id="1873030827">
          <w:marLeft w:val="0"/>
          <w:marRight w:val="0"/>
          <w:marTop w:val="480"/>
          <w:marBottom w:val="240"/>
          <w:divBdr>
            <w:top w:val="none" w:sz="0" w:space="0" w:color="auto"/>
            <w:left w:val="none" w:sz="0" w:space="0" w:color="auto"/>
            <w:bottom w:val="none" w:sz="0" w:space="0" w:color="auto"/>
            <w:right w:val="none" w:sz="0" w:space="0" w:color="auto"/>
          </w:divBdr>
        </w:div>
        <w:div w:id="1618832857">
          <w:marLeft w:val="0"/>
          <w:marRight w:val="0"/>
          <w:marTop w:val="0"/>
          <w:marBottom w:val="567"/>
          <w:divBdr>
            <w:top w:val="none" w:sz="0" w:space="0" w:color="auto"/>
            <w:left w:val="none" w:sz="0" w:space="0" w:color="auto"/>
            <w:bottom w:val="none" w:sz="0" w:space="0" w:color="auto"/>
            <w:right w:val="none" w:sz="0" w:space="0" w:color="auto"/>
          </w:divBdr>
        </w:div>
      </w:divsChild>
    </w:div>
    <w:div w:id="1218974696">
      <w:bodyDiv w:val="1"/>
      <w:marLeft w:val="0"/>
      <w:marRight w:val="0"/>
      <w:marTop w:val="0"/>
      <w:marBottom w:val="0"/>
      <w:divBdr>
        <w:top w:val="none" w:sz="0" w:space="0" w:color="auto"/>
        <w:left w:val="none" w:sz="0" w:space="0" w:color="auto"/>
        <w:bottom w:val="none" w:sz="0" w:space="0" w:color="auto"/>
        <w:right w:val="none" w:sz="0" w:space="0" w:color="auto"/>
      </w:divBdr>
    </w:div>
    <w:div w:id="1258099777">
      <w:bodyDiv w:val="1"/>
      <w:marLeft w:val="0"/>
      <w:marRight w:val="0"/>
      <w:marTop w:val="0"/>
      <w:marBottom w:val="0"/>
      <w:divBdr>
        <w:top w:val="none" w:sz="0" w:space="0" w:color="auto"/>
        <w:left w:val="none" w:sz="0" w:space="0" w:color="auto"/>
        <w:bottom w:val="none" w:sz="0" w:space="0" w:color="auto"/>
        <w:right w:val="none" w:sz="0" w:space="0" w:color="auto"/>
      </w:divBdr>
    </w:div>
    <w:div w:id="1697926870">
      <w:bodyDiv w:val="1"/>
      <w:marLeft w:val="0"/>
      <w:marRight w:val="0"/>
      <w:marTop w:val="0"/>
      <w:marBottom w:val="0"/>
      <w:divBdr>
        <w:top w:val="none" w:sz="0" w:space="0" w:color="auto"/>
        <w:left w:val="none" w:sz="0" w:space="0" w:color="auto"/>
        <w:bottom w:val="none" w:sz="0" w:space="0" w:color="auto"/>
        <w:right w:val="none" w:sz="0" w:space="0" w:color="auto"/>
      </w:divBdr>
    </w:div>
    <w:div w:id="1768311520">
      <w:bodyDiv w:val="1"/>
      <w:marLeft w:val="0"/>
      <w:marRight w:val="0"/>
      <w:marTop w:val="0"/>
      <w:marBottom w:val="0"/>
      <w:divBdr>
        <w:top w:val="none" w:sz="0" w:space="0" w:color="auto"/>
        <w:left w:val="none" w:sz="0" w:space="0" w:color="auto"/>
        <w:bottom w:val="none" w:sz="0" w:space="0" w:color="auto"/>
        <w:right w:val="none" w:sz="0" w:space="0" w:color="auto"/>
      </w:divBdr>
      <w:divsChild>
        <w:div w:id="1878736031">
          <w:marLeft w:val="0"/>
          <w:marRight w:val="0"/>
          <w:marTop w:val="480"/>
          <w:marBottom w:val="240"/>
          <w:divBdr>
            <w:top w:val="none" w:sz="0" w:space="0" w:color="auto"/>
            <w:left w:val="none" w:sz="0" w:space="0" w:color="auto"/>
            <w:bottom w:val="none" w:sz="0" w:space="0" w:color="auto"/>
            <w:right w:val="none" w:sz="0" w:space="0" w:color="auto"/>
          </w:divBdr>
        </w:div>
        <w:div w:id="118058536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473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zm.gov.lv/lv/sabiedribas-lidzdali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5C86-6B83-4CF6-A6C6-D8A073E3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8122</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Alla Pūķe</cp:lastModifiedBy>
  <cp:revision>76</cp:revision>
  <cp:lastPrinted>2019-03-05T13:18:00Z</cp:lastPrinted>
  <dcterms:created xsi:type="dcterms:W3CDTF">2019-02-21T11:52:00Z</dcterms:created>
  <dcterms:modified xsi:type="dcterms:W3CDTF">2019-05-07T09:41:00Z</dcterms:modified>
</cp:coreProperties>
</file>