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414AA0" w14:textId="77777777" w:rsidR="007356B4" w:rsidRPr="00D70799" w:rsidRDefault="007356B4" w:rsidP="009E2178">
      <w:pPr>
        <w:pStyle w:val="naisnod"/>
        <w:spacing w:before="0" w:after="0"/>
        <w:rPr>
          <w:sz w:val="20"/>
          <w:szCs w:val="20"/>
        </w:rPr>
      </w:pPr>
      <w:r w:rsidRPr="00D70799">
        <w:rPr>
          <w:sz w:val="20"/>
          <w:szCs w:val="20"/>
        </w:rPr>
        <w:t xml:space="preserve">Izziņa par atzinumos sniegtajiem iebildumiem par Ministru kabineta noteikumu projektu </w:t>
      </w:r>
      <w:bookmarkStart w:id="0" w:name="OLE_LINK3"/>
      <w:bookmarkStart w:id="1" w:name="OLE_LINK4"/>
      <w:bookmarkStart w:id="2" w:name="OLE_LINK7"/>
    </w:p>
    <w:p w14:paraId="65D7861F" w14:textId="74615C4E" w:rsidR="007356B4" w:rsidRPr="00D70799" w:rsidRDefault="007356B4" w:rsidP="009E2178">
      <w:pPr>
        <w:pStyle w:val="naisnod"/>
        <w:spacing w:before="0" w:after="0"/>
        <w:rPr>
          <w:sz w:val="20"/>
          <w:szCs w:val="20"/>
        </w:rPr>
      </w:pPr>
      <w:r w:rsidRPr="00D70799">
        <w:rPr>
          <w:sz w:val="20"/>
          <w:szCs w:val="20"/>
        </w:rPr>
        <w:t>"</w:t>
      </w:r>
      <w:bookmarkEnd w:id="0"/>
      <w:bookmarkEnd w:id="1"/>
      <w:bookmarkEnd w:id="2"/>
      <w:r w:rsidR="0026428B" w:rsidRPr="00D70799">
        <w:rPr>
          <w:sz w:val="20"/>
          <w:szCs w:val="20"/>
        </w:rPr>
        <w:t>Grozījumi Ministru kabineta 2009. gada 24. marta noteikumos Nr. 265 "Noteikumi par darbības programmas "Infrastruktūra un pakalpojumi" papildinājuma 3.1.2.1.1.apakšaktivitāti "Augstākās izglītības iestāžu telpu un iekārtu modernizēšana studiju programmu kvalitātes uzlabošanai, tajā skaitā nodrošinot izglītības programmu apgūšanas iespējas arī personām ar funkcionāliem traucējumiem"</w:t>
      </w:r>
      <w:r w:rsidRPr="00D70799">
        <w:rPr>
          <w:sz w:val="20"/>
          <w:szCs w:val="20"/>
        </w:rPr>
        <w:t>"</w:t>
      </w:r>
    </w:p>
    <w:p w14:paraId="6F3DCBB9" w14:textId="77777777" w:rsidR="0050794A" w:rsidRPr="00D70799" w:rsidRDefault="0050794A" w:rsidP="009E2178">
      <w:pPr>
        <w:pStyle w:val="naisf"/>
        <w:spacing w:before="0" w:after="0"/>
        <w:rPr>
          <w:b/>
          <w:sz w:val="20"/>
          <w:szCs w:val="20"/>
        </w:rPr>
      </w:pPr>
    </w:p>
    <w:p w14:paraId="30BD6108" w14:textId="77777777" w:rsidR="0023626A" w:rsidRPr="00D70799" w:rsidRDefault="0023626A" w:rsidP="009E2178">
      <w:pPr>
        <w:pStyle w:val="naisf"/>
        <w:spacing w:before="0" w:after="0"/>
        <w:rPr>
          <w:b/>
          <w:sz w:val="20"/>
          <w:szCs w:val="20"/>
        </w:rPr>
      </w:pPr>
      <w:r w:rsidRPr="00D70799">
        <w:rPr>
          <w:b/>
          <w:sz w:val="20"/>
          <w:szCs w:val="20"/>
        </w:rPr>
        <w:t>I. Jautājumi, par kuriem saskaņošanā vienošanās nav panākta</w:t>
      </w:r>
    </w:p>
    <w:tbl>
      <w:tblPr>
        <w:tblW w:w="5184"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8"/>
        <w:gridCol w:w="3041"/>
        <w:gridCol w:w="2736"/>
        <w:gridCol w:w="3169"/>
        <w:gridCol w:w="1695"/>
        <w:gridCol w:w="3189"/>
      </w:tblGrid>
      <w:tr w:rsidR="0023626A" w:rsidRPr="00D70799" w14:paraId="67AB741B" w14:textId="77777777" w:rsidTr="006C4AF5">
        <w:trPr>
          <w:trHeight w:val="1230"/>
        </w:trPr>
        <w:tc>
          <w:tcPr>
            <w:tcW w:w="234" w:type="pct"/>
            <w:vAlign w:val="center"/>
          </w:tcPr>
          <w:p w14:paraId="6C404E3D" w14:textId="77777777" w:rsidR="0023626A" w:rsidRPr="00D70799" w:rsidRDefault="0023626A" w:rsidP="009E2178">
            <w:pPr>
              <w:pStyle w:val="naisc"/>
              <w:spacing w:before="0" w:after="0"/>
              <w:jc w:val="both"/>
              <w:rPr>
                <w:sz w:val="20"/>
                <w:szCs w:val="20"/>
              </w:rPr>
            </w:pPr>
            <w:r w:rsidRPr="00D70799">
              <w:rPr>
                <w:sz w:val="20"/>
                <w:szCs w:val="20"/>
              </w:rPr>
              <w:t>Nr.</w:t>
            </w:r>
            <w:r w:rsidR="0050794A" w:rsidRPr="00D70799">
              <w:rPr>
                <w:sz w:val="20"/>
                <w:szCs w:val="20"/>
              </w:rPr>
              <w:t xml:space="preserve"> </w:t>
            </w:r>
            <w:r w:rsidRPr="00D70799">
              <w:rPr>
                <w:sz w:val="20"/>
                <w:szCs w:val="20"/>
              </w:rPr>
              <w:t>p.k.</w:t>
            </w:r>
          </w:p>
        </w:tc>
        <w:tc>
          <w:tcPr>
            <w:tcW w:w="1048" w:type="pct"/>
            <w:vAlign w:val="center"/>
          </w:tcPr>
          <w:p w14:paraId="7A066E4C" w14:textId="77777777" w:rsidR="0023626A" w:rsidRPr="00D70799" w:rsidRDefault="0023626A" w:rsidP="009E2178">
            <w:pPr>
              <w:pStyle w:val="naisc"/>
              <w:spacing w:before="0" w:after="0"/>
              <w:jc w:val="both"/>
              <w:rPr>
                <w:sz w:val="20"/>
                <w:szCs w:val="20"/>
              </w:rPr>
            </w:pPr>
            <w:r w:rsidRPr="00D70799">
              <w:rPr>
                <w:sz w:val="20"/>
                <w:szCs w:val="20"/>
              </w:rPr>
              <w:t>Saskaņošanai nosūtītā projekta redakcija (konkrēta vērtēšanas kritērija redakcija)</w:t>
            </w:r>
          </w:p>
        </w:tc>
        <w:tc>
          <w:tcPr>
            <w:tcW w:w="943" w:type="pct"/>
            <w:vAlign w:val="center"/>
          </w:tcPr>
          <w:p w14:paraId="63C2486D" w14:textId="77777777" w:rsidR="0023626A" w:rsidRPr="00D70799" w:rsidRDefault="0023626A" w:rsidP="009E2178">
            <w:pPr>
              <w:pStyle w:val="naisc"/>
              <w:spacing w:before="0" w:after="0"/>
              <w:jc w:val="both"/>
              <w:rPr>
                <w:sz w:val="20"/>
                <w:szCs w:val="20"/>
              </w:rPr>
            </w:pPr>
            <w:r w:rsidRPr="00D70799">
              <w:rPr>
                <w:sz w:val="20"/>
                <w:szCs w:val="20"/>
              </w:rPr>
              <w:t>Atzinumā norādītais ministrijas (citas institūcijas) iebildums, kā arī saskaņošanā papildus izteiktais iebildums par projekta konkrēto punktu (pantu)</w:t>
            </w:r>
          </w:p>
        </w:tc>
        <w:tc>
          <w:tcPr>
            <w:tcW w:w="1092" w:type="pct"/>
            <w:vAlign w:val="center"/>
          </w:tcPr>
          <w:p w14:paraId="2F617050" w14:textId="77777777" w:rsidR="0023626A" w:rsidRPr="00D70799" w:rsidRDefault="0023626A" w:rsidP="009E2178">
            <w:pPr>
              <w:pStyle w:val="naisc"/>
              <w:spacing w:before="0" w:after="0"/>
              <w:jc w:val="both"/>
              <w:rPr>
                <w:sz w:val="20"/>
                <w:szCs w:val="20"/>
              </w:rPr>
            </w:pPr>
            <w:r w:rsidRPr="00D70799">
              <w:rPr>
                <w:sz w:val="20"/>
                <w:szCs w:val="20"/>
              </w:rPr>
              <w:t>Atbildīgās ministrijas pamatojums iebilduma noraidījumam</w:t>
            </w:r>
          </w:p>
        </w:tc>
        <w:tc>
          <w:tcPr>
            <w:tcW w:w="584" w:type="pct"/>
          </w:tcPr>
          <w:p w14:paraId="481E8A6C" w14:textId="77777777" w:rsidR="0023626A" w:rsidRPr="00D70799" w:rsidRDefault="0023626A" w:rsidP="009E2178">
            <w:pPr>
              <w:pStyle w:val="naisc"/>
              <w:spacing w:before="0" w:after="0"/>
              <w:jc w:val="both"/>
              <w:rPr>
                <w:sz w:val="20"/>
                <w:szCs w:val="20"/>
              </w:rPr>
            </w:pPr>
            <w:r w:rsidRPr="00D70799">
              <w:rPr>
                <w:sz w:val="20"/>
                <w:szCs w:val="20"/>
              </w:rPr>
              <w:t>Atzinuma sniedzēja uzturētais iebildums, ja tas atšķiras no atzinumā norādītā iebilduma pamatojuma</w:t>
            </w:r>
          </w:p>
        </w:tc>
        <w:tc>
          <w:tcPr>
            <w:tcW w:w="1099" w:type="pct"/>
            <w:vAlign w:val="center"/>
          </w:tcPr>
          <w:p w14:paraId="56B13783" w14:textId="77777777" w:rsidR="0023626A" w:rsidRPr="00D70799" w:rsidRDefault="0023626A" w:rsidP="009E2178">
            <w:pPr>
              <w:pStyle w:val="naisc"/>
              <w:spacing w:before="0" w:after="0"/>
              <w:jc w:val="both"/>
              <w:rPr>
                <w:sz w:val="20"/>
                <w:szCs w:val="20"/>
              </w:rPr>
            </w:pPr>
            <w:r w:rsidRPr="00D70799">
              <w:rPr>
                <w:sz w:val="20"/>
                <w:szCs w:val="20"/>
              </w:rPr>
              <w:t>Projekta attiecīgā punkta (panta) galīgā redakcija</w:t>
            </w:r>
          </w:p>
        </w:tc>
      </w:tr>
      <w:tr w:rsidR="0023626A" w:rsidRPr="00D70799" w14:paraId="05F33605" w14:textId="77777777" w:rsidTr="00606379">
        <w:trPr>
          <w:trHeight w:val="285"/>
        </w:trPr>
        <w:tc>
          <w:tcPr>
            <w:tcW w:w="234" w:type="pct"/>
            <w:shd w:val="clear" w:color="auto" w:fill="auto"/>
            <w:vAlign w:val="center"/>
          </w:tcPr>
          <w:p w14:paraId="37920FA5" w14:textId="77777777" w:rsidR="0023626A" w:rsidRPr="00D70799" w:rsidRDefault="0023626A" w:rsidP="009E2178">
            <w:pPr>
              <w:pStyle w:val="naisc"/>
              <w:spacing w:before="0" w:after="0"/>
              <w:rPr>
                <w:sz w:val="20"/>
                <w:szCs w:val="20"/>
              </w:rPr>
            </w:pPr>
            <w:r w:rsidRPr="00D70799">
              <w:rPr>
                <w:sz w:val="20"/>
                <w:szCs w:val="20"/>
              </w:rPr>
              <w:t>1.</w:t>
            </w:r>
          </w:p>
        </w:tc>
        <w:tc>
          <w:tcPr>
            <w:tcW w:w="1048" w:type="pct"/>
            <w:shd w:val="clear" w:color="auto" w:fill="auto"/>
            <w:vAlign w:val="center"/>
          </w:tcPr>
          <w:p w14:paraId="796EECA1" w14:textId="77777777" w:rsidR="0023626A" w:rsidRPr="00D70799" w:rsidRDefault="0023626A" w:rsidP="009E2178">
            <w:pPr>
              <w:pStyle w:val="naisc"/>
              <w:spacing w:before="0" w:after="0"/>
              <w:rPr>
                <w:sz w:val="20"/>
                <w:szCs w:val="20"/>
              </w:rPr>
            </w:pPr>
            <w:r w:rsidRPr="00D70799">
              <w:rPr>
                <w:sz w:val="20"/>
                <w:szCs w:val="20"/>
              </w:rPr>
              <w:t>2.</w:t>
            </w:r>
          </w:p>
        </w:tc>
        <w:tc>
          <w:tcPr>
            <w:tcW w:w="943" w:type="pct"/>
            <w:shd w:val="clear" w:color="auto" w:fill="auto"/>
            <w:vAlign w:val="center"/>
          </w:tcPr>
          <w:p w14:paraId="2F78C577" w14:textId="77777777" w:rsidR="0023626A" w:rsidRPr="00D70799" w:rsidRDefault="0023626A" w:rsidP="009E2178">
            <w:pPr>
              <w:pStyle w:val="naisc"/>
              <w:spacing w:before="0" w:after="0"/>
              <w:rPr>
                <w:sz w:val="20"/>
                <w:szCs w:val="20"/>
              </w:rPr>
            </w:pPr>
            <w:r w:rsidRPr="00D70799">
              <w:rPr>
                <w:sz w:val="20"/>
                <w:szCs w:val="20"/>
              </w:rPr>
              <w:t>3.</w:t>
            </w:r>
          </w:p>
        </w:tc>
        <w:tc>
          <w:tcPr>
            <w:tcW w:w="1092" w:type="pct"/>
            <w:shd w:val="clear" w:color="auto" w:fill="auto"/>
            <w:vAlign w:val="center"/>
          </w:tcPr>
          <w:p w14:paraId="473C2C23" w14:textId="77777777" w:rsidR="0023626A" w:rsidRPr="00D70799" w:rsidRDefault="0023626A" w:rsidP="009E2178">
            <w:pPr>
              <w:pStyle w:val="naisc"/>
              <w:spacing w:before="0" w:after="0"/>
              <w:rPr>
                <w:sz w:val="20"/>
                <w:szCs w:val="20"/>
              </w:rPr>
            </w:pPr>
            <w:r w:rsidRPr="00D70799">
              <w:rPr>
                <w:sz w:val="20"/>
                <w:szCs w:val="20"/>
              </w:rPr>
              <w:t>4.</w:t>
            </w:r>
          </w:p>
        </w:tc>
        <w:tc>
          <w:tcPr>
            <w:tcW w:w="584" w:type="pct"/>
            <w:shd w:val="clear" w:color="auto" w:fill="auto"/>
          </w:tcPr>
          <w:p w14:paraId="6A76269C" w14:textId="77777777" w:rsidR="0023626A" w:rsidRPr="00D70799" w:rsidRDefault="0023626A" w:rsidP="009E2178">
            <w:pPr>
              <w:pStyle w:val="naisc"/>
              <w:spacing w:before="0" w:after="0"/>
              <w:rPr>
                <w:sz w:val="20"/>
                <w:szCs w:val="20"/>
              </w:rPr>
            </w:pPr>
            <w:r w:rsidRPr="00D70799">
              <w:rPr>
                <w:sz w:val="20"/>
                <w:szCs w:val="20"/>
              </w:rPr>
              <w:t>5.</w:t>
            </w:r>
          </w:p>
        </w:tc>
        <w:tc>
          <w:tcPr>
            <w:tcW w:w="1099" w:type="pct"/>
            <w:shd w:val="clear" w:color="auto" w:fill="auto"/>
            <w:vAlign w:val="center"/>
          </w:tcPr>
          <w:p w14:paraId="51B41E17" w14:textId="77777777" w:rsidR="0023626A" w:rsidRPr="00D70799" w:rsidRDefault="0023626A" w:rsidP="009E2178">
            <w:pPr>
              <w:pStyle w:val="naisc"/>
              <w:spacing w:before="0" w:after="0"/>
              <w:rPr>
                <w:sz w:val="20"/>
                <w:szCs w:val="20"/>
              </w:rPr>
            </w:pPr>
            <w:r w:rsidRPr="00D70799">
              <w:rPr>
                <w:sz w:val="20"/>
                <w:szCs w:val="20"/>
              </w:rPr>
              <w:t>6.</w:t>
            </w:r>
          </w:p>
        </w:tc>
      </w:tr>
      <w:tr w:rsidR="00441CD7" w:rsidRPr="00D70799" w14:paraId="75CC7CC9" w14:textId="77777777" w:rsidTr="006C4AF5">
        <w:trPr>
          <w:trHeight w:val="212"/>
        </w:trPr>
        <w:tc>
          <w:tcPr>
            <w:tcW w:w="234" w:type="pct"/>
          </w:tcPr>
          <w:p w14:paraId="5E6C133D" w14:textId="77777777" w:rsidR="00441CD7" w:rsidRPr="00D70799" w:rsidRDefault="00441CD7" w:rsidP="009E2178">
            <w:pPr>
              <w:pStyle w:val="naisc"/>
              <w:spacing w:before="0" w:after="0"/>
              <w:jc w:val="both"/>
              <w:rPr>
                <w:sz w:val="20"/>
                <w:szCs w:val="20"/>
              </w:rPr>
            </w:pPr>
          </w:p>
        </w:tc>
        <w:tc>
          <w:tcPr>
            <w:tcW w:w="1048" w:type="pct"/>
          </w:tcPr>
          <w:p w14:paraId="732AF88D" w14:textId="77777777" w:rsidR="00441CD7" w:rsidRPr="00D70799" w:rsidRDefault="00441CD7" w:rsidP="009E2178">
            <w:pPr>
              <w:tabs>
                <w:tab w:val="left" w:pos="993"/>
                <w:tab w:val="left" w:pos="1418"/>
              </w:tabs>
              <w:jc w:val="both"/>
              <w:rPr>
                <w:bCs/>
                <w:sz w:val="20"/>
                <w:szCs w:val="20"/>
              </w:rPr>
            </w:pPr>
          </w:p>
        </w:tc>
        <w:tc>
          <w:tcPr>
            <w:tcW w:w="943" w:type="pct"/>
          </w:tcPr>
          <w:p w14:paraId="528E40EB" w14:textId="7A7B0E4E" w:rsidR="001B3824" w:rsidRPr="00D70799" w:rsidRDefault="001B3824" w:rsidP="009E2178">
            <w:pPr>
              <w:jc w:val="both"/>
              <w:rPr>
                <w:i/>
                <w:sz w:val="20"/>
                <w:szCs w:val="20"/>
              </w:rPr>
            </w:pPr>
          </w:p>
        </w:tc>
        <w:tc>
          <w:tcPr>
            <w:tcW w:w="1092" w:type="pct"/>
          </w:tcPr>
          <w:p w14:paraId="365D4F6A" w14:textId="77777777" w:rsidR="00441CD7" w:rsidRPr="00D70799" w:rsidRDefault="00441CD7" w:rsidP="009E2178">
            <w:pPr>
              <w:pStyle w:val="ListParagraph"/>
              <w:ind w:left="0"/>
              <w:jc w:val="both"/>
              <w:rPr>
                <w:rFonts w:ascii="Times New Roman" w:hAnsi="Times New Roman"/>
                <w:sz w:val="20"/>
                <w:szCs w:val="20"/>
              </w:rPr>
            </w:pPr>
          </w:p>
        </w:tc>
        <w:tc>
          <w:tcPr>
            <w:tcW w:w="584" w:type="pct"/>
          </w:tcPr>
          <w:p w14:paraId="34BC5965" w14:textId="77777777" w:rsidR="00441CD7" w:rsidRPr="00D70799" w:rsidRDefault="00441CD7" w:rsidP="009E2178">
            <w:pPr>
              <w:tabs>
                <w:tab w:val="left" w:pos="284"/>
              </w:tabs>
              <w:contextualSpacing/>
              <w:jc w:val="both"/>
              <w:rPr>
                <w:sz w:val="20"/>
                <w:szCs w:val="20"/>
              </w:rPr>
            </w:pPr>
          </w:p>
        </w:tc>
        <w:tc>
          <w:tcPr>
            <w:tcW w:w="1099" w:type="pct"/>
          </w:tcPr>
          <w:p w14:paraId="38BE40E6" w14:textId="77777777" w:rsidR="00441CD7" w:rsidRPr="00D70799" w:rsidRDefault="00441CD7" w:rsidP="009E2178">
            <w:pPr>
              <w:jc w:val="both"/>
              <w:rPr>
                <w:sz w:val="20"/>
                <w:szCs w:val="20"/>
              </w:rPr>
            </w:pPr>
          </w:p>
        </w:tc>
      </w:tr>
    </w:tbl>
    <w:p w14:paraId="40DC24EE" w14:textId="2505F37C" w:rsidR="0023626A" w:rsidRPr="00D70799" w:rsidRDefault="0023626A" w:rsidP="009E2178">
      <w:pPr>
        <w:pStyle w:val="naisf"/>
        <w:spacing w:before="0" w:after="0"/>
        <w:rPr>
          <w:b/>
          <w:sz w:val="20"/>
          <w:szCs w:val="20"/>
        </w:rPr>
      </w:pPr>
    </w:p>
    <w:p w14:paraId="58818651" w14:textId="77777777" w:rsidR="0023626A" w:rsidRPr="00D70799" w:rsidRDefault="0023626A" w:rsidP="009E2178">
      <w:pPr>
        <w:pStyle w:val="naisf"/>
        <w:spacing w:before="0" w:after="0"/>
        <w:rPr>
          <w:b/>
          <w:sz w:val="20"/>
          <w:szCs w:val="20"/>
        </w:rPr>
      </w:pPr>
      <w:r w:rsidRPr="00D70799">
        <w:rPr>
          <w:b/>
          <w:sz w:val="20"/>
          <w:szCs w:val="20"/>
        </w:rPr>
        <w:t xml:space="preserve">Informācija par </w:t>
      </w:r>
      <w:proofErr w:type="spellStart"/>
      <w:r w:rsidRPr="00D70799">
        <w:rPr>
          <w:b/>
          <w:sz w:val="20"/>
          <w:szCs w:val="20"/>
        </w:rPr>
        <w:t>starpministriju</w:t>
      </w:r>
      <w:proofErr w:type="spellEnd"/>
      <w:r w:rsidRPr="00D70799">
        <w:rPr>
          <w:b/>
          <w:sz w:val="20"/>
          <w:szCs w:val="20"/>
        </w:rPr>
        <w:t xml:space="preserve"> (starpinstitūciju) sanāksmi vai </w:t>
      </w:r>
      <w:r w:rsidRPr="00D70799">
        <w:rPr>
          <w:b/>
          <w:sz w:val="20"/>
          <w:szCs w:val="20"/>
          <w:u w:val="single"/>
        </w:rPr>
        <w:t>elektronisko saskaņošanu</w:t>
      </w:r>
    </w:p>
    <w:p w14:paraId="7C0AB2AE" w14:textId="77777777" w:rsidR="00796743" w:rsidRPr="00D70799" w:rsidRDefault="00796743" w:rsidP="009E2178">
      <w:pPr>
        <w:pStyle w:val="naisf"/>
        <w:spacing w:before="0" w:after="0"/>
        <w:rPr>
          <w:b/>
          <w:sz w:val="20"/>
          <w:szCs w:val="20"/>
        </w:rPr>
      </w:pPr>
    </w:p>
    <w:tbl>
      <w:tblPr>
        <w:tblW w:w="14601" w:type="dxa"/>
        <w:tblInd w:w="-459" w:type="dxa"/>
        <w:tblLook w:val="00A0" w:firstRow="1" w:lastRow="0" w:firstColumn="1" w:lastColumn="0" w:noHBand="0" w:noVBand="0"/>
      </w:tblPr>
      <w:tblGrid>
        <w:gridCol w:w="7371"/>
        <w:gridCol w:w="282"/>
        <w:gridCol w:w="6948"/>
      </w:tblGrid>
      <w:tr w:rsidR="0023626A" w:rsidRPr="00D70799" w14:paraId="37C197E0" w14:textId="77777777" w:rsidTr="00A91331">
        <w:trPr>
          <w:trHeight w:val="201"/>
        </w:trPr>
        <w:tc>
          <w:tcPr>
            <w:tcW w:w="7371" w:type="dxa"/>
          </w:tcPr>
          <w:p w14:paraId="4175B492" w14:textId="3475D582" w:rsidR="0023626A" w:rsidRPr="00D70799" w:rsidRDefault="0023626A" w:rsidP="00A60E4E">
            <w:pPr>
              <w:pStyle w:val="naisf"/>
              <w:spacing w:before="0" w:after="0"/>
              <w:rPr>
                <w:sz w:val="20"/>
                <w:szCs w:val="20"/>
              </w:rPr>
            </w:pPr>
            <w:r w:rsidRPr="00D70799">
              <w:rPr>
                <w:sz w:val="20"/>
                <w:szCs w:val="20"/>
              </w:rPr>
              <w:t>Datums</w:t>
            </w:r>
            <w:r w:rsidR="00032BE2" w:rsidRPr="00D70799">
              <w:rPr>
                <w:sz w:val="20"/>
                <w:szCs w:val="20"/>
              </w:rPr>
              <w:t xml:space="preserve"> </w:t>
            </w:r>
            <w:r w:rsidR="00A60E4E" w:rsidRPr="00A60E4E">
              <w:rPr>
                <w:sz w:val="20"/>
                <w:szCs w:val="20"/>
              </w:rPr>
              <w:t>08</w:t>
            </w:r>
            <w:r w:rsidR="0026428B" w:rsidRPr="00A60E4E">
              <w:rPr>
                <w:sz w:val="20"/>
                <w:szCs w:val="20"/>
              </w:rPr>
              <w:t>.0</w:t>
            </w:r>
            <w:r w:rsidR="002E0E5F" w:rsidRPr="00A60E4E">
              <w:rPr>
                <w:sz w:val="20"/>
                <w:szCs w:val="20"/>
              </w:rPr>
              <w:t>5</w:t>
            </w:r>
            <w:r w:rsidR="00032BE2" w:rsidRPr="00A60E4E">
              <w:rPr>
                <w:sz w:val="20"/>
                <w:szCs w:val="20"/>
              </w:rPr>
              <w:t>.201</w:t>
            </w:r>
            <w:r w:rsidR="00B4310A" w:rsidRPr="00A60E4E">
              <w:rPr>
                <w:sz w:val="20"/>
                <w:szCs w:val="20"/>
              </w:rPr>
              <w:t>9</w:t>
            </w:r>
            <w:r w:rsidR="00032BE2" w:rsidRPr="00A60E4E">
              <w:rPr>
                <w:sz w:val="20"/>
                <w:szCs w:val="20"/>
              </w:rPr>
              <w:t>.</w:t>
            </w:r>
          </w:p>
        </w:tc>
        <w:tc>
          <w:tcPr>
            <w:tcW w:w="7230" w:type="dxa"/>
            <w:gridSpan w:val="2"/>
            <w:tcBorders>
              <w:bottom w:val="single" w:sz="4" w:space="0" w:color="auto"/>
            </w:tcBorders>
          </w:tcPr>
          <w:p w14:paraId="5B9D2C84" w14:textId="77777777" w:rsidR="0023626A" w:rsidRPr="00D70799" w:rsidRDefault="0023626A" w:rsidP="009E2178">
            <w:pPr>
              <w:pStyle w:val="NormalWeb"/>
              <w:spacing w:before="0" w:beforeAutospacing="0" w:after="0" w:afterAutospacing="0"/>
              <w:jc w:val="both"/>
              <w:rPr>
                <w:sz w:val="20"/>
                <w:szCs w:val="20"/>
              </w:rPr>
            </w:pPr>
          </w:p>
        </w:tc>
      </w:tr>
      <w:tr w:rsidR="0023626A" w:rsidRPr="00D70799" w14:paraId="3E00288C" w14:textId="77777777" w:rsidTr="00A91331">
        <w:trPr>
          <w:trHeight w:val="201"/>
        </w:trPr>
        <w:tc>
          <w:tcPr>
            <w:tcW w:w="7371" w:type="dxa"/>
          </w:tcPr>
          <w:p w14:paraId="18EC30A3" w14:textId="77777777" w:rsidR="0023626A" w:rsidRPr="00D70799" w:rsidRDefault="0023626A" w:rsidP="009E2178">
            <w:pPr>
              <w:pStyle w:val="naisf"/>
              <w:spacing w:before="0" w:after="0"/>
              <w:rPr>
                <w:sz w:val="20"/>
                <w:szCs w:val="20"/>
              </w:rPr>
            </w:pPr>
          </w:p>
        </w:tc>
        <w:tc>
          <w:tcPr>
            <w:tcW w:w="7230" w:type="dxa"/>
            <w:gridSpan w:val="2"/>
            <w:tcBorders>
              <w:top w:val="single" w:sz="4" w:space="0" w:color="auto"/>
            </w:tcBorders>
          </w:tcPr>
          <w:p w14:paraId="3812A2E6" w14:textId="77777777" w:rsidR="0023626A" w:rsidRPr="00D70799" w:rsidRDefault="0023626A" w:rsidP="009E2178">
            <w:pPr>
              <w:pStyle w:val="NormalWeb"/>
              <w:spacing w:before="0" w:beforeAutospacing="0" w:after="0" w:afterAutospacing="0"/>
              <w:ind w:firstLine="720"/>
              <w:jc w:val="both"/>
              <w:rPr>
                <w:sz w:val="20"/>
                <w:szCs w:val="20"/>
              </w:rPr>
            </w:pPr>
          </w:p>
        </w:tc>
      </w:tr>
      <w:tr w:rsidR="0023626A" w:rsidRPr="00D70799" w14:paraId="310014DE" w14:textId="77777777" w:rsidTr="00A91331">
        <w:trPr>
          <w:trHeight w:val="201"/>
        </w:trPr>
        <w:tc>
          <w:tcPr>
            <w:tcW w:w="7371" w:type="dxa"/>
          </w:tcPr>
          <w:p w14:paraId="27205848" w14:textId="77777777" w:rsidR="0023626A" w:rsidRPr="00D70799" w:rsidRDefault="0023626A" w:rsidP="009E2178">
            <w:pPr>
              <w:pStyle w:val="naiskr"/>
              <w:spacing w:before="0" w:after="0"/>
              <w:jc w:val="both"/>
              <w:rPr>
                <w:sz w:val="20"/>
                <w:szCs w:val="20"/>
              </w:rPr>
            </w:pPr>
            <w:r w:rsidRPr="00D70799">
              <w:rPr>
                <w:sz w:val="20"/>
                <w:szCs w:val="20"/>
              </w:rPr>
              <w:t>Saskaņošanas dalībnieki</w:t>
            </w:r>
            <w:r w:rsidR="00DF26D2" w:rsidRPr="00D70799">
              <w:rPr>
                <w:sz w:val="20"/>
                <w:szCs w:val="20"/>
              </w:rPr>
              <w:t xml:space="preserve"> </w:t>
            </w:r>
          </w:p>
        </w:tc>
        <w:tc>
          <w:tcPr>
            <w:tcW w:w="7230" w:type="dxa"/>
            <w:gridSpan w:val="2"/>
            <w:tcBorders>
              <w:bottom w:val="single" w:sz="4" w:space="0" w:color="auto"/>
            </w:tcBorders>
          </w:tcPr>
          <w:p w14:paraId="1EE77855" w14:textId="6127B64E" w:rsidR="00B14A57" w:rsidRPr="00D70799" w:rsidRDefault="0008799E" w:rsidP="009E2178">
            <w:pPr>
              <w:pStyle w:val="naiskr"/>
              <w:spacing w:before="0" w:after="0"/>
              <w:jc w:val="both"/>
              <w:rPr>
                <w:sz w:val="20"/>
                <w:szCs w:val="20"/>
              </w:rPr>
            </w:pPr>
            <w:r w:rsidRPr="00D70799">
              <w:rPr>
                <w:sz w:val="20"/>
                <w:szCs w:val="20"/>
              </w:rPr>
              <w:t>Tieslietu ministrija, Finanšu ministrija</w:t>
            </w:r>
            <w:r w:rsidR="00290C7A">
              <w:rPr>
                <w:sz w:val="20"/>
                <w:szCs w:val="20"/>
              </w:rPr>
              <w:t xml:space="preserve">, </w:t>
            </w:r>
            <w:proofErr w:type="spellStart"/>
            <w:r w:rsidR="00290C7A">
              <w:rPr>
                <w:sz w:val="20"/>
                <w:szCs w:val="20"/>
              </w:rPr>
              <w:t>Iekšlietu</w:t>
            </w:r>
            <w:proofErr w:type="spellEnd"/>
            <w:r w:rsidR="00290C7A">
              <w:rPr>
                <w:sz w:val="20"/>
                <w:szCs w:val="20"/>
              </w:rPr>
              <w:t xml:space="preserve"> ministrija, Labklājības ministrija, Satiksmes Ministrija, Veselības ministrija, Zemkopības ministrija, </w:t>
            </w:r>
            <w:proofErr w:type="spellStart"/>
            <w:r w:rsidR="00290C7A">
              <w:rPr>
                <w:sz w:val="20"/>
                <w:szCs w:val="20"/>
              </w:rPr>
              <w:t>Pārresoru</w:t>
            </w:r>
            <w:proofErr w:type="spellEnd"/>
            <w:r w:rsidR="00290C7A">
              <w:rPr>
                <w:sz w:val="20"/>
                <w:szCs w:val="20"/>
              </w:rPr>
              <w:t xml:space="preserve"> koordinācijas centrs, Latvijas Brīvo arodbiedrību savienība, Latvijas Studentu apvienība</w:t>
            </w:r>
            <w:r w:rsidR="00EE14EF">
              <w:rPr>
                <w:sz w:val="20"/>
                <w:szCs w:val="20"/>
              </w:rPr>
              <w:t>,</w:t>
            </w:r>
            <w:r w:rsidRPr="00D70799">
              <w:rPr>
                <w:sz w:val="20"/>
                <w:szCs w:val="20"/>
              </w:rPr>
              <w:t xml:space="preserve"> </w:t>
            </w:r>
            <w:r w:rsidR="00EE14EF">
              <w:rPr>
                <w:sz w:val="20"/>
                <w:szCs w:val="20"/>
              </w:rPr>
              <w:t>Veselības ministrija</w:t>
            </w:r>
          </w:p>
        </w:tc>
      </w:tr>
      <w:tr w:rsidR="0023626A" w:rsidRPr="00D70799" w14:paraId="38843C9D" w14:textId="77777777" w:rsidTr="00A91331">
        <w:trPr>
          <w:trHeight w:val="210"/>
        </w:trPr>
        <w:tc>
          <w:tcPr>
            <w:tcW w:w="7371" w:type="dxa"/>
          </w:tcPr>
          <w:p w14:paraId="6B2D6721" w14:textId="77777777" w:rsidR="0023626A" w:rsidRPr="00D70799" w:rsidRDefault="0023626A" w:rsidP="009E2178">
            <w:pPr>
              <w:pStyle w:val="naiskr"/>
              <w:spacing w:before="0" w:after="0"/>
              <w:jc w:val="both"/>
              <w:rPr>
                <w:sz w:val="20"/>
                <w:szCs w:val="20"/>
              </w:rPr>
            </w:pPr>
          </w:p>
        </w:tc>
        <w:tc>
          <w:tcPr>
            <w:tcW w:w="282" w:type="dxa"/>
          </w:tcPr>
          <w:p w14:paraId="47DA5F10" w14:textId="77777777" w:rsidR="0023626A" w:rsidRPr="00D70799" w:rsidRDefault="0023626A" w:rsidP="009E2178">
            <w:pPr>
              <w:pStyle w:val="naiskr"/>
              <w:spacing w:before="0" w:after="0"/>
              <w:ind w:firstLine="720"/>
              <w:jc w:val="both"/>
              <w:rPr>
                <w:sz w:val="20"/>
                <w:szCs w:val="20"/>
              </w:rPr>
            </w:pPr>
          </w:p>
        </w:tc>
        <w:tc>
          <w:tcPr>
            <w:tcW w:w="6948" w:type="dxa"/>
          </w:tcPr>
          <w:p w14:paraId="1F7DCF3E" w14:textId="77777777" w:rsidR="0023626A" w:rsidRPr="00D70799" w:rsidRDefault="0023626A" w:rsidP="009E2178">
            <w:pPr>
              <w:pStyle w:val="naiskr"/>
              <w:spacing w:before="0" w:after="0"/>
              <w:ind w:firstLine="12"/>
              <w:jc w:val="both"/>
              <w:rPr>
                <w:sz w:val="20"/>
                <w:szCs w:val="20"/>
              </w:rPr>
            </w:pPr>
          </w:p>
        </w:tc>
      </w:tr>
      <w:tr w:rsidR="0023626A" w:rsidRPr="00D70799" w14:paraId="1759B5E5" w14:textId="77777777" w:rsidTr="00A91331">
        <w:trPr>
          <w:trHeight w:val="210"/>
        </w:trPr>
        <w:tc>
          <w:tcPr>
            <w:tcW w:w="7371" w:type="dxa"/>
          </w:tcPr>
          <w:p w14:paraId="44162AA0" w14:textId="77777777" w:rsidR="0023626A" w:rsidRPr="00D70799" w:rsidRDefault="0023626A" w:rsidP="009E2178">
            <w:pPr>
              <w:pStyle w:val="naiskr"/>
              <w:spacing w:before="0" w:after="0"/>
              <w:jc w:val="both"/>
              <w:rPr>
                <w:sz w:val="20"/>
                <w:szCs w:val="20"/>
              </w:rPr>
            </w:pPr>
            <w:r w:rsidRPr="00D70799">
              <w:rPr>
                <w:sz w:val="20"/>
                <w:szCs w:val="20"/>
              </w:rPr>
              <w:br w:type="page"/>
              <w:t>Saskaņošanas dalībnieki izskatīja šādu ministriju (citu institūciju) iebildumus</w:t>
            </w:r>
          </w:p>
        </w:tc>
        <w:tc>
          <w:tcPr>
            <w:tcW w:w="282" w:type="dxa"/>
            <w:tcBorders>
              <w:bottom w:val="single" w:sz="4" w:space="0" w:color="auto"/>
            </w:tcBorders>
          </w:tcPr>
          <w:p w14:paraId="216E22EE" w14:textId="77777777" w:rsidR="0023626A" w:rsidRPr="00D70799" w:rsidRDefault="0023626A" w:rsidP="009E2178">
            <w:pPr>
              <w:pStyle w:val="naiskr"/>
              <w:spacing w:before="0" w:after="0"/>
              <w:ind w:firstLine="720"/>
              <w:jc w:val="both"/>
              <w:rPr>
                <w:sz w:val="20"/>
                <w:szCs w:val="20"/>
              </w:rPr>
            </w:pPr>
          </w:p>
        </w:tc>
        <w:tc>
          <w:tcPr>
            <w:tcW w:w="6948" w:type="dxa"/>
            <w:tcBorders>
              <w:bottom w:val="single" w:sz="4" w:space="0" w:color="auto"/>
            </w:tcBorders>
            <w:vAlign w:val="bottom"/>
          </w:tcPr>
          <w:p w14:paraId="193EC008" w14:textId="4B89CBD7" w:rsidR="00FF1A42" w:rsidRPr="00D70799" w:rsidRDefault="00F07585" w:rsidP="00EE14EF">
            <w:pPr>
              <w:pStyle w:val="naiskr"/>
              <w:spacing w:before="0" w:after="0"/>
              <w:jc w:val="both"/>
              <w:rPr>
                <w:sz w:val="20"/>
                <w:szCs w:val="20"/>
              </w:rPr>
            </w:pPr>
            <w:r w:rsidRPr="00D70799">
              <w:rPr>
                <w:sz w:val="20"/>
                <w:szCs w:val="20"/>
              </w:rPr>
              <w:t>Finanšu ministrija</w:t>
            </w:r>
            <w:r w:rsidR="00290C7A">
              <w:rPr>
                <w:sz w:val="20"/>
                <w:szCs w:val="20"/>
              </w:rPr>
              <w:t xml:space="preserve"> </w:t>
            </w:r>
          </w:p>
        </w:tc>
      </w:tr>
      <w:tr w:rsidR="0023626A" w:rsidRPr="00D70799" w14:paraId="131C2931" w14:textId="77777777" w:rsidTr="00A91331">
        <w:trPr>
          <w:trHeight w:val="343"/>
        </w:trPr>
        <w:tc>
          <w:tcPr>
            <w:tcW w:w="14601" w:type="dxa"/>
            <w:gridSpan w:val="3"/>
          </w:tcPr>
          <w:p w14:paraId="67A3D480" w14:textId="77777777" w:rsidR="0023626A" w:rsidRPr="00D70799" w:rsidRDefault="0023626A" w:rsidP="009E2178">
            <w:pPr>
              <w:pStyle w:val="naisc"/>
              <w:spacing w:before="0" w:after="0"/>
              <w:jc w:val="both"/>
              <w:rPr>
                <w:sz w:val="20"/>
                <w:szCs w:val="20"/>
              </w:rPr>
            </w:pPr>
          </w:p>
        </w:tc>
      </w:tr>
      <w:tr w:rsidR="0023626A" w:rsidRPr="00D70799" w14:paraId="54D70F5D" w14:textId="77777777" w:rsidTr="00A91331">
        <w:trPr>
          <w:trHeight w:val="612"/>
        </w:trPr>
        <w:tc>
          <w:tcPr>
            <w:tcW w:w="7371" w:type="dxa"/>
          </w:tcPr>
          <w:p w14:paraId="3A64E57D" w14:textId="77777777" w:rsidR="0023626A" w:rsidRPr="00D70799" w:rsidRDefault="0023626A" w:rsidP="009E2178">
            <w:pPr>
              <w:pStyle w:val="naiskr"/>
              <w:spacing w:before="0" w:after="0"/>
              <w:jc w:val="both"/>
              <w:rPr>
                <w:sz w:val="20"/>
                <w:szCs w:val="20"/>
              </w:rPr>
            </w:pPr>
            <w:r w:rsidRPr="00D70799">
              <w:rPr>
                <w:sz w:val="20"/>
                <w:szCs w:val="20"/>
              </w:rPr>
              <w:t>Ministrijas (citas institūcijas), kuras nav ieradušās uz sanāksmi vai kuras nav atbildējušas uz uzaicinājumu piedalīties elektroniskajā saskaņošanā</w:t>
            </w:r>
          </w:p>
        </w:tc>
        <w:tc>
          <w:tcPr>
            <w:tcW w:w="7230" w:type="dxa"/>
            <w:gridSpan w:val="2"/>
            <w:vAlign w:val="bottom"/>
          </w:tcPr>
          <w:p w14:paraId="4BC4B816" w14:textId="5C569F5B" w:rsidR="0023626A" w:rsidRPr="00D70799" w:rsidRDefault="0023626A" w:rsidP="009E2178">
            <w:pPr>
              <w:pStyle w:val="naiskr"/>
              <w:spacing w:before="0" w:after="0"/>
              <w:jc w:val="both"/>
              <w:rPr>
                <w:sz w:val="20"/>
                <w:szCs w:val="20"/>
              </w:rPr>
            </w:pPr>
          </w:p>
        </w:tc>
      </w:tr>
      <w:tr w:rsidR="0023626A" w:rsidRPr="00D70799" w14:paraId="2AFEE836" w14:textId="77777777" w:rsidTr="00237834">
        <w:trPr>
          <w:trHeight w:val="210"/>
        </w:trPr>
        <w:tc>
          <w:tcPr>
            <w:tcW w:w="7371" w:type="dxa"/>
          </w:tcPr>
          <w:p w14:paraId="597547CA" w14:textId="77777777" w:rsidR="0023626A" w:rsidRPr="00D70799" w:rsidRDefault="0023626A" w:rsidP="009E2178">
            <w:pPr>
              <w:pStyle w:val="naiskr"/>
              <w:spacing w:before="0" w:after="0"/>
              <w:ind w:firstLine="720"/>
              <w:jc w:val="both"/>
              <w:rPr>
                <w:sz w:val="20"/>
                <w:szCs w:val="20"/>
              </w:rPr>
            </w:pPr>
            <w:r w:rsidRPr="00D70799">
              <w:rPr>
                <w:sz w:val="20"/>
                <w:szCs w:val="20"/>
              </w:rPr>
              <w:t>  </w:t>
            </w:r>
          </w:p>
        </w:tc>
        <w:tc>
          <w:tcPr>
            <w:tcW w:w="7230" w:type="dxa"/>
            <w:gridSpan w:val="2"/>
            <w:tcBorders>
              <w:top w:val="single" w:sz="6" w:space="0" w:color="000000"/>
              <w:bottom w:val="single" w:sz="6" w:space="0" w:color="000000"/>
            </w:tcBorders>
          </w:tcPr>
          <w:p w14:paraId="034FE488" w14:textId="77777777" w:rsidR="0023626A" w:rsidRPr="00D70799" w:rsidRDefault="0023626A" w:rsidP="009E2178">
            <w:pPr>
              <w:pStyle w:val="naiskr"/>
              <w:spacing w:before="0" w:after="0"/>
              <w:ind w:firstLine="720"/>
              <w:jc w:val="both"/>
              <w:rPr>
                <w:sz w:val="20"/>
                <w:szCs w:val="20"/>
              </w:rPr>
            </w:pPr>
          </w:p>
        </w:tc>
      </w:tr>
    </w:tbl>
    <w:p w14:paraId="787316E0" w14:textId="77777777" w:rsidR="00A2202D" w:rsidRDefault="00A2202D">
      <w:r>
        <w:br w:type="page"/>
      </w:r>
    </w:p>
    <w:tbl>
      <w:tblPr>
        <w:tblW w:w="14601" w:type="dxa"/>
        <w:tblInd w:w="-459" w:type="dxa"/>
        <w:tblLook w:val="00A0" w:firstRow="1" w:lastRow="0" w:firstColumn="1" w:lastColumn="0" w:noHBand="0" w:noVBand="0"/>
      </w:tblPr>
      <w:tblGrid>
        <w:gridCol w:w="7371"/>
        <w:gridCol w:w="7230"/>
      </w:tblGrid>
      <w:tr w:rsidR="00237834" w:rsidRPr="00D70799" w14:paraId="5CCC2DFD" w14:textId="77777777" w:rsidTr="00A91331">
        <w:trPr>
          <w:trHeight w:val="210"/>
        </w:trPr>
        <w:tc>
          <w:tcPr>
            <w:tcW w:w="7371" w:type="dxa"/>
          </w:tcPr>
          <w:p w14:paraId="101F18F1" w14:textId="1CDA2967" w:rsidR="00237834" w:rsidRPr="00D70799" w:rsidRDefault="00237834" w:rsidP="009E2178">
            <w:pPr>
              <w:pStyle w:val="naiskr"/>
              <w:spacing w:before="0" w:after="0"/>
              <w:ind w:firstLine="720"/>
              <w:jc w:val="both"/>
              <w:rPr>
                <w:sz w:val="20"/>
                <w:szCs w:val="20"/>
              </w:rPr>
            </w:pPr>
          </w:p>
          <w:p w14:paraId="72E75A52" w14:textId="77777777" w:rsidR="00237834" w:rsidRPr="00D70799" w:rsidRDefault="00237834" w:rsidP="009E2178">
            <w:pPr>
              <w:pStyle w:val="naiskr"/>
              <w:spacing w:before="0" w:after="0"/>
              <w:ind w:firstLine="720"/>
              <w:jc w:val="both"/>
              <w:rPr>
                <w:sz w:val="20"/>
                <w:szCs w:val="20"/>
              </w:rPr>
            </w:pPr>
          </w:p>
        </w:tc>
        <w:tc>
          <w:tcPr>
            <w:tcW w:w="7230" w:type="dxa"/>
            <w:tcBorders>
              <w:top w:val="single" w:sz="6" w:space="0" w:color="000000"/>
            </w:tcBorders>
          </w:tcPr>
          <w:p w14:paraId="3080EB35" w14:textId="77777777" w:rsidR="00237834" w:rsidRPr="00D70799" w:rsidRDefault="00237834" w:rsidP="009E2178">
            <w:pPr>
              <w:pStyle w:val="naiskr"/>
              <w:spacing w:before="0" w:after="0"/>
              <w:ind w:firstLine="720"/>
              <w:jc w:val="both"/>
              <w:rPr>
                <w:sz w:val="20"/>
                <w:szCs w:val="20"/>
              </w:rPr>
            </w:pPr>
          </w:p>
        </w:tc>
      </w:tr>
    </w:tbl>
    <w:p w14:paraId="200D25AB" w14:textId="77777777" w:rsidR="007B4C0F" w:rsidRPr="00D70799" w:rsidRDefault="007B4C0F" w:rsidP="009E2178">
      <w:pPr>
        <w:pStyle w:val="naisf"/>
        <w:spacing w:before="0" w:after="0"/>
        <w:ind w:firstLine="0"/>
        <w:rPr>
          <w:b/>
          <w:sz w:val="20"/>
          <w:szCs w:val="20"/>
        </w:rPr>
      </w:pPr>
      <w:r w:rsidRPr="00D70799">
        <w:rPr>
          <w:b/>
          <w:sz w:val="20"/>
          <w:szCs w:val="20"/>
        </w:rPr>
        <w:t>II. </w:t>
      </w:r>
      <w:r w:rsidR="00134188" w:rsidRPr="00D70799">
        <w:rPr>
          <w:b/>
          <w:sz w:val="20"/>
          <w:szCs w:val="20"/>
        </w:rPr>
        <w:t>Jautājumi, par kuriem saskaņošanā vienošan</w:t>
      </w:r>
      <w:r w:rsidR="00144622" w:rsidRPr="00D70799">
        <w:rPr>
          <w:b/>
          <w:sz w:val="20"/>
          <w:szCs w:val="20"/>
        </w:rPr>
        <w:t>ā</w:t>
      </w:r>
      <w:r w:rsidR="00134188" w:rsidRPr="00D70799">
        <w:rPr>
          <w:b/>
          <w:sz w:val="20"/>
          <w:szCs w:val="20"/>
        </w:rPr>
        <w:t>s ir panākta</w:t>
      </w:r>
    </w:p>
    <w:tbl>
      <w:tblPr>
        <w:tblW w:w="5154"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3"/>
        <w:gridCol w:w="3038"/>
        <w:gridCol w:w="3969"/>
        <w:gridCol w:w="3243"/>
        <w:gridCol w:w="3101"/>
      </w:tblGrid>
      <w:tr w:rsidR="000D6CDB" w:rsidRPr="00D70799" w14:paraId="1AE1E91F" w14:textId="77777777" w:rsidTr="00B4310A">
        <w:trPr>
          <w:trHeight w:val="148"/>
        </w:trPr>
        <w:tc>
          <w:tcPr>
            <w:tcW w:w="372" w:type="pct"/>
            <w:shd w:val="clear" w:color="auto" w:fill="FFFFFF" w:themeFill="background1"/>
            <w:vAlign w:val="center"/>
          </w:tcPr>
          <w:p w14:paraId="336AD408" w14:textId="77777777" w:rsidR="00134188" w:rsidRPr="00D70799" w:rsidRDefault="003903CE" w:rsidP="009E2178">
            <w:pPr>
              <w:pStyle w:val="naisc"/>
              <w:spacing w:before="0" w:after="0"/>
              <w:jc w:val="both"/>
              <w:rPr>
                <w:sz w:val="20"/>
                <w:szCs w:val="20"/>
              </w:rPr>
            </w:pPr>
            <w:r w:rsidRPr="00D70799">
              <w:rPr>
                <w:sz w:val="20"/>
                <w:szCs w:val="20"/>
              </w:rPr>
              <w:t>Nr.</w:t>
            </w:r>
            <w:r w:rsidR="00690E99" w:rsidRPr="00D70799">
              <w:rPr>
                <w:sz w:val="20"/>
                <w:szCs w:val="20"/>
              </w:rPr>
              <w:t xml:space="preserve"> </w:t>
            </w:r>
            <w:r w:rsidR="00134188" w:rsidRPr="00D70799">
              <w:rPr>
                <w:sz w:val="20"/>
                <w:szCs w:val="20"/>
              </w:rPr>
              <w:t>p.k.</w:t>
            </w:r>
          </w:p>
        </w:tc>
        <w:tc>
          <w:tcPr>
            <w:tcW w:w="1053" w:type="pct"/>
            <w:vAlign w:val="center"/>
          </w:tcPr>
          <w:p w14:paraId="2455189D" w14:textId="77777777" w:rsidR="00134188" w:rsidRPr="00D70799" w:rsidRDefault="00134188" w:rsidP="009E2178">
            <w:pPr>
              <w:pStyle w:val="naisc"/>
              <w:spacing w:before="0" w:after="0"/>
              <w:ind w:firstLine="12"/>
              <w:jc w:val="both"/>
              <w:rPr>
                <w:sz w:val="20"/>
                <w:szCs w:val="20"/>
              </w:rPr>
            </w:pPr>
            <w:r w:rsidRPr="00D70799">
              <w:rPr>
                <w:sz w:val="20"/>
                <w:szCs w:val="20"/>
              </w:rPr>
              <w:t>Saskaņošanai nosūtītā projekta redakcija (konkrēta punkta (panta) redakcija)</w:t>
            </w:r>
          </w:p>
        </w:tc>
        <w:tc>
          <w:tcPr>
            <w:tcW w:w="1376" w:type="pct"/>
            <w:vAlign w:val="center"/>
          </w:tcPr>
          <w:p w14:paraId="6F9E137A" w14:textId="77777777" w:rsidR="00134188" w:rsidRPr="00D70799" w:rsidRDefault="00134188" w:rsidP="009E2178">
            <w:pPr>
              <w:pStyle w:val="naisc"/>
              <w:spacing w:before="0" w:after="0"/>
              <w:jc w:val="both"/>
              <w:rPr>
                <w:sz w:val="20"/>
                <w:szCs w:val="20"/>
              </w:rPr>
            </w:pPr>
            <w:r w:rsidRPr="00D70799">
              <w:rPr>
                <w:sz w:val="20"/>
                <w:szCs w:val="20"/>
              </w:rPr>
              <w:t>Atzinumā norādītais ministrijas (citas institūcijas) iebildums, kā arī saskaņošanā papildus izteiktais iebildums par projekta konkrēto punktu (pantu)</w:t>
            </w:r>
          </w:p>
        </w:tc>
        <w:tc>
          <w:tcPr>
            <w:tcW w:w="1124" w:type="pct"/>
            <w:vAlign w:val="center"/>
          </w:tcPr>
          <w:p w14:paraId="1E5E245C" w14:textId="77777777" w:rsidR="00134188" w:rsidRPr="00D70799" w:rsidRDefault="00134188" w:rsidP="009E2178">
            <w:pPr>
              <w:pStyle w:val="naisc"/>
              <w:spacing w:before="0" w:after="0"/>
              <w:ind w:firstLine="21"/>
              <w:jc w:val="both"/>
              <w:rPr>
                <w:sz w:val="20"/>
                <w:szCs w:val="20"/>
              </w:rPr>
            </w:pPr>
            <w:r w:rsidRPr="00D70799">
              <w:rPr>
                <w:sz w:val="20"/>
                <w:szCs w:val="20"/>
              </w:rPr>
              <w:t>Atbildīgās ministrijas norāde</w:t>
            </w:r>
            <w:r w:rsidR="006C1C48" w:rsidRPr="00D70799">
              <w:rPr>
                <w:sz w:val="20"/>
                <w:szCs w:val="20"/>
              </w:rPr>
              <w:t xml:space="preserve"> par to, ka </w:t>
            </w:r>
            <w:r w:rsidRPr="00D70799">
              <w:rPr>
                <w:sz w:val="20"/>
                <w:szCs w:val="20"/>
              </w:rPr>
              <w:t>iebildums ir ņemts vērā</w:t>
            </w:r>
            <w:r w:rsidR="006455E7" w:rsidRPr="00D70799">
              <w:rPr>
                <w:sz w:val="20"/>
                <w:szCs w:val="20"/>
              </w:rPr>
              <w:t>,</w:t>
            </w:r>
            <w:r w:rsidRPr="00D70799">
              <w:rPr>
                <w:sz w:val="20"/>
                <w:szCs w:val="20"/>
              </w:rPr>
              <w:t xml:space="preserve"> vai </w:t>
            </w:r>
            <w:r w:rsidR="006C1C48" w:rsidRPr="00D70799">
              <w:rPr>
                <w:sz w:val="20"/>
                <w:szCs w:val="20"/>
              </w:rPr>
              <w:t xml:space="preserve">informācija par saskaņošanā </w:t>
            </w:r>
            <w:r w:rsidR="00022B0F" w:rsidRPr="00D70799">
              <w:rPr>
                <w:sz w:val="20"/>
                <w:szCs w:val="20"/>
              </w:rPr>
              <w:t>panākto alternatīvo risinājumu</w:t>
            </w:r>
          </w:p>
        </w:tc>
        <w:tc>
          <w:tcPr>
            <w:tcW w:w="1075" w:type="pct"/>
            <w:vAlign w:val="center"/>
          </w:tcPr>
          <w:p w14:paraId="1CA5ACC6" w14:textId="77777777" w:rsidR="00134188" w:rsidRPr="00D70799" w:rsidRDefault="00134188" w:rsidP="009E2178">
            <w:pPr>
              <w:jc w:val="both"/>
              <w:rPr>
                <w:sz w:val="20"/>
                <w:szCs w:val="20"/>
              </w:rPr>
            </w:pPr>
            <w:r w:rsidRPr="00D70799">
              <w:rPr>
                <w:sz w:val="20"/>
                <w:szCs w:val="20"/>
              </w:rPr>
              <w:t>Projekta attiecīgā punkta (panta) galīgā redakcija</w:t>
            </w:r>
          </w:p>
        </w:tc>
      </w:tr>
      <w:tr w:rsidR="000D6CDB" w:rsidRPr="00D70799" w14:paraId="270351AB" w14:textId="77777777" w:rsidTr="00B4310A">
        <w:trPr>
          <w:trHeight w:val="283"/>
        </w:trPr>
        <w:tc>
          <w:tcPr>
            <w:tcW w:w="372" w:type="pct"/>
            <w:shd w:val="clear" w:color="auto" w:fill="FFFFFF" w:themeFill="background1"/>
          </w:tcPr>
          <w:p w14:paraId="67B8FEC9" w14:textId="77777777" w:rsidR="00134188" w:rsidRPr="00D70799" w:rsidRDefault="003B71E0" w:rsidP="009E2178">
            <w:pPr>
              <w:pStyle w:val="naisc"/>
              <w:spacing w:before="0" w:after="0"/>
              <w:rPr>
                <w:sz w:val="20"/>
                <w:szCs w:val="20"/>
              </w:rPr>
            </w:pPr>
            <w:r w:rsidRPr="00D70799">
              <w:rPr>
                <w:sz w:val="20"/>
                <w:szCs w:val="20"/>
              </w:rPr>
              <w:t>1</w:t>
            </w:r>
          </w:p>
        </w:tc>
        <w:tc>
          <w:tcPr>
            <w:tcW w:w="1053" w:type="pct"/>
          </w:tcPr>
          <w:p w14:paraId="3F134B86" w14:textId="77777777" w:rsidR="00134188" w:rsidRPr="00D70799" w:rsidRDefault="00F34AAB" w:rsidP="009E2178">
            <w:pPr>
              <w:pStyle w:val="naisc"/>
              <w:spacing w:before="0" w:after="0"/>
              <w:ind w:firstLine="720"/>
              <w:rPr>
                <w:sz w:val="20"/>
                <w:szCs w:val="20"/>
              </w:rPr>
            </w:pPr>
            <w:r w:rsidRPr="00D70799">
              <w:rPr>
                <w:sz w:val="20"/>
                <w:szCs w:val="20"/>
              </w:rPr>
              <w:t>2</w:t>
            </w:r>
          </w:p>
        </w:tc>
        <w:tc>
          <w:tcPr>
            <w:tcW w:w="1376" w:type="pct"/>
          </w:tcPr>
          <w:p w14:paraId="624519BC" w14:textId="77777777" w:rsidR="00134188" w:rsidRPr="00D70799" w:rsidRDefault="003B71E0" w:rsidP="009E2178">
            <w:pPr>
              <w:pStyle w:val="naisc"/>
              <w:spacing w:before="0" w:after="0"/>
              <w:ind w:firstLine="720"/>
              <w:rPr>
                <w:sz w:val="20"/>
                <w:szCs w:val="20"/>
              </w:rPr>
            </w:pPr>
            <w:r w:rsidRPr="00D70799">
              <w:rPr>
                <w:sz w:val="20"/>
                <w:szCs w:val="20"/>
              </w:rPr>
              <w:t>3</w:t>
            </w:r>
          </w:p>
        </w:tc>
        <w:tc>
          <w:tcPr>
            <w:tcW w:w="1124" w:type="pct"/>
          </w:tcPr>
          <w:p w14:paraId="0FF93B22" w14:textId="77777777" w:rsidR="00134188" w:rsidRPr="00D70799" w:rsidRDefault="003B71E0" w:rsidP="009E2178">
            <w:pPr>
              <w:pStyle w:val="naisc"/>
              <w:spacing w:before="0" w:after="0"/>
              <w:rPr>
                <w:sz w:val="20"/>
                <w:szCs w:val="20"/>
              </w:rPr>
            </w:pPr>
            <w:r w:rsidRPr="00D70799">
              <w:rPr>
                <w:sz w:val="20"/>
                <w:szCs w:val="20"/>
              </w:rPr>
              <w:t>4</w:t>
            </w:r>
          </w:p>
        </w:tc>
        <w:tc>
          <w:tcPr>
            <w:tcW w:w="1075" w:type="pct"/>
          </w:tcPr>
          <w:p w14:paraId="675E482A" w14:textId="77777777" w:rsidR="00134188" w:rsidRPr="00D70799" w:rsidRDefault="003B71E0" w:rsidP="009E2178">
            <w:pPr>
              <w:jc w:val="center"/>
              <w:rPr>
                <w:sz w:val="20"/>
                <w:szCs w:val="20"/>
              </w:rPr>
            </w:pPr>
            <w:r w:rsidRPr="00D70799">
              <w:rPr>
                <w:sz w:val="20"/>
                <w:szCs w:val="20"/>
              </w:rPr>
              <w:t>5</w:t>
            </w:r>
          </w:p>
        </w:tc>
      </w:tr>
      <w:tr w:rsidR="000D6CDB" w:rsidRPr="00D70799" w14:paraId="30C5C5D6" w14:textId="77777777" w:rsidTr="009A1134">
        <w:trPr>
          <w:trHeight w:val="583"/>
        </w:trPr>
        <w:tc>
          <w:tcPr>
            <w:tcW w:w="5000" w:type="pct"/>
            <w:gridSpan w:val="5"/>
            <w:shd w:val="clear" w:color="auto" w:fill="FFFFFF" w:themeFill="background1"/>
            <w:vAlign w:val="center"/>
          </w:tcPr>
          <w:p w14:paraId="4560E1DD" w14:textId="77777777" w:rsidR="0066159A" w:rsidRPr="00D70799" w:rsidRDefault="0066159A" w:rsidP="009E2178">
            <w:pPr>
              <w:jc w:val="center"/>
              <w:rPr>
                <w:sz w:val="20"/>
                <w:szCs w:val="20"/>
              </w:rPr>
            </w:pPr>
            <w:r w:rsidRPr="00D70799">
              <w:rPr>
                <w:b/>
                <w:sz w:val="20"/>
                <w:szCs w:val="20"/>
              </w:rPr>
              <w:t xml:space="preserve">Iebildumi par </w:t>
            </w:r>
            <w:r w:rsidR="002E1E81" w:rsidRPr="00D70799">
              <w:rPr>
                <w:b/>
                <w:sz w:val="20"/>
                <w:szCs w:val="20"/>
              </w:rPr>
              <w:t>Ministru kabineta noteikumu</w:t>
            </w:r>
            <w:r w:rsidRPr="00D70799">
              <w:rPr>
                <w:b/>
                <w:sz w:val="20"/>
                <w:szCs w:val="20"/>
              </w:rPr>
              <w:t xml:space="preserve"> projektu</w:t>
            </w:r>
          </w:p>
        </w:tc>
      </w:tr>
      <w:tr w:rsidR="009E115C" w:rsidRPr="00D70799" w14:paraId="2FEE61BD" w14:textId="77777777" w:rsidTr="00B4310A">
        <w:trPr>
          <w:trHeight w:val="274"/>
        </w:trPr>
        <w:tc>
          <w:tcPr>
            <w:tcW w:w="372" w:type="pct"/>
            <w:shd w:val="clear" w:color="auto" w:fill="FFFFFF" w:themeFill="background1"/>
          </w:tcPr>
          <w:p w14:paraId="68A8E758" w14:textId="77777777" w:rsidR="009E115C" w:rsidRPr="00D70799" w:rsidRDefault="009E115C" w:rsidP="009E2178">
            <w:pPr>
              <w:numPr>
                <w:ilvl w:val="0"/>
                <w:numId w:val="31"/>
              </w:numPr>
              <w:tabs>
                <w:tab w:val="center" w:pos="284"/>
              </w:tabs>
              <w:ind w:left="0" w:firstLine="0"/>
              <w:rPr>
                <w:sz w:val="20"/>
                <w:szCs w:val="20"/>
              </w:rPr>
            </w:pPr>
          </w:p>
        </w:tc>
        <w:tc>
          <w:tcPr>
            <w:tcW w:w="1053" w:type="pct"/>
            <w:shd w:val="clear" w:color="auto" w:fill="auto"/>
          </w:tcPr>
          <w:p w14:paraId="32C00ECF" w14:textId="0CFA87B5" w:rsidR="009E115C" w:rsidRPr="00D70799" w:rsidRDefault="009E115C" w:rsidP="009E2178">
            <w:pPr>
              <w:jc w:val="both"/>
              <w:rPr>
                <w:sz w:val="20"/>
                <w:szCs w:val="20"/>
              </w:rPr>
            </w:pPr>
            <w:r w:rsidRPr="00D70799">
              <w:rPr>
                <w:sz w:val="20"/>
                <w:szCs w:val="20"/>
              </w:rPr>
              <w:t>Vispārīgie iebildumi</w:t>
            </w:r>
          </w:p>
        </w:tc>
        <w:tc>
          <w:tcPr>
            <w:tcW w:w="1376" w:type="pct"/>
            <w:shd w:val="clear" w:color="auto" w:fill="auto"/>
          </w:tcPr>
          <w:p w14:paraId="7E73052A" w14:textId="3CEC450F" w:rsidR="009E115C" w:rsidRPr="00D70799" w:rsidRDefault="009E115C" w:rsidP="009E2178">
            <w:pPr>
              <w:pStyle w:val="Default"/>
              <w:adjustRightInd/>
              <w:jc w:val="both"/>
              <w:rPr>
                <w:color w:val="auto"/>
                <w:sz w:val="20"/>
                <w:szCs w:val="20"/>
              </w:rPr>
            </w:pPr>
            <w:r w:rsidRPr="00D70799">
              <w:rPr>
                <w:color w:val="auto"/>
                <w:sz w:val="20"/>
                <w:szCs w:val="20"/>
              </w:rPr>
              <w:t>Finanšu ministrija (</w:t>
            </w:r>
            <w:r w:rsidRPr="00D70799">
              <w:rPr>
                <w:b/>
                <w:color w:val="auto"/>
                <w:sz w:val="20"/>
                <w:szCs w:val="20"/>
              </w:rPr>
              <w:t>FM</w:t>
            </w:r>
            <w:r w:rsidRPr="00D70799">
              <w:rPr>
                <w:color w:val="auto"/>
                <w:sz w:val="20"/>
                <w:szCs w:val="20"/>
              </w:rPr>
              <w:t>)</w:t>
            </w:r>
          </w:p>
          <w:p w14:paraId="2251D6AE" w14:textId="77777777" w:rsidR="009E115C" w:rsidRPr="00D70799" w:rsidRDefault="009E115C" w:rsidP="009E2178">
            <w:pPr>
              <w:pStyle w:val="Default"/>
              <w:jc w:val="both"/>
              <w:rPr>
                <w:color w:val="auto"/>
                <w:sz w:val="20"/>
                <w:szCs w:val="20"/>
              </w:rPr>
            </w:pPr>
            <w:r w:rsidRPr="00D70799">
              <w:rPr>
                <w:color w:val="auto"/>
                <w:sz w:val="20"/>
                <w:szCs w:val="20"/>
              </w:rPr>
              <w:t xml:space="preserve">Vēršam uzmanību, ka MK 2009.gada 24.marta noteikumi Nr.265 “Noteikumi par darbības programmas “Infrastruktūra un pakalpojumi” papildinājuma 3.1.2.1.1.apakšaktivitāti “Augstākās izglītības iestāžu telpu un iekārtu modernizēšana studiju programmu kvalitātes uzlabošanai, tajā skaitā nodrošinot izglītības programmu apgūšanas iespējas arī personām ar funkcionāliem traucējumiem”” (turpmāk  – MK noteikumi Nr.265) paredz atbalstu augstākās izglītības studiju programmu kvalitātes uzlabošanai, nevis atbalstu pētniecības infrastruktūrai, tādējādi nodrošinot, ka pasākuma ietvaros komercdarbības atbalsta sniegšana un tā regulējuma piemērošana nav paredzēta jau sākotnēji. </w:t>
            </w:r>
          </w:p>
          <w:p w14:paraId="38A58626" w14:textId="77777777" w:rsidR="009E115C" w:rsidRPr="00D70799" w:rsidRDefault="009E115C" w:rsidP="009E2178">
            <w:pPr>
              <w:pStyle w:val="Default"/>
              <w:jc w:val="both"/>
              <w:rPr>
                <w:color w:val="auto"/>
                <w:sz w:val="20"/>
                <w:szCs w:val="20"/>
              </w:rPr>
            </w:pPr>
            <w:r w:rsidRPr="00D70799">
              <w:rPr>
                <w:color w:val="auto"/>
                <w:sz w:val="20"/>
                <w:szCs w:val="20"/>
              </w:rPr>
              <w:t xml:space="preserve">Vienlaikus vēršam uzmanību, ka IZM 2017.gada beigās, vērtējot potenciālu komercdarbības atbalsta sniegšanu dažādām augstākās izglītības iestāžu kapacitātes stiprināšanas aktivitātēm specifisko atbalsta mērķu (turpmāk – SAM): 8.2.1.SAM “Samazināt studiju programmu fragmentāciju un stiprināt resursu koplietošanu”, 8.2.2.SAM “Stiprināt augstākās izglītības institūciju akadēmisko personālu stratēģiskās specializācijas jomās” un 8.2.3.SAM “Nodrošināt labāku pārvaldību augstākās izglītības institūcijās” ietvaros, ir secinājusi, ka </w:t>
            </w:r>
            <w:r w:rsidRPr="00D70799">
              <w:rPr>
                <w:color w:val="auto"/>
                <w:sz w:val="20"/>
                <w:szCs w:val="20"/>
              </w:rPr>
              <w:lastRenderedPageBreak/>
              <w:t xml:space="preserve">minēto SAM projektu ietvaros sniegtais atbalsts nekvalificējas kā komercdarbības atbalsts, jo neizpildās Komercdarbības atbalsta kontroles likuma 5.pantā minētā ceturtā pazīme. Attiecīgi IZM MK noteikumu par minēto SAM īstenošanu sākotnējās ietekmes novērtējuma ziņojumos (anotācija) ir secinājusi, ka “analizējot statistikas datus par augstākās izglītības institūcijām secināts, ka tajās ārvalsts studējošo skaits pēdējos 3 pārskata gados vidēji ir tikai 8% (2014.gadā – 6 %, 2015.gadā – 8%, 2016.gadā – 10%), kas nepārsniedz 15% robežu un tādējādi uzskatāms, ka atbalstam, kas tiek sniegts augstskolām izglītības funkcijai, ir vienīgi vietēja mēroga ietekme saskaņā ar Eiropas Komisijas dokumenta “Komisijas paziņojums par Līguma par Eiropas Savienības darbību 107.panta 1.punktā minēto valsts atbalsta jēdzienu” 196. un 197. punktu.”. </w:t>
            </w:r>
          </w:p>
          <w:p w14:paraId="0D04EE00" w14:textId="41183316" w:rsidR="009E115C" w:rsidRPr="00D70799" w:rsidRDefault="009E115C" w:rsidP="009E2178">
            <w:pPr>
              <w:pStyle w:val="Default"/>
              <w:adjustRightInd/>
              <w:jc w:val="both"/>
              <w:rPr>
                <w:color w:val="auto"/>
                <w:sz w:val="20"/>
                <w:szCs w:val="20"/>
              </w:rPr>
            </w:pPr>
            <w:r w:rsidRPr="00D70799">
              <w:rPr>
                <w:color w:val="auto"/>
                <w:sz w:val="20"/>
                <w:szCs w:val="20"/>
              </w:rPr>
              <w:t xml:space="preserve">Ņemot vērā minēto, kā arī to, ka noteikumu projekta ietvaros nav paredzētas papildinošas pētniecības infrastruktūras aktivitātes, atbilstoši Eiropas Komisijas paziņojumam “Nostādnes par valsts atbalstu pētniecībai, izstrādei un inovācijai”  (2014/C 198/01) 15.punkta </w:t>
            </w:r>
            <w:proofErr w:type="spellStart"/>
            <w:r w:rsidRPr="00D70799">
              <w:rPr>
                <w:color w:val="auto"/>
                <w:sz w:val="20"/>
                <w:szCs w:val="20"/>
              </w:rPr>
              <w:t>ff</w:t>
            </w:r>
            <w:proofErr w:type="spellEnd"/>
            <w:r w:rsidRPr="00D70799">
              <w:rPr>
                <w:color w:val="auto"/>
                <w:sz w:val="20"/>
                <w:szCs w:val="20"/>
              </w:rPr>
              <w:t>) apakšpunktā noteiktajam un no anotācijas izriet, ka ar noteikumu projektā ietvertajiem grozījumiem netiek mainīta sākotnējā nacionālā normatīvā akta būtība, nav skaidra plānoto noteikumu projekta grozījumu nepieciešamība. Gadījumā, ja IZM ieskatā pastāv nepieciešamība papildu jau esošajām aktivitātēm paredzēt papildinošas aktivitātes ārpus vispārējās izglītības sistēmas ietvara, lūdzam to papildus skaidrot anotācijā, kā arī veikt atbilstošus precizējumus noteikumu projektā, un atbilstoši tam ietvert arī papildu normas par papildu saimnieciskajām aktivitātēm.</w:t>
            </w:r>
          </w:p>
        </w:tc>
        <w:tc>
          <w:tcPr>
            <w:tcW w:w="2199" w:type="pct"/>
            <w:gridSpan w:val="2"/>
            <w:shd w:val="clear" w:color="auto" w:fill="auto"/>
          </w:tcPr>
          <w:p w14:paraId="337DABDF" w14:textId="77777777" w:rsidR="009E115C" w:rsidRDefault="009E115C" w:rsidP="009E2178">
            <w:pPr>
              <w:jc w:val="both"/>
              <w:rPr>
                <w:b/>
                <w:sz w:val="20"/>
                <w:szCs w:val="20"/>
              </w:rPr>
            </w:pPr>
            <w:r w:rsidRPr="00D70799">
              <w:rPr>
                <w:b/>
                <w:sz w:val="20"/>
                <w:szCs w:val="20"/>
              </w:rPr>
              <w:lastRenderedPageBreak/>
              <w:t>Ņemts vērā.</w:t>
            </w:r>
          </w:p>
          <w:p w14:paraId="53C4BFED" w14:textId="48FD7EC5" w:rsidR="003770D6" w:rsidRPr="00D70799" w:rsidRDefault="00392F8F" w:rsidP="009E2178">
            <w:pPr>
              <w:jc w:val="both"/>
              <w:rPr>
                <w:b/>
                <w:sz w:val="20"/>
                <w:szCs w:val="20"/>
              </w:rPr>
            </w:pPr>
            <w:r>
              <w:rPr>
                <w:sz w:val="20"/>
                <w:szCs w:val="20"/>
              </w:rPr>
              <w:t xml:space="preserve">Papildināta anotācija, </w:t>
            </w:r>
            <w:r w:rsidRPr="00D70799">
              <w:rPr>
                <w:sz w:val="20"/>
                <w:szCs w:val="20"/>
              </w:rPr>
              <w:t xml:space="preserve">skaidrot </w:t>
            </w:r>
            <w:r>
              <w:rPr>
                <w:sz w:val="20"/>
                <w:szCs w:val="20"/>
              </w:rPr>
              <w:t>situāciju</w:t>
            </w:r>
            <w:r w:rsidRPr="00D70799">
              <w:rPr>
                <w:sz w:val="20"/>
                <w:szCs w:val="20"/>
              </w:rPr>
              <w:t>, kā arī veikt</w:t>
            </w:r>
            <w:r>
              <w:rPr>
                <w:sz w:val="20"/>
                <w:szCs w:val="20"/>
              </w:rPr>
              <w:t>i</w:t>
            </w:r>
            <w:r w:rsidRPr="00D70799">
              <w:rPr>
                <w:sz w:val="20"/>
                <w:szCs w:val="20"/>
              </w:rPr>
              <w:t xml:space="preserve"> atbilstoš</w:t>
            </w:r>
            <w:r>
              <w:rPr>
                <w:sz w:val="20"/>
                <w:szCs w:val="20"/>
              </w:rPr>
              <w:t>i</w:t>
            </w:r>
            <w:r w:rsidRPr="00D70799">
              <w:rPr>
                <w:sz w:val="20"/>
                <w:szCs w:val="20"/>
              </w:rPr>
              <w:t xml:space="preserve"> precizējum</w:t>
            </w:r>
            <w:r>
              <w:rPr>
                <w:sz w:val="20"/>
                <w:szCs w:val="20"/>
              </w:rPr>
              <w:t>i</w:t>
            </w:r>
            <w:r w:rsidRPr="00D70799">
              <w:rPr>
                <w:sz w:val="20"/>
                <w:szCs w:val="20"/>
              </w:rPr>
              <w:t xml:space="preserve"> noteikumu projektā, ietver</w:t>
            </w:r>
            <w:r>
              <w:rPr>
                <w:sz w:val="20"/>
                <w:szCs w:val="20"/>
              </w:rPr>
              <w:t>o</w:t>
            </w:r>
            <w:r w:rsidRPr="00D70799">
              <w:rPr>
                <w:sz w:val="20"/>
                <w:szCs w:val="20"/>
              </w:rPr>
              <w:t xml:space="preserve">t papildu normas </w:t>
            </w:r>
            <w:r w:rsidR="0060338B">
              <w:rPr>
                <w:sz w:val="20"/>
                <w:szCs w:val="20"/>
              </w:rPr>
              <w:t>infrastruktūras ekspluatāciju</w:t>
            </w:r>
            <w:r w:rsidRPr="00D70799">
              <w:rPr>
                <w:sz w:val="20"/>
                <w:szCs w:val="20"/>
              </w:rPr>
              <w:t xml:space="preserve"> </w:t>
            </w:r>
            <w:r>
              <w:rPr>
                <w:sz w:val="20"/>
                <w:szCs w:val="20"/>
              </w:rPr>
              <w:t>saimnieciskām darbībām</w:t>
            </w:r>
            <w:r w:rsidR="0060338B">
              <w:rPr>
                <w:sz w:val="20"/>
                <w:szCs w:val="20"/>
              </w:rPr>
              <w:t xml:space="preserve"> (papildinoša saimnieciskā darbība </w:t>
            </w:r>
            <w:r w:rsidR="00A60E4E">
              <w:rPr>
                <w:sz w:val="20"/>
                <w:szCs w:val="20"/>
              </w:rPr>
              <w:t>(</w:t>
            </w:r>
            <w:proofErr w:type="spellStart"/>
            <w:r w:rsidR="00A60E4E" w:rsidRPr="00A60E4E">
              <w:rPr>
                <w:i/>
                <w:sz w:val="20"/>
                <w:szCs w:val="20"/>
              </w:rPr>
              <w:t>ancillary</w:t>
            </w:r>
            <w:proofErr w:type="spellEnd"/>
            <w:r w:rsidR="00A60E4E" w:rsidRPr="00A60E4E">
              <w:rPr>
                <w:i/>
                <w:sz w:val="20"/>
                <w:szCs w:val="20"/>
              </w:rPr>
              <w:t xml:space="preserve"> </w:t>
            </w:r>
            <w:proofErr w:type="spellStart"/>
            <w:r w:rsidR="00A60E4E" w:rsidRPr="00A60E4E">
              <w:rPr>
                <w:i/>
                <w:sz w:val="20"/>
                <w:szCs w:val="20"/>
              </w:rPr>
              <w:t>economic</w:t>
            </w:r>
            <w:proofErr w:type="spellEnd"/>
            <w:r w:rsidR="00A60E4E" w:rsidRPr="00A60E4E">
              <w:rPr>
                <w:i/>
                <w:sz w:val="20"/>
                <w:szCs w:val="20"/>
              </w:rPr>
              <w:t xml:space="preserve"> </w:t>
            </w:r>
            <w:proofErr w:type="spellStart"/>
            <w:r w:rsidR="00A60E4E" w:rsidRPr="00A60E4E">
              <w:rPr>
                <w:i/>
                <w:sz w:val="20"/>
                <w:szCs w:val="20"/>
              </w:rPr>
              <w:t>activities</w:t>
            </w:r>
            <w:proofErr w:type="spellEnd"/>
            <w:r w:rsidR="00A60E4E">
              <w:rPr>
                <w:sz w:val="20"/>
                <w:szCs w:val="20"/>
              </w:rPr>
              <w:t xml:space="preserve">) </w:t>
            </w:r>
            <w:r w:rsidR="0060338B">
              <w:rPr>
                <w:sz w:val="20"/>
                <w:szCs w:val="20"/>
              </w:rPr>
              <w:t xml:space="preserve">un parastie </w:t>
            </w:r>
            <w:proofErr w:type="spellStart"/>
            <w:r w:rsidR="0060338B">
              <w:rPr>
                <w:sz w:val="20"/>
                <w:szCs w:val="20"/>
              </w:rPr>
              <w:t>papildpakalpjumi</w:t>
            </w:r>
            <w:proofErr w:type="spellEnd"/>
            <w:r w:rsidR="00A60E4E">
              <w:rPr>
                <w:sz w:val="20"/>
                <w:szCs w:val="20"/>
              </w:rPr>
              <w:t xml:space="preserve"> (</w:t>
            </w:r>
            <w:proofErr w:type="spellStart"/>
            <w:r w:rsidR="00A60E4E" w:rsidRPr="00A60E4E">
              <w:rPr>
                <w:i/>
                <w:sz w:val="20"/>
                <w:szCs w:val="20"/>
              </w:rPr>
              <w:t>customary</w:t>
            </w:r>
            <w:proofErr w:type="spellEnd"/>
            <w:r w:rsidR="00A60E4E" w:rsidRPr="00A60E4E">
              <w:rPr>
                <w:i/>
                <w:sz w:val="20"/>
                <w:szCs w:val="20"/>
              </w:rPr>
              <w:t xml:space="preserve"> </w:t>
            </w:r>
            <w:proofErr w:type="spellStart"/>
            <w:r w:rsidR="00A60E4E" w:rsidRPr="00A60E4E">
              <w:rPr>
                <w:i/>
                <w:sz w:val="20"/>
                <w:szCs w:val="20"/>
              </w:rPr>
              <w:t>amenities</w:t>
            </w:r>
            <w:proofErr w:type="spellEnd"/>
            <w:r w:rsidR="0060338B">
              <w:rPr>
                <w:sz w:val="20"/>
                <w:szCs w:val="20"/>
              </w:rPr>
              <w:t>)</w:t>
            </w:r>
            <w:r>
              <w:rPr>
                <w:sz w:val="20"/>
                <w:szCs w:val="20"/>
              </w:rPr>
              <w:t>. Informējam, ka nav nepieciešams</w:t>
            </w:r>
            <w:r w:rsidR="003770D6" w:rsidRPr="00D70799">
              <w:rPr>
                <w:sz w:val="20"/>
                <w:szCs w:val="20"/>
              </w:rPr>
              <w:t xml:space="preserve"> papildu</w:t>
            </w:r>
            <w:r w:rsidR="003770D6">
              <w:rPr>
                <w:sz w:val="20"/>
                <w:szCs w:val="20"/>
              </w:rPr>
              <w:t>s</w:t>
            </w:r>
            <w:r w:rsidR="003770D6" w:rsidRPr="00D70799">
              <w:rPr>
                <w:sz w:val="20"/>
                <w:szCs w:val="20"/>
              </w:rPr>
              <w:t xml:space="preserve"> jau esošajām aktivitātēm paredzēt aktivitātes ārpus </w:t>
            </w:r>
            <w:r>
              <w:rPr>
                <w:sz w:val="20"/>
                <w:szCs w:val="20"/>
              </w:rPr>
              <w:t>izglītības sistēmas ietvara.</w:t>
            </w:r>
            <w:r w:rsidR="003770D6" w:rsidRPr="00D70799">
              <w:rPr>
                <w:sz w:val="20"/>
                <w:szCs w:val="20"/>
              </w:rPr>
              <w:t xml:space="preserve"> </w:t>
            </w:r>
          </w:p>
          <w:p w14:paraId="35FBB8F4" w14:textId="27EBC68E" w:rsidR="00392F8F" w:rsidRPr="00392F8F" w:rsidRDefault="003F7D9D" w:rsidP="00392F8F">
            <w:pPr>
              <w:jc w:val="both"/>
              <w:rPr>
                <w:sz w:val="20"/>
                <w:szCs w:val="20"/>
              </w:rPr>
            </w:pPr>
            <w:r>
              <w:rPr>
                <w:sz w:val="20"/>
                <w:szCs w:val="20"/>
              </w:rPr>
              <w:t xml:space="preserve"> </w:t>
            </w:r>
            <w:r w:rsidR="00392F8F" w:rsidRPr="00392F8F">
              <w:rPr>
                <w:sz w:val="20"/>
                <w:szCs w:val="20"/>
              </w:rPr>
              <w:t xml:space="preserve">Pēc MK noteikumu Nr. 265 spēkā stāšanās </w:t>
            </w:r>
            <w:r w:rsidR="0060338B">
              <w:rPr>
                <w:sz w:val="20"/>
                <w:szCs w:val="20"/>
              </w:rPr>
              <w:t xml:space="preserve">10.07.2009. </w:t>
            </w:r>
            <w:r w:rsidR="00392F8F" w:rsidRPr="00392F8F">
              <w:rPr>
                <w:sz w:val="20"/>
                <w:szCs w:val="20"/>
              </w:rPr>
              <w:t>Eiropas Komisija ir īstenojusi valsts atbalsta modernizācijas iniciatīvas, kas ietvertas vairākos EK izstrādātos dokumentos, tai skaitā Komisijas paziņojums par Līguma par Eiropas Savienības darbību 107. panta 1. punktā minēto valsts atbalsta jēdzienu (Eiropas Savienības Oficiālais Vēstnesis, 2016. gada 19. jūlijs, Nr. C 262/1) (turpmāk – Komisijas paziņojums):</w:t>
            </w:r>
          </w:p>
          <w:p w14:paraId="14F33F1C" w14:textId="77777777" w:rsidR="00392F8F" w:rsidRPr="00392F8F" w:rsidRDefault="00392F8F" w:rsidP="00392F8F">
            <w:pPr>
              <w:jc w:val="both"/>
              <w:rPr>
                <w:sz w:val="20"/>
                <w:szCs w:val="20"/>
              </w:rPr>
            </w:pPr>
            <w:r w:rsidRPr="00392F8F">
              <w:rPr>
                <w:sz w:val="20"/>
                <w:szCs w:val="20"/>
              </w:rPr>
              <w:t>Saskaņā ar Komisijas paziņojuma:</w:t>
            </w:r>
          </w:p>
          <w:p w14:paraId="52C8E02D" w14:textId="77777777" w:rsidR="00392F8F" w:rsidRPr="00392F8F" w:rsidRDefault="00392F8F" w:rsidP="00392F8F">
            <w:pPr>
              <w:jc w:val="both"/>
              <w:rPr>
                <w:sz w:val="20"/>
                <w:szCs w:val="20"/>
              </w:rPr>
            </w:pPr>
            <w:r w:rsidRPr="00392F8F">
              <w:rPr>
                <w:sz w:val="20"/>
                <w:szCs w:val="20"/>
              </w:rPr>
              <w:t>1) 28.punktu: valsts izglītības sistēmas ietvaros nodrošinātā valsts izglītība, ko finansē un uzrauga valsts, var tikt uzskatīta par nesaimniecisko darbību;</w:t>
            </w:r>
          </w:p>
          <w:p w14:paraId="7F4CF15D" w14:textId="77777777" w:rsidR="00392F8F" w:rsidRPr="00392F8F" w:rsidRDefault="00392F8F" w:rsidP="00392F8F">
            <w:pPr>
              <w:jc w:val="both"/>
              <w:rPr>
                <w:sz w:val="20"/>
                <w:szCs w:val="20"/>
              </w:rPr>
            </w:pPr>
            <w:r w:rsidRPr="00392F8F">
              <w:rPr>
                <w:sz w:val="20"/>
                <w:szCs w:val="20"/>
              </w:rPr>
              <w:t>2) 29. punktu: saskaņā ar judikatūru valsts izglītības sistēmas ietvaros nodrošinātais valsts izglītības pakalpojums, kura tikai nelielu daļu finansē no skolēnu un to vecāku mācību un uzņemšanas maksas, jeb pārsvarā (vairāk kā 50%) šo pakalpojumu finansē no publiskajiem resursiem, var tikt uzskatīta par nesaimniecisko darbību;</w:t>
            </w:r>
          </w:p>
          <w:p w14:paraId="45D486E1" w14:textId="77777777" w:rsidR="00392F8F" w:rsidRPr="00392F8F" w:rsidRDefault="00392F8F" w:rsidP="00392F8F">
            <w:pPr>
              <w:jc w:val="both"/>
              <w:rPr>
                <w:sz w:val="20"/>
                <w:szCs w:val="20"/>
              </w:rPr>
            </w:pPr>
            <w:r w:rsidRPr="00392F8F">
              <w:rPr>
                <w:sz w:val="20"/>
                <w:szCs w:val="20"/>
              </w:rPr>
              <w:t>3) 197. punktu: publiskais atbalsts nevar ietekmēt tirdzniecību starp dalībvalstīm. … daži šādu lietu piemēri:</w:t>
            </w:r>
          </w:p>
          <w:p w14:paraId="05473697" w14:textId="77777777" w:rsidR="00392F8F" w:rsidRPr="00392F8F" w:rsidRDefault="00392F8F" w:rsidP="00392F8F">
            <w:pPr>
              <w:jc w:val="both"/>
              <w:rPr>
                <w:sz w:val="20"/>
                <w:szCs w:val="20"/>
              </w:rPr>
            </w:pPr>
            <w:r w:rsidRPr="00392F8F">
              <w:rPr>
                <w:sz w:val="20"/>
                <w:szCs w:val="20"/>
              </w:rPr>
              <w:t>a)</w:t>
            </w:r>
            <w:r w:rsidRPr="00392F8F">
              <w:rPr>
                <w:sz w:val="20"/>
                <w:szCs w:val="20"/>
              </w:rPr>
              <w:tab/>
              <w:t>… infrastruktūra, ar kuru apkalpo pārsvarā vietēja mēroga publiku un kura diez vai piesaistītu citu dalībvalstu klientus vai ieguldījumus;</w:t>
            </w:r>
          </w:p>
          <w:p w14:paraId="1805F1F6" w14:textId="77777777" w:rsidR="00392F8F" w:rsidRPr="00392F8F" w:rsidRDefault="00392F8F" w:rsidP="00392F8F">
            <w:pPr>
              <w:jc w:val="both"/>
              <w:rPr>
                <w:sz w:val="20"/>
                <w:szCs w:val="20"/>
              </w:rPr>
            </w:pPr>
            <w:r w:rsidRPr="00392F8F">
              <w:rPr>
                <w:sz w:val="20"/>
                <w:szCs w:val="20"/>
              </w:rPr>
              <w:t>b)</w:t>
            </w:r>
            <w:r w:rsidRPr="00392F8F">
              <w:rPr>
                <w:sz w:val="20"/>
                <w:szCs w:val="20"/>
              </w:rPr>
              <w:tab/>
              <w:t>… subjekti, kuri veic saimniecisko darbību, kas tomēr diez vai pārvilinātu lietotājus vai apmeklētājus, kuri izmanto līdzīgu piedāvājumu citās dalībvalstīs (287); Komisija uzskata, ka potenciāls ietekmēt tirdzniecību starp dalībvalstīm piemīt tikai finansējumam, kuru piešķir lielām … un pasākumiem, ko plaši reklamē ārpus to vietējā reģiona;</w:t>
            </w:r>
          </w:p>
          <w:p w14:paraId="37201933" w14:textId="77777777" w:rsidR="00392F8F" w:rsidRPr="00392F8F" w:rsidRDefault="00392F8F" w:rsidP="00392F8F">
            <w:pPr>
              <w:jc w:val="both"/>
              <w:rPr>
                <w:sz w:val="20"/>
                <w:szCs w:val="20"/>
              </w:rPr>
            </w:pPr>
            <w:r w:rsidRPr="00392F8F">
              <w:rPr>
                <w:sz w:val="20"/>
                <w:szCs w:val="20"/>
              </w:rPr>
              <w:lastRenderedPageBreak/>
              <w:t>4) 205. punktu: ja infrastruktūru izmanto gan saimnieciskajai, gan nesaimnieciskajai darbībai, valsts atbalsta noteikumi publiskajam finansējumam ir piemērojami tikai tiktāl, cik tas sedz ar saimniecisko darbību saistītās izmaksas;</w:t>
            </w:r>
          </w:p>
          <w:p w14:paraId="65738128" w14:textId="77777777" w:rsidR="00392F8F" w:rsidRPr="00392F8F" w:rsidRDefault="00392F8F" w:rsidP="00392F8F">
            <w:pPr>
              <w:jc w:val="both"/>
              <w:rPr>
                <w:sz w:val="20"/>
                <w:szCs w:val="20"/>
              </w:rPr>
            </w:pPr>
            <w:r w:rsidRPr="00392F8F">
              <w:rPr>
                <w:sz w:val="20"/>
                <w:szCs w:val="20"/>
              </w:rPr>
              <w:t>5) 207. punktu: ja jaukta izmantojuma gadījumā infrastruktūru izmanto, galvenokārt, tikai nesaimnieciskajai darbībai, valsts atbalsta noteikumi uz attiecīgo finansējumu var vispār neattiekties ar nosacījumu, ka:</w:t>
            </w:r>
          </w:p>
          <w:p w14:paraId="1B2ECE40" w14:textId="77777777" w:rsidR="00392F8F" w:rsidRPr="00392F8F" w:rsidRDefault="00392F8F" w:rsidP="00392F8F">
            <w:pPr>
              <w:jc w:val="both"/>
              <w:rPr>
                <w:sz w:val="20"/>
                <w:szCs w:val="20"/>
              </w:rPr>
            </w:pPr>
            <w:r w:rsidRPr="00392F8F">
              <w:rPr>
                <w:sz w:val="20"/>
                <w:szCs w:val="20"/>
              </w:rPr>
              <w:t>a)</w:t>
            </w:r>
            <w:r w:rsidRPr="00392F8F">
              <w:rPr>
                <w:sz w:val="20"/>
                <w:szCs w:val="20"/>
              </w:rPr>
              <w:tab/>
              <w:t xml:space="preserve">saimnieciskā darbība ir vienīgi papildinoša, t.i., šī darbība ir tieši saistīta ar infrastruktūras ekspluatāciju un tai nepieciešama, vai cieši saistīta ar tās galveno nesaimniecisko izmantojumu. Šis nosacījums būtu uzskatāms par izpildītu, ja saimnieciskajai darbībai patērē tos pašus resursus kā pamata nesaimnieciskajai darbībai, piemēram, tos pašus materiālus, iekārtas, darbaspēku vai pamatkapitālu. Papildinošās saimnieciskās darbības apjomam ir jāpaliek ierobežotam attiecībā pret infrastruktūras jaudu) . Kā piemērus šādai papildinošai saimnieciskajai darbībai var minēt praksi, ka pētniecības organizācija dažkārt izīrē savas iekārtas un laboratorijas ražošanas nozaru partneriem; </w:t>
            </w:r>
          </w:p>
          <w:p w14:paraId="6DAB243F" w14:textId="77777777" w:rsidR="00392F8F" w:rsidRPr="00392F8F" w:rsidRDefault="00392F8F" w:rsidP="00392F8F">
            <w:pPr>
              <w:jc w:val="both"/>
              <w:rPr>
                <w:sz w:val="20"/>
                <w:szCs w:val="20"/>
              </w:rPr>
            </w:pPr>
            <w:r w:rsidRPr="00392F8F">
              <w:rPr>
                <w:sz w:val="20"/>
                <w:szCs w:val="20"/>
              </w:rPr>
              <w:t>b)</w:t>
            </w:r>
            <w:r w:rsidRPr="00392F8F">
              <w:rPr>
                <w:sz w:val="20"/>
                <w:szCs w:val="20"/>
              </w:rPr>
              <w:tab/>
              <w:t>publiskais finansējums, kuru sniedz parastajiem papildpakalpojumiem (piemēram, restorāniem, veikaliem vai maksas stāvvietām) infrastruktūrās, kuras izmanto galvenokārt tikai nesaimnieciskajai darbībai, parasti neietekmē tirdzniecību starp dalībvalstīm, jo šie parastie papildpakalpojumi diez vai piesaistītu citu dalībvalstu klientus un to finansēšana diez vai izraisītu būtisku ietekmi uz pārrobežu ieguldījumiem vai uzņēmējdarbību.</w:t>
            </w:r>
          </w:p>
          <w:p w14:paraId="599A6B2A" w14:textId="7306FC68" w:rsidR="00392F8F" w:rsidRPr="00392F8F" w:rsidRDefault="00392F8F" w:rsidP="00392F8F">
            <w:pPr>
              <w:jc w:val="both"/>
              <w:rPr>
                <w:sz w:val="20"/>
                <w:szCs w:val="20"/>
              </w:rPr>
            </w:pPr>
            <w:r w:rsidRPr="00392F8F">
              <w:rPr>
                <w:sz w:val="20"/>
                <w:szCs w:val="20"/>
              </w:rPr>
              <w:t xml:space="preserve">Ievērojot minētās Eiropas Komisijas valsts atbalsta modernizācijas iniciatīvas, kas noteiktas Komisijas paziņojuma 207. punktā, noteikumu projekts paredz veikt MK noteikumu Nr.265 grozījumus, papildinot ar nosacījumu, ka atbalsts projekta īstenošanai nav kvalificējams kā komercdarbības atbalsts, ja projekta </w:t>
            </w:r>
            <w:r w:rsidR="009A1134">
              <w:rPr>
                <w:sz w:val="20"/>
                <w:szCs w:val="20"/>
              </w:rPr>
              <w:t>ietvaros</w:t>
            </w:r>
            <w:r w:rsidRPr="00392F8F">
              <w:rPr>
                <w:sz w:val="20"/>
                <w:szCs w:val="20"/>
              </w:rPr>
              <w:t xml:space="preserve"> modernizēt</w:t>
            </w:r>
            <w:r w:rsidR="009A1134">
              <w:rPr>
                <w:sz w:val="20"/>
                <w:szCs w:val="20"/>
              </w:rPr>
              <w:t>o</w:t>
            </w:r>
            <w:r w:rsidRPr="00392F8F">
              <w:rPr>
                <w:sz w:val="20"/>
                <w:szCs w:val="20"/>
              </w:rPr>
              <w:t xml:space="preserve"> infrastruktūr</w:t>
            </w:r>
            <w:r w:rsidR="009A1134">
              <w:rPr>
                <w:sz w:val="20"/>
                <w:szCs w:val="20"/>
              </w:rPr>
              <w:t>u</w:t>
            </w:r>
            <w:r w:rsidRPr="00392F8F">
              <w:rPr>
                <w:sz w:val="20"/>
                <w:szCs w:val="20"/>
              </w:rPr>
              <w:t xml:space="preserve"> </w:t>
            </w:r>
            <w:r w:rsidR="00730719">
              <w:rPr>
                <w:sz w:val="20"/>
                <w:szCs w:val="20"/>
              </w:rPr>
              <w:t>tās amortizācijas</w:t>
            </w:r>
            <w:r w:rsidRPr="00392F8F">
              <w:rPr>
                <w:sz w:val="20"/>
                <w:szCs w:val="20"/>
              </w:rPr>
              <w:t xml:space="preserve"> periodā </w:t>
            </w:r>
            <w:r w:rsidR="006B786B">
              <w:rPr>
                <w:sz w:val="20"/>
                <w:szCs w:val="20"/>
              </w:rPr>
              <w:t xml:space="preserve">var izmantot </w:t>
            </w:r>
            <w:r w:rsidRPr="00392F8F">
              <w:rPr>
                <w:sz w:val="20"/>
                <w:szCs w:val="20"/>
              </w:rPr>
              <w:t>saimnieciska rakstura darbību īstenošanai</w:t>
            </w:r>
            <w:r w:rsidR="006B786B">
              <w:rPr>
                <w:sz w:val="20"/>
                <w:szCs w:val="20"/>
              </w:rPr>
              <w:t>, ja ievēro</w:t>
            </w:r>
            <w:r w:rsidR="00730719">
              <w:rPr>
                <w:sz w:val="20"/>
                <w:szCs w:val="20"/>
              </w:rPr>
              <w:t xml:space="preserve"> </w:t>
            </w:r>
            <w:r w:rsidR="006B786B">
              <w:rPr>
                <w:sz w:val="20"/>
                <w:szCs w:val="20"/>
              </w:rPr>
              <w:t>šādu nosacījumu izpildi</w:t>
            </w:r>
            <w:r w:rsidRPr="00392F8F">
              <w:rPr>
                <w:sz w:val="20"/>
                <w:szCs w:val="20"/>
              </w:rPr>
              <w:t xml:space="preserve"> (MK noteikumu Nr. 265 21.</w:t>
            </w:r>
            <w:r w:rsidRPr="009A1134">
              <w:rPr>
                <w:sz w:val="20"/>
                <w:szCs w:val="20"/>
                <w:vertAlign w:val="superscript"/>
              </w:rPr>
              <w:t>1</w:t>
            </w:r>
            <w:r w:rsidRPr="00392F8F">
              <w:rPr>
                <w:sz w:val="20"/>
                <w:szCs w:val="20"/>
              </w:rPr>
              <w:t xml:space="preserve"> punkts):</w:t>
            </w:r>
          </w:p>
          <w:p w14:paraId="140E01DA" w14:textId="0B9F4B65" w:rsidR="00392F8F" w:rsidRPr="00392F8F" w:rsidRDefault="00392F8F" w:rsidP="00392F8F">
            <w:pPr>
              <w:jc w:val="both"/>
              <w:rPr>
                <w:sz w:val="20"/>
                <w:szCs w:val="20"/>
              </w:rPr>
            </w:pPr>
            <w:r w:rsidRPr="00392F8F">
              <w:rPr>
                <w:sz w:val="20"/>
                <w:szCs w:val="20"/>
              </w:rPr>
              <w:t>a)</w:t>
            </w:r>
            <w:r w:rsidRPr="00392F8F">
              <w:rPr>
                <w:sz w:val="20"/>
                <w:szCs w:val="20"/>
              </w:rPr>
              <w:tab/>
              <w:t>papildinoša saimnieciskā darbība (</w:t>
            </w:r>
            <w:proofErr w:type="spellStart"/>
            <w:r w:rsidRPr="0060338B">
              <w:rPr>
                <w:i/>
                <w:sz w:val="20"/>
                <w:szCs w:val="20"/>
              </w:rPr>
              <w:t>ancillary</w:t>
            </w:r>
            <w:proofErr w:type="spellEnd"/>
            <w:r w:rsidRPr="0060338B">
              <w:rPr>
                <w:i/>
                <w:sz w:val="20"/>
                <w:szCs w:val="20"/>
              </w:rPr>
              <w:t xml:space="preserve"> </w:t>
            </w:r>
            <w:proofErr w:type="spellStart"/>
            <w:r w:rsidRPr="0060338B">
              <w:rPr>
                <w:i/>
                <w:sz w:val="20"/>
                <w:szCs w:val="20"/>
              </w:rPr>
              <w:t>economic</w:t>
            </w:r>
            <w:proofErr w:type="spellEnd"/>
            <w:r w:rsidRPr="0060338B">
              <w:rPr>
                <w:i/>
                <w:sz w:val="20"/>
                <w:szCs w:val="20"/>
              </w:rPr>
              <w:t xml:space="preserve"> </w:t>
            </w:r>
            <w:proofErr w:type="spellStart"/>
            <w:r w:rsidRPr="0060338B">
              <w:rPr>
                <w:i/>
                <w:sz w:val="20"/>
                <w:szCs w:val="20"/>
              </w:rPr>
              <w:t>activitie</w:t>
            </w:r>
            <w:r w:rsidRPr="00392F8F">
              <w:rPr>
                <w:sz w:val="20"/>
                <w:szCs w:val="20"/>
              </w:rPr>
              <w:t>s</w:t>
            </w:r>
            <w:proofErr w:type="spellEnd"/>
            <w:r w:rsidRPr="00392F8F">
              <w:rPr>
                <w:sz w:val="20"/>
                <w:szCs w:val="20"/>
              </w:rPr>
              <w:t>), ja tā ir tieši saistīta ar infrastruktūras ekspluatāciju un izmantošanu ar saimniecisku darbību nesaistītā augstākās izglītības institūcijas pamatdarbības jomā, tai tiek patērēti tādi paši resursi (piemēram, materiāli, aprīkojums, darbaspēks un pamatkapitāls) kā ar saimniecisku darbību nesaistītai pamatdarbībai un katru gadu iedalītā jauda finanšu izteiksmē nepārsniedz 20 procentus no infrastruktūras kopējā</w:t>
            </w:r>
            <w:r w:rsidR="006B786B">
              <w:rPr>
                <w:sz w:val="20"/>
                <w:szCs w:val="20"/>
              </w:rPr>
              <w:t>s gada jaudas finanšu izteiksmē</w:t>
            </w:r>
            <w:r w:rsidRPr="00392F8F">
              <w:rPr>
                <w:sz w:val="20"/>
                <w:szCs w:val="20"/>
              </w:rPr>
              <w:t>;</w:t>
            </w:r>
          </w:p>
          <w:p w14:paraId="43FC7CB3" w14:textId="77777777" w:rsidR="009E115C" w:rsidRDefault="00392F8F" w:rsidP="00392F8F">
            <w:pPr>
              <w:jc w:val="both"/>
              <w:rPr>
                <w:sz w:val="20"/>
                <w:szCs w:val="20"/>
              </w:rPr>
            </w:pPr>
            <w:r w:rsidRPr="00392F8F">
              <w:rPr>
                <w:sz w:val="20"/>
                <w:szCs w:val="20"/>
              </w:rPr>
              <w:t>b)</w:t>
            </w:r>
            <w:r w:rsidRPr="00392F8F">
              <w:rPr>
                <w:sz w:val="20"/>
                <w:szCs w:val="20"/>
              </w:rPr>
              <w:tab/>
              <w:t>parastie papildpakalpojumi (</w:t>
            </w:r>
            <w:proofErr w:type="spellStart"/>
            <w:r w:rsidRPr="0060338B">
              <w:rPr>
                <w:i/>
                <w:sz w:val="20"/>
                <w:szCs w:val="20"/>
              </w:rPr>
              <w:t>customary</w:t>
            </w:r>
            <w:proofErr w:type="spellEnd"/>
            <w:r w:rsidRPr="0060338B">
              <w:rPr>
                <w:i/>
                <w:sz w:val="20"/>
                <w:szCs w:val="20"/>
              </w:rPr>
              <w:t xml:space="preserve"> </w:t>
            </w:r>
            <w:proofErr w:type="spellStart"/>
            <w:r w:rsidRPr="0060338B">
              <w:rPr>
                <w:i/>
                <w:sz w:val="20"/>
                <w:szCs w:val="20"/>
              </w:rPr>
              <w:t>amenities</w:t>
            </w:r>
            <w:proofErr w:type="spellEnd"/>
            <w:r w:rsidRPr="00392F8F">
              <w:rPr>
                <w:sz w:val="20"/>
                <w:szCs w:val="20"/>
              </w:rPr>
              <w:t xml:space="preserve">) infrastruktūrā, ja pakalpojumus galvenokārt izmanto nesaimnieciskajai pamatdarbībai un tiem </w:t>
            </w:r>
            <w:r w:rsidRPr="00392F8F">
              <w:rPr>
                <w:sz w:val="20"/>
                <w:szCs w:val="20"/>
              </w:rPr>
              <w:lastRenderedPageBreak/>
              <w:t>nav ietekmes uz konkurenci un tirdzniecību Eiropas Savienības iekšējā tirgū (pakalpojumiem ir vietējs raksturs).</w:t>
            </w:r>
          </w:p>
          <w:p w14:paraId="3E3C7201" w14:textId="56C6313C" w:rsidR="006B786B" w:rsidRPr="00D70799" w:rsidRDefault="006B786B" w:rsidP="00730719">
            <w:pPr>
              <w:jc w:val="both"/>
              <w:rPr>
                <w:sz w:val="20"/>
                <w:szCs w:val="20"/>
              </w:rPr>
            </w:pPr>
            <w:r w:rsidRPr="006B786B">
              <w:rPr>
                <w:sz w:val="20"/>
                <w:szCs w:val="20"/>
              </w:rPr>
              <w:t xml:space="preserve">Ja projekta ietvaros modernizēto infrastruktūru </w:t>
            </w:r>
            <w:r w:rsidR="00730719">
              <w:rPr>
                <w:sz w:val="20"/>
                <w:szCs w:val="20"/>
              </w:rPr>
              <w:t>tās amortizācijas</w:t>
            </w:r>
            <w:r w:rsidRPr="006B786B">
              <w:rPr>
                <w:sz w:val="20"/>
                <w:szCs w:val="20"/>
              </w:rPr>
              <w:t xml:space="preserve"> periodā izmanto saimnieciskai darbībai, pārsniedzot šo noteikumu 21.</w:t>
            </w:r>
            <w:r w:rsidRPr="006B786B">
              <w:rPr>
                <w:sz w:val="20"/>
                <w:szCs w:val="20"/>
                <w:vertAlign w:val="superscript"/>
              </w:rPr>
              <w:t>1</w:t>
            </w:r>
            <w:r w:rsidRPr="006B786B">
              <w:rPr>
                <w:sz w:val="20"/>
                <w:szCs w:val="20"/>
              </w:rPr>
              <w:t xml:space="preserve"> 2.1. apakšpunktā minēto papildinošai saimnieciskai darbībai iedalītās jaudas apmēru, atbilstoši šo noteikumu 7.14. apakšpunktā minētajam publiskā finansējuma uzraudzības un atgūšanas mehānismam piemēro proporcionālu publiskā finansējuma samazinājumu (korekciju).</w:t>
            </w:r>
          </w:p>
        </w:tc>
      </w:tr>
      <w:tr w:rsidR="000874B8" w:rsidRPr="00D70799" w14:paraId="2C57F8E1" w14:textId="77777777" w:rsidTr="00B4310A">
        <w:trPr>
          <w:trHeight w:val="274"/>
        </w:trPr>
        <w:tc>
          <w:tcPr>
            <w:tcW w:w="372" w:type="pct"/>
            <w:shd w:val="clear" w:color="auto" w:fill="FFFFFF" w:themeFill="background1"/>
          </w:tcPr>
          <w:p w14:paraId="5589B1B5" w14:textId="6E3E4330" w:rsidR="000874B8" w:rsidRPr="00D70799" w:rsidRDefault="000874B8" w:rsidP="009E2178">
            <w:pPr>
              <w:numPr>
                <w:ilvl w:val="0"/>
                <w:numId w:val="31"/>
              </w:numPr>
              <w:tabs>
                <w:tab w:val="center" w:pos="284"/>
              </w:tabs>
              <w:ind w:left="0" w:firstLine="0"/>
              <w:rPr>
                <w:sz w:val="20"/>
                <w:szCs w:val="20"/>
              </w:rPr>
            </w:pPr>
          </w:p>
        </w:tc>
        <w:tc>
          <w:tcPr>
            <w:tcW w:w="1053" w:type="pct"/>
            <w:shd w:val="clear" w:color="auto" w:fill="auto"/>
          </w:tcPr>
          <w:p w14:paraId="1E7351FC" w14:textId="3DF6AA37" w:rsidR="000874B8" w:rsidRPr="00D70799" w:rsidRDefault="000874B8" w:rsidP="009E2178">
            <w:pPr>
              <w:jc w:val="both"/>
              <w:rPr>
                <w:sz w:val="20"/>
                <w:szCs w:val="20"/>
              </w:rPr>
            </w:pPr>
            <w:r w:rsidRPr="00D70799">
              <w:rPr>
                <w:sz w:val="20"/>
                <w:szCs w:val="20"/>
              </w:rPr>
              <w:t>Vispārīgie iebildumi</w:t>
            </w:r>
          </w:p>
        </w:tc>
        <w:tc>
          <w:tcPr>
            <w:tcW w:w="1376" w:type="pct"/>
            <w:shd w:val="clear" w:color="auto" w:fill="auto"/>
          </w:tcPr>
          <w:p w14:paraId="2E98A3A8" w14:textId="77777777" w:rsidR="000874B8" w:rsidRPr="00D70799" w:rsidRDefault="000874B8" w:rsidP="009E2178">
            <w:pPr>
              <w:jc w:val="both"/>
              <w:rPr>
                <w:b/>
                <w:sz w:val="20"/>
                <w:szCs w:val="20"/>
              </w:rPr>
            </w:pPr>
            <w:r w:rsidRPr="00D70799">
              <w:rPr>
                <w:b/>
                <w:sz w:val="20"/>
                <w:szCs w:val="20"/>
              </w:rPr>
              <w:t>Tieslietu ministrija (TM)</w:t>
            </w:r>
          </w:p>
          <w:p w14:paraId="384F8A52" w14:textId="77777777" w:rsidR="000874B8" w:rsidRPr="00D70799" w:rsidRDefault="000874B8" w:rsidP="009E2178">
            <w:pPr>
              <w:jc w:val="both"/>
              <w:rPr>
                <w:sz w:val="20"/>
                <w:szCs w:val="20"/>
              </w:rPr>
            </w:pPr>
            <w:r w:rsidRPr="00D70799">
              <w:rPr>
                <w:sz w:val="20"/>
                <w:szCs w:val="20"/>
              </w:rPr>
              <w:t xml:space="preserve">1. Vēršam uzmanību uz to, ka saskaņā ar Līguma par Eiropas Savienības darbību 288. panta otro daļu "regulas ir </w:t>
            </w:r>
            <w:proofErr w:type="spellStart"/>
            <w:r w:rsidRPr="00D70799">
              <w:rPr>
                <w:sz w:val="20"/>
                <w:szCs w:val="20"/>
              </w:rPr>
              <w:t>vispārpiemērojamas</w:t>
            </w:r>
            <w:proofErr w:type="spellEnd"/>
            <w:r w:rsidRPr="00D70799">
              <w:rPr>
                <w:sz w:val="20"/>
                <w:szCs w:val="20"/>
              </w:rPr>
              <w:t>. Tās uzliek saistības kopumā un ir tieši piemērojamas visās dalībvalstīs." Tādēļ ir prettiesiski tādi nacionālie regulas normas īstenošanas mehānismi, kas rada šķēršļus regulas tiešam efektam un apdraud vienlaicīgu un vienādu tās piemērošanu Eiropas Savienībā, tai pašā laikā ir jānodrošina to tiešā piemērošana katrā dalībvalstī. Tas nozīmē, ka dalībvalstij ir pienākums nodrošināt tādu normatīvo bāzi, lai regulas būtu iespējams tieši piemērot. Tātad, dalībvalsts izstrādā tiesību aktus regulas piemērošanai tikai gadījumos, ja regulā ir tieši paredzēts dalībvalstij kāds konkrēts pienākums, piemēram, jānosaka kompetentā vai atbildīgā iestāde, jāparedz sankcijas vai sods par regulas normu pārkāpumu vai nepildīšanu, jānosaka administratīvā procedūra regulā noteikto pasākumu īstenošanai u.tml.</w:t>
            </w:r>
          </w:p>
          <w:p w14:paraId="5E7A31D8" w14:textId="77777777" w:rsidR="000874B8" w:rsidRPr="00D70799" w:rsidRDefault="000874B8" w:rsidP="009E2178">
            <w:pPr>
              <w:jc w:val="both"/>
              <w:rPr>
                <w:sz w:val="20"/>
                <w:szCs w:val="20"/>
              </w:rPr>
            </w:pPr>
            <w:r w:rsidRPr="00D70799">
              <w:rPr>
                <w:sz w:val="20"/>
                <w:szCs w:val="20"/>
              </w:rPr>
              <w:t xml:space="preserve">Ievērojot minēto, lūdzam visā noteikumu projektā norādīt, ka ar terminu "projekta pārskata periods" tiek saprasts "darbības īstenošanas periods" Eiropas Komisijas 2014. gada 3. marta deleģētās regulas (ES) Nr. 480/2014 ar kuru papildina Eiropas Parlamenta un Padomes Regulu (ES) Nr. 1303/2013, ar ko paredz kopīgus noteikumus par Eiropas </w:t>
            </w:r>
            <w:r w:rsidRPr="00D70799">
              <w:rPr>
                <w:sz w:val="20"/>
                <w:szCs w:val="20"/>
              </w:rPr>
              <w:lastRenderedPageBreak/>
              <w:t>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(turpmāk – Regula Nr. 480/2014) 15. panta 2. punkta izpratnē.</w:t>
            </w:r>
          </w:p>
          <w:p w14:paraId="491CF33C" w14:textId="10D7254E" w:rsidR="000874B8" w:rsidRPr="00D70799" w:rsidRDefault="000874B8" w:rsidP="009E2178">
            <w:pPr>
              <w:jc w:val="both"/>
              <w:rPr>
                <w:sz w:val="20"/>
                <w:szCs w:val="20"/>
              </w:rPr>
            </w:pPr>
            <w:r w:rsidRPr="00D70799">
              <w:rPr>
                <w:sz w:val="20"/>
                <w:szCs w:val="20"/>
              </w:rPr>
              <w:t>Vienlaikus vēršam uzmanību, ka Eiropas Savienības Tiesa ir atzinusi, ka, ja regula prasa tās piemērošanai nodrošinošu nacionālā tiesību akta pieņemšanu, atsevišķos gadījumos tomēr var tikt pieļauta regulu teksta daļu inkorporēšana nacionālajos tiesību aktos, izvairoties no regulu normu interpretācijas, (kā piemēru skatīt lietu Nr. 272/83 Komisija pret Itāliju). Tomēr norādām, ka šis gadījums attaisnots vienīgi ar indivīdu interesēm saņemt tiem adresētu saskaņotu un labi uztveramu tiesību aktu, un regulu tiešā piemērojamība nepieļauj citus izņēmumus. Izsakām bažas ka ar noteikumu projektā lietoto terminu "dzīves cikls" tiek interpretēts Regulas Nr. 480/2014 15. panta 2. punktā minētais jēdziens "darbības īstenošanas periods". Līdz ar to lūdzam izvairīties no regulas interpretēšanas un lietot precīzu terminoloģiju, kāda tiek lietota Regulā Nr. 480/2014.</w:t>
            </w:r>
          </w:p>
        </w:tc>
        <w:tc>
          <w:tcPr>
            <w:tcW w:w="2199" w:type="pct"/>
            <w:gridSpan w:val="2"/>
            <w:shd w:val="clear" w:color="auto" w:fill="auto"/>
          </w:tcPr>
          <w:p w14:paraId="092B9626" w14:textId="43DAA9CD" w:rsidR="000874B8" w:rsidRDefault="00C504B3" w:rsidP="009E2178">
            <w:pPr>
              <w:jc w:val="both"/>
              <w:rPr>
                <w:sz w:val="20"/>
                <w:szCs w:val="20"/>
              </w:rPr>
            </w:pPr>
            <w:r w:rsidRPr="00F86975">
              <w:rPr>
                <w:sz w:val="20"/>
                <w:szCs w:val="20"/>
              </w:rPr>
              <w:lastRenderedPageBreak/>
              <w:t>Daļēji ņ</w:t>
            </w:r>
            <w:r w:rsidR="000874B8" w:rsidRPr="00F86975">
              <w:rPr>
                <w:sz w:val="20"/>
                <w:szCs w:val="20"/>
              </w:rPr>
              <w:t>emts vērā.</w:t>
            </w:r>
          </w:p>
          <w:p w14:paraId="1D60BDEA" w14:textId="32C1901E" w:rsidR="002E0E5F" w:rsidRPr="00F86975" w:rsidRDefault="002E0E5F" w:rsidP="009E2178">
            <w:pPr>
              <w:jc w:val="both"/>
              <w:rPr>
                <w:sz w:val="20"/>
                <w:szCs w:val="20"/>
              </w:rPr>
            </w:pPr>
            <w:r>
              <w:rPr>
                <w:sz w:val="20"/>
                <w:szCs w:val="20"/>
              </w:rPr>
              <w:t>Panākta vienošanās starpinstitūciju elektroniskās saskaņošanas laikā</w:t>
            </w:r>
            <w:r w:rsidR="002A115D">
              <w:rPr>
                <w:sz w:val="20"/>
                <w:szCs w:val="20"/>
              </w:rPr>
              <w:t>.</w:t>
            </w:r>
          </w:p>
          <w:p w14:paraId="452CD45F" w14:textId="65316376" w:rsidR="00C504B3" w:rsidRPr="00D70799" w:rsidRDefault="00C504B3" w:rsidP="00C504B3">
            <w:pPr>
              <w:jc w:val="both"/>
              <w:rPr>
                <w:sz w:val="20"/>
                <w:szCs w:val="20"/>
              </w:rPr>
            </w:pPr>
            <w:r>
              <w:rPr>
                <w:sz w:val="20"/>
                <w:szCs w:val="20"/>
              </w:rPr>
              <w:t xml:space="preserve">Precizēts MK noteikumu 6.8. apakšpunkts, norādot atsauci uz </w:t>
            </w:r>
            <w:r w:rsidRPr="00C504B3">
              <w:rPr>
                <w:sz w:val="20"/>
                <w:szCs w:val="20"/>
              </w:rPr>
              <w:t>Komisijas regula</w:t>
            </w:r>
            <w:r>
              <w:rPr>
                <w:sz w:val="20"/>
                <w:szCs w:val="20"/>
              </w:rPr>
              <w:t>s</w:t>
            </w:r>
            <w:r w:rsidRPr="00C504B3">
              <w:rPr>
                <w:sz w:val="20"/>
                <w:szCs w:val="20"/>
              </w:rPr>
              <w:t xml:space="preserve"> Nr. 480/2014</w:t>
            </w:r>
            <w:r>
              <w:rPr>
                <w:sz w:val="20"/>
                <w:szCs w:val="20"/>
              </w:rPr>
              <w:t xml:space="preserve"> 15. panta 2. punktu, kur noteikts, ka pārskata periods</w:t>
            </w:r>
            <w:r w:rsidR="002A115D">
              <w:rPr>
                <w:sz w:val="20"/>
                <w:szCs w:val="20"/>
              </w:rPr>
              <w:t>,</w:t>
            </w:r>
            <w:r w:rsidR="00F6354C">
              <w:rPr>
                <w:sz w:val="20"/>
                <w:szCs w:val="20"/>
              </w:rPr>
              <w:t xml:space="preserve"> </w:t>
            </w:r>
            <w:r>
              <w:rPr>
                <w:sz w:val="20"/>
                <w:szCs w:val="20"/>
              </w:rPr>
              <w:t xml:space="preserve">ir darbības īstenošanas </w:t>
            </w:r>
            <w:r w:rsidR="002A115D">
              <w:rPr>
                <w:sz w:val="20"/>
                <w:szCs w:val="20"/>
              </w:rPr>
              <w:t xml:space="preserve">(infrastruktūras ekspluatācijas) </w:t>
            </w:r>
            <w:r>
              <w:rPr>
                <w:sz w:val="20"/>
                <w:szCs w:val="20"/>
              </w:rPr>
              <w:t xml:space="preserve">periods. </w:t>
            </w:r>
          </w:p>
          <w:p w14:paraId="682BEE71" w14:textId="77777777" w:rsidR="000874B8" w:rsidRPr="00D70799" w:rsidRDefault="000874B8" w:rsidP="009E2178">
            <w:pPr>
              <w:jc w:val="both"/>
              <w:rPr>
                <w:sz w:val="20"/>
                <w:szCs w:val="20"/>
              </w:rPr>
            </w:pPr>
            <w:r w:rsidRPr="00D70799">
              <w:rPr>
                <w:sz w:val="20"/>
                <w:szCs w:val="20"/>
              </w:rPr>
              <w:t>Papildus skaidrojam, ka 3.1.2.1.1. aktivitātes ietvaros:</w:t>
            </w:r>
          </w:p>
          <w:p w14:paraId="78675F8E" w14:textId="77777777" w:rsidR="000874B8" w:rsidRPr="00D70799" w:rsidRDefault="000874B8" w:rsidP="009E2178">
            <w:pPr>
              <w:jc w:val="both"/>
              <w:rPr>
                <w:sz w:val="20"/>
                <w:szCs w:val="20"/>
              </w:rPr>
            </w:pPr>
            <w:r w:rsidRPr="00D70799">
              <w:rPr>
                <w:sz w:val="20"/>
                <w:szCs w:val="20"/>
              </w:rPr>
              <w:t>– atbalstu sniedz, ja projekta izmaksu un ieguvumu analīze pamato projekta finanšu ilgtspēju un sociālekonomisko atdevi;</w:t>
            </w:r>
          </w:p>
          <w:p w14:paraId="30C9CA1D" w14:textId="0FAA576C" w:rsidR="000874B8" w:rsidRPr="00D70799" w:rsidRDefault="000874B8" w:rsidP="009E2178">
            <w:pPr>
              <w:pStyle w:val="tv213"/>
              <w:spacing w:before="0" w:beforeAutospacing="0" w:after="0" w:afterAutospacing="0"/>
              <w:jc w:val="both"/>
              <w:rPr>
                <w:sz w:val="20"/>
                <w:szCs w:val="20"/>
              </w:rPr>
            </w:pPr>
            <w:r w:rsidRPr="00D70799">
              <w:rPr>
                <w:sz w:val="20"/>
                <w:szCs w:val="20"/>
              </w:rPr>
              <w:t>– </w:t>
            </w:r>
            <w:r w:rsidR="000A485A" w:rsidRPr="00D70799">
              <w:rPr>
                <w:sz w:val="20"/>
                <w:szCs w:val="20"/>
              </w:rPr>
              <w:t xml:space="preserve">ja finansējuma saņēmējs 3.1.2.1.1. projekta īstenošanas rezultātā </w:t>
            </w:r>
            <w:r w:rsidR="000A485A" w:rsidRPr="000A485A">
              <w:rPr>
                <w:b/>
                <w:sz w:val="20"/>
                <w:szCs w:val="20"/>
              </w:rPr>
              <w:t>gūst ieņēmumus</w:t>
            </w:r>
            <w:r w:rsidR="000A485A" w:rsidRPr="00D70799">
              <w:rPr>
                <w:sz w:val="20"/>
                <w:szCs w:val="20"/>
              </w:rPr>
              <w:t xml:space="preserve"> un projekts atbilst </w:t>
            </w:r>
            <w:r w:rsidR="000A485A" w:rsidRPr="000A485A">
              <w:rPr>
                <w:i/>
                <w:sz w:val="20"/>
                <w:szCs w:val="20"/>
              </w:rPr>
              <w:t>Eiropas Parlamenta un Padomes 2013. gada 17. decembra Regulas Nr. 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w:t>
            </w:r>
            <w:r w:rsidR="000A485A" w:rsidRPr="00D70799">
              <w:rPr>
                <w:sz w:val="20"/>
                <w:szCs w:val="20"/>
              </w:rPr>
              <w:t xml:space="preserve"> (turpmāk – Regula Nr. 1303/2013), 61. panta 7. punkta "b" apakšpunkta un 65. panta 8. punkta nosacījumiem</w:t>
            </w:r>
            <w:r w:rsidR="000A485A">
              <w:rPr>
                <w:sz w:val="20"/>
                <w:szCs w:val="20"/>
              </w:rPr>
              <w:t xml:space="preserve">, finansējuma saņēmējs veic finanšu analīzi </w:t>
            </w:r>
            <w:r w:rsidR="000A485A" w:rsidRPr="00D70799">
              <w:rPr>
                <w:sz w:val="20"/>
                <w:szCs w:val="20"/>
              </w:rPr>
              <w:t>lai noteiktu finansējuma deficīta apjomu, kas attiecināms finansēšanai no publiskiem līdzekļiem</w:t>
            </w:r>
            <w:r w:rsidRPr="00D70799">
              <w:rPr>
                <w:sz w:val="20"/>
                <w:szCs w:val="20"/>
              </w:rPr>
              <w:t xml:space="preserve">. </w:t>
            </w:r>
          </w:p>
          <w:p w14:paraId="7A8E2C05" w14:textId="0317A568" w:rsidR="000A485A" w:rsidRDefault="000874B8" w:rsidP="009E2178">
            <w:pPr>
              <w:pStyle w:val="tv213"/>
              <w:spacing w:before="0" w:beforeAutospacing="0" w:after="0" w:afterAutospacing="0"/>
              <w:jc w:val="both"/>
              <w:rPr>
                <w:sz w:val="20"/>
                <w:szCs w:val="20"/>
              </w:rPr>
            </w:pPr>
            <w:r w:rsidRPr="00D70799">
              <w:rPr>
                <w:sz w:val="20"/>
                <w:szCs w:val="20"/>
              </w:rPr>
              <w:t xml:space="preserve">Izmaksu un ieguvumu analīzi (tai skaitā </w:t>
            </w:r>
            <w:r w:rsidR="000A485A">
              <w:rPr>
                <w:sz w:val="20"/>
                <w:szCs w:val="20"/>
              </w:rPr>
              <w:t xml:space="preserve">aktualizētā </w:t>
            </w:r>
            <w:r w:rsidRPr="00D70799">
              <w:rPr>
                <w:sz w:val="20"/>
                <w:szCs w:val="20"/>
              </w:rPr>
              <w:t>finanšu analīz</w:t>
            </w:r>
            <w:r w:rsidR="000A485A">
              <w:rPr>
                <w:sz w:val="20"/>
                <w:szCs w:val="20"/>
              </w:rPr>
              <w:t>e, ja projekta īstenošanas rezultātā gūst ieņēmumus</w:t>
            </w:r>
            <w:r w:rsidRPr="00D70799">
              <w:rPr>
                <w:sz w:val="20"/>
                <w:szCs w:val="20"/>
              </w:rPr>
              <w:t>) veic atbilstoši Eiropas Komisijas (EK) vadlīnijām par izmaksu-ieguvumu analīzi investīciju projektiem</w:t>
            </w:r>
            <w:r w:rsidRPr="00D70799">
              <w:rPr>
                <w:sz w:val="20"/>
                <w:szCs w:val="20"/>
                <w:vertAlign w:val="superscript"/>
              </w:rPr>
              <w:footnoteReference w:id="1"/>
            </w:r>
            <w:r w:rsidRPr="00D70799">
              <w:rPr>
                <w:sz w:val="20"/>
                <w:szCs w:val="20"/>
              </w:rPr>
              <w:t xml:space="preserve"> (turpmāk – EK vadlīnijas)</w:t>
            </w:r>
            <w:r w:rsidR="000A485A">
              <w:rPr>
                <w:sz w:val="20"/>
                <w:szCs w:val="20"/>
              </w:rPr>
              <w:t>:</w:t>
            </w:r>
          </w:p>
          <w:p w14:paraId="1BA45974" w14:textId="77777777" w:rsidR="000A485A" w:rsidRDefault="000A485A" w:rsidP="009E2178">
            <w:pPr>
              <w:pStyle w:val="tv213"/>
              <w:spacing w:before="0" w:beforeAutospacing="0" w:after="0" w:afterAutospacing="0"/>
              <w:jc w:val="both"/>
              <w:rPr>
                <w:sz w:val="20"/>
                <w:szCs w:val="20"/>
              </w:rPr>
            </w:pPr>
            <w:r>
              <w:rPr>
                <w:sz w:val="20"/>
                <w:szCs w:val="20"/>
              </w:rPr>
              <w:t>–</w:t>
            </w:r>
            <w:r w:rsidR="000874B8" w:rsidRPr="00D70799">
              <w:rPr>
                <w:sz w:val="20"/>
                <w:szCs w:val="20"/>
              </w:rPr>
              <w:t xml:space="preserve"> izstrādātas saskaņā ar</w:t>
            </w:r>
            <w:r>
              <w:rPr>
                <w:sz w:val="20"/>
                <w:szCs w:val="20"/>
              </w:rPr>
              <w:t xml:space="preserve"> </w:t>
            </w:r>
            <w:r w:rsidR="000874B8" w:rsidRPr="00D70799">
              <w:rPr>
                <w:sz w:val="20"/>
                <w:szCs w:val="20"/>
              </w:rPr>
              <w:t>Regulas Nr. 1303/2013 61. punktu</w:t>
            </w:r>
            <w:r>
              <w:rPr>
                <w:sz w:val="20"/>
                <w:szCs w:val="20"/>
              </w:rPr>
              <w:t xml:space="preserve"> un </w:t>
            </w:r>
            <w:r w:rsidR="000874B8" w:rsidRPr="00D70799">
              <w:rPr>
                <w:sz w:val="20"/>
                <w:szCs w:val="20"/>
              </w:rPr>
              <w:t xml:space="preserve">Komisijas 2014. gada 3. marta </w:t>
            </w:r>
            <w:r w:rsidR="000874B8" w:rsidRPr="00D70799">
              <w:rPr>
                <w:i/>
                <w:sz w:val="20"/>
                <w:szCs w:val="20"/>
              </w:rPr>
              <w:t xml:space="preserve">Deleģētās regulas (ES) Nr. 480/2014, ar kuru papildina Eiropas Parlamenta un Padomes Regulu (ES) Nr. 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w:t>
            </w:r>
            <w:r w:rsidR="000874B8" w:rsidRPr="00D70799">
              <w:rPr>
                <w:i/>
                <w:sz w:val="20"/>
                <w:szCs w:val="20"/>
              </w:rPr>
              <w:lastRenderedPageBreak/>
              <w:t>un Eiropas Jūrlietu un zivsaimniecības fondu</w:t>
            </w:r>
            <w:r w:rsidR="000874B8" w:rsidRPr="00D70799">
              <w:rPr>
                <w:sz w:val="20"/>
                <w:szCs w:val="20"/>
              </w:rPr>
              <w:t xml:space="preserve"> (turpmāk – Komisijas regula Nr. 480/2014), 15. panta 2. punktu, kur noteikti principi diskontēto neto ienākumu aprēķināšanai finanšu analīzes ietvaros, paredzot, ka </w:t>
            </w:r>
            <w:r w:rsidR="000874B8" w:rsidRPr="00D70799">
              <w:rPr>
                <w:i/>
                <w:sz w:val="20"/>
                <w:szCs w:val="20"/>
                <w:u w:val="single"/>
              </w:rPr>
              <w:t xml:space="preserve">darbības </w:t>
            </w:r>
            <w:r w:rsidR="000874B8" w:rsidRPr="00D70799">
              <w:rPr>
                <w:sz w:val="20"/>
                <w:szCs w:val="20"/>
              </w:rPr>
              <w:t xml:space="preserve">diskontētos neto ienākumus aprēķina par īpašu pārskata periodu, kas piemērojams </w:t>
            </w:r>
            <w:r w:rsidR="000874B8" w:rsidRPr="00D70799">
              <w:rPr>
                <w:i/>
                <w:sz w:val="20"/>
                <w:szCs w:val="20"/>
                <w:u w:val="single"/>
              </w:rPr>
              <w:t>minētās darbības nozarei</w:t>
            </w:r>
            <w:r w:rsidR="000874B8" w:rsidRPr="00D70799">
              <w:rPr>
                <w:sz w:val="20"/>
                <w:szCs w:val="20"/>
              </w:rPr>
              <w:t xml:space="preserve"> saskaņā ar Komisijas regulas Nr. 480/2014 I pielikumu</w:t>
            </w:r>
            <w:r>
              <w:rPr>
                <w:sz w:val="20"/>
                <w:szCs w:val="20"/>
              </w:rPr>
              <w:t>;</w:t>
            </w:r>
          </w:p>
          <w:p w14:paraId="4BE80380" w14:textId="3CB305FD" w:rsidR="000874B8" w:rsidRPr="00D70799" w:rsidRDefault="000A485A" w:rsidP="009E2178">
            <w:pPr>
              <w:pStyle w:val="tv213"/>
              <w:spacing w:before="0" w:beforeAutospacing="0" w:after="0" w:afterAutospacing="0"/>
              <w:jc w:val="both"/>
              <w:rPr>
                <w:sz w:val="20"/>
                <w:szCs w:val="20"/>
              </w:rPr>
            </w:pPr>
            <w:r>
              <w:rPr>
                <w:sz w:val="20"/>
                <w:szCs w:val="20"/>
              </w:rPr>
              <w:t>– kurās vienlaikus ar terminu „projekta pārskata periods”, lietots termins „projekta dzīves cikls” (</w:t>
            </w:r>
            <w:proofErr w:type="spellStart"/>
            <w:r w:rsidRPr="000A485A">
              <w:rPr>
                <w:i/>
                <w:sz w:val="20"/>
                <w:szCs w:val="20"/>
              </w:rPr>
              <w:t>the</w:t>
            </w:r>
            <w:proofErr w:type="spellEnd"/>
            <w:r w:rsidRPr="000A485A">
              <w:rPr>
                <w:i/>
                <w:sz w:val="20"/>
                <w:szCs w:val="20"/>
              </w:rPr>
              <w:t xml:space="preserve"> </w:t>
            </w:r>
            <w:proofErr w:type="spellStart"/>
            <w:r w:rsidRPr="000A485A">
              <w:rPr>
                <w:i/>
                <w:sz w:val="20"/>
                <w:szCs w:val="20"/>
              </w:rPr>
              <w:t>life</w:t>
            </w:r>
            <w:proofErr w:type="spellEnd"/>
            <w:r w:rsidRPr="000A485A">
              <w:rPr>
                <w:i/>
                <w:sz w:val="20"/>
                <w:szCs w:val="20"/>
              </w:rPr>
              <w:t xml:space="preserve"> </w:t>
            </w:r>
            <w:proofErr w:type="spellStart"/>
            <w:r w:rsidRPr="000A485A">
              <w:rPr>
                <w:i/>
                <w:sz w:val="20"/>
                <w:szCs w:val="20"/>
              </w:rPr>
              <w:t>cycle</w:t>
            </w:r>
            <w:proofErr w:type="spellEnd"/>
            <w:r w:rsidRPr="000A485A">
              <w:rPr>
                <w:i/>
                <w:sz w:val="20"/>
                <w:szCs w:val="20"/>
              </w:rPr>
              <w:t xml:space="preserve"> </w:t>
            </w:r>
            <w:proofErr w:type="spellStart"/>
            <w:r w:rsidRPr="000A485A">
              <w:rPr>
                <w:i/>
                <w:sz w:val="20"/>
                <w:szCs w:val="20"/>
              </w:rPr>
              <w:t>of</w:t>
            </w:r>
            <w:proofErr w:type="spellEnd"/>
            <w:r w:rsidRPr="000A485A">
              <w:rPr>
                <w:i/>
                <w:sz w:val="20"/>
                <w:szCs w:val="20"/>
              </w:rPr>
              <w:t xml:space="preserve"> </w:t>
            </w:r>
            <w:proofErr w:type="spellStart"/>
            <w:r w:rsidRPr="000A485A">
              <w:rPr>
                <w:i/>
                <w:sz w:val="20"/>
                <w:szCs w:val="20"/>
              </w:rPr>
              <w:t>the</w:t>
            </w:r>
            <w:proofErr w:type="spellEnd"/>
            <w:r w:rsidRPr="000A485A">
              <w:rPr>
                <w:i/>
                <w:sz w:val="20"/>
                <w:szCs w:val="20"/>
              </w:rPr>
              <w:t xml:space="preserve"> </w:t>
            </w:r>
            <w:proofErr w:type="spellStart"/>
            <w:r w:rsidRPr="000A485A">
              <w:rPr>
                <w:i/>
                <w:sz w:val="20"/>
                <w:szCs w:val="20"/>
              </w:rPr>
              <w:t>project</w:t>
            </w:r>
            <w:proofErr w:type="spellEnd"/>
            <w:r>
              <w:rPr>
                <w:sz w:val="20"/>
                <w:szCs w:val="20"/>
              </w:rPr>
              <w:t>)</w:t>
            </w:r>
            <w:r w:rsidR="000874B8" w:rsidRPr="00D70799">
              <w:rPr>
                <w:sz w:val="20"/>
                <w:szCs w:val="20"/>
              </w:rPr>
              <w:t xml:space="preserve">. </w:t>
            </w:r>
          </w:p>
          <w:p w14:paraId="1EDB31C6" w14:textId="77777777" w:rsidR="000874B8" w:rsidRPr="00D70799" w:rsidRDefault="000874B8" w:rsidP="009E2178">
            <w:pPr>
              <w:pStyle w:val="tv213"/>
              <w:spacing w:before="0" w:beforeAutospacing="0" w:after="0" w:afterAutospacing="0"/>
              <w:jc w:val="both"/>
              <w:rPr>
                <w:sz w:val="20"/>
                <w:szCs w:val="20"/>
              </w:rPr>
            </w:pPr>
            <w:r w:rsidRPr="00D70799">
              <w:rPr>
                <w:sz w:val="20"/>
                <w:szCs w:val="20"/>
              </w:rPr>
              <w:t>3.1.1.2.1. aktivitātes kontekstā:</w:t>
            </w:r>
          </w:p>
          <w:p w14:paraId="5A113E76" w14:textId="380D2DCA" w:rsidR="000874B8" w:rsidRPr="00D70799" w:rsidRDefault="000874B8" w:rsidP="009E2178">
            <w:pPr>
              <w:pStyle w:val="tv213"/>
              <w:spacing w:before="0" w:beforeAutospacing="0" w:after="0" w:afterAutospacing="0"/>
              <w:jc w:val="both"/>
              <w:rPr>
                <w:sz w:val="20"/>
                <w:szCs w:val="20"/>
              </w:rPr>
            </w:pPr>
            <w:r w:rsidRPr="00D70799">
              <w:rPr>
                <w:sz w:val="20"/>
                <w:szCs w:val="20"/>
              </w:rPr>
              <w:t>– „darbība” ir augstākās izglītības infrastruktūras ekspluatācija, lai nodrošinātu institūcijas pamatdarbību – augstākās izglītības pakalpojuma sniegšanu valsts izglītības sistēmas ietvaros</w:t>
            </w:r>
            <w:r w:rsidR="00296D3B">
              <w:rPr>
                <w:sz w:val="20"/>
                <w:szCs w:val="20"/>
              </w:rPr>
              <w:t xml:space="preserve">. Finanšu analīzē norāda finanšu plūsmas, kas saistītas ar minētās darbības īstenošanu projekta pārskata perioda (dzīves cikla) laikā. Vēršam uzmanību, ka faktiskais darbības īstenošanas periods var būtiski pārsniegt </w:t>
            </w:r>
            <w:r w:rsidR="00296D3B" w:rsidRPr="00D70799">
              <w:rPr>
                <w:sz w:val="20"/>
                <w:szCs w:val="20"/>
              </w:rPr>
              <w:t>Komisijas regulas Nr. 480/2014 I pielikum</w:t>
            </w:r>
            <w:r w:rsidR="00296D3B">
              <w:rPr>
                <w:sz w:val="20"/>
                <w:szCs w:val="20"/>
              </w:rPr>
              <w:t>ā noteikto pārskata periodu. Piemēram, m</w:t>
            </w:r>
            <w:r w:rsidR="00296D3B" w:rsidRPr="00296D3B">
              <w:rPr>
                <w:sz w:val="20"/>
                <w:szCs w:val="20"/>
              </w:rPr>
              <w:t>onolītās ēkas ar dzelzsbetona vai betona karkasu</w:t>
            </w:r>
            <w:r w:rsidR="00296D3B">
              <w:rPr>
                <w:sz w:val="20"/>
                <w:szCs w:val="20"/>
              </w:rPr>
              <w:t xml:space="preserve"> lietderīgās lietošana</w:t>
            </w:r>
            <w:r w:rsidR="008211E9">
              <w:rPr>
                <w:sz w:val="20"/>
                <w:szCs w:val="20"/>
              </w:rPr>
              <w:t>s laiks ir 150 gadi</w:t>
            </w:r>
            <w:r w:rsidR="008211E9">
              <w:rPr>
                <w:rStyle w:val="FootnoteReference"/>
                <w:sz w:val="20"/>
                <w:szCs w:val="20"/>
              </w:rPr>
              <w:footnoteReference w:id="2"/>
            </w:r>
            <w:r w:rsidRPr="00D70799">
              <w:rPr>
                <w:sz w:val="20"/>
                <w:szCs w:val="20"/>
              </w:rPr>
              <w:t>;</w:t>
            </w:r>
          </w:p>
          <w:p w14:paraId="0509D870" w14:textId="77777777" w:rsidR="008211E9" w:rsidRDefault="000874B8" w:rsidP="009E2178">
            <w:pPr>
              <w:pStyle w:val="tv213"/>
              <w:spacing w:before="0" w:beforeAutospacing="0" w:after="0" w:afterAutospacing="0"/>
              <w:jc w:val="both"/>
              <w:rPr>
                <w:sz w:val="20"/>
                <w:szCs w:val="20"/>
              </w:rPr>
            </w:pPr>
            <w:r w:rsidRPr="00D70799">
              <w:rPr>
                <w:sz w:val="20"/>
                <w:szCs w:val="20"/>
              </w:rPr>
              <w:t xml:space="preserve">–„minētā darbības nozare„ ir augstākā izglītība, kas pieskaitāma pie Komisijas regulas Nr. 480/2014 I pielikumā minētās nozaru grupas „Citas nozare”. </w:t>
            </w:r>
          </w:p>
          <w:p w14:paraId="62962449" w14:textId="12C66102" w:rsidR="000874B8" w:rsidRPr="00D70799" w:rsidRDefault="000874B8" w:rsidP="009E2178">
            <w:pPr>
              <w:pStyle w:val="tv213"/>
              <w:spacing w:before="0" w:beforeAutospacing="0" w:after="0" w:afterAutospacing="0"/>
              <w:jc w:val="both"/>
              <w:rPr>
                <w:sz w:val="20"/>
                <w:szCs w:val="20"/>
              </w:rPr>
            </w:pPr>
            <w:r w:rsidRPr="00D70799">
              <w:rPr>
                <w:sz w:val="20"/>
                <w:szCs w:val="20"/>
              </w:rPr>
              <w:t>Tādējādi 3.1.2.1.1. aktivitātes projektu izmaksu-ieguvumu analīzes ietvaros veic ar augstākās izglītības infrastruktūras ekspluatāciju saistītas finanšu plūsmas aprēķinus par 15 gadu pārskata periodu līdz 202</w:t>
            </w:r>
            <w:r w:rsidR="0060338B">
              <w:rPr>
                <w:sz w:val="20"/>
                <w:szCs w:val="20"/>
              </w:rPr>
              <w:t>4</w:t>
            </w:r>
            <w:r w:rsidRPr="00D70799">
              <w:rPr>
                <w:sz w:val="20"/>
                <w:szCs w:val="20"/>
              </w:rPr>
              <w:t xml:space="preserve">. gadam.   </w:t>
            </w:r>
          </w:p>
          <w:p w14:paraId="422BFB64" w14:textId="780F693C" w:rsidR="000874B8" w:rsidRPr="00D70799" w:rsidRDefault="000874B8" w:rsidP="0060338B">
            <w:pPr>
              <w:tabs>
                <w:tab w:val="left" w:pos="1276"/>
              </w:tabs>
              <w:jc w:val="both"/>
              <w:rPr>
                <w:sz w:val="20"/>
                <w:szCs w:val="20"/>
              </w:rPr>
            </w:pPr>
            <w:r w:rsidRPr="00D70799">
              <w:rPr>
                <w:sz w:val="20"/>
                <w:szCs w:val="20"/>
              </w:rPr>
              <w:t>Minētais pārskata periods</w:t>
            </w:r>
            <w:r w:rsidR="00BA45B3">
              <w:rPr>
                <w:sz w:val="20"/>
                <w:szCs w:val="20"/>
              </w:rPr>
              <w:t>, kas uzskatāms arī par infrastruktūras amortizācijas periodu,</w:t>
            </w:r>
            <w:r w:rsidRPr="00D70799">
              <w:rPr>
                <w:sz w:val="20"/>
                <w:szCs w:val="20"/>
              </w:rPr>
              <w:t xml:space="preserve"> attiecināms arī uz </w:t>
            </w:r>
            <w:r w:rsidR="0060338B">
              <w:rPr>
                <w:sz w:val="20"/>
                <w:szCs w:val="20"/>
              </w:rPr>
              <w:t xml:space="preserve">papildinošas saimnieciskās darbības un parasto papildpakalpojumu </w:t>
            </w:r>
            <w:r w:rsidRPr="00D70799">
              <w:rPr>
                <w:sz w:val="20"/>
                <w:szCs w:val="20"/>
              </w:rPr>
              <w:t>uzraudzību 3.1.2.1.1. aktivitātes augstākās izglītības infrastruktūras attīstības projekt</w:t>
            </w:r>
            <w:r w:rsidR="0060338B">
              <w:rPr>
                <w:sz w:val="20"/>
                <w:szCs w:val="20"/>
              </w:rPr>
              <w:t>u ietvaros</w:t>
            </w:r>
            <w:r w:rsidRPr="00D70799">
              <w:rPr>
                <w:sz w:val="20"/>
                <w:szCs w:val="20"/>
              </w:rPr>
              <w:t>.</w:t>
            </w:r>
          </w:p>
        </w:tc>
      </w:tr>
      <w:tr w:rsidR="00915BF7" w:rsidRPr="00D70799" w14:paraId="403E784B" w14:textId="77777777" w:rsidTr="00B4310A">
        <w:trPr>
          <w:trHeight w:val="274"/>
        </w:trPr>
        <w:tc>
          <w:tcPr>
            <w:tcW w:w="372" w:type="pct"/>
            <w:shd w:val="clear" w:color="auto" w:fill="FFFFFF" w:themeFill="background1"/>
          </w:tcPr>
          <w:p w14:paraId="79DEA5C2" w14:textId="04037B44" w:rsidR="00915BF7" w:rsidRPr="00D70799" w:rsidRDefault="00915BF7" w:rsidP="009E2178">
            <w:pPr>
              <w:numPr>
                <w:ilvl w:val="0"/>
                <w:numId w:val="31"/>
              </w:numPr>
              <w:tabs>
                <w:tab w:val="center" w:pos="284"/>
              </w:tabs>
              <w:ind w:left="0" w:firstLine="0"/>
              <w:rPr>
                <w:sz w:val="20"/>
                <w:szCs w:val="20"/>
              </w:rPr>
            </w:pPr>
          </w:p>
        </w:tc>
        <w:tc>
          <w:tcPr>
            <w:tcW w:w="1053" w:type="pct"/>
            <w:vMerge w:val="restart"/>
            <w:shd w:val="clear" w:color="auto" w:fill="auto"/>
          </w:tcPr>
          <w:p w14:paraId="25384F63" w14:textId="696C096D" w:rsidR="00915BF7" w:rsidRPr="00D70799" w:rsidRDefault="00915BF7" w:rsidP="009E2178">
            <w:pPr>
              <w:tabs>
                <w:tab w:val="left" w:pos="6840"/>
              </w:tabs>
              <w:jc w:val="both"/>
              <w:rPr>
                <w:sz w:val="20"/>
                <w:szCs w:val="20"/>
              </w:rPr>
            </w:pPr>
            <w:r w:rsidRPr="00D70799">
              <w:rPr>
                <w:sz w:val="20"/>
                <w:szCs w:val="20"/>
              </w:rPr>
              <w:t xml:space="preserve">6.8. atbilstoši šo noteikumu 7.14. apakšpunktā minētajam publiskā finansējuma uzraudzības un atgūšanas mehānismam Komisijas 2014. gada 3. marta Deleģētās regulas (ES) Nr. 480/2014, ar kuru papildina Eiropas Parlamenta un Padomes Regulu (ES) Nr. 1303/2013, ar ko paredz kopīgus noteikumus par Eiropas Reģionālās </w:t>
            </w:r>
            <w:r w:rsidRPr="00D70799">
              <w:rPr>
                <w:sz w:val="20"/>
                <w:szCs w:val="20"/>
              </w:rPr>
              <w:lastRenderedPageBreak/>
              <w:t>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(Eiropas Savienības Oficiālais Vēstnesis, 2014. gada 13. maijs, Nr. L 138/5) (turpmāk – Komisijas regula Nr. 480/2014), 1. pielikumā noteiktajā projekta pārskata (dzīves cikla) periodā (no 2021. gada 1. janvāra līdz 2024. gada 31. decembrim) nodrošina projekta ikgadēju uzraudzību un atbilstošo datu uzkrāšanu šo noteikumu 21.</w:t>
            </w:r>
            <w:r w:rsidRPr="002B1FD4">
              <w:rPr>
                <w:sz w:val="20"/>
                <w:szCs w:val="20"/>
                <w:vertAlign w:val="superscript"/>
              </w:rPr>
              <w:t>1</w:t>
            </w:r>
            <w:r w:rsidRPr="00D70799">
              <w:rPr>
                <w:sz w:val="20"/>
                <w:szCs w:val="20"/>
              </w:rPr>
              <w:t xml:space="preserve"> 2. apakšpunktā minētajā gadījumā.</w:t>
            </w:r>
          </w:p>
          <w:p w14:paraId="635E709A" w14:textId="77777777" w:rsidR="00915BF7" w:rsidRDefault="00915BF7" w:rsidP="009E2178">
            <w:pPr>
              <w:tabs>
                <w:tab w:val="left" w:pos="6840"/>
              </w:tabs>
              <w:ind w:firstLine="720"/>
              <w:jc w:val="both"/>
              <w:rPr>
                <w:sz w:val="20"/>
                <w:szCs w:val="20"/>
              </w:rPr>
            </w:pPr>
          </w:p>
          <w:p w14:paraId="4300BD69" w14:textId="77777777" w:rsidR="00915BF7" w:rsidRPr="00D70799" w:rsidRDefault="00915BF7" w:rsidP="00C81026">
            <w:pPr>
              <w:tabs>
                <w:tab w:val="left" w:pos="6840"/>
              </w:tabs>
              <w:jc w:val="both"/>
              <w:rPr>
                <w:sz w:val="20"/>
                <w:szCs w:val="20"/>
              </w:rPr>
            </w:pPr>
            <w:r w:rsidRPr="00D70799">
              <w:rPr>
                <w:sz w:val="20"/>
                <w:szCs w:val="20"/>
              </w:rPr>
              <w:t>21.</w:t>
            </w:r>
            <w:r w:rsidRPr="00D70799">
              <w:rPr>
                <w:sz w:val="20"/>
                <w:szCs w:val="20"/>
                <w:vertAlign w:val="superscript"/>
              </w:rPr>
              <w:t>5 </w:t>
            </w:r>
            <w:r w:rsidRPr="00D70799">
              <w:rPr>
                <w:sz w:val="20"/>
                <w:szCs w:val="20"/>
              </w:rPr>
              <w:t>1. nodala augstākās izglītības institūcijas ar saimniecisku darbību nesaistītas pamatdarbības (un ar tām saistītās finanšu plūsmas) no saimnieciskajām pamatdarbībām;</w:t>
            </w:r>
          </w:p>
          <w:p w14:paraId="0E6F2E21" w14:textId="596BD27F" w:rsidR="00915BF7" w:rsidRPr="00D70799" w:rsidRDefault="00915BF7" w:rsidP="009E2178">
            <w:pPr>
              <w:jc w:val="both"/>
              <w:rPr>
                <w:sz w:val="20"/>
                <w:szCs w:val="20"/>
              </w:rPr>
            </w:pPr>
            <w:r w:rsidRPr="00D70799">
              <w:rPr>
                <w:sz w:val="20"/>
                <w:szCs w:val="20"/>
              </w:rPr>
              <w:t>2. Papildināt noteikumus ar 7.14.</w:t>
            </w:r>
            <w:r w:rsidR="002B1FD4">
              <w:rPr>
                <w:sz w:val="20"/>
                <w:szCs w:val="20"/>
              </w:rPr>
              <w:t> </w:t>
            </w:r>
            <w:r w:rsidRPr="00D70799">
              <w:rPr>
                <w:sz w:val="20"/>
                <w:szCs w:val="20"/>
              </w:rPr>
              <w:t>apakšpunktu šādā redakcijā:</w:t>
            </w:r>
          </w:p>
          <w:p w14:paraId="5A495851" w14:textId="77777777" w:rsidR="00915BF7" w:rsidRPr="00D70799" w:rsidRDefault="00915BF7" w:rsidP="009E2178">
            <w:pPr>
              <w:jc w:val="both"/>
              <w:rPr>
                <w:sz w:val="20"/>
                <w:szCs w:val="20"/>
              </w:rPr>
            </w:pPr>
          </w:p>
          <w:p w14:paraId="6D89EB66" w14:textId="4ACDFB55" w:rsidR="00915BF7" w:rsidRPr="00D70799" w:rsidRDefault="00915BF7" w:rsidP="002B1FD4">
            <w:pPr>
              <w:jc w:val="both"/>
              <w:rPr>
                <w:sz w:val="20"/>
                <w:szCs w:val="20"/>
              </w:rPr>
            </w:pPr>
            <w:r w:rsidRPr="00D70799">
              <w:rPr>
                <w:sz w:val="20"/>
                <w:szCs w:val="20"/>
              </w:rPr>
              <w:t>"7.14. izveido publiskā finansējuma uzraudzības un atgūšanas mehānismu, veic projekta ikgadēju uzraudzību un uzkrāj datus Komisijas regulas Nr. 480/2014 1. pielikumā noteiktajā projekta pārskata (dzīves cikla) periodā līdz 2020. gada 31. decembrim šo noteikumu 21.</w:t>
            </w:r>
            <w:r w:rsidRPr="00D70799">
              <w:rPr>
                <w:sz w:val="20"/>
                <w:szCs w:val="20"/>
                <w:vertAlign w:val="superscript"/>
              </w:rPr>
              <w:t>1</w:t>
            </w:r>
            <w:r w:rsidRPr="00D70799">
              <w:rPr>
                <w:sz w:val="20"/>
                <w:szCs w:val="20"/>
              </w:rPr>
              <w:t xml:space="preserve"> 2. apakšpunktā minētajā gadījumā. Pēc 2020. gada 31. </w:t>
            </w:r>
            <w:r w:rsidRPr="00D70799">
              <w:rPr>
                <w:sz w:val="20"/>
                <w:szCs w:val="20"/>
              </w:rPr>
              <w:lastRenderedPageBreak/>
              <w:t>decembra šajā apakšpunktā minētās funkcijas nodrošina atbildīgā iestāde saskaņā ar šo noteikumu 6.8. apakšpunkta nosacījumiem."</w:t>
            </w:r>
          </w:p>
        </w:tc>
        <w:tc>
          <w:tcPr>
            <w:tcW w:w="1376" w:type="pct"/>
            <w:shd w:val="clear" w:color="auto" w:fill="auto"/>
          </w:tcPr>
          <w:p w14:paraId="74754ACD" w14:textId="52C3A22B" w:rsidR="00915BF7" w:rsidRPr="002E0E5F" w:rsidRDefault="00915BF7" w:rsidP="009E2178">
            <w:pPr>
              <w:pStyle w:val="NormalWeb"/>
              <w:spacing w:before="0" w:beforeAutospacing="0" w:after="0" w:afterAutospacing="0"/>
              <w:jc w:val="both"/>
              <w:rPr>
                <w:b/>
                <w:sz w:val="20"/>
                <w:szCs w:val="20"/>
              </w:rPr>
            </w:pPr>
            <w:r w:rsidRPr="002E0E5F">
              <w:rPr>
                <w:b/>
                <w:sz w:val="20"/>
                <w:szCs w:val="20"/>
              </w:rPr>
              <w:lastRenderedPageBreak/>
              <w:t>TM</w:t>
            </w:r>
          </w:p>
          <w:p w14:paraId="647624DC" w14:textId="77777777" w:rsidR="00915BF7" w:rsidRPr="00D70799" w:rsidRDefault="00915BF7" w:rsidP="009E2178">
            <w:pPr>
              <w:pStyle w:val="NormalWeb"/>
              <w:spacing w:before="0" w:beforeAutospacing="0" w:after="0" w:afterAutospacing="0"/>
              <w:jc w:val="both"/>
              <w:rPr>
                <w:sz w:val="20"/>
                <w:szCs w:val="20"/>
              </w:rPr>
            </w:pPr>
            <w:r w:rsidRPr="00D70799">
              <w:rPr>
                <w:sz w:val="20"/>
                <w:szCs w:val="20"/>
              </w:rPr>
              <w:t xml:space="preserve">2. Lūdzam noteikumu projekta 1. punktā izteiktajā Ministru kabineta 2009. gada 24. marta noteikumu Nr. 265 "Noteikumi par darbības programmas "Infrastruktūra un pakalpojumi" papildinājuma 3.1.2.1.1. </w:t>
            </w:r>
            <w:proofErr w:type="spellStart"/>
            <w:r w:rsidRPr="00D70799">
              <w:rPr>
                <w:sz w:val="20"/>
                <w:szCs w:val="20"/>
              </w:rPr>
              <w:t>apakšaktivitāti</w:t>
            </w:r>
            <w:proofErr w:type="spellEnd"/>
            <w:r w:rsidRPr="00D70799">
              <w:rPr>
                <w:sz w:val="20"/>
                <w:szCs w:val="20"/>
              </w:rPr>
              <w:t xml:space="preserve"> "Augstākās izglītības iestāžu telpu un iekārtu modernizēšana studiju programmu kvalitātes uzlabošanai, tajā skaitā nodrošinot izglītības programmu apgūšanas </w:t>
            </w:r>
            <w:r w:rsidRPr="00D70799">
              <w:rPr>
                <w:sz w:val="20"/>
                <w:szCs w:val="20"/>
              </w:rPr>
              <w:lastRenderedPageBreak/>
              <w:t>iespējas arī personām ar funkcionāliem traucējumiem"" (turpmāk – noteikumi) 6.8. apakšpunktā attiecībā uz vārdiem un skaitļiem "(no 2021. gada 1. janvāra līdz 2024. gada 31. decembrim)", pieturzīmi iekavas aizstāt ar pieturzīmi komats, jo iekavās ietvertais teksts ir būtisks tiesību normas piemērošanā. Norādām, ka iekavās ietvertie skaidrojumi un precizējumi var padarīt tiesību aktu neskaidru un var sašaurināt vai paplašināt normas tvērumu.</w:t>
            </w:r>
          </w:p>
          <w:p w14:paraId="2370FB58" w14:textId="77777777" w:rsidR="00915BF7" w:rsidRPr="00D70799" w:rsidRDefault="00915BF7" w:rsidP="009E2178">
            <w:pPr>
              <w:pStyle w:val="NormalWeb"/>
              <w:spacing w:before="0" w:beforeAutospacing="0" w:after="0" w:afterAutospacing="0"/>
              <w:jc w:val="both"/>
              <w:rPr>
                <w:sz w:val="20"/>
                <w:szCs w:val="20"/>
              </w:rPr>
            </w:pPr>
            <w:r w:rsidRPr="00D70799">
              <w:rPr>
                <w:sz w:val="20"/>
                <w:szCs w:val="20"/>
              </w:rPr>
              <w:t>Minētais iebildums attiecas arī uz noteikumu projekta 3. punktā izteiktajā noteikumu 21.</w:t>
            </w:r>
            <w:r w:rsidRPr="00D70799">
              <w:rPr>
                <w:sz w:val="20"/>
                <w:szCs w:val="20"/>
                <w:vertAlign w:val="superscript"/>
              </w:rPr>
              <w:t>5</w:t>
            </w:r>
            <w:r w:rsidRPr="00D70799">
              <w:rPr>
                <w:sz w:val="20"/>
                <w:szCs w:val="20"/>
              </w:rPr>
              <w:t>1. apakšpunktā lietotajām iekavām.</w:t>
            </w:r>
          </w:p>
          <w:p w14:paraId="5F18A5DC" w14:textId="20F37EC2" w:rsidR="00915BF7" w:rsidRPr="00D70799" w:rsidRDefault="00915BF7" w:rsidP="009E2178">
            <w:pPr>
              <w:pStyle w:val="Default"/>
              <w:adjustRightInd/>
              <w:jc w:val="both"/>
              <w:rPr>
                <w:color w:val="auto"/>
                <w:sz w:val="20"/>
                <w:szCs w:val="20"/>
              </w:rPr>
            </w:pPr>
          </w:p>
        </w:tc>
        <w:tc>
          <w:tcPr>
            <w:tcW w:w="1124" w:type="pct"/>
            <w:shd w:val="clear" w:color="auto" w:fill="auto"/>
          </w:tcPr>
          <w:p w14:paraId="4F9FC1DC" w14:textId="73272AB1" w:rsidR="00915BF7" w:rsidRPr="00D70799" w:rsidRDefault="00915BF7" w:rsidP="009E2178">
            <w:pPr>
              <w:jc w:val="both"/>
              <w:rPr>
                <w:sz w:val="20"/>
                <w:szCs w:val="20"/>
              </w:rPr>
            </w:pPr>
            <w:r w:rsidRPr="00D70799">
              <w:rPr>
                <w:b/>
                <w:sz w:val="20"/>
                <w:szCs w:val="20"/>
              </w:rPr>
              <w:lastRenderedPageBreak/>
              <w:t>Ņemts vērā.</w:t>
            </w:r>
          </w:p>
        </w:tc>
        <w:tc>
          <w:tcPr>
            <w:tcW w:w="1075" w:type="pct"/>
            <w:vMerge w:val="restart"/>
            <w:shd w:val="clear" w:color="auto" w:fill="auto"/>
          </w:tcPr>
          <w:p w14:paraId="5110AB3D" w14:textId="32FD9888" w:rsidR="00915BF7" w:rsidRPr="0060338B" w:rsidRDefault="0060338B" w:rsidP="00F86975">
            <w:pPr>
              <w:tabs>
                <w:tab w:val="left" w:pos="6840"/>
              </w:tabs>
              <w:jc w:val="both"/>
              <w:rPr>
                <w:sz w:val="20"/>
                <w:szCs w:val="20"/>
              </w:rPr>
            </w:pPr>
            <w:r w:rsidRPr="0060338B">
              <w:rPr>
                <w:sz w:val="20"/>
                <w:szCs w:val="20"/>
              </w:rPr>
              <w:t xml:space="preserve">6.8. atbilstoši šo noteikumu 7.14. apakšpunktā minētajam publiskā finansējuma uzraudzības un atgūšanas mehānismam Komisijas 2014. gada 3. marta Deleģētās regulas (ES) Nr. 480/2014, ar kuru papildina Eiropas Parlamenta un Padomes Regulu (ES) Nr. 1303/2013, ar ko paredz kopīgus noteikumus par Eiropas </w:t>
            </w:r>
            <w:r w:rsidRPr="0060338B">
              <w:rPr>
                <w:sz w:val="20"/>
                <w:szCs w:val="20"/>
              </w:rPr>
              <w:lastRenderedPageBreak/>
              <w:t xml:space="preserve">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(Eiropas Savienības Oficiālais Vēstnesis, 2014. gada 13. maijs, Nr. L 138/5) (turpmāk – Komisijas regula Nr. 480/2014), 15. panta 2. punktā un 1. pielikumā noteiktajā projekta pārskata (dzīves cikla) periodā (turpmāk – </w:t>
            </w:r>
            <w:r w:rsidR="00BA45B3">
              <w:rPr>
                <w:sz w:val="20"/>
                <w:szCs w:val="20"/>
              </w:rPr>
              <w:t>infrastruktūras amortizācijas</w:t>
            </w:r>
            <w:r w:rsidRPr="0060338B">
              <w:rPr>
                <w:sz w:val="20"/>
                <w:szCs w:val="20"/>
              </w:rPr>
              <w:t xml:space="preserve"> periods) laikā no 2021. gada 1. janvāra līdz 2024. gada 31. decembrim nodrošina projekta ikgadēju uzraudzību un atbilstošo datu uzkrāšanu šo noteikumu 21.</w:t>
            </w:r>
            <w:r w:rsidRPr="0060338B">
              <w:rPr>
                <w:sz w:val="20"/>
                <w:szCs w:val="20"/>
                <w:vertAlign w:val="superscript"/>
              </w:rPr>
              <w:t>1</w:t>
            </w:r>
            <w:r w:rsidRPr="0060338B">
              <w:rPr>
                <w:sz w:val="20"/>
                <w:szCs w:val="20"/>
              </w:rPr>
              <w:t xml:space="preserve"> 2. apakšpunktā minētajā gadījumā </w:t>
            </w:r>
          </w:p>
          <w:p w14:paraId="35516AC4" w14:textId="77777777" w:rsidR="0060338B" w:rsidRPr="0060338B" w:rsidRDefault="0060338B" w:rsidP="00F86975">
            <w:pPr>
              <w:tabs>
                <w:tab w:val="left" w:pos="6840"/>
              </w:tabs>
              <w:jc w:val="both"/>
              <w:rPr>
                <w:sz w:val="20"/>
                <w:szCs w:val="20"/>
              </w:rPr>
            </w:pPr>
          </w:p>
          <w:p w14:paraId="3B75F8CA" w14:textId="77777777" w:rsidR="0060338B" w:rsidRPr="0060338B" w:rsidRDefault="0060338B" w:rsidP="0060338B">
            <w:pPr>
              <w:tabs>
                <w:tab w:val="left" w:pos="6840"/>
              </w:tabs>
              <w:jc w:val="both"/>
              <w:rPr>
                <w:sz w:val="20"/>
                <w:szCs w:val="20"/>
              </w:rPr>
            </w:pPr>
            <w:r w:rsidRPr="0060338B">
              <w:rPr>
                <w:sz w:val="20"/>
                <w:szCs w:val="20"/>
              </w:rPr>
              <w:t>79.</w:t>
            </w:r>
            <w:r w:rsidRPr="0060338B">
              <w:rPr>
                <w:sz w:val="20"/>
                <w:szCs w:val="20"/>
                <w:vertAlign w:val="superscript"/>
              </w:rPr>
              <w:t>2 </w:t>
            </w:r>
            <w:r w:rsidRPr="0060338B">
              <w:rPr>
                <w:sz w:val="20"/>
                <w:szCs w:val="20"/>
              </w:rPr>
              <w:t>2. nodala augstākās izglītības institūcijas ar saimniecisku darbību nesaistītas pamatdarbības un ar to īstenošanu saistītās finanšu plūsmas no saimnieciskajām darbībām un ar to īstenošanu saistītām finanšu plūsmām;</w:t>
            </w:r>
          </w:p>
          <w:p w14:paraId="5F1C0865" w14:textId="77777777" w:rsidR="00915BF7" w:rsidRPr="0060338B" w:rsidRDefault="00915BF7" w:rsidP="00915BF7">
            <w:pPr>
              <w:tabs>
                <w:tab w:val="left" w:pos="6840"/>
              </w:tabs>
              <w:jc w:val="both"/>
              <w:rPr>
                <w:sz w:val="20"/>
                <w:szCs w:val="20"/>
              </w:rPr>
            </w:pPr>
          </w:p>
          <w:p w14:paraId="3EDD0610" w14:textId="46DAEBBD" w:rsidR="00915BF7" w:rsidRPr="0060338B" w:rsidRDefault="0060338B" w:rsidP="00BA45B3">
            <w:pPr>
              <w:tabs>
                <w:tab w:val="left" w:pos="6840"/>
              </w:tabs>
              <w:jc w:val="both"/>
              <w:rPr>
                <w:sz w:val="20"/>
                <w:szCs w:val="20"/>
              </w:rPr>
            </w:pPr>
            <w:r w:rsidRPr="0060338B">
              <w:rPr>
                <w:sz w:val="20"/>
                <w:szCs w:val="20"/>
              </w:rPr>
              <w:t xml:space="preserve">7.14. izveido publiskā finansējuma uzraudzības un atgūšanas mehānismu, veic projekta ikgadēju uzraudzību un uzkrāj datus </w:t>
            </w:r>
            <w:r w:rsidR="00BA45B3">
              <w:rPr>
                <w:sz w:val="20"/>
                <w:szCs w:val="20"/>
              </w:rPr>
              <w:t>infrastruktūras amortizācijas</w:t>
            </w:r>
            <w:r w:rsidRPr="0060338B">
              <w:rPr>
                <w:sz w:val="20"/>
                <w:szCs w:val="20"/>
              </w:rPr>
              <w:t xml:space="preserve"> periodā līdz 2020. gada 31. decembrim šo noteikumu 21.</w:t>
            </w:r>
            <w:r w:rsidRPr="0060338B">
              <w:rPr>
                <w:sz w:val="20"/>
                <w:szCs w:val="20"/>
                <w:vertAlign w:val="superscript"/>
              </w:rPr>
              <w:t>1</w:t>
            </w:r>
            <w:r w:rsidRPr="0060338B">
              <w:rPr>
                <w:sz w:val="20"/>
                <w:szCs w:val="20"/>
              </w:rPr>
              <w:t xml:space="preserve"> 2. apakšpunktā minētajā </w:t>
            </w:r>
            <w:r w:rsidRPr="0060338B">
              <w:rPr>
                <w:sz w:val="20"/>
                <w:szCs w:val="20"/>
              </w:rPr>
              <w:lastRenderedPageBreak/>
              <w:t>gadījumā. Pēc 2020. gada 31. decembra šajā apakšpunktā minētās funkcijas nodrošina atbildīgā iestāde saskaņā ar šo noteikumu 6.8. apakšpunkta nosacījumiem</w:t>
            </w:r>
          </w:p>
        </w:tc>
      </w:tr>
      <w:tr w:rsidR="00915BF7" w:rsidRPr="00D70799" w14:paraId="633F4F46" w14:textId="77777777" w:rsidTr="00B4310A">
        <w:trPr>
          <w:trHeight w:val="274"/>
        </w:trPr>
        <w:tc>
          <w:tcPr>
            <w:tcW w:w="372" w:type="pct"/>
            <w:shd w:val="clear" w:color="auto" w:fill="FFFFFF" w:themeFill="background1"/>
          </w:tcPr>
          <w:p w14:paraId="55F51098" w14:textId="77777777" w:rsidR="00915BF7" w:rsidRPr="00D70799" w:rsidRDefault="00915BF7" w:rsidP="009E2178">
            <w:pPr>
              <w:numPr>
                <w:ilvl w:val="0"/>
                <w:numId w:val="31"/>
              </w:numPr>
              <w:tabs>
                <w:tab w:val="center" w:pos="284"/>
              </w:tabs>
              <w:ind w:left="0" w:firstLine="0"/>
              <w:rPr>
                <w:sz w:val="20"/>
                <w:szCs w:val="20"/>
              </w:rPr>
            </w:pPr>
          </w:p>
        </w:tc>
        <w:tc>
          <w:tcPr>
            <w:tcW w:w="1053" w:type="pct"/>
            <w:vMerge/>
            <w:shd w:val="clear" w:color="auto" w:fill="auto"/>
          </w:tcPr>
          <w:p w14:paraId="358A6931" w14:textId="322EA871" w:rsidR="00915BF7" w:rsidRPr="00D70799" w:rsidRDefault="00915BF7" w:rsidP="009E2178">
            <w:pPr>
              <w:ind w:firstLine="720"/>
              <w:jc w:val="both"/>
              <w:rPr>
                <w:sz w:val="20"/>
                <w:szCs w:val="20"/>
              </w:rPr>
            </w:pPr>
          </w:p>
        </w:tc>
        <w:tc>
          <w:tcPr>
            <w:tcW w:w="1376" w:type="pct"/>
            <w:shd w:val="clear" w:color="auto" w:fill="auto"/>
          </w:tcPr>
          <w:p w14:paraId="47671D1F" w14:textId="59D50A7F" w:rsidR="00915BF7" w:rsidRPr="00D70799" w:rsidRDefault="00915BF7" w:rsidP="009E2178">
            <w:pPr>
              <w:pStyle w:val="Default"/>
              <w:adjustRightInd/>
              <w:jc w:val="both"/>
              <w:rPr>
                <w:color w:val="auto"/>
                <w:sz w:val="20"/>
                <w:szCs w:val="20"/>
              </w:rPr>
            </w:pPr>
            <w:r w:rsidRPr="00D70799">
              <w:rPr>
                <w:color w:val="auto"/>
                <w:sz w:val="20"/>
                <w:szCs w:val="20"/>
              </w:rPr>
              <w:t>TM</w:t>
            </w:r>
          </w:p>
          <w:p w14:paraId="19F24BB4" w14:textId="57EB3CD3" w:rsidR="00915BF7" w:rsidRPr="00D70799" w:rsidRDefault="00915BF7" w:rsidP="009E2178">
            <w:pPr>
              <w:pStyle w:val="Default"/>
              <w:adjustRightInd/>
              <w:jc w:val="both"/>
              <w:rPr>
                <w:color w:val="auto"/>
                <w:sz w:val="20"/>
                <w:szCs w:val="20"/>
              </w:rPr>
            </w:pPr>
            <w:r w:rsidRPr="00D70799">
              <w:rPr>
                <w:color w:val="auto"/>
                <w:sz w:val="20"/>
                <w:szCs w:val="20"/>
              </w:rPr>
              <w:t xml:space="preserve">3. Lūdzam izvērtēt, vai ar noteikumu projekta 1. un 2. punktu netiek dublēts Eiropas Savienības struktūrfondu un Kohēzijas fonda 2014.—2020. gada plānošanas perioda vadības likuma 11. un 12. pantā noteiktais, un nepieciešamības gadījumā atbilstoši Ministru kabineta 2009. gada 3. februāra noteikumu Nr. 108 "Normatīvo aktu projektu sagatavošanas noteikumi" (turpmāk – MK noteikumi Nr. 108) 3.2. apakšpunktam svītrot dublējošās normas. </w:t>
            </w:r>
          </w:p>
        </w:tc>
        <w:tc>
          <w:tcPr>
            <w:tcW w:w="1124" w:type="pct"/>
            <w:shd w:val="clear" w:color="auto" w:fill="auto"/>
          </w:tcPr>
          <w:p w14:paraId="1B9E4386" w14:textId="77777777" w:rsidR="00915BF7" w:rsidRPr="00D70799" w:rsidRDefault="00915BF7" w:rsidP="009E2178">
            <w:pPr>
              <w:jc w:val="both"/>
              <w:rPr>
                <w:b/>
                <w:sz w:val="20"/>
                <w:szCs w:val="20"/>
              </w:rPr>
            </w:pPr>
            <w:r w:rsidRPr="00D70799">
              <w:rPr>
                <w:b/>
                <w:sz w:val="20"/>
                <w:szCs w:val="20"/>
              </w:rPr>
              <w:t xml:space="preserve">IZM </w:t>
            </w:r>
            <w:proofErr w:type="spellStart"/>
            <w:r w:rsidRPr="00D70799">
              <w:rPr>
                <w:b/>
                <w:sz w:val="20"/>
                <w:szCs w:val="20"/>
              </w:rPr>
              <w:t>izvērtējums</w:t>
            </w:r>
            <w:proofErr w:type="spellEnd"/>
            <w:r w:rsidRPr="00D70799">
              <w:rPr>
                <w:b/>
                <w:sz w:val="20"/>
                <w:szCs w:val="20"/>
              </w:rPr>
              <w:t>:</w:t>
            </w:r>
          </w:p>
          <w:p w14:paraId="5C9CA2ED" w14:textId="01B7243B" w:rsidR="00915BF7" w:rsidRPr="00D70799" w:rsidRDefault="00915BF7" w:rsidP="009E2178">
            <w:pPr>
              <w:jc w:val="both"/>
              <w:rPr>
                <w:sz w:val="20"/>
                <w:szCs w:val="20"/>
              </w:rPr>
            </w:pPr>
            <w:r w:rsidRPr="00D70799">
              <w:rPr>
                <w:sz w:val="20"/>
                <w:szCs w:val="20"/>
              </w:rPr>
              <w:t>ar noteikumu projekta 1. un 2. punktu netiek dublēts Eiropas Savienības struktūrfondu un Kohēzijas fonda 2014.—2020. gada plānošanas perioda vadības likuma 11. un 12. pantā noteiktais</w:t>
            </w:r>
            <w:r>
              <w:rPr>
                <w:sz w:val="20"/>
                <w:szCs w:val="20"/>
              </w:rPr>
              <w:t xml:space="preserve">, jo ar </w:t>
            </w:r>
            <w:r w:rsidRPr="00D70799">
              <w:rPr>
                <w:sz w:val="20"/>
                <w:szCs w:val="20"/>
              </w:rPr>
              <w:t>MK noteikumu Nr. 265</w:t>
            </w:r>
            <w:r>
              <w:rPr>
                <w:sz w:val="20"/>
                <w:szCs w:val="20"/>
              </w:rPr>
              <w:t xml:space="preserve"> grozījumiem tiek ieviesti specifiski nosacījumi,</w:t>
            </w:r>
            <w:r w:rsidRPr="00D70799">
              <w:rPr>
                <w:sz w:val="20"/>
                <w:szCs w:val="20"/>
              </w:rPr>
              <w:t xml:space="preserve"> projektu īstenotājiem rad</w:t>
            </w:r>
            <w:r>
              <w:rPr>
                <w:sz w:val="20"/>
                <w:szCs w:val="20"/>
              </w:rPr>
              <w:t>ot labvēlīgākus nosacījumus</w:t>
            </w:r>
            <w:r w:rsidRPr="00D70799">
              <w:rPr>
                <w:sz w:val="20"/>
                <w:szCs w:val="20"/>
              </w:rPr>
              <w:t>, salīd</w:t>
            </w:r>
            <w:r>
              <w:rPr>
                <w:sz w:val="20"/>
                <w:szCs w:val="20"/>
              </w:rPr>
              <w:t>zinot ar šobrīd esošo situāciju.</w:t>
            </w:r>
            <w:r w:rsidRPr="00D70799">
              <w:rPr>
                <w:sz w:val="20"/>
                <w:szCs w:val="20"/>
              </w:rPr>
              <w:t xml:space="preserve"> </w:t>
            </w:r>
            <w:r>
              <w:rPr>
                <w:sz w:val="20"/>
                <w:szCs w:val="20"/>
              </w:rPr>
              <w:t>I</w:t>
            </w:r>
            <w:r w:rsidRPr="00D70799">
              <w:rPr>
                <w:sz w:val="20"/>
                <w:szCs w:val="20"/>
              </w:rPr>
              <w:t xml:space="preserve">evērojot </w:t>
            </w:r>
            <w:r w:rsidRPr="00D70799">
              <w:rPr>
                <w:i/>
                <w:sz w:val="20"/>
                <w:szCs w:val="20"/>
              </w:rPr>
              <w:t xml:space="preserve">Komisijas paziņojuma par Līguma par Eiropas Savienības darbību 107. panta 1. punktā minēto valsts atbalsta jēdzienu </w:t>
            </w:r>
            <w:r w:rsidRPr="00D70799">
              <w:rPr>
                <w:sz w:val="20"/>
                <w:szCs w:val="20"/>
              </w:rPr>
              <w:t>(2016/C 262/01)(turpmāk – EK paziņojums) 207. punktā noteikto, tiek ieviests jauns termins “ierobežotas jomas darbība”, kā rezultāta:</w:t>
            </w:r>
          </w:p>
          <w:p w14:paraId="00234401" w14:textId="3053F12E" w:rsidR="00915BF7" w:rsidRPr="00D70799" w:rsidRDefault="00915BF7" w:rsidP="009E2178">
            <w:pPr>
              <w:jc w:val="both"/>
              <w:rPr>
                <w:sz w:val="20"/>
                <w:szCs w:val="20"/>
              </w:rPr>
            </w:pPr>
            <w:r w:rsidRPr="00D70799">
              <w:rPr>
                <w:sz w:val="20"/>
                <w:szCs w:val="20"/>
              </w:rPr>
              <w:t xml:space="preserve">1. 3.1.2.1.1. aktivitātes projekta ietvaros izveidotu/iegādātu pētniecības infrastruktūru projekta pārskata periodā var izmantot </w:t>
            </w:r>
            <w:r>
              <w:rPr>
                <w:sz w:val="20"/>
                <w:szCs w:val="20"/>
              </w:rPr>
              <w:t>saimniecisku darbību īstenošanai, tai skaitā</w:t>
            </w:r>
            <w:r w:rsidRPr="00D70799">
              <w:rPr>
                <w:sz w:val="20"/>
                <w:szCs w:val="20"/>
              </w:rPr>
              <w:t xml:space="preserve"> </w:t>
            </w:r>
            <w:r>
              <w:rPr>
                <w:sz w:val="20"/>
                <w:szCs w:val="20"/>
              </w:rPr>
              <w:t xml:space="preserve">papildinošai saimnieciskai </w:t>
            </w:r>
            <w:r>
              <w:rPr>
                <w:sz w:val="20"/>
                <w:szCs w:val="20"/>
              </w:rPr>
              <w:lastRenderedPageBreak/>
              <w:t>darbībai</w:t>
            </w:r>
            <w:r w:rsidRPr="00D70799">
              <w:rPr>
                <w:sz w:val="20"/>
                <w:szCs w:val="20"/>
              </w:rPr>
              <w:t>, kas atbilst šādiem kritērijiem: a). ir tieši saistīta ar augstākās izglītības institūcijas pamatdarbību un izmantošanu ar saimniecisku darbību nesaistītā jomā; b) tiek patērēti tādi paši resursi, piemēram, materiāli, aprīkojums, darbaspēks un pamatkapitāls, kā ar saimniecisku darbību nesaistītai pamatdarbībai; c) katru gadu iedalītā jauda finanšu izteiksmē nepārsniedz 20 procentus no infrastruktūras kopējās gada jaudas finanšu izteiksmē;</w:t>
            </w:r>
          </w:p>
          <w:p w14:paraId="63F48F09" w14:textId="0500689C" w:rsidR="00915BF7" w:rsidRPr="00D70799" w:rsidRDefault="00915BF7" w:rsidP="009E2178">
            <w:pPr>
              <w:jc w:val="both"/>
              <w:rPr>
                <w:sz w:val="20"/>
                <w:szCs w:val="20"/>
              </w:rPr>
            </w:pPr>
            <w:r w:rsidRPr="00D70799">
              <w:rPr>
                <w:sz w:val="20"/>
                <w:szCs w:val="20"/>
              </w:rPr>
              <w:t>2. vienlaikus šis projekts joprojām var tikt uzskatīts par projektu, kuram nav saimniecisks raksturs;</w:t>
            </w:r>
          </w:p>
          <w:p w14:paraId="7F4EF621" w14:textId="78A6A40D" w:rsidR="00915BF7" w:rsidRPr="00D70799" w:rsidRDefault="00915BF7" w:rsidP="00D14ABF">
            <w:pPr>
              <w:jc w:val="both"/>
              <w:rPr>
                <w:b/>
                <w:sz w:val="20"/>
                <w:szCs w:val="20"/>
              </w:rPr>
            </w:pPr>
            <w:r w:rsidRPr="00D70799">
              <w:rPr>
                <w:sz w:val="20"/>
                <w:szCs w:val="20"/>
              </w:rPr>
              <w:t xml:space="preserve">3. lai varētu piemērot EK paziņojuma 207. punktā noteikto, ir jānodrošina atbilstoša projekta ikgadēja uzraudzība projekta pārskata periodā, kas noteikts atbilstoši Komisijas regulas Nr.480/2014 </w:t>
            </w:r>
            <w:r>
              <w:rPr>
                <w:sz w:val="20"/>
                <w:szCs w:val="20"/>
              </w:rPr>
              <w:t xml:space="preserve">15. panta 2. punktā un </w:t>
            </w:r>
            <w:r w:rsidRPr="00D70799">
              <w:rPr>
                <w:sz w:val="20"/>
                <w:szCs w:val="20"/>
              </w:rPr>
              <w:t>I pielikumā noteiktajam.</w:t>
            </w:r>
          </w:p>
        </w:tc>
        <w:tc>
          <w:tcPr>
            <w:tcW w:w="1075" w:type="pct"/>
            <w:vMerge/>
            <w:shd w:val="clear" w:color="auto" w:fill="auto"/>
          </w:tcPr>
          <w:p w14:paraId="1345439B" w14:textId="3852A32E" w:rsidR="00915BF7" w:rsidRPr="00D70799" w:rsidRDefault="00915BF7" w:rsidP="009E2178">
            <w:pPr>
              <w:tabs>
                <w:tab w:val="left" w:pos="1276"/>
              </w:tabs>
              <w:jc w:val="both"/>
              <w:rPr>
                <w:sz w:val="20"/>
                <w:szCs w:val="20"/>
              </w:rPr>
            </w:pPr>
          </w:p>
        </w:tc>
      </w:tr>
      <w:tr w:rsidR="002B1FD4" w:rsidRPr="00D70799" w14:paraId="4DC57FD9" w14:textId="77777777" w:rsidTr="00B4310A">
        <w:trPr>
          <w:trHeight w:val="274"/>
        </w:trPr>
        <w:tc>
          <w:tcPr>
            <w:tcW w:w="372" w:type="pct"/>
            <w:shd w:val="clear" w:color="auto" w:fill="FFFFFF" w:themeFill="background1"/>
          </w:tcPr>
          <w:p w14:paraId="2FCEF3FC" w14:textId="77777777" w:rsidR="002B1FD4" w:rsidRPr="00D70799" w:rsidRDefault="002B1FD4" w:rsidP="009E2178">
            <w:pPr>
              <w:numPr>
                <w:ilvl w:val="0"/>
                <w:numId w:val="31"/>
              </w:numPr>
              <w:tabs>
                <w:tab w:val="center" w:pos="284"/>
              </w:tabs>
              <w:ind w:left="0" w:firstLine="0"/>
              <w:rPr>
                <w:sz w:val="20"/>
                <w:szCs w:val="20"/>
              </w:rPr>
            </w:pPr>
          </w:p>
        </w:tc>
        <w:tc>
          <w:tcPr>
            <w:tcW w:w="1053" w:type="pct"/>
            <w:shd w:val="clear" w:color="auto" w:fill="auto"/>
          </w:tcPr>
          <w:p w14:paraId="5BE398A0" w14:textId="77777777" w:rsidR="002B1FD4" w:rsidRPr="003A622E" w:rsidRDefault="002B1FD4" w:rsidP="002B1FD4">
            <w:pPr>
              <w:tabs>
                <w:tab w:val="left" w:pos="6840"/>
              </w:tabs>
              <w:jc w:val="both"/>
              <w:rPr>
                <w:sz w:val="20"/>
                <w:szCs w:val="20"/>
              </w:rPr>
            </w:pPr>
            <w:r w:rsidRPr="003A622E">
              <w:rPr>
                <w:sz w:val="20"/>
                <w:szCs w:val="20"/>
              </w:rPr>
              <w:t xml:space="preserve">6.8. atbilstoši šo noteikumu 7.14. apakšpunktā minētajam publiskā finansējuma uzraudzības un atgūšanas mehānismam Komisijas 2014. gada 3. marta Deleģētās regulas (ES) Nr. 480/2014, ar kuru papildina Eiropas Parlamenta un Padomes Regulu (ES) Nr. 1303/2013, ar ko paredz kopīgus noteikumus par Eiropas Reģionālās attīstības fondu, Eiropas Sociālo fondu, Kohēzijas fondu, Eiropas Lauksaimniecības fondu lauku attīstībai un Eiropas Jūrlietu un zivsaimniecības fondu un vispārīgus noteikumus par Eiropas </w:t>
            </w:r>
            <w:r w:rsidRPr="003A622E">
              <w:rPr>
                <w:sz w:val="20"/>
                <w:szCs w:val="20"/>
              </w:rPr>
              <w:lastRenderedPageBreak/>
              <w:t>Reģionālās attīstības fondu, Eiropas Sociālo fondu, Kohēzijas fondu un Eiropas Jūrlietu un zivsaimniecības fondu (Eiropas Savienības Oficiālais Vēstnesis, 2014. gada 13. maijs, Nr. L 138/5) (turpmāk – Komisijas regula Nr. 480/2014), 15. panta 2. punktā un 1. pielikumā noteiktajā projekta pārskata (dzīves cikla) periodā (turpmāk – projekta pārskata periods) laikā no 2021. gada 1. janvāra līdz 2024. gada 31. decembrim nodrošina projekta ikgadēju uzraudzību un atbilstošo datu uzkrāšanu šo noteikumu 21.</w:t>
            </w:r>
            <w:r w:rsidRPr="003A622E">
              <w:rPr>
                <w:sz w:val="20"/>
                <w:szCs w:val="20"/>
                <w:vertAlign w:val="superscript"/>
              </w:rPr>
              <w:t>1</w:t>
            </w:r>
            <w:r w:rsidRPr="003A622E">
              <w:rPr>
                <w:sz w:val="20"/>
                <w:szCs w:val="20"/>
              </w:rPr>
              <w:t xml:space="preserve"> 2. apakšpunktā minētajā gadījumā </w:t>
            </w:r>
          </w:p>
          <w:p w14:paraId="72F25FD9" w14:textId="77777777" w:rsidR="002A66AD" w:rsidRPr="003A622E" w:rsidRDefault="002A66AD" w:rsidP="002B1FD4">
            <w:pPr>
              <w:tabs>
                <w:tab w:val="left" w:pos="6840"/>
              </w:tabs>
              <w:jc w:val="both"/>
              <w:rPr>
                <w:sz w:val="20"/>
                <w:szCs w:val="20"/>
              </w:rPr>
            </w:pPr>
          </w:p>
          <w:p w14:paraId="4E660BC6" w14:textId="21D83C99" w:rsidR="002A66AD" w:rsidRPr="003A622E" w:rsidRDefault="002A66AD" w:rsidP="002A66AD">
            <w:pPr>
              <w:jc w:val="both"/>
              <w:rPr>
                <w:sz w:val="20"/>
                <w:szCs w:val="20"/>
              </w:rPr>
            </w:pPr>
            <w:r w:rsidRPr="003A622E">
              <w:rPr>
                <w:sz w:val="20"/>
                <w:szCs w:val="20"/>
              </w:rPr>
              <w:t>21.</w:t>
            </w:r>
            <w:r w:rsidRPr="003A622E">
              <w:rPr>
                <w:sz w:val="20"/>
                <w:szCs w:val="20"/>
                <w:vertAlign w:val="superscript"/>
              </w:rPr>
              <w:t>1</w:t>
            </w:r>
            <w:r w:rsidRPr="003A622E">
              <w:rPr>
                <w:sz w:val="20"/>
                <w:szCs w:val="20"/>
              </w:rPr>
              <w:t> Lai atbalsts projekta īstenošanai netiktu kvalificēts kā komercdarbības atbalsts, projekta ietvaros modernizēto infrastruktūru projekta pārskata periodā izmanto šādu darbību īstenošanai: …</w:t>
            </w:r>
          </w:p>
          <w:p w14:paraId="422E5BB0" w14:textId="77777777" w:rsidR="002A66AD" w:rsidRPr="003A622E" w:rsidRDefault="002A66AD" w:rsidP="002A66AD">
            <w:pPr>
              <w:jc w:val="both"/>
              <w:rPr>
                <w:sz w:val="20"/>
                <w:szCs w:val="20"/>
              </w:rPr>
            </w:pPr>
          </w:p>
          <w:p w14:paraId="0780397F" w14:textId="749E14EF" w:rsidR="002A66AD" w:rsidRPr="003A622E" w:rsidRDefault="002A66AD" w:rsidP="002A66AD">
            <w:pPr>
              <w:jc w:val="both"/>
              <w:rPr>
                <w:sz w:val="20"/>
                <w:szCs w:val="20"/>
              </w:rPr>
            </w:pPr>
            <w:r w:rsidRPr="003A622E">
              <w:rPr>
                <w:sz w:val="20"/>
                <w:szCs w:val="20"/>
              </w:rPr>
              <w:t>21.</w:t>
            </w:r>
            <w:r w:rsidRPr="003A622E">
              <w:rPr>
                <w:sz w:val="20"/>
                <w:szCs w:val="20"/>
                <w:vertAlign w:val="superscript"/>
              </w:rPr>
              <w:t>2</w:t>
            </w:r>
            <w:r w:rsidRPr="003A622E">
              <w:rPr>
                <w:sz w:val="20"/>
                <w:szCs w:val="20"/>
              </w:rPr>
              <w:t> Ja projekta ietvaros modernizēto infrastruktūru projekta pārskata periodā izmanto saimnieciskai darbībai, pārsniedzot šo noteikumu 21.</w:t>
            </w:r>
            <w:r w:rsidRPr="003A622E">
              <w:rPr>
                <w:sz w:val="20"/>
                <w:szCs w:val="20"/>
                <w:vertAlign w:val="superscript"/>
              </w:rPr>
              <w:t>1</w:t>
            </w:r>
            <w:r w:rsidRPr="003A622E">
              <w:rPr>
                <w:sz w:val="20"/>
                <w:szCs w:val="20"/>
              </w:rPr>
              <w:t xml:space="preserve"> 2.1. apakšpunktā minēto papildinošai saimnieciskai darbībai iedalītās jaudas apmēru, atbilstoši šo noteikumu 7.14. apakšpunktā minētajam publiskā finansējuma uzraudzības un atgūšanas mehānismam piemēro </w:t>
            </w:r>
            <w:r w:rsidRPr="003A622E">
              <w:rPr>
                <w:sz w:val="20"/>
                <w:szCs w:val="20"/>
              </w:rPr>
              <w:lastRenderedPageBreak/>
              <w:t>proporcionālu publiskā finansējuma samazinājumu (korekciju).</w:t>
            </w:r>
          </w:p>
          <w:p w14:paraId="57540C3B" w14:textId="77777777" w:rsidR="002A66AD" w:rsidRPr="003A622E" w:rsidRDefault="002A66AD" w:rsidP="002B1FD4">
            <w:pPr>
              <w:tabs>
                <w:tab w:val="left" w:pos="6840"/>
              </w:tabs>
              <w:jc w:val="both"/>
              <w:rPr>
                <w:sz w:val="20"/>
                <w:szCs w:val="20"/>
              </w:rPr>
            </w:pPr>
          </w:p>
          <w:p w14:paraId="23BA8682" w14:textId="77777777" w:rsidR="002A66AD" w:rsidRPr="003A622E" w:rsidRDefault="002A66AD" w:rsidP="003A622E">
            <w:pPr>
              <w:pStyle w:val="ListParagraph"/>
              <w:ind w:left="0"/>
              <w:jc w:val="both"/>
              <w:rPr>
                <w:rFonts w:ascii="Times New Roman" w:hAnsi="Times New Roman"/>
                <w:sz w:val="20"/>
                <w:szCs w:val="20"/>
              </w:rPr>
            </w:pPr>
            <w:r w:rsidRPr="003A622E">
              <w:rPr>
                <w:rFonts w:ascii="Times New Roman" w:hAnsi="Times New Roman"/>
                <w:sz w:val="20"/>
                <w:szCs w:val="20"/>
              </w:rPr>
              <w:t>79.</w:t>
            </w:r>
            <w:r w:rsidRPr="003A622E">
              <w:rPr>
                <w:rFonts w:ascii="Times New Roman" w:hAnsi="Times New Roman"/>
                <w:sz w:val="20"/>
                <w:szCs w:val="20"/>
                <w:vertAlign w:val="superscript"/>
              </w:rPr>
              <w:t>1</w:t>
            </w:r>
            <w:r w:rsidRPr="003A622E">
              <w:rPr>
                <w:rFonts w:ascii="Times New Roman" w:hAnsi="Times New Roman"/>
                <w:sz w:val="20"/>
                <w:szCs w:val="20"/>
              </w:rPr>
              <w:t> Finansējuma saņēmējs nodrošina, ka projekta pārskata periodā:</w:t>
            </w:r>
          </w:p>
          <w:p w14:paraId="45C6E9AA" w14:textId="77777777" w:rsidR="002A66AD" w:rsidRPr="003A622E" w:rsidRDefault="002A66AD" w:rsidP="003A622E">
            <w:pPr>
              <w:pStyle w:val="ListParagraph"/>
              <w:ind w:left="0"/>
              <w:jc w:val="both"/>
              <w:rPr>
                <w:rFonts w:ascii="Times New Roman" w:hAnsi="Times New Roman"/>
                <w:sz w:val="20"/>
                <w:szCs w:val="20"/>
              </w:rPr>
            </w:pPr>
            <w:r w:rsidRPr="003A622E">
              <w:rPr>
                <w:rFonts w:ascii="Times New Roman" w:hAnsi="Times New Roman"/>
                <w:sz w:val="20"/>
                <w:szCs w:val="20"/>
              </w:rPr>
              <w:t>79.</w:t>
            </w:r>
            <w:r w:rsidRPr="003A622E">
              <w:rPr>
                <w:rFonts w:ascii="Times New Roman" w:hAnsi="Times New Roman"/>
                <w:sz w:val="20"/>
                <w:szCs w:val="20"/>
                <w:vertAlign w:val="superscript"/>
              </w:rPr>
              <w:t>1</w:t>
            </w:r>
            <w:r w:rsidRPr="003A622E">
              <w:rPr>
                <w:rFonts w:ascii="Times New Roman" w:hAnsi="Times New Roman"/>
                <w:sz w:val="20"/>
                <w:szCs w:val="20"/>
              </w:rPr>
              <w:t> 1. katru gadu papildinošai saimnieciskai darbībai iedalītā jauda finanšu izteiksmē nepārsniedz 20 procentus no infrastruktūras kopējās gada jaudas finanšu izteiksmē. Ja kādā no kalendāra gadiem projekta pārskata periodā papildinošai saimnieciskai darbībai iedalītā jauda finanšu izteiksmē pārsniedz 20 procentus no infrastruktūras kopējās gada jaudas, finansējuma saņēmējam piemēro šo noteikumu 14.7. apakšpunktā minēto publiskā finansējuma atgūšanas mehānismu;</w:t>
            </w:r>
          </w:p>
          <w:p w14:paraId="4AB5BD22" w14:textId="77777777" w:rsidR="002A66AD" w:rsidRPr="003A622E" w:rsidRDefault="002A66AD" w:rsidP="002B1FD4">
            <w:pPr>
              <w:tabs>
                <w:tab w:val="left" w:pos="6840"/>
              </w:tabs>
              <w:jc w:val="both"/>
              <w:rPr>
                <w:sz w:val="20"/>
                <w:szCs w:val="20"/>
              </w:rPr>
            </w:pPr>
          </w:p>
          <w:p w14:paraId="7AFF00B0" w14:textId="0C6488CE" w:rsidR="002A66AD" w:rsidRPr="003A622E" w:rsidRDefault="002A66AD" w:rsidP="002B1FD4">
            <w:pPr>
              <w:tabs>
                <w:tab w:val="left" w:pos="6840"/>
              </w:tabs>
              <w:jc w:val="both"/>
              <w:rPr>
                <w:sz w:val="20"/>
                <w:szCs w:val="20"/>
              </w:rPr>
            </w:pPr>
            <w:r w:rsidRPr="003A622E">
              <w:rPr>
                <w:sz w:val="20"/>
                <w:szCs w:val="20"/>
              </w:rPr>
              <w:t>79.</w:t>
            </w:r>
            <w:r w:rsidRPr="003A622E">
              <w:rPr>
                <w:sz w:val="20"/>
                <w:szCs w:val="20"/>
                <w:vertAlign w:val="superscript"/>
              </w:rPr>
              <w:t>2</w:t>
            </w:r>
            <w:r w:rsidRPr="003A622E">
              <w:rPr>
                <w:sz w:val="20"/>
                <w:szCs w:val="20"/>
              </w:rPr>
              <w:t> Ja projekta pārskata periodā projekta ietvaros modernizēto infrastruktūru izmanto šo noteikumu 21.</w:t>
            </w:r>
            <w:r w:rsidRPr="003A622E">
              <w:rPr>
                <w:sz w:val="20"/>
                <w:szCs w:val="20"/>
                <w:vertAlign w:val="superscript"/>
              </w:rPr>
              <w:t>1</w:t>
            </w:r>
            <w:r w:rsidRPr="003A622E">
              <w:rPr>
                <w:sz w:val="20"/>
                <w:szCs w:val="20"/>
              </w:rPr>
              <w:t> 2. apakšpunktā minētai saimnieciskai darbībai, finansējuma saņēmējs:</w:t>
            </w:r>
            <w:r w:rsidR="003A622E" w:rsidRPr="003A622E">
              <w:rPr>
                <w:sz w:val="20"/>
                <w:szCs w:val="20"/>
              </w:rPr>
              <w:t>…</w:t>
            </w:r>
          </w:p>
          <w:p w14:paraId="07E0F033" w14:textId="77777777" w:rsidR="003A622E" w:rsidRPr="003A622E" w:rsidRDefault="003A622E" w:rsidP="002B1FD4">
            <w:pPr>
              <w:tabs>
                <w:tab w:val="left" w:pos="6840"/>
              </w:tabs>
              <w:jc w:val="both"/>
              <w:rPr>
                <w:sz w:val="20"/>
                <w:szCs w:val="20"/>
              </w:rPr>
            </w:pPr>
          </w:p>
          <w:p w14:paraId="128E8208" w14:textId="77777777" w:rsidR="003A622E" w:rsidRPr="003A622E" w:rsidRDefault="003A622E" w:rsidP="003A622E">
            <w:pPr>
              <w:pStyle w:val="ListParagraph"/>
              <w:ind w:left="0"/>
              <w:jc w:val="both"/>
              <w:rPr>
                <w:rFonts w:ascii="Times New Roman" w:hAnsi="Times New Roman"/>
                <w:sz w:val="20"/>
                <w:szCs w:val="20"/>
              </w:rPr>
            </w:pPr>
            <w:r w:rsidRPr="003A622E">
              <w:rPr>
                <w:rFonts w:ascii="Times New Roman" w:hAnsi="Times New Roman"/>
                <w:sz w:val="20"/>
                <w:szCs w:val="20"/>
              </w:rPr>
              <w:t>79.</w:t>
            </w:r>
            <w:r w:rsidRPr="003A622E">
              <w:rPr>
                <w:rFonts w:ascii="Times New Roman" w:hAnsi="Times New Roman"/>
                <w:sz w:val="20"/>
                <w:szCs w:val="20"/>
                <w:vertAlign w:val="superscript"/>
              </w:rPr>
              <w:t>3</w:t>
            </w:r>
            <w:r w:rsidRPr="003A622E">
              <w:rPr>
                <w:rFonts w:ascii="Times New Roman" w:hAnsi="Times New Roman"/>
                <w:sz w:val="20"/>
                <w:szCs w:val="20"/>
              </w:rPr>
              <w:t> Šo noteikumu 21.</w:t>
            </w:r>
            <w:r w:rsidRPr="003A622E">
              <w:rPr>
                <w:rFonts w:ascii="Times New Roman" w:hAnsi="Times New Roman"/>
                <w:sz w:val="20"/>
                <w:szCs w:val="20"/>
                <w:vertAlign w:val="superscript"/>
              </w:rPr>
              <w:t>1</w:t>
            </w:r>
            <w:r w:rsidRPr="003A622E">
              <w:rPr>
                <w:rFonts w:ascii="Times New Roman" w:hAnsi="Times New Roman"/>
                <w:sz w:val="20"/>
                <w:szCs w:val="20"/>
              </w:rPr>
              <w:t> punktā minētās darbības atbalstāmas un šo noteikumu 21.</w:t>
            </w:r>
            <w:r w:rsidRPr="003A622E">
              <w:rPr>
                <w:rFonts w:ascii="Times New Roman" w:hAnsi="Times New Roman"/>
                <w:sz w:val="20"/>
                <w:szCs w:val="20"/>
                <w:vertAlign w:val="superscript"/>
              </w:rPr>
              <w:t>1</w:t>
            </w:r>
            <w:r w:rsidRPr="003A622E">
              <w:rPr>
                <w:rFonts w:ascii="Times New Roman" w:hAnsi="Times New Roman"/>
                <w:sz w:val="20"/>
                <w:szCs w:val="20"/>
              </w:rPr>
              <w:t xml:space="preserve"> , 21.</w:t>
            </w:r>
            <w:r w:rsidRPr="003A622E">
              <w:rPr>
                <w:rFonts w:ascii="Times New Roman" w:hAnsi="Times New Roman"/>
                <w:sz w:val="20"/>
                <w:szCs w:val="20"/>
                <w:vertAlign w:val="superscript"/>
              </w:rPr>
              <w:t>2</w:t>
            </w:r>
            <w:r w:rsidRPr="003A622E">
              <w:rPr>
                <w:rFonts w:ascii="Times New Roman" w:hAnsi="Times New Roman"/>
                <w:sz w:val="20"/>
                <w:szCs w:val="20"/>
              </w:rPr>
              <w:t xml:space="preserve"> , 21.</w:t>
            </w:r>
            <w:r w:rsidRPr="003A622E">
              <w:rPr>
                <w:rFonts w:ascii="Times New Roman" w:hAnsi="Times New Roman"/>
                <w:sz w:val="20"/>
                <w:szCs w:val="20"/>
                <w:vertAlign w:val="superscript"/>
              </w:rPr>
              <w:t>3</w:t>
            </w:r>
            <w:r w:rsidRPr="003A622E">
              <w:rPr>
                <w:rFonts w:ascii="Times New Roman" w:hAnsi="Times New Roman"/>
                <w:sz w:val="20"/>
                <w:szCs w:val="20"/>
              </w:rPr>
              <w:t>, 79.</w:t>
            </w:r>
            <w:r w:rsidRPr="003A622E">
              <w:rPr>
                <w:rFonts w:ascii="Times New Roman" w:hAnsi="Times New Roman"/>
                <w:sz w:val="20"/>
                <w:szCs w:val="20"/>
                <w:vertAlign w:val="superscript"/>
              </w:rPr>
              <w:t>1</w:t>
            </w:r>
            <w:r w:rsidRPr="003A622E">
              <w:rPr>
                <w:rFonts w:ascii="Times New Roman" w:hAnsi="Times New Roman"/>
                <w:sz w:val="20"/>
                <w:szCs w:val="20"/>
              </w:rPr>
              <w:t xml:space="preserve"> punktā un 79.</w:t>
            </w:r>
            <w:r w:rsidRPr="003A622E">
              <w:rPr>
                <w:rFonts w:ascii="Times New Roman" w:hAnsi="Times New Roman"/>
                <w:sz w:val="20"/>
                <w:szCs w:val="20"/>
                <w:vertAlign w:val="superscript"/>
              </w:rPr>
              <w:t>2</w:t>
            </w:r>
            <w:r w:rsidRPr="003A622E">
              <w:rPr>
                <w:rFonts w:ascii="Times New Roman" w:hAnsi="Times New Roman"/>
                <w:sz w:val="20"/>
                <w:szCs w:val="20"/>
              </w:rPr>
              <w:t> 2., 79.</w:t>
            </w:r>
            <w:r w:rsidRPr="003A622E">
              <w:rPr>
                <w:rFonts w:ascii="Times New Roman" w:hAnsi="Times New Roman"/>
                <w:sz w:val="20"/>
                <w:szCs w:val="20"/>
                <w:vertAlign w:val="superscript"/>
              </w:rPr>
              <w:t>2</w:t>
            </w:r>
            <w:r w:rsidRPr="003A622E">
              <w:rPr>
                <w:rFonts w:ascii="Times New Roman" w:hAnsi="Times New Roman"/>
                <w:sz w:val="20"/>
                <w:szCs w:val="20"/>
              </w:rPr>
              <w:t> 3. apakšpunktā minētie nosacījumi ir piemērojami projekta pārskata periodā.</w:t>
            </w:r>
          </w:p>
          <w:p w14:paraId="001F3990" w14:textId="77777777" w:rsidR="003A622E" w:rsidRPr="003A622E" w:rsidRDefault="003A622E" w:rsidP="003A622E">
            <w:pPr>
              <w:tabs>
                <w:tab w:val="left" w:pos="6840"/>
              </w:tabs>
              <w:spacing w:line="252" w:lineRule="auto"/>
              <w:jc w:val="both"/>
              <w:rPr>
                <w:sz w:val="20"/>
                <w:szCs w:val="20"/>
              </w:rPr>
            </w:pPr>
          </w:p>
          <w:p w14:paraId="3172DEC4" w14:textId="7FC76C88" w:rsidR="002B1FD4" w:rsidRPr="003A622E" w:rsidRDefault="003A622E" w:rsidP="003A622E">
            <w:pPr>
              <w:tabs>
                <w:tab w:val="left" w:pos="6840"/>
              </w:tabs>
              <w:jc w:val="both"/>
              <w:rPr>
                <w:sz w:val="20"/>
                <w:szCs w:val="20"/>
              </w:rPr>
            </w:pPr>
            <w:r w:rsidRPr="003A622E">
              <w:rPr>
                <w:sz w:val="20"/>
                <w:szCs w:val="20"/>
              </w:rPr>
              <w:t>79.</w:t>
            </w:r>
            <w:r w:rsidRPr="003A622E">
              <w:rPr>
                <w:sz w:val="20"/>
                <w:szCs w:val="20"/>
                <w:vertAlign w:val="superscript"/>
              </w:rPr>
              <w:t>4</w:t>
            </w:r>
            <w:r w:rsidRPr="003A622E">
              <w:rPr>
                <w:sz w:val="20"/>
                <w:szCs w:val="20"/>
              </w:rPr>
              <w:t xml:space="preserve"> Finansējuma saņēmēja pienākums glabāt projekta iesnieguma atvasinājumu un ar </w:t>
            </w:r>
            <w:r w:rsidRPr="003A622E">
              <w:rPr>
                <w:sz w:val="20"/>
                <w:szCs w:val="20"/>
              </w:rPr>
              <w:lastRenderedPageBreak/>
              <w:t>projekta īstenošanu saistīto dokumentu oriģinālus vai normatīvajos aktos par dokumentu izstrādāšanu un noformēšanu noteiktajā kārtībā apliecinātas to kopijas</w:t>
            </w:r>
            <w:r>
              <w:rPr>
                <w:sz w:val="20"/>
                <w:szCs w:val="20"/>
              </w:rPr>
              <w:t xml:space="preserve"> visu projekta pārskata periodu.</w:t>
            </w:r>
          </w:p>
        </w:tc>
        <w:tc>
          <w:tcPr>
            <w:tcW w:w="1376" w:type="pct"/>
            <w:shd w:val="clear" w:color="auto" w:fill="auto"/>
          </w:tcPr>
          <w:p w14:paraId="2871D703" w14:textId="77777777" w:rsidR="002B1FD4" w:rsidRPr="002E0E5F" w:rsidRDefault="002B1FD4" w:rsidP="002B1FD4">
            <w:pPr>
              <w:pStyle w:val="Default"/>
              <w:adjustRightInd/>
              <w:jc w:val="both"/>
              <w:rPr>
                <w:sz w:val="20"/>
                <w:szCs w:val="20"/>
              </w:rPr>
            </w:pPr>
            <w:r w:rsidRPr="002E0E5F">
              <w:rPr>
                <w:b/>
                <w:sz w:val="20"/>
                <w:szCs w:val="20"/>
              </w:rPr>
              <w:lastRenderedPageBreak/>
              <w:t>FM (</w:t>
            </w:r>
            <w:r w:rsidRPr="002E0E5F">
              <w:rPr>
                <w:sz w:val="20"/>
                <w:szCs w:val="20"/>
              </w:rPr>
              <w:t>03.05.2019. iebildums)</w:t>
            </w:r>
          </w:p>
          <w:p w14:paraId="13DBA3D4" w14:textId="4FEBC537" w:rsidR="002B1FD4" w:rsidRDefault="002A66AD" w:rsidP="009E2178">
            <w:pPr>
              <w:pStyle w:val="Default"/>
              <w:adjustRightInd/>
              <w:jc w:val="both"/>
              <w:rPr>
                <w:color w:val="auto"/>
                <w:sz w:val="20"/>
                <w:szCs w:val="20"/>
              </w:rPr>
            </w:pPr>
            <w:r w:rsidRPr="002A66AD">
              <w:rPr>
                <w:color w:val="auto"/>
                <w:sz w:val="20"/>
                <w:szCs w:val="20"/>
              </w:rPr>
              <w:t>Ņemot vērā, ka ar noteikumu projektu tiek ieviesti papildinošas saimnieciskās darbības nosacījumi, vēršam uzmanību, ka šajā gadījumā komercdarbības atbalsta kontrole par to, kā ikgadēji tiek ievērots papildinošās saimnieciskās darbības apjoms, jāveic visā infrastruktūras amortizācijas periodā. Ievērojot minēto, lūdzam atbilstoši precizēt noteikumu projekta 1., 4. un 5.punktā norādīto, projekta pārskata periodu aizstājot ar infrastruktūras amortizācijas periodu.</w:t>
            </w:r>
          </w:p>
          <w:p w14:paraId="6C28B555" w14:textId="77777777" w:rsidR="002A66AD" w:rsidRDefault="002A66AD" w:rsidP="009E2178">
            <w:pPr>
              <w:pStyle w:val="Default"/>
              <w:adjustRightInd/>
              <w:jc w:val="both"/>
              <w:rPr>
                <w:color w:val="auto"/>
                <w:sz w:val="20"/>
                <w:szCs w:val="20"/>
              </w:rPr>
            </w:pPr>
          </w:p>
          <w:p w14:paraId="1ED8E557" w14:textId="49CCA046" w:rsidR="002A66AD" w:rsidRPr="002A66AD" w:rsidRDefault="002A66AD" w:rsidP="002A66AD">
            <w:pPr>
              <w:pStyle w:val="Default"/>
              <w:adjustRightInd/>
              <w:jc w:val="both"/>
              <w:rPr>
                <w:color w:val="auto"/>
                <w:sz w:val="20"/>
                <w:szCs w:val="20"/>
              </w:rPr>
            </w:pPr>
            <w:r w:rsidRPr="002E0E5F">
              <w:rPr>
                <w:sz w:val="20"/>
                <w:szCs w:val="20"/>
              </w:rPr>
              <w:lastRenderedPageBreak/>
              <w:t>Lūdzam aizstāt noteikumu projekta 4.punktā izteiktajā MK noteikumu Nr.265</w:t>
            </w:r>
            <w:r w:rsidRPr="002E0E5F">
              <w:rPr>
                <w:rStyle w:val="FootnoteReference"/>
                <w:sz w:val="20"/>
                <w:szCs w:val="20"/>
              </w:rPr>
              <w:footnoteReference w:id="3"/>
            </w:r>
            <w:r w:rsidRPr="002E0E5F">
              <w:rPr>
                <w:sz w:val="20"/>
                <w:szCs w:val="20"/>
              </w:rPr>
              <w:t xml:space="preserve"> 21.</w:t>
            </w:r>
            <w:r w:rsidRPr="002E0E5F">
              <w:rPr>
                <w:sz w:val="20"/>
                <w:szCs w:val="20"/>
                <w:vertAlign w:val="superscript"/>
              </w:rPr>
              <w:t xml:space="preserve">2 </w:t>
            </w:r>
            <w:r w:rsidRPr="002E0E5F">
              <w:rPr>
                <w:sz w:val="20"/>
                <w:szCs w:val="20"/>
              </w:rPr>
              <w:t xml:space="preserve">punktā vārdus “atbilstoši šo noteikumu 7.14.apakšpunktā minētajam publiskā finansējuma uzraudzības un atgūšanas mehānismam piemēro proporcionālu publiskā finansējuma samazinājumu (korekciju)” ar vārdiem “finansējuma saņēmējam piemēro šo noteikumu 7.14.apakšpunktā minēto publiskā finansējuma atgūšanas mehānismu”. Lūdzam ņemt vērā, ka, ja papildinošās saimnieciskās darbības apjoms tiek pārsniegts, ir jāatgūst viss papildinošai saimnieciskajai darbībai patērētais apjoms, nevis tikai proporcionālais pārsniegums. Attiecīgi lūdzam skatīt Eiropas </w:t>
            </w:r>
            <w:r w:rsidRPr="002E0E5F">
              <w:rPr>
                <w:iCs/>
                <w:sz w:val="20"/>
                <w:szCs w:val="20"/>
              </w:rPr>
              <w:t>Komisijas paziņojuma par Līguma par Eiropas Savienības darbību 107.panta 1.punktā minēto valsts atbalsta jēdzienu</w:t>
            </w:r>
            <w:r w:rsidRPr="002E0E5F">
              <w:rPr>
                <w:sz w:val="20"/>
                <w:szCs w:val="20"/>
              </w:rPr>
              <w:t xml:space="preserve"> 207.punktu, jo īpaši 305.zemsvītras atsauci, ietverot šo pamatprincipu sadarbības iestādes veidotajā publiskā finansējuma uzraudzības un atgūšanas mehānismā.</w:t>
            </w:r>
          </w:p>
        </w:tc>
        <w:tc>
          <w:tcPr>
            <w:tcW w:w="1124" w:type="pct"/>
            <w:shd w:val="clear" w:color="auto" w:fill="auto"/>
          </w:tcPr>
          <w:p w14:paraId="405F34F2" w14:textId="77777777" w:rsidR="002B1FD4" w:rsidRDefault="00730719" w:rsidP="009E2178">
            <w:pPr>
              <w:jc w:val="both"/>
              <w:rPr>
                <w:b/>
                <w:sz w:val="20"/>
                <w:szCs w:val="20"/>
              </w:rPr>
            </w:pPr>
            <w:r w:rsidRPr="00D70799">
              <w:rPr>
                <w:b/>
                <w:sz w:val="20"/>
                <w:szCs w:val="20"/>
              </w:rPr>
              <w:lastRenderedPageBreak/>
              <w:t>Ņemts vērā.</w:t>
            </w:r>
          </w:p>
          <w:p w14:paraId="1F7F08E0" w14:textId="77777777" w:rsidR="00F6354C" w:rsidRDefault="00F6354C" w:rsidP="009E2178">
            <w:pPr>
              <w:jc w:val="both"/>
              <w:rPr>
                <w:b/>
                <w:sz w:val="20"/>
                <w:szCs w:val="20"/>
              </w:rPr>
            </w:pPr>
          </w:p>
          <w:p w14:paraId="01E2EFCF" w14:textId="37043DAA" w:rsidR="00F6354C" w:rsidRPr="00F6354C" w:rsidRDefault="00F6354C" w:rsidP="009E2178">
            <w:pPr>
              <w:jc w:val="both"/>
              <w:rPr>
                <w:sz w:val="20"/>
                <w:szCs w:val="20"/>
              </w:rPr>
            </w:pPr>
            <w:r w:rsidRPr="00F6354C">
              <w:rPr>
                <w:sz w:val="20"/>
                <w:szCs w:val="20"/>
              </w:rPr>
              <w:t xml:space="preserve">Vienlaikus ievēroti FM 2019. gada 3. aprīlī elektroniski sniegtie skaidrojumi, ka </w:t>
            </w:r>
            <w:r w:rsidRPr="00F6354C">
              <w:rPr>
                <w:i/>
                <w:sz w:val="20"/>
                <w:szCs w:val="20"/>
              </w:rPr>
              <w:t>attiecībā uz projekta dzīves ciklu jeb amortizācijas periodu vērā jāņem to projekta pamatlīdzekļu un ilgtermiņa ieguldījumu derīgās lietošanas laiku, kāds tas noteikts Komisijas Deleģētā</w:t>
            </w:r>
            <w:r>
              <w:rPr>
                <w:i/>
                <w:sz w:val="20"/>
                <w:szCs w:val="20"/>
              </w:rPr>
              <w:t>s</w:t>
            </w:r>
            <w:r w:rsidRPr="00F6354C">
              <w:rPr>
                <w:i/>
                <w:sz w:val="20"/>
                <w:szCs w:val="20"/>
              </w:rPr>
              <w:t xml:space="preserve"> regula</w:t>
            </w:r>
            <w:r>
              <w:rPr>
                <w:i/>
                <w:sz w:val="20"/>
                <w:szCs w:val="20"/>
              </w:rPr>
              <w:t>s</w:t>
            </w:r>
            <w:r w:rsidRPr="00F6354C">
              <w:rPr>
                <w:i/>
                <w:sz w:val="20"/>
                <w:szCs w:val="20"/>
              </w:rPr>
              <w:t xml:space="preserve"> (ES) Nr. 480/2014, ar kuru papildina Eiropas Parlamenta un Padomes Regulu (ES) Nr. 1303/2013, ar ko paredz kopīgus noteikumus par Eiropas Reģionālās attīstības fondu, Eiropas Sociālo fondu, Kohēzijas fondu, Eiropas Lauksaimniecības fondu lauku </w:t>
            </w:r>
            <w:r w:rsidRPr="00F6354C">
              <w:rPr>
                <w:i/>
                <w:sz w:val="20"/>
                <w:szCs w:val="20"/>
              </w:rPr>
              <w:lastRenderedPageBreak/>
              <w:t>attīstībai un Eiropas Jūrlietu un zivsaimniecības fondu un vispārīgus noteikumus par Eiropas Reģionālās attīstības fondu, Eiropas Sociālo fondu, Kohēzijas fondu un Eiropas Jūrlietu un zivsaimniecības fondu</w:t>
            </w:r>
            <w:r>
              <w:rPr>
                <w:i/>
                <w:sz w:val="20"/>
                <w:szCs w:val="20"/>
              </w:rPr>
              <w:t xml:space="preserve"> </w:t>
            </w:r>
            <w:r w:rsidRPr="00F6354C">
              <w:rPr>
                <w:i/>
                <w:sz w:val="20"/>
                <w:szCs w:val="20"/>
              </w:rPr>
              <w:t>1.pielikumā.</w:t>
            </w:r>
          </w:p>
        </w:tc>
        <w:tc>
          <w:tcPr>
            <w:tcW w:w="1075" w:type="pct"/>
            <w:shd w:val="clear" w:color="auto" w:fill="auto"/>
          </w:tcPr>
          <w:p w14:paraId="708694D0" w14:textId="34383BC3" w:rsidR="009E1E3D" w:rsidRPr="003A622E" w:rsidRDefault="009E1E3D" w:rsidP="009E1E3D">
            <w:pPr>
              <w:tabs>
                <w:tab w:val="left" w:pos="6840"/>
              </w:tabs>
              <w:jc w:val="both"/>
              <w:rPr>
                <w:sz w:val="20"/>
                <w:szCs w:val="20"/>
              </w:rPr>
            </w:pPr>
            <w:r w:rsidRPr="003A622E">
              <w:rPr>
                <w:sz w:val="20"/>
                <w:szCs w:val="20"/>
              </w:rPr>
              <w:lastRenderedPageBreak/>
              <w:t xml:space="preserve">6.8. atbilstoši šo noteikumu 7.14. apakšpunktā minētajam publiskā finansējuma uzraudzības un atgūšanas mehānismam Komisijas 2014. gada 3. marta Deleģētās regulas (ES) Nr. 480/2014, ar kuru papildina Eiropas Parlamenta un Padomes Regulu (ES) Nr. 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w:t>
            </w:r>
            <w:r w:rsidRPr="003A622E">
              <w:rPr>
                <w:sz w:val="20"/>
                <w:szCs w:val="20"/>
              </w:rPr>
              <w:lastRenderedPageBreak/>
              <w:t xml:space="preserve">Sociālo fondu, Kohēzijas fondu un Eiropas Jūrlietu un zivsaimniecības fondu (Eiropas Savienības Oficiālais Vēstnesis, 2014. gada 13. maijs, Nr. L 138/5) (turpmāk – Komisijas regula Nr. 480/2014), 15. panta 2. punktā un 1. pielikumā noteiktajā projekta pārskata (dzīves cikla) periodā (turpmāk – </w:t>
            </w:r>
            <w:r>
              <w:rPr>
                <w:sz w:val="20"/>
                <w:szCs w:val="20"/>
              </w:rPr>
              <w:t>infrastruktūras amortizācijas</w:t>
            </w:r>
            <w:r w:rsidRPr="003A622E">
              <w:rPr>
                <w:sz w:val="20"/>
                <w:szCs w:val="20"/>
              </w:rPr>
              <w:t xml:space="preserve"> periods) laikā no 2021. gada 1. janvāra līdz 2024. gada 31. decembrim nodrošina projekta ikgadēju uzraudzību un atbilstošo datu uzkrāšanu šo noteikumu 21.</w:t>
            </w:r>
            <w:r w:rsidRPr="003A622E">
              <w:rPr>
                <w:sz w:val="20"/>
                <w:szCs w:val="20"/>
                <w:vertAlign w:val="superscript"/>
              </w:rPr>
              <w:t>1</w:t>
            </w:r>
            <w:r w:rsidRPr="003A622E">
              <w:rPr>
                <w:sz w:val="20"/>
                <w:szCs w:val="20"/>
              </w:rPr>
              <w:t xml:space="preserve"> 2. apakšpunktā minētajā gadījumā </w:t>
            </w:r>
          </w:p>
          <w:p w14:paraId="4525E270" w14:textId="77777777" w:rsidR="002B1FD4" w:rsidRDefault="002B1FD4" w:rsidP="009E2178">
            <w:pPr>
              <w:jc w:val="both"/>
              <w:rPr>
                <w:sz w:val="20"/>
                <w:szCs w:val="20"/>
              </w:rPr>
            </w:pPr>
          </w:p>
          <w:p w14:paraId="3327C26E" w14:textId="77777777" w:rsidR="002A66AD" w:rsidRDefault="002A66AD" w:rsidP="009E1E3D">
            <w:pPr>
              <w:jc w:val="both"/>
              <w:rPr>
                <w:sz w:val="20"/>
                <w:szCs w:val="20"/>
              </w:rPr>
            </w:pPr>
            <w:r w:rsidRPr="002E0E5F">
              <w:rPr>
                <w:sz w:val="20"/>
                <w:szCs w:val="20"/>
              </w:rPr>
              <w:t>21.</w:t>
            </w:r>
            <w:r w:rsidRPr="002E0E5F">
              <w:rPr>
                <w:sz w:val="20"/>
                <w:szCs w:val="20"/>
                <w:vertAlign w:val="superscript"/>
              </w:rPr>
              <w:t>2</w:t>
            </w:r>
            <w:r w:rsidRPr="002E0E5F">
              <w:rPr>
                <w:sz w:val="20"/>
                <w:szCs w:val="20"/>
              </w:rPr>
              <w:t xml:space="preserve"> Ja projekta ietvaros modernizēto infrastruktūru </w:t>
            </w:r>
            <w:r w:rsidR="009E1E3D">
              <w:rPr>
                <w:sz w:val="20"/>
                <w:szCs w:val="20"/>
              </w:rPr>
              <w:t>tās amortizācijas</w:t>
            </w:r>
            <w:r w:rsidRPr="002E0E5F">
              <w:rPr>
                <w:sz w:val="20"/>
                <w:szCs w:val="20"/>
              </w:rPr>
              <w:t xml:space="preserve"> periodā izmanto saimnieciskai darbībai, pārsniedzot šo noteikumu 21.</w:t>
            </w:r>
            <w:r w:rsidRPr="002E0E5F">
              <w:rPr>
                <w:sz w:val="20"/>
                <w:szCs w:val="20"/>
                <w:vertAlign w:val="superscript"/>
              </w:rPr>
              <w:t>1</w:t>
            </w:r>
            <w:r w:rsidRPr="002E0E5F">
              <w:rPr>
                <w:sz w:val="20"/>
                <w:szCs w:val="20"/>
              </w:rPr>
              <w:t> 2.1. apakšpunktā minēto papildinošai saimnieciskai darbībai iedalītās jaudas apmēru, finansējuma saņēmējam piemēro šo noteikumu 7.14.</w:t>
            </w:r>
            <w:r w:rsidR="009E1E3D">
              <w:rPr>
                <w:sz w:val="20"/>
                <w:szCs w:val="20"/>
              </w:rPr>
              <w:t> </w:t>
            </w:r>
            <w:r w:rsidRPr="002E0E5F">
              <w:rPr>
                <w:sz w:val="20"/>
                <w:szCs w:val="20"/>
              </w:rPr>
              <w:t>apakšpunktā minēto publiskā finansējuma atgūšanas mehānismu.</w:t>
            </w:r>
          </w:p>
          <w:p w14:paraId="175ABABF" w14:textId="77777777" w:rsidR="009E1E3D" w:rsidRDefault="009E1E3D" w:rsidP="009E1E3D">
            <w:pPr>
              <w:jc w:val="both"/>
              <w:rPr>
                <w:sz w:val="20"/>
                <w:szCs w:val="20"/>
              </w:rPr>
            </w:pPr>
          </w:p>
          <w:p w14:paraId="007E69A2" w14:textId="32C85E82" w:rsidR="009E1E3D" w:rsidRPr="003A622E" w:rsidRDefault="009E1E3D" w:rsidP="009E1E3D">
            <w:pPr>
              <w:pStyle w:val="ListParagraph"/>
              <w:ind w:left="0"/>
              <w:jc w:val="both"/>
              <w:rPr>
                <w:rFonts w:ascii="Times New Roman" w:hAnsi="Times New Roman"/>
                <w:sz w:val="20"/>
                <w:szCs w:val="20"/>
              </w:rPr>
            </w:pPr>
            <w:r w:rsidRPr="003A622E">
              <w:rPr>
                <w:rFonts w:ascii="Times New Roman" w:hAnsi="Times New Roman"/>
                <w:sz w:val="20"/>
                <w:szCs w:val="20"/>
              </w:rPr>
              <w:t>79.</w:t>
            </w:r>
            <w:r w:rsidRPr="003A622E">
              <w:rPr>
                <w:rFonts w:ascii="Times New Roman" w:hAnsi="Times New Roman"/>
                <w:sz w:val="20"/>
                <w:szCs w:val="20"/>
                <w:vertAlign w:val="superscript"/>
              </w:rPr>
              <w:t>1</w:t>
            </w:r>
            <w:r w:rsidRPr="003A622E">
              <w:rPr>
                <w:rFonts w:ascii="Times New Roman" w:hAnsi="Times New Roman"/>
                <w:sz w:val="20"/>
                <w:szCs w:val="20"/>
              </w:rPr>
              <w:t xml:space="preserve"> Finansējuma saņēmējs nodrošina, ka </w:t>
            </w:r>
            <w:r>
              <w:rPr>
                <w:rFonts w:ascii="Times New Roman" w:hAnsi="Times New Roman"/>
                <w:sz w:val="20"/>
                <w:szCs w:val="20"/>
              </w:rPr>
              <w:t>infrastruktūras amortizācijas</w:t>
            </w:r>
            <w:r w:rsidRPr="003A622E">
              <w:rPr>
                <w:rFonts w:ascii="Times New Roman" w:hAnsi="Times New Roman"/>
                <w:sz w:val="20"/>
                <w:szCs w:val="20"/>
              </w:rPr>
              <w:t xml:space="preserve"> periodā:</w:t>
            </w:r>
          </w:p>
          <w:p w14:paraId="0CA70960" w14:textId="0289D100" w:rsidR="009E1E3D" w:rsidRPr="003A622E" w:rsidRDefault="009E1E3D" w:rsidP="009E1E3D">
            <w:pPr>
              <w:pStyle w:val="ListParagraph"/>
              <w:ind w:left="0"/>
              <w:jc w:val="both"/>
              <w:rPr>
                <w:rFonts w:ascii="Times New Roman" w:hAnsi="Times New Roman"/>
                <w:sz w:val="20"/>
                <w:szCs w:val="20"/>
              </w:rPr>
            </w:pPr>
            <w:r w:rsidRPr="003A622E">
              <w:rPr>
                <w:rFonts w:ascii="Times New Roman" w:hAnsi="Times New Roman"/>
                <w:sz w:val="20"/>
                <w:szCs w:val="20"/>
              </w:rPr>
              <w:t>79.</w:t>
            </w:r>
            <w:r w:rsidRPr="003A622E">
              <w:rPr>
                <w:rFonts w:ascii="Times New Roman" w:hAnsi="Times New Roman"/>
                <w:sz w:val="20"/>
                <w:szCs w:val="20"/>
                <w:vertAlign w:val="superscript"/>
              </w:rPr>
              <w:t>1</w:t>
            </w:r>
            <w:r w:rsidRPr="003A622E">
              <w:rPr>
                <w:rFonts w:ascii="Times New Roman" w:hAnsi="Times New Roman"/>
                <w:sz w:val="20"/>
                <w:szCs w:val="20"/>
              </w:rPr>
              <w:t xml:space="preserve"> 1. katru gadu papildinošai saimnieciskai darbībai iedalītā jauda finanšu izteiksmē nepārsniedz 20 procentus no infrastruktūras kopējās </w:t>
            </w:r>
            <w:r w:rsidRPr="003A622E">
              <w:rPr>
                <w:rFonts w:ascii="Times New Roman" w:hAnsi="Times New Roman"/>
                <w:sz w:val="20"/>
                <w:szCs w:val="20"/>
              </w:rPr>
              <w:lastRenderedPageBreak/>
              <w:t xml:space="preserve">gada jaudas finanšu izteiksmē. Ja kādā no kalendāra gadiem </w:t>
            </w:r>
            <w:r w:rsidR="00730719">
              <w:rPr>
                <w:rFonts w:ascii="Times New Roman" w:hAnsi="Times New Roman"/>
                <w:sz w:val="20"/>
                <w:szCs w:val="20"/>
              </w:rPr>
              <w:t>infrastruktūras amortizācijas</w:t>
            </w:r>
            <w:r w:rsidRPr="003A622E">
              <w:rPr>
                <w:rFonts w:ascii="Times New Roman" w:hAnsi="Times New Roman"/>
                <w:sz w:val="20"/>
                <w:szCs w:val="20"/>
              </w:rPr>
              <w:t xml:space="preserve"> periodā papildinošai saimnieciskai darbībai iedalītā jauda finanšu izteiksmē pārsniedz 20 procentus no infrastruktūras kopējās gada jaudas, finansējuma saņēmējam piemēro šo noteikumu 7</w:t>
            </w:r>
            <w:r w:rsidR="00730719">
              <w:rPr>
                <w:rFonts w:ascii="Times New Roman" w:hAnsi="Times New Roman"/>
                <w:sz w:val="20"/>
                <w:szCs w:val="20"/>
              </w:rPr>
              <w:t>.14</w:t>
            </w:r>
            <w:r w:rsidRPr="003A622E">
              <w:rPr>
                <w:rFonts w:ascii="Times New Roman" w:hAnsi="Times New Roman"/>
                <w:sz w:val="20"/>
                <w:szCs w:val="20"/>
              </w:rPr>
              <w:t>. apakšpunktā minēto publiskā finansējuma atgūšanas mehānismu;</w:t>
            </w:r>
          </w:p>
          <w:p w14:paraId="7F1F7114" w14:textId="77777777" w:rsidR="009E1E3D" w:rsidRPr="003A622E" w:rsidRDefault="009E1E3D" w:rsidP="009E1E3D">
            <w:pPr>
              <w:tabs>
                <w:tab w:val="left" w:pos="6840"/>
              </w:tabs>
              <w:jc w:val="both"/>
              <w:rPr>
                <w:sz w:val="20"/>
                <w:szCs w:val="20"/>
              </w:rPr>
            </w:pPr>
          </w:p>
          <w:p w14:paraId="7442035C" w14:textId="0B058670" w:rsidR="009E1E3D" w:rsidRPr="003A622E" w:rsidRDefault="009E1E3D" w:rsidP="009E1E3D">
            <w:pPr>
              <w:tabs>
                <w:tab w:val="left" w:pos="6840"/>
              </w:tabs>
              <w:jc w:val="both"/>
              <w:rPr>
                <w:sz w:val="20"/>
                <w:szCs w:val="20"/>
              </w:rPr>
            </w:pPr>
            <w:r w:rsidRPr="003A622E">
              <w:rPr>
                <w:sz w:val="20"/>
                <w:szCs w:val="20"/>
              </w:rPr>
              <w:t>79.</w:t>
            </w:r>
            <w:r w:rsidRPr="003A622E">
              <w:rPr>
                <w:sz w:val="20"/>
                <w:szCs w:val="20"/>
                <w:vertAlign w:val="superscript"/>
              </w:rPr>
              <w:t>2</w:t>
            </w:r>
            <w:r w:rsidRPr="003A622E">
              <w:rPr>
                <w:sz w:val="20"/>
                <w:szCs w:val="20"/>
              </w:rPr>
              <w:t xml:space="preserve"> Ja </w:t>
            </w:r>
            <w:r>
              <w:rPr>
                <w:sz w:val="20"/>
                <w:szCs w:val="20"/>
              </w:rPr>
              <w:t>infrastruktūras amortizācijas</w:t>
            </w:r>
            <w:r w:rsidRPr="003A622E">
              <w:rPr>
                <w:sz w:val="20"/>
                <w:szCs w:val="20"/>
              </w:rPr>
              <w:t xml:space="preserve"> periodā projekta ietvaros modernizēto infrastruktūru izmanto šo noteikumu 21.</w:t>
            </w:r>
            <w:r w:rsidRPr="003A622E">
              <w:rPr>
                <w:sz w:val="20"/>
                <w:szCs w:val="20"/>
                <w:vertAlign w:val="superscript"/>
              </w:rPr>
              <w:t>1</w:t>
            </w:r>
            <w:r w:rsidRPr="003A622E">
              <w:rPr>
                <w:sz w:val="20"/>
                <w:szCs w:val="20"/>
              </w:rPr>
              <w:t> 2. apakšpunktā minētai saimnieciskai darbībai, finansējuma saņēmējs:…</w:t>
            </w:r>
          </w:p>
          <w:p w14:paraId="2387E905" w14:textId="77777777" w:rsidR="009E1E3D" w:rsidRPr="003A622E" w:rsidRDefault="009E1E3D" w:rsidP="009E1E3D">
            <w:pPr>
              <w:tabs>
                <w:tab w:val="left" w:pos="6840"/>
              </w:tabs>
              <w:jc w:val="both"/>
              <w:rPr>
                <w:sz w:val="20"/>
                <w:szCs w:val="20"/>
              </w:rPr>
            </w:pPr>
          </w:p>
          <w:p w14:paraId="30031D63" w14:textId="35AAAE62" w:rsidR="009E1E3D" w:rsidRPr="003A622E" w:rsidRDefault="009E1E3D" w:rsidP="009E1E3D">
            <w:pPr>
              <w:pStyle w:val="ListParagraph"/>
              <w:ind w:left="0"/>
              <w:jc w:val="both"/>
              <w:rPr>
                <w:rFonts w:ascii="Times New Roman" w:hAnsi="Times New Roman"/>
                <w:sz w:val="20"/>
                <w:szCs w:val="20"/>
              </w:rPr>
            </w:pPr>
            <w:r w:rsidRPr="003A622E">
              <w:rPr>
                <w:rFonts w:ascii="Times New Roman" w:hAnsi="Times New Roman"/>
                <w:sz w:val="20"/>
                <w:szCs w:val="20"/>
              </w:rPr>
              <w:t>79.</w:t>
            </w:r>
            <w:r w:rsidRPr="003A622E">
              <w:rPr>
                <w:rFonts w:ascii="Times New Roman" w:hAnsi="Times New Roman"/>
                <w:sz w:val="20"/>
                <w:szCs w:val="20"/>
                <w:vertAlign w:val="superscript"/>
              </w:rPr>
              <w:t>3</w:t>
            </w:r>
            <w:r w:rsidRPr="003A622E">
              <w:rPr>
                <w:rFonts w:ascii="Times New Roman" w:hAnsi="Times New Roman"/>
                <w:sz w:val="20"/>
                <w:szCs w:val="20"/>
              </w:rPr>
              <w:t> Šo noteikumu 21.</w:t>
            </w:r>
            <w:r w:rsidRPr="003A622E">
              <w:rPr>
                <w:rFonts w:ascii="Times New Roman" w:hAnsi="Times New Roman"/>
                <w:sz w:val="20"/>
                <w:szCs w:val="20"/>
                <w:vertAlign w:val="superscript"/>
              </w:rPr>
              <w:t>1</w:t>
            </w:r>
            <w:r w:rsidRPr="003A622E">
              <w:rPr>
                <w:rFonts w:ascii="Times New Roman" w:hAnsi="Times New Roman"/>
                <w:sz w:val="20"/>
                <w:szCs w:val="20"/>
              </w:rPr>
              <w:t> punktā minētās darbības atbalstāmas un šo noteikumu 21.</w:t>
            </w:r>
            <w:r w:rsidRPr="003A622E">
              <w:rPr>
                <w:rFonts w:ascii="Times New Roman" w:hAnsi="Times New Roman"/>
                <w:sz w:val="20"/>
                <w:szCs w:val="20"/>
                <w:vertAlign w:val="superscript"/>
              </w:rPr>
              <w:t>1</w:t>
            </w:r>
            <w:r w:rsidRPr="003A622E">
              <w:rPr>
                <w:rFonts w:ascii="Times New Roman" w:hAnsi="Times New Roman"/>
                <w:sz w:val="20"/>
                <w:szCs w:val="20"/>
              </w:rPr>
              <w:t xml:space="preserve"> , 21.</w:t>
            </w:r>
            <w:r w:rsidRPr="003A622E">
              <w:rPr>
                <w:rFonts w:ascii="Times New Roman" w:hAnsi="Times New Roman"/>
                <w:sz w:val="20"/>
                <w:szCs w:val="20"/>
                <w:vertAlign w:val="superscript"/>
              </w:rPr>
              <w:t>2</w:t>
            </w:r>
            <w:r w:rsidRPr="003A622E">
              <w:rPr>
                <w:rFonts w:ascii="Times New Roman" w:hAnsi="Times New Roman"/>
                <w:sz w:val="20"/>
                <w:szCs w:val="20"/>
              </w:rPr>
              <w:t xml:space="preserve"> , 21.</w:t>
            </w:r>
            <w:r w:rsidRPr="003A622E">
              <w:rPr>
                <w:rFonts w:ascii="Times New Roman" w:hAnsi="Times New Roman"/>
                <w:sz w:val="20"/>
                <w:szCs w:val="20"/>
                <w:vertAlign w:val="superscript"/>
              </w:rPr>
              <w:t>3</w:t>
            </w:r>
            <w:r w:rsidRPr="003A622E">
              <w:rPr>
                <w:rFonts w:ascii="Times New Roman" w:hAnsi="Times New Roman"/>
                <w:sz w:val="20"/>
                <w:szCs w:val="20"/>
              </w:rPr>
              <w:t>, 79.</w:t>
            </w:r>
            <w:r w:rsidRPr="003A622E">
              <w:rPr>
                <w:rFonts w:ascii="Times New Roman" w:hAnsi="Times New Roman"/>
                <w:sz w:val="20"/>
                <w:szCs w:val="20"/>
                <w:vertAlign w:val="superscript"/>
              </w:rPr>
              <w:t>1</w:t>
            </w:r>
            <w:r w:rsidRPr="003A622E">
              <w:rPr>
                <w:rFonts w:ascii="Times New Roman" w:hAnsi="Times New Roman"/>
                <w:sz w:val="20"/>
                <w:szCs w:val="20"/>
              </w:rPr>
              <w:t xml:space="preserve"> punktā un 79.</w:t>
            </w:r>
            <w:r w:rsidRPr="003A622E">
              <w:rPr>
                <w:rFonts w:ascii="Times New Roman" w:hAnsi="Times New Roman"/>
                <w:sz w:val="20"/>
                <w:szCs w:val="20"/>
                <w:vertAlign w:val="superscript"/>
              </w:rPr>
              <w:t>2</w:t>
            </w:r>
            <w:r w:rsidRPr="003A622E">
              <w:rPr>
                <w:rFonts w:ascii="Times New Roman" w:hAnsi="Times New Roman"/>
                <w:sz w:val="20"/>
                <w:szCs w:val="20"/>
              </w:rPr>
              <w:t> 2., 79.</w:t>
            </w:r>
            <w:r w:rsidRPr="003A622E">
              <w:rPr>
                <w:rFonts w:ascii="Times New Roman" w:hAnsi="Times New Roman"/>
                <w:sz w:val="20"/>
                <w:szCs w:val="20"/>
                <w:vertAlign w:val="superscript"/>
              </w:rPr>
              <w:t>2</w:t>
            </w:r>
            <w:r w:rsidRPr="003A622E">
              <w:rPr>
                <w:rFonts w:ascii="Times New Roman" w:hAnsi="Times New Roman"/>
                <w:sz w:val="20"/>
                <w:szCs w:val="20"/>
              </w:rPr>
              <w:t xml:space="preserve"> 3. apakšpunktā minētie nosacījumi ir piemērojami </w:t>
            </w:r>
            <w:r>
              <w:rPr>
                <w:rFonts w:ascii="Times New Roman" w:hAnsi="Times New Roman"/>
                <w:sz w:val="20"/>
                <w:szCs w:val="20"/>
              </w:rPr>
              <w:t>infrastruktūras amortizācijas</w:t>
            </w:r>
            <w:r w:rsidRPr="003A622E">
              <w:rPr>
                <w:rFonts w:ascii="Times New Roman" w:hAnsi="Times New Roman"/>
                <w:sz w:val="20"/>
                <w:szCs w:val="20"/>
              </w:rPr>
              <w:t xml:space="preserve"> periodā.</w:t>
            </w:r>
          </w:p>
          <w:p w14:paraId="028B3E21" w14:textId="77777777" w:rsidR="009E1E3D" w:rsidRPr="003A622E" w:rsidRDefault="009E1E3D" w:rsidP="009E1E3D">
            <w:pPr>
              <w:tabs>
                <w:tab w:val="left" w:pos="6840"/>
              </w:tabs>
              <w:spacing w:line="252" w:lineRule="auto"/>
              <w:jc w:val="both"/>
              <w:rPr>
                <w:sz w:val="20"/>
                <w:szCs w:val="20"/>
              </w:rPr>
            </w:pPr>
          </w:p>
          <w:p w14:paraId="7A168A53" w14:textId="2EE82884" w:rsidR="009E1E3D" w:rsidRPr="0060338B" w:rsidRDefault="009E1E3D" w:rsidP="009E1E3D">
            <w:pPr>
              <w:jc w:val="both"/>
              <w:rPr>
                <w:sz w:val="20"/>
                <w:szCs w:val="20"/>
              </w:rPr>
            </w:pPr>
            <w:r w:rsidRPr="003A622E">
              <w:rPr>
                <w:sz w:val="20"/>
                <w:szCs w:val="20"/>
              </w:rPr>
              <w:t>79.</w:t>
            </w:r>
            <w:r w:rsidRPr="003A622E">
              <w:rPr>
                <w:sz w:val="20"/>
                <w:szCs w:val="20"/>
                <w:vertAlign w:val="superscript"/>
              </w:rPr>
              <w:t>4</w:t>
            </w:r>
            <w:r w:rsidRPr="003A622E">
              <w:rPr>
                <w:sz w:val="20"/>
                <w:szCs w:val="20"/>
              </w:rPr>
              <w:t> Finansējuma saņēmēja pienākums glabāt projekta iesnieguma atvasinājumu un ar projekta īstenošanu saistīto dokumentu oriģinālus vai normatīvajos aktos par dokumentu izstrādāšanu un noformēšanu noteiktajā kārtībā apliecinātas to kopijas</w:t>
            </w:r>
            <w:r>
              <w:rPr>
                <w:sz w:val="20"/>
                <w:szCs w:val="20"/>
              </w:rPr>
              <w:t xml:space="preserve"> visu infrastruktūras amortizācijas periodu.</w:t>
            </w:r>
          </w:p>
        </w:tc>
      </w:tr>
      <w:tr w:rsidR="00BA25BA" w:rsidRPr="00D70799" w14:paraId="5DCA7C1A" w14:textId="77777777" w:rsidTr="00B4310A">
        <w:trPr>
          <w:trHeight w:val="274"/>
        </w:trPr>
        <w:tc>
          <w:tcPr>
            <w:tcW w:w="372" w:type="pct"/>
            <w:shd w:val="clear" w:color="auto" w:fill="FFFFFF" w:themeFill="background1"/>
          </w:tcPr>
          <w:p w14:paraId="2E436175" w14:textId="6AFD94C5" w:rsidR="00BA25BA" w:rsidRPr="00D70799" w:rsidRDefault="00BA25BA" w:rsidP="009E2178">
            <w:pPr>
              <w:numPr>
                <w:ilvl w:val="0"/>
                <w:numId w:val="31"/>
              </w:numPr>
              <w:tabs>
                <w:tab w:val="center" w:pos="284"/>
              </w:tabs>
              <w:ind w:left="0" w:firstLine="0"/>
              <w:rPr>
                <w:sz w:val="20"/>
                <w:szCs w:val="20"/>
              </w:rPr>
            </w:pPr>
          </w:p>
        </w:tc>
        <w:tc>
          <w:tcPr>
            <w:tcW w:w="1053" w:type="pct"/>
            <w:shd w:val="clear" w:color="auto" w:fill="auto"/>
          </w:tcPr>
          <w:p w14:paraId="71C287CD" w14:textId="4EE0C194" w:rsidR="00BA25BA" w:rsidRPr="00D70799" w:rsidRDefault="00BA25BA" w:rsidP="009E2178">
            <w:pPr>
              <w:jc w:val="both"/>
              <w:rPr>
                <w:sz w:val="20"/>
                <w:szCs w:val="20"/>
              </w:rPr>
            </w:pPr>
            <w:r w:rsidRPr="00D70799">
              <w:rPr>
                <w:sz w:val="20"/>
                <w:szCs w:val="20"/>
              </w:rPr>
              <w:t>MK noteikumi Nr. 265 9. punkts:</w:t>
            </w:r>
          </w:p>
          <w:p w14:paraId="22EE6324" w14:textId="77777777" w:rsidR="00BA25BA" w:rsidRPr="00D70799" w:rsidRDefault="00BA25BA" w:rsidP="009E2178">
            <w:pPr>
              <w:jc w:val="both"/>
              <w:rPr>
                <w:sz w:val="20"/>
                <w:szCs w:val="20"/>
              </w:rPr>
            </w:pPr>
            <w:r w:rsidRPr="00D70799">
              <w:rPr>
                <w:sz w:val="20"/>
                <w:szCs w:val="20"/>
              </w:rPr>
              <w:t xml:space="preserve">9. </w:t>
            </w:r>
            <w:proofErr w:type="spellStart"/>
            <w:r w:rsidRPr="00D70799">
              <w:rPr>
                <w:sz w:val="20"/>
                <w:szCs w:val="20"/>
              </w:rPr>
              <w:t>Apakšaktivitātes</w:t>
            </w:r>
            <w:proofErr w:type="spellEnd"/>
            <w:r w:rsidRPr="00D70799">
              <w:rPr>
                <w:sz w:val="20"/>
                <w:szCs w:val="20"/>
              </w:rPr>
              <w:t xml:space="preserve"> ietvaros ir atbalstāmas šādas darbības:</w:t>
            </w:r>
          </w:p>
          <w:p w14:paraId="6A89638F" w14:textId="7C74C9E0" w:rsidR="00BA25BA" w:rsidRPr="00D70799" w:rsidRDefault="00BA25BA" w:rsidP="009E2178">
            <w:pPr>
              <w:jc w:val="both"/>
              <w:rPr>
                <w:sz w:val="20"/>
                <w:szCs w:val="20"/>
              </w:rPr>
            </w:pPr>
            <w:r w:rsidRPr="00D70799">
              <w:rPr>
                <w:sz w:val="20"/>
                <w:szCs w:val="20"/>
              </w:rPr>
              <w:t>…</w:t>
            </w:r>
          </w:p>
          <w:p w14:paraId="33BD53C5" w14:textId="1F6F1938" w:rsidR="00BA25BA" w:rsidRPr="00D70799" w:rsidRDefault="00BA25BA" w:rsidP="009E2178">
            <w:pPr>
              <w:jc w:val="both"/>
              <w:rPr>
                <w:sz w:val="20"/>
                <w:szCs w:val="20"/>
              </w:rPr>
            </w:pPr>
            <w:r w:rsidRPr="00D70799">
              <w:rPr>
                <w:sz w:val="20"/>
                <w:szCs w:val="20"/>
              </w:rPr>
              <w:t>MK noteikumu projekts:</w:t>
            </w:r>
          </w:p>
          <w:p w14:paraId="4DCB2F24" w14:textId="77777777" w:rsidR="00BA25BA" w:rsidRPr="00D70799" w:rsidRDefault="00BA25BA" w:rsidP="009E2178">
            <w:pPr>
              <w:jc w:val="both"/>
              <w:rPr>
                <w:sz w:val="20"/>
                <w:szCs w:val="20"/>
              </w:rPr>
            </w:pPr>
            <w:r w:rsidRPr="00D70799">
              <w:rPr>
                <w:sz w:val="20"/>
                <w:szCs w:val="20"/>
              </w:rPr>
              <w:t>"21.</w:t>
            </w:r>
            <w:r w:rsidRPr="00D70799">
              <w:rPr>
                <w:sz w:val="20"/>
                <w:szCs w:val="20"/>
                <w:vertAlign w:val="superscript"/>
              </w:rPr>
              <w:t>1</w:t>
            </w:r>
            <w:r w:rsidRPr="00D70799">
              <w:rPr>
                <w:sz w:val="20"/>
                <w:szCs w:val="20"/>
              </w:rPr>
              <w:t> Lai atbalsts projekta īstenošanai netiktu kvalificēts kā komercdarbības atbalsts, projekta īstenošanas rezultātā iegādātā, izveidotā vai modernizētā infrastruktūra (turpmāk – infrastruktūra) projekta pārskata (dzīves cikla) periodā izmantojama šādu darbību īstenošanai:</w:t>
            </w:r>
          </w:p>
          <w:p w14:paraId="62FF1AE3" w14:textId="6E7DA2F4" w:rsidR="00BA25BA" w:rsidRPr="00D70799" w:rsidRDefault="00BA25BA" w:rsidP="009E2178">
            <w:pPr>
              <w:jc w:val="both"/>
              <w:rPr>
                <w:sz w:val="20"/>
                <w:szCs w:val="20"/>
              </w:rPr>
            </w:pPr>
          </w:p>
        </w:tc>
        <w:tc>
          <w:tcPr>
            <w:tcW w:w="1376" w:type="pct"/>
            <w:shd w:val="clear" w:color="auto" w:fill="auto"/>
          </w:tcPr>
          <w:p w14:paraId="2666D96A" w14:textId="77777777" w:rsidR="00BA25BA" w:rsidRPr="00D14ABF" w:rsidRDefault="00BA25BA" w:rsidP="009E2178">
            <w:pPr>
              <w:pStyle w:val="Default"/>
              <w:adjustRightInd/>
              <w:jc w:val="both"/>
              <w:rPr>
                <w:b/>
                <w:color w:val="auto"/>
                <w:sz w:val="20"/>
                <w:szCs w:val="20"/>
              </w:rPr>
            </w:pPr>
            <w:r w:rsidRPr="00D14ABF">
              <w:rPr>
                <w:b/>
                <w:color w:val="auto"/>
                <w:sz w:val="20"/>
                <w:szCs w:val="20"/>
              </w:rPr>
              <w:t>TM</w:t>
            </w:r>
          </w:p>
          <w:p w14:paraId="6A875B5B" w14:textId="1EA82869" w:rsidR="00BA25BA" w:rsidRPr="00D70799" w:rsidRDefault="00BA25BA" w:rsidP="0060338B">
            <w:pPr>
              <w:pStyle w:val="NormalWeb"/>
              <w:spacing w:before="0" w:beforeAutospacing="0" w:after="0" w:afterAutospacing="0"/>
              <w:jc w:val="both"/>
              <w:rPr>
                <w:sz w:val="20"/>
                <w:szCs w:val="20"/>
              </w:rPr>
            </w:pPr>
            <w:r w:rsidRPr="00D70799">
              <w:rPr>
                <w:sz w:val="20"/>
                <w:szCs w:val="20"/>
              </w:rPr>
              <w:t>4. Saskaņā ar juridiskās tehnikas prasībām visus lietotos saīsinājumus, rakstot pirmo reizi, atšifrē, iekavās norādot to turpmāko lietojumu. Kā arī, ja konkrētais apzīmējums tiek saīsināts, tad šis saīsinājums konsekventi lietojams arī turpmāk tekstā. Noteikumu projekta 3. punktā izteiktajā noteikumu 21.</w:t>
            </w:r>
            <w:r w:rsidRPr="00D70799">
              <w:rPr>
                <w:sz w:val="20"/>
                <w:szCs w:val="20"/>
                <w:vertAlign w:val="superscript"/>
              </w:rPr>
              <w:t>1</w:t>
            </w:r>
            <w:r w:rsidRPr="00D70799">
              <w:rPr>
                <w:sz w:val="20"/>
                <w:szCs w:val="20"/>
              </w:rPr>
              <w:t xml:space="preserve"> punkta ievaddaļā ir veidots vārdkopas saīsinājums "infrastruktūra", kas tiek lietots jau spēkā esošajos noteikumos, attiecīgi nav saprotams, vai noteikumu projekta 3. punktā izveidotais vārdkopas saīsinājums attiecas arī uz noteikumos jau lietoto jēdzienu "infrastruktūra". Ievērojot minēto, lūdzam precizēt noteikumu projektu atbilstoši MK noteikumu Nr. 108 124. un 43. punkta prasībām.</w:t>
            </w:r>
          </w:p>
        </w:tc>
        <w:tc>
          <w:tcPr>
            <w:tcW w:w="1124" w:type="pct"/>
            <w:shd w:val="clear" w:color="auto" w:fill="auto"/>
          </w:tcPr>
          <w:p w14:paraId="06DC68A0" w14:textId="77777777" w:rsidR="00BA25BA" w:rsidRPr="00D70799" w:rsidRDefault="00BA25BA" w:rsidP="009E2178">
            <w:pPr>
              <w:jc w:val="both"/>
              <w:rPr>
                <w:b/>
                <w:sz w:val="20"/>
                <w:szCs w:val="20"/>
              </w:rPr>
            </w:pPr>
            <w:r w:rsidRPr="00D70799">
              <w:rPr>
                <w:b/>
                <w:sz w:val="20"/>
                <w:szCs w:val="20"/>
              </w:rPr>
              <w:t>Ņemts vērā.</w:t>
            </w:r>
          </w:p>
          <w:p w14:paraId="5AF65859" w14:textId="4310BF77" w:rsidR="00BA25BA" w:rsidRPr="00D70799" w:rsidRDefault="00BA25BA" w:rsidP="009E2178">
            <w:pPr>
              <w:jc w:val="both"/>
              <w:rPr>
                <w:sz w:val="20"/>
                <w:szCs w:val="20"/>
              </w:rPr>
            </w:pPr>
            <w:r w:rsidRPr="00D70799">
              <w:rPr>
                <w:sz w:val="20"/>
                <w:szCs w:val="20"/>
              </w:rPr>
              <w:t>Noteikumu projekts papildināts ar 3. punktu, paredzot, ka 3.1.2.1.1. aktivitātes ietvaros modernizētā augstākās izglītības iestādes infrastruktūra ietver telpas, būves, iekārtas, aprīkojumu, tehnoloģijas, bibliotēkas, inženiertehniskos tīklus un citu infrastruktūru, kas nepieciešama augstākās izglītības programmu prioritārajos virzienos īstenošanai un pieejamības nodrošināšanai.</w:t>
            </w:r>
          </w:p>
          <w:p w14:paraId="37A844F2" w14:textId="77777777" w:rsidR="00BA25BA" w:rsidRPr="00D70799" w:rsidRDefault="00BA25BA" w:rsidP="009E2178">
            <w:pPr>
              <w:jc w:val="both"/>
              <w:rPr>
                <w:sz w:val="20"/>
                <w:szCs w:val="20"/>
              </w:rPr>
            </w:pPr>
          </w:p>
          <w:p w14:paraId="5E7A10E0" w14:textId="49DEEFDB" w:rsidR="00BA25BA" w:rsidRPr="00D70799" w:rsidRDefault="00BA25BA" w:rsidP="009E2178">
            <w:pPr>
              <w:jc w:val="both"/>
              <w:rPr>
                <w:sz w:val="20"/>
                <w:szCs w:val="20"/>
              </w:rPr>
            </w:pPr>
          </w:p>
        </w:tc>
        <w:tc>
          <w:tcPr>
            <w:tcW w:w="1075" w:type="pct"/>
            <w:shd w:val="clear" w:color="auto" w:fill="auto"/>
          </w:tcPr>
          <w:p w14:paraId="08A46F91" w14:textId="0EC82776" w:rsidR="00BA25BA" w:rsidRPr="0060338B" w:rsidRDefault="0060338B" w:rsidP="009E2178">
            <w:pPr>
              <w:jc w:val="both"/>
              <w:rPr>
                <w:sz w:val="20"/>
                <w:szCs w:val="20"/>
              </w:rPr>
            </w:pPr>
            <w:r w:rsidRPr="0060338B">
              <w:rPr>
                <w:sz w:val="20"/>
                <w:szCs w:val="20"/>
              </w:rPr>
              <w:t>9. </w:t>
            </w:r>
            <w:proofErr w:type="spellStart"/>
            <w:r w:rsidRPr="0060338B">
              <w:rPr>
                <w:sz w:val="20"/>
                <w:szCs w:val="20"/>
              </w:rPr>
              <w:t>Apakšaktivitātes</w:t>
            </w:r>
            <w:proofErr w:type="spellEnd"/>
            <w:r w:rsidRPr="0060338B">
              <w:rPr>
                <w:sz w:val="20"/>
                <w:szCs w:val="20"/>
              </w:rPr>
              <w:t xml:space="preserve"> ietvaros ir atbalstāmas šādas ar augstākās izglītības institūciju infrastruktūras (turpmāk – infrastruktūra) modernizēšanu saistītas darbības:</w:t>
            </w:r>
          </w:p>
          <w:p w14:paraId="322EB1F1" w14:textId="77777777" w:rsidR="0060338B" w:rsidRPr="0060338B" w:rsidRDefault="0060338B" w:rsidP="009E2178">
            <w:pPr>
              <w:jc w:val="both"/>
              <w:rPr>
                <w:sz w:val="20"/>
                <w:szCs w:val="20"/>
              </w:rPr>
            </w:pPr>
          </w:p>
          <w:p w14:paraId="4B42D3F7" w14:textId="7F1EBA8C" w:rsidR="00BA25BA" w:rsidRPr="0060338B" w:rsidRDefault="0060338B" w:rsidP="00730719">
            <w:pPr>
              <w:jc w:val="both"/>
              <w:rPr>
                <w:sz w:val="20"/>
                <w:szCs w:val="20"/>
              </w:rPr>
            </w:pPr>
            <w:r w:rsidRPr="0060338B">
              <w:rPr>
                <w:sz w:val="20"/>
                <w:szCs w:val="20"/>
              </w:rPr>
              <w:t>21.</w:t>
            </w:r>
            <w:r w:rsidRPr="0060338B">
              <w:rPr>
                <w:sz w:val="20"/>
                <w:szCs w:val="20"/>
                <w:vertAlign w:val="superscript"/>
              </w:rPr>
              <w:t>1</w:t>
            </w:r>
            <w:r w:rsidRPr="0060338B">
              <w:rPr>
                <w:sz w:val="20"/>
                <w:szCs w:val="20"/>
              </w:rPr>
              <w:t xml:space="preserve"> Lai atbalsts projekta īstenošanai netiktu kvalificēts kā komercdarbības atbalsts, projekta ietvaros modernizēto infrastruktūru </w:t>
            </w:r>
            <w:r w:rsidR="00730719">
              <w:rPr>
                <w:sz w:val="20"/>
                <w:szCs w:val="20"/>
              </w:rPr>
              <w:t>tās amortizācijas</w:t>
            </w:r>
            <w:r w:rsidRPr="0060338B">
              <w:rPr>
                <w:sz w:val="20"/>
                <w:szCs w:val="20"/>
              </w:rPr>
              <w:t xml:space="preserve"> periodā izmanto šādu darbību īstenošanai:</w:t>
            </w:r>
            <w:r w:rsidR="00034F43">
              <w:rPr>
                <w:sz w:val="20"/>
                <w:szCs w:val="20"/>
              </w:rPr>
              <w:t>…</w:t>
            </w:r>
          </w:p>
        </w:tc>
      </w:tr>
      <w:tr w:rsidR="002E0E5F" w:rsidRPr="00D70799" w14:paraId="57F09C22" w14:textId="176023AD" w:rsidTr="00B4310A">
        <w:trPr>
          <w:trHeight w:val="274"/>
        </w:trPr>
        <w:tc>
          <w:tcPr>
            <w:tcW w:w="372" w:type="pct"/>
            <w:shd w:val="clear" w:color="auto" w:fill="FFFFFF" w:themeFill="background1"/>
          </w:tcPr>
          <w:p w14:paraId="1C602C44" w14:textId="40ECAB79" w:rsidR="002E0E5F" w:rsidRPr="00D70799" w:rsidRDefault="002E0E5F" w:rsidP="002E0E5F">
            <w:pPr>
              <w:numPr>
                <w:ilvl w:val="0"/>
                <w:numId w:val="31"/>
              </w:numPr>
              <w:tabs>
                <w:tab w:val="center" w:pos="284"/>
              </w:tabs>
              <w:ind w:left="0" w:firstLine="0"/>
              <w:rPr>
                <w:sz w:val="20"/>
                <w:szCs w:val="20"/>
              </w:rPr>
            </w:pPr>
          </w:p>
        </w:tc>
        <w:tc>
          <w:tcPr>
            <w:tcW w:w="1053" w:type="pct"/>
            <w:shd w:val="clear" w:color="auto" w:fill="auto"/>
          </w:tcPr>
          <w:p w14:paraId="308EE7C0" w14:textId="623C0D5F" w:rsidR="002E0E5F" w:rsidRPr="00D70799" w:rsidRDefault="002E0E5F" w:rsidP="002E0E5F">
            <w:pPr>
              <w:jc w:val="both"/>
              <w:rPr>
                <w:sz w:val="20"/>
                <w:szCs w:val="20"/>
              </w:rPr>
            </w:pPr>
            <w:r w:rsidRPr="001D26D8">
              <w:rPr>
                <w:sz w:val="20"/>
                <w:szCs w:val="20"/>
              </w:rPr>
              <w:t>21.</w:t>
            </w:r>
            <w:r w:rsidRPr="001D26D8">
              <w:rPr>
                <w:sz w:val="20"/>
                <w:szCs w:val="20"/>
                <w:vertAlign w:val="superscript"/>
              </w:rPr>
              <w:t>5</w:t>
            </w:r>
            <w:r w:rsidRPr="001D26D8">
              <w:rPr>
                <w:sz w:val="20"/>
                <w:szCs w:val="20"/>
              </w:rPr>
              <w:t xml:space="preserve"> Ja projekta ietvaros iegādātu ilgtermiņa ieguldījumu projekta pārskata (dzīves cikla) periodā izmanto saimnieciskai darbībai finansējuma saņēmējs:</w:t>
            </w:r>
          </w:p>
        </w:tc>
        <w:tc>
          <w:tcPr>
            <w:tcW w:w="1376" w:type="pct"/>
            <w:shd w:val="clear" w:color="auto" w:fill="auto"/>
          </w:tcPr>
          <w:p w14:paraId="79B34085" w14:textId="6CBF33E9" w:rsidR="002E0E5F" w:rsidRPr="00D14ABF" w:rsidRDefault="002E0E5F" w:rsidP="002E0E5F">
            <w:pPr>
              <w:pStyle w:val="Default"/>
              <w:adjustRightInd/>
              <w:jc w:val="both"/>
              <w:rPr>
                <w:b/>
                <w:sz w:val="20"/>
                <w:szCs w:val="20"/>
              </w:rPr>
            </w:pPr>
            <w:r w:rsidRPr="00D14ABF">
              <w:rPr>
                <w:b/>
                <w:sz w:val="20"/>
                <w:szCs w:val="20"/>
              </w:rPr>
              <w:t>TM</w:t>
            </w:r>
          </w:p>
          <w:p w14:paraId="755D77B4" w14:textId="129ED3D8" w:rsidR="002E0E5F" w:rsidRPr="00D70799" w:rsidRDefault="002E0E5F" w:rsidP="002E0E5F">
            <w:pPr>
              <w:pStyle w:val="Default"/>
              <w:adjustRightInd/>
              <w:jc w:val="both"/>
              <w:rPr>
                <w:color w:val="auto"/>
                <w:sz w:val="20"/>
                <w:szCs w:val="20"/>
              </w:rPr>
            </w:pPr>
            <w:r w:rsidRPr="00D70799">
              <w:rPr>
                <w:sz w:val="20"/>
                <w:szCs w:val="20"/>
              </w:rPr>
              <w:t>Lūdzam redakcionāli precizēt noteikumu projekta 3. punktā izteiktā noteikumu 21.</w:t>
            </w:r>
            <w:r w:rsidRPr="00D70799">
              <w:rPr>
                <w:sz w:val="20"/>
                <w:szCs w:val="20"/>
                <w:vertAlign w:val="superscript"/>
              </w:rPr>
              <w:t>5</w:t>
            </w:r>
            <w:r w:rsidRPr="00D70799">
              <w:rPr>
                <w:sz w:val="20"/>
                <w:szCs w:val="20"/>
              </w:rPr>
              <w:t> punkta ievaddaļu, jo pašreizējā redakcijā tā nav saprotama un ir grūti uztverama.</w:t>
            </w:r>
          </w:p>
        </w:tc>
        <w:tc>
          <w:tcPr>
            <w:tcW w:w="1124" w:type="pct"/>
            <w:shd w:val="clear" w:color="auto" w:fill="auto"/>
          </w:tcPr>
          <w:p w14:paraId="013E09CB" w14:textId="77777777" w:rsidR="002E0E5F" w:rsidRPr="00D70799" w:rsidRDefault="002E0E5F" w:rsidP="002E0E5F">
            <w:pPr>
              <w:jc w:val="both"/>
              <w:rPr>
                <w:b/>
                <w:sz w:val="20"/>
                <w:szCs w:val="20"/>
              </w:rPr>
            </w:pPr>
            <w:r w:rsidRPr="00D70799">
              <w:rPr>
                <w:b/>
                <w:sz w:val="20"/>
                <w:szCs w:val="20"/>
              </w:rPr>
              <w:t>Ņemts vērā.</w:t>
            </w:r>
          </w:p>
          <w:p w14:paraId="1DC6351F" w14:textId="77777777" w:rsidR="002E0E5F" w:rsidRPr="00D70799" w:rsidRDefault="002E0E5F" w:rsidP="002E0E5F">
            <w:pPr>
              <w:jc w:val="both"/>
              <w:rPr>
                <w:b/>
                <w:sz w:val="20"/>
                <w:szCs w:val="20"/>
              </w:rPr>
            </w:pPr>
          </w:p>
        </w:tc>
        <w:tc>
          <w:tcPr>
            <w:tcW w:w="1075" w:type="pct"/>
            <w:shd w:val="clear" w:color="auto" w:fill="auto"/>
          </w:tcPr>
          <w:p w14:paraId="5E455DD7" w14:textId="25085EF8" w:rsidR="002E0E5F" w:rsidRPr="0060338B" w:rsidRDefault="002E0E5F" w:rsidP="00730719">
            <w:pPr>
              <w:jc w:val="both"/>
              <w:rPr>
                <w:b/>
                <w:sz w:val="20"/>
                <w:szCs w:val="20"/>
              </w:rPr>
            </w:pPr>
            <w:r w:rsidRPr="0060338B">
              <w:rPr>
                <w:sz w:val="20"/>
                <w:szCs w:val="20"/>
              </w:rPr>
              <w:t>79.</w:t>
            </w:r>
            <w:r w:rsidRPr="0060338B">
              <w:rPr>
                <w:sz w:val="20"/>
                <w:szCs w:val="20"/>
                <w:vertAlign w:val="superscript"/>
              </w:rPr>
              <w:t>2</w:t>
            </w:r>
            <w:r w:rsidRPr="0060338B">
              <w:rPr>
                <w:sz w:val="20"/>
                <w:szCs w:val="20"/>
              </w:rPr>
              <w:t xml:space="preserve"> Ja </w:t>
            </w:r>
            <w:r w:rsidR="00730719">
              <w:rPr>
                <w:sz w:val="20"/>
                <w:szCs w:val="20"/>
              </w:rPr>
              <w:t>infrastruktūras amortizācijas</w:t>
            </w:r>
            <w:r w:rsidRPr="0060338B">
              <w:rPr>
                <w:sz w:val="20"/>
                <w:szCs w:val="20"/>
              </w:rPr>
              <w:t xml:space="preserve"> periodā projekta ietvaros modernizēto infrastruktūru izmanto šo noteikumu 21.</w:t>
            </w:r>
            <w:r w:rsidRPr="0060338B">
              <w:rPr>
                <w:sz w:val="20"/>
                <w:szCs w:val="20"/>
                <w:vertAlign w:val="superscript"/>
              </w:rPr>
              <w:t>1</w:t>
            </w:r>
            <w:r w:rsidRPr="0060338B">
              <w:rPr>
                <w:sz w:val="20"/>
                <w:szCs w:val="20"/>
              </w:rPr>
              <w:t> 2. apakšpunktā minētai saimnieciskai darbībai, finansējuma saņēmējs:</w:t>
            </w:r>
          </w:p>
        </w:tc>
      </w:tr>
      <w:tr w:rsidR="002E0E5F" w:rsidRPr="00D70799" w14:paraId="2EFA069D" w14:textId="77777777" w:rsidTr="009A1134">
        <w:trPr>
          <w:trHeight w:val="274"/>
        </w:trPr>
        <w:tc>
          <w:tcPr>
            <w:tcW w:w="5000" w:type="pct"/>
            <w:gridSpan w:val="5"/>
            <w:shd w:val="clear" w:color="auto" w:fill="FFFFFF" w:themeFill="background1"/>
          </w:tcPr>
          <w:p w14:paraId="0EBE20B9" w14:textId="60D4E417" w:rsidR="002E0E5F" w:rsidRPr="00D70799" w:rsidRDefault="002E0E5F" w:rsidP="002E0E5F">
            <w:pPr>
              <w:jc w:val="both"/>
              <w:rPr>
                <w:sz w:val="20"/>
                <w:szCs w:val="20"/>
              </w:rPr>
            </w:pPr>
            <w:r>
              <w:rPr>
                <w:b/>
                <w:sz w:val="20"/>
                <w:szCs w:val="20"/>
              </w:rPr>
              <w:t>Anotācija</w:t>
            </w:r>
          </w:p>
        </w:tc>
      </w:tr>
      <w:tr w:rsidR="00164271" w:rsidRPr="00D70799" w14:paraId="68493727" w14:textId="77777777" w:rsidTr="00B4310A">
        <w:trPr>
          <w:trHeight w:val="274"/>
        </w:trPr>
        <w:tc>
          <w:tcPr>
            <w:tcW w:w="372" w:type="pct"/>
            <w:shd w:val="clear" w:color="auto" w:fill="FFFFFF" w:themeFill="background1"/>
          </w:tcPr>
          <w:p w14:paraId="3E6ACB11" w14:textId="77777777" w:rsidR="00164271" w:rsidRPr="00D70799" w:rsidRDefault="00164271" w:rsidP="002E0E5F">
            <w:pPr>
              <w:numPr>
                <w:ilvl w:val="0"/>
                <w:numId w:val="31"/>
              </w:numPr>
              <w:tabs>
                <w:tab w:val="center" w:pos="284"/>
              </w:tabs>
              <w:ind w:left="0" w:firstLine="0"/>
              <w:rPr>
                <w:sz w:val="20"/>
                <w:szCs w:val="20"/>
              </w:rPr>
            </w:pPr>
          </w:p>
        </w:tc>
        <w:tc>
          <w:tcPr>
            <w:tcW w:w="1053" w:type="pct"/>
            <w:shd w:val="clear" w:color="auto" w:fill="auto"/>
          </w:tcPr>
          <w:p w14:paraId="21FD229F" w14:textId="77777777" w:rsidR="00164271" w:rsidRPr="00D70799" w:rsidRDefault="00164271" w:rsidP="002E0E5F">
            <w:pPr>
              <w:pStyle w:val="ListParagraph"/>
              <w:ind w:left="0"/>
              <w:jc w:val="both"/>
              <w:rPr>
                <w:rFonts w:ascii="Times New Roman" w:hAnsi="Times New Roman"/>
                <w:sz w:val="20"/>
                <w:szCs w:val="20"/>
              </w:rPr>
            </w:pPr>
          </w:p>
        </w:tc>
        <w:tc>
          <w:tcPr>
            <w:tcW w:w="1376" w:type="pct"/>
            <w:shd w:val="clear" w:color="auto" w:fill="auto"/>
          </w:tcPr>
          <w:p w14:paraId="341AE0B2" w14:textId="77777777" w:rsidR="00164271" w:rsidRPr="00DF11BF" w:rsidRDefault="00164271" w:rsidP="002E0E5F">
            <w:pPr>
              <w:pStyle w:val="Default"/>
              <w:adjustRightInd/>
              <w:jc w:val="both"/>
              <w:rPr>
                <w:color w:val="auto"/>
                <w:sz w:val="20"/>
                <w:szCs w:val="20"/>
              </w:rPr>
            </w:pPr>
            <w:r w:rsidRPr="00DF11BF">
              <w:rPr>
                <w:b/>
                <w:color w:val="auto"/>
                <w:sz w:val="20"/>
                <w:szCs w:val="20"/>
              </w:rPr>
              <w:t>FM</w:t>
            </w:r>
            <w:r w:rsidRPr="00DF11BF">
              <w:rPr>
                <w:color w:val="auto"/>
                <w:sz w:val="20"/>
                <w:szCs w:val="20"/>
              </w:rPr>
              <w:t xml:space="preserve"> (03.05.2019. iebildums)</w:t>
            </w:r>
          </w:p>
          <w:p w14:paraId="0725E044" w14:textId="078F2549" w:rsidR="00164271" w:rsidRPr="00DF11BF" w:rsidRDefault="00164271" w:rsidP="002E0E5F">
            <w:pPr>
              <w:pStyle w:val="Default"/>
              <w:adjustRightInd/>
              <w:jc w:val="both"/>
              <w:rPr>
                <w:color w:val="auto"/>
                <w:sz w:val="20"/>
                <w:szCs w:val="20"/>
              </w:rPr>
            </w:pPr>
            <w:r w:rsidRPr="00DF11BF">
              <w:rPr>
                <w:sz w:val="20"/>
                <w:szCs w:val="20"/>
              </w:rPr>
              <w:t>Lūdzam papildināt anotāciju, sniedzot skaidrojumu un papildus aprakstot noteikumu projektā ietverto punktu piemērošanas būtību un atšķirību, kā tiks nodrošināta noteikumu projekta 5.punktā ietverto MK noteikumu Nr.265 79.</w:t>
            </w:r>
            <w:r w:rsidRPr="00DF11BF">
              <w:rPr>
                <w:sz w:val="20"/>
                <w:szCs w:val="20"/>
                <w:vertAlign w:val="superscript"/>
              </w:rPr>
              <w:t>2</w:t>
            </w:r>
            <w:r w:rsidRPr="00DF11BF">
              <w:rPr>
                <w:sz w:val="20"/>
                <w:szCs w:val="20"/>
              </w:rPr>
              <w:t>2. un 79.</w:t>
            </w:r>
            <w:r w:rsidRPr="00DF11BF">
              <w:rPr>
                <w:sz w:val="20"/>
                <w:szCs w:val="20"/>
                <w:vertAlign w:val="superscript"/>
              </w:rPr>
              <w:t>2</w:t>
            </w:r>
            <w:r w:rsidRPr="00DF11BF">
              <w:rPr>
                <w:sz w:val="20"/>
                <w:szCs w:val="20"/>
              </w:rPr>
              <w:t>3. apakšpunktu nosacījumu izpilde.</w:t>
            </w:r>
          </w:p>
        </w:tc>
        <w:tc>
          <w:tcPr>
            <w:tcW w:w="1124" w:type="pct"/>
            <w:shd w:val="clear" w:color="auto" w:fill="auto"/>
          </w:tcPr>
          <w:p w14:paraId="3252090B" w14:textId="77777777" w:rsidR="002A115D" w:rsidRPr="00D70799" w:rsidRDefault="002A115D" w:rsidP="002A115D">
            <w:pPr>
              <w:jc w:val="both"/>
              <w:rPr>
                <w:b/>
                <w:sz w:val="20"/>
                <w:szCs w:val="20"/>
              </w:rPr>
            </w:pPr>
            <w:r w:rsidRPr="00D70799">
              <w:rPr>
                <w:b/>
                <w:sz w:val="20"/>
                <w:szCs w:val="20"/>
              </w:rPr>
              <w:t>Ņemts vērā.</w:t>
            </w:r>
          </w:p>
          <w:p w14:paraId="53195483" w14:textId="77777777" w:rsidR="00164271" w:rsidRPr="00D70799" w:rsidRDefault="00164271" w:rsidP="002E0E5F">
            <w:pPr>
              <w:jc w:val="both"/>
              <w:rPr>
                <w:b/>
                <w:sz w:val="20"/>
                <w:szCs w:val="20"/>
              </w:rPr>
            </w:pPr>
          </w:p>
        </w:tc>
        <w:tc>
          <w:tcPr>
            <w:tcW w:w="1075" w:type="pct"/>
            <w:shd w:val="clear" w:color="auto" w:fill="auto"/>
          </w:tcPr>
          <w:p w14:paraId="0DCC0E31" w14:textId="3B7D98E0" w:rsidR="00164271" w:rsidRPr="00D70799" w:rsidRDefault="002A115D" w:rsidP="00EE14EF">
            <w:pPr>
              <w:jc w:val="both"/>
              <w:rPr>
                <w:sz w:val="20"/>
                <w:szCs w:val="20"/>
              </w:rPr>
            </w:pPr>
            <w:r>
              <w:rPr>
                <w:sz w:val="20"/>
                <w:szCs w:val="20"/>
              </w:rPr>
              <w:t xml:space="preserve">Skat. anotācijas </w:t>
            </w:r>
            <w:r w:rsidRPr="002A115D">
              <w:rPr>
                <w:sz w:val="20"/>
                <w:szCs w:val="20"/>
              </w:rPr>
              <w:t>I</w:t>
            </w:r>
            <w:r>
              <w:rPr>
                <w:sz w:val="20"/>
                <w:szCs w:val="20"/>
              </w:rPr>
              <w:t>. sadaļas</w:t>
            </w:r>
            <w:r w:rsidRPr="002A115D">
              <w:rPr>
                <w:sz w:val="20"/>
                <w:szCs w:val="20"/>
              </w:rPr>
              <w:t xml:space="preserve"> </w:t>
            </w:r>
            <w:r>
              <w:rPr>
                <w:sz w:val="20"/>
                <w:szCs w:val="20"/>
              </w:rPr>
              <w:t>„</w:t>
            </w:r>
            <w:r w:rsidRPr="002A115D">
              <w:rPr>
                <w:sz w:val="20"/>
                <w:szCs w:val="20"/>
              </w:rPr>
              <w:t>Tiesību akta projekta izstrādes nepieciešamība</w:t>
            </w:r>
            <w:r>
              <w:rPr>
                <w:sz w:val="20"/>
                <w:szCs w:val="20"/>
              </w:rPr>
              <w:t xml:space="preserve">” 2. punkta </w:t>
            </w:r>
            <w:r w:rsidR="002C5067">
              <w:rPr>
                <w:sz w:val="20"/>
                <w:szCs w:val="20"/>
              </w:rPr>
              <w:t xml:space="preserve">otro daļu (7. </w:t>
            </w:r>
            <w:proofErr w:type="spellStart"/>
            <w:r w:rsidR="002C5067">
              <w:rPr>
                <w:sz w:val="20"/>
                <w:szCs w:val="20"/>
              </w:rPr>
              <w:t>lp</w:t>
            </w:r>
            <w:proofErr w:type="spellEnd"/>
            <w:r w:rsidR="002C5067">
              <w:rPr>
                <w:sz w:val="20"/>
                <w:szCs w:val="20"/>
              </w:rPr>
              <w:t xml:space="preserve">.) un </w:t>
            </w:r>
            <w:r>
              <w:rPr>
                <w:sz w:val="20"/>
                <w:szCs w:val="20"/>
              </w:rPr>
              <w:t>trešo daļu (</w:t>
            </w:r>
            <w:r w:rsidR="00EE14EF">
              <w:rPr>
                <w:sz w:val="20"/>
                <w:szCs w:val="20"/>
              </w:rPr>
              <w:t>9</w:t>
            </w:r>
            <w:r>
              <w:rPr>
                <w:sz w:val="20"/>
                <w:szCs w:val="20"/>
              </w:rPr>
              <w:t>.</w:t>
            </w:r>
            <w:r w:rsidR="00EE14EF">
              <w:rPr>
                <w:sz w:val="20"/>
                <w:szCs w:val="20"/>
              </w:rPr>
              <w:t xml:space="preserve"> – 10</w:t>
            </w:r>
            <w:r>
              <w:rPr>
                <w:sz w:val="20"/>
                <w:szCs w:val="20"/>
              </w:rPr>
              <w:t>.lp.)</w:t>
            </w:r>
          </w:p>
        </w:tc>
      </w:tr>
      <w:tr w:rsidR="002E0E5F" w:rsidRPr="00D70799" w14:paraId="5872B0DC" w14:textId="77777777" w:rsidTr="00B4310A">
        <w:trPr>
          <w:trHeight w:val="274"/>
        </w:trPr>
        <w:tc>
          <w:tcPr>
            <w:tcW w:w="372" w:type="pct"/>
            <w:shd w:val="clear" w:color="auto" w:fill="FFFFFF" w:themeFill="background1"/>
          </w:tcPr>
          <w:p w14:paraId="48DC91B9" w14:textId="062AD533" w:rsidR="002E0E5F" w:rsidRPr="00D70799" w:rsidRDefault="002E0E5F" w:rsidP="002E0E5F">
            <w:pPr>
              <w:numPr>
                <w:ilvl w:val="0"/>
                <w:numId w:val="31"/>
              </w:numPr>
              <w:tabs>
                <w:tab w:val="center" w:pos="284"/>
              </w:tabs>
              <w:ind w:left="0" w:firstLine="0"/>
              <w:rPr>
                <w:sz w:val="20"/>
                <w:szCs w:val="20"/>
              </w:rPr>
            </w:pPr>
          </w:p>
        </w:tc>
        <w:tc>
          <w:tcPr>
            <w:tcW w:w="1053" w:type="pct"/>
            <w:shd w:val="clear" w:color="auto" w:fill="auto"/>
          </w:tcPr>
          <w:p w14:paraId="50CF3422" w14:textId="77777777" w:rsidR="002E0E5F" w:rsidRPr="00D70799" w:rsidRDefault="002E0E5F" w:rsidP="002E0E5F">
            <w:pPr>
              <w:pStyle w:val="ListParagraph"/>
              <w:ind w:left="0"/>
              <w:jc w:val="both"/>
              <w:rPr>
                <w:rFonts w:ascii="Times New Roman" w:hAnsi="Times New Roman"/>
                <w:sz w:val="20"/>
                <w:szCs w:val="20"/>
              </w:rPr>
            </w:pPr>
          </w:p>
        </w:tc>
        <w:tc>
          <w:tcPr>
            <w:tcW w:w="1376" w:type="pct"/>
            <w:shd w:val="clear" w:color="auto" w:fill="auto"/>
          </w:tcPr>
          <w:p w14:paraId="0CF66354" w14:textId="77777777" w:rsidR="002E0E5F" w:rsidRPr="00164271" w:rsidRDefault="002E0E5F" w:rsidP="002E0E5F">
            <w:pPr>
              <w:pStyle w:val="Default"/>
              <w:adjustRightInd/>
              <w:jc w:val="both"/>
              <w:rPr>
                <w:b/>
                <w:color w:val="auto"/>
                <w:sz w:val="20"/>
                <w:szCs w:val="20"/>
              </w:rPr>
            </w:pPr>
            <w:r w:rsidRPr="00164271">
              <w:rPr>
                <w:b/>
                <w:color w:val="auto"/>
                <w:sz w:val="20"/>
                <w:szCs w:val="20"/>
              </w:rPr>
              <w:t>TM</w:t>
            </w:r>
          </w:p>
          <w:p w14:paraId="520EEDAE" w14:textId="634D34DA" w:rsidR="002E0E5F" w:rsidRPr="00D70799" w:rsidRDefault="002E0E5F" w:rsidP="002E0E5F">
            <w:pPr>
              <w:contextualSpacing/>
              <w:jc w:val="both"/>
              <w:rPr>
                <w:sz w:val="20"/>
                <w:szCs w:val="20"/>
              </w:rPr>
            </w:pPr>
            <w:r w:rsidRPr="00D70799">
              <w:rPr>
                <w:sz w:val="20"/>
                <w:szCs w:val="20"/>
              </w:rPr>
              <w:lastRenderedPageBreak/>
              <w:t>Lūdzam noteikumu projekta anotācijas V sadaļas 1. punktā svītrot atsauci uz Eiropas Komisijas paziņojumu "Nostādnes par valsts atbalstu pētniecībai, izstrādei un inovācijai", jo tas atbilstoši Līguma par Eiropas Savienības darbību 288. pantam nav tiesību akts, līdz ar to neuzliek saistības un nav jāievieš nacionālajos tiesību aktos.</w:t>
            </w:r>
          </w:p>
        </w:tc>
        <w:tc>
          <w:tcPr>
            <w:tcW w:w="1124" w:type="pct"/>
            <w:shd w:val="clear" w:color="auto" w:fill="auto"/>
          </w:tcPr>
          <w:p w14:paraId="016B1805" w14:textId="77777777" w:rsidR="002E0E5F" w:rsidRDefault="002E0E5F" w:rsidP="002E0E5F">
            <w:pPr>
              <w:jc w:val="both"/>
              <w:rPr>
                <w:b/>
                <w:sz w:val="20"/>
                <w:szCs w:val="20"/>
              </w:rPr>
            </w:pPr>
            <w:r w:rsidRPr="00D70799">
              <w:rPr>
                <w:b/>
                <w:sz w:val="20"/>
                <w:szCs w:val="20"/>
              </w:rPr>
              <w:lastRenderedPageBreak/>
              <w:t>Ņemts vērā.</w:t>
            </w:r>
          </w:p>
          <w:p w14:paraId="05E6A8D4" w14:textId="1BBD8E4E" w:rsidR="002E0E5F" w:rsidRPr="00D70799" w:rsidRDefault="002E0E5F" w:rsidP="002E0E5F">
            <w:pPr>
              <w:jc w:val="both"/>
              <w:rPr>
                <w:sz w:val="20"/>
                <w:szCs w:val="20"/>
              </w:rPr>
            </w:pPr>
            <w:r w:rsidRPr="00D70799">
              <w:rPr>
                <w:sz w:val="20"/>
                <w:szCs w:val="20"/>
              </w:rPr>
              <w:lastRenderedPageBreak/>
              <w:t>V sadaļas 1. punktā svītrot</w:t>
            </w:r>
            <w:r>
              <w:rPr>
                <w:sz w:val="20"/>
                <w:szCs w:val="20"/>
              </w:rPr>
              <w:t>a atsauce</w:t>
            </w:r>
            <w:r w:rsidRPr="00D70799">
              <w:rPr>
                <w:sz w:val="20"/>
                <w:szCs w:val="20"/>
              </w:rPr>
              <w:t xml:space="preserve"> uz Eiropas Komisijas paziņojumu</w:t>
            </w:r>
            <w:r>
              <w:rPr>
                <w:sz w:val="20"/>
                <w:szCs w:val="20"/>
              </w:rPr>
              <w:t>.</w:t>
            </w:r>
          </w:p>
        </w:tc>
        <w:tc>
          <w:tcPr>
            <w:tcW w:w="1075" w:type="pct"/>
            <w:shd w:val="clear" w:color="auto" w:fill="auto"/>
          </w:tcPr>
          <w:p w14:paraId="7CE781FD" w14:textId="77777777" w:rsidR="002E0E5F" w:rsidRPr="00D70799" w:rsidRDefault="002E0E5F" w:rsidP="002E0E5F">
            <w:pPr>
              <w:jc w:val="both"/>
              <w:rPr>
                <w:sz w:val="20"/>
                <w:szCs w:val="20"/>
              </w:rPr>
            </w:pPr>
          </w:p>
        </w:tc>
      </w:tr>
      <w:tr w:rsidR="002E0E5F" w:rsidRPr="00D70799" w14:paraId="06D427D2" w14:textId="77777777" w:rsidTr="00B4310A">
        <w:trPr>
          <w:trHeight w:val="274"/>
        </w:trPr>
        <w:tc>
          <w:tcPr>
            <w:tcW w:w="372" w:type="pct"/>
            <w:shd w:val="clear" w:color="auto" w:fill="FFFFFF" w:themeFill="background1"/>
          </w:tcPr>
          <w:p w14:paraId="6A4863D9" w14:textId="77777777" w:rsidR="002E0E5F" w:rsidRPr="00D70799" w:rsidRDefault="002E0E5F" w:rsidP="002E0E5F">
            <w:pPr>
              <w:numPr>
                <w:ilvl w:val="0"/>
                <w:numId w:val="31"/>
              </w:numPr>
              <w:tabs>
                <w:tab w:val="center" w:pos="284"/>
              </w:tabs>
              <w:ind w:left="0" w:firstLine="0"/>
              <w:rPr>
                <w:sz w:val="20"/>
                <w:szCs w:val="20"/>
              </w:rPr>
            </w:pPr>
          </w:p>
        </w:tc>
        <w:tc>
          <w:tcPr>
            <w:tcW w:w="1053" w:type="pct"/>
            <w:shd w:val="clear" w:color="auto" w:fill="auto"/>
          </w:tcPr>
          <w:p w14:paraId="762B5B23" w14:textId="77777777" w:rsidR="002E0E5F" w:rsidRPr="00D70799" w:rsidRDefault="002E0E5F" w:rsidP="002E0E5F">
            <w:pPr>
              <w:pStyle w:val="ListParagraph"/>
              <w:ind w:left="0"/>
              <w:jc w:val="both"/>
              <w:rPr>
                <w:rFonts w:ascii="Times New Roman" w:hAnsi="Times New Roman"/>
                <w:sz w:val="20"/>
                <w:szCs w:val="20"/>
              </w:rPr>
            </w:pPr>
          </w:p>
        </w:tc>
        <w:tc>
          <w:tcPr>
            <w:tcW w:w="1376" w:type="pct"/>
            <w:shd w:val="clear" w:color="auto" w:fill="auto"/>
          </w:tcPr>
          <w:p w14:paraId="25D5E0D0" w14:textId="77777777" w:rsidR="002E0E5F" w:rsidRPr="00111853" w:rsidRDefault="002E0E5F" w:rsidP="002E0E5F">
            <w:pPr>
              <w:pStyle w:val="Default"/>
              <w:adjustRightInd/>
              <w:jc w:val="both"/>
              <w:rPr>
                <w:b/>
                <w:color w:val="auto"/>
                <w:sz w:val="20"/>
                <w:szCs w:val="20"/>
              </w:rPr>
            </w:pPr>
            <w:r w:rsidRPr="00111853">
              <w:rPr>
                <w:b/>
                <w:color w:val="auto"/>
                <w:sz w:val="20"/>
                <w:szCs w:val="20"/>
              </w:rPr>
              <w:t>Veselības ministrija:</w:t>
            </w:r>
          </w:p>
          <w:p w14:paraId="78544FB6" w14:textId="5E31A1BC" w:rsidR="002E0E5F" w:rsidRPr="00111853" w:rsidRDefault="002E0E5F" w:rsidP="002E0E5F">
            <w:pPr>
              <w:pStyle w:val="Default"/>
              <w:adjustRightInd/>
              <w:jc w:val="both"/>
              <w:rPr>
                <w:color w:val="auto"/>
                <w:sz w:val="20"/>
                <w:szCs w:val="20"/>
              </w:rPr>
            </w:pPr>
            <w:r w:rsidRPr="00111853">
              <w:rPr>
                <w:color w:val="auto"/>
                <w:sz w:val="20"/>
                <w:szCs w:val="20"/>
              </w:rPr>
              <w:t xml:space="preserve">Lūdzam precizēt anotācijas I sadaļas 2.punktā norādīto informāciju par 3.1.2.1.1.apakšaktivitātes "Augstākās izglītības iestāžu telpu un iekārtu modernizēšana studiju programmu kvalitātes uzlabošanai, tajā skaitā nodrošinot izglītības programmu apgūšanas iespējas arī personām ar funkcionāliem traucējumiem" projektu pārskata periodu un norādīt kādos gadījumos pārskata periods var būt īsāks par 15 gadiem. No anotācijā norādītas informācijas šobrīd nav skaidrs </w:t>
            </w:r>
            <w:r>
              <w:rPr>
                <w:color w:val="auto"/>
                <w:sz w:val="20"/>
                <w:szCs w:val="20"/>
              </w:rPr>
              <w:t>pārskata perioda sadalījums atka</w:t>
            </w:r>
            <w:r w:rsidRPr="00111853">
              <w:rPr>
                <w:color w:val="auto"/>
                <w:sz w:val="20"/>
                <w:szCs w:val="20"/>
              </w:rPr>
              <w:t xml:space="preserve">rībā no projektā paredzētajām aktivitātēm (iekārtu iegāde, telpu iekšējā renovācija, ēkas būvniecība). Piemēram, iekārtu iegādes gadījumā pārskata periods ir nevis 15.gadi, bet iekārtu amortizācijas laiks, kas atbilst Ministru kabineta 2018.gada 13.februāra noteikumu Nr.87 "Grāmatvedības uzskaites kārtība budžeta iestādēs" 2.pielikumā "Pamatlīdzekļu kategorijas, grupas un apakšgrupas nolietojuma normu noteikšanai" noteiktajām laikam (piemēram lietderīgās lietošanas laiks  tehnoloģiskām </w:t>
            </w:r>
            <w:proofErr w:type="spellStart"/>
            <w:r w:rsidRPr="00111853">
              <w:rPr>
                <w:color w:val="auto"/>
                <w:sz w:val="20"/>
                <w:szCs w:val="20"/>
              </w:rPr>
              <w:t>iekārtēm</w:t>
            </w:r>
            <w:proofErr w:type="spellEnd"/>
            <w:r w:rsidRPr="00111853">
              <w:rPr>
                <w:color w:val="auto"/>
                <w:sz w:val="20"/>
                <w:szCs w:val="20"/>
              </w:rPr>
              <w:t>, mēraparatūrai, regulēšanas ierīcēm, laboratoriju un medicīnas iekārtām – 10 gadi, datortehnikai – 5.gadi).</w:t>
            </w:r>
          </w:p>
        </w:tc>
        <w:tc>
          <w:tcPr>
            <w:tcW w:w="1124" w:type="pct"/>
            <w:shd w:val="clear" w:color="auto" w:fill="auto"/>
          </w:tcPr>
          <w:p w14:paraId="3B14B38A" w14:textId="77777777" w:rsidR="002E0E5F" w:rsidRDefault="002E0E5F" w:rsidP="002E0E5F">
            <w:pPr>
              <w:jc w:val="both"/>
              <w:rPr>
                <w:b/>
                <w:sz w:val="20"/>
                <w:szCs w:val="20"/>
              </w:rPr>
            </w:pPr>
            <w:r w:rsidRPr="00D70799">
              <w:rPr>
                <w:b/>
                <w:sz w:val="20"/>
                <w:szCs w:val="20"/>
              </w:rPr>
              <w:t>Ņemts vērā.</w:t>
            </w:r>
          </w:p>
          <w:p w14:paraId="5582FF03" w14:textId="59B3B94E" w:rsidR="002E0E5F" w:rsidRPr="005D75F3" w:rsidRDefault="002E0E5F" w:rsidP="002E0E5F">
            <w:pPr>
              <w:jc w:val="both"/>
              <w:rPr>
                <w:sz w:val="20"/>
                <w:szCs w:val="20"/>
              </w:rPr>
            </w:pPr>
            <w:r w:rsidRPr="005D75F3">
              <w:rPr>
                <w:sz w:val="20"/>
                <w:szCs w:val="20"/>
              </w:rPr>
              <w:t>Precizēta anotācijas redakcija</w:t>
            </w:r>
          </w:p>
        </w:tc>
        <w:tc>
          <w:tcPr>
            <w:tcW w:w="1075" w:type="pct"/>
            <w:shd w:val="clear" w:color="auto" w:fill="auto"/>
          </w:tcPr>
          <w:p w14:paraId="3D6A6A09" w14:textId="77777777" w:rsidR="002E0E5F" w:rsidRPr="005D75F3" w:rsidRDefault="002E0E5F" w:rsidP="002E0E5F">
            <w:pPr>
              <w:jc w:val="both"/>
              <w:rPr>
                <w:sz w:val="20"/>
                <w:szCs w:val="20"/>
              </w:rPr>
            </w:pPr>
            <w:r w:rsidRPr="005D75F3">
              <w:rPr>
                <w:sz w:val="20"/>
                <w:szCs w:val="20"/>
              </w:rPr>
              <w:t xml:space="preserve">Saskaņā ar Komisijas regulu Nr.480/2014 atbildīgā iestāde metodiskajos noteikumos par izmaksu-ieguvumu analīzes izstrādi 3.1.2.1.1. aktivitātes ietvaros ir noteikusi, ka 3.1.2.1.1. aktivitātes ietvaros pārskata periods ir 15 gadi, ja projekta ietvaros veikta ēku renovācija vai jaunas būves būvniecība. </w:t>
            </w:r>
          </w:p>
          <w:p w14:paraId="3672A7C6" w14:textId="77777777" w:rsidR="002E0E5F" w:rsidRPr="005D75F3" w:rsidRDefault="002E0E5F" w:rsidP="002E0E5F">
            <w:pPr>
              <w:jc w:val="both"/>
              <w:rPr>
                <w:sz w:val="20"/>
                <w:szCs w:val="20"/>
              </w:rPr>
            </w:pPr>
            <w:r w:rsidRPr="005D75F3">
              <w:rPr>
                <w:sz w:val="20"/>
                <w:szCs w:val="20"/>
              </w:rPr>
              <w:t xml:space="preserve">Vienlaikus jāņem vērā, ka projekta pārskata periods var būt īsāks par 15 gadiem, tajā skaitā šādos gadījumos: </w:t>
            </w:r>
          </w:p>
          <w:p w14:paraId="679B1BDD" w14:textId="77777777" w:rsidR="002E0E5F" w:rsidRPr="005D75F3" w:rsidRDefault="002E0E5F" w:rsidP="002E0E5F">
            <w:pPr>
              <w:jc w:val="both"/>
              <w:rPr>
                <w:sz w:val="20"/>
                <w:szCs w:val="20"/>
              </w:rPr>
            </w:pPr>
            <w:r w:rsidRPr="005D75F3">
              <w:rPr>
                <w:sz w:val="20"/>
                <w:szCs w:val="20"/>
              </w:rPr>
              <w:t>1. projekta ietvaros veiktas iekārtu iegādes vai izveide, bet nav veikta ēku renovācija vai jaunas būves būvniecība. Iekārtu iegādes gadījumā pārskata periods ir iekārtu amortizācijas laiks, kas atbilst Ministru kabineta 2018.gada 13.februāra noteikumu Nr.87 "Grāmatvedības uzskaites kārtība budžeta iestādēs" 2.pielikumā "Pamatlīdzekļu kategorijas, grupas un apakšgrupas nolietojuma normu noteikšanai" noteiktajām laikam (piemēram, lietderīgās lietošanas laiks tehnoloģiskām iekārtām, mēraparatūrai, regulēšanas ierīcēm, laboratoriju un medicīnas iekārtām – 10 gadi, datortehnikai – 5.gadi);</w:t>
            </w:r>
          </w:p>
          <w:p w14:paraId="4488CB52" w14:textId="77777777" w:rsidR="002E0E5F" w:rsidRPr="005D75F3" w:rsidRDefault="002E0E5F" w:rsidP="002E0E5F">
            <w:pPr>
              <w:jc w:val="both"/>
              <w:rPr>
                <w:sz w:val="20"/>
                <w:szCs w:val="20"/>
              </w:rPr>
            </w:pPr>
            <w:r w:rsidRPr="005D75F3">
              <w:rPr>
                <w:sz w:val="20"/>
                <w:szCs w:val="20"/>
              </w:rPr>
              <w:t>2. institūcijas likvidācijas gadījumā;</w:t>
            </w:r>
          </w:p>
          <w:p w14:paraId="1D7E06B6" w14:textId="4EECE10E" w:rsidR="002E0E5F" w:rsidRPr="00D70799" w:rsidRDefault="002E0E5F" w:rsidP="002E0E5F">
            <w:pPr>
              <w:jc w:val="both"/>
              <w:rPr>
                <w:sz w:val="20"/>
                <w:szCs w:val="20"/>
              </w:rPr>
            </w:pPr>
            <w:r w:rsidRPr="005D75F3">
              <w:rPr>
                <w:sz w:val="20"/>
                <w:szCs w:val="20"/>
              </w:rPr>
              <w:lastRenderedPageBreak/>
              <w:t>3. gadījumā, ja sadarbības iestādei nav tiesiska pamata nodrošināt projekta uzraudzību.</w:t>
            </w:r>
          </w:p>
        </w:tc>
      </w:tr>
      <w:tr w:rsidR="002E0E5F" w:rsidRPr="00D70799" w14:paraId="26E40846" w14:textId="77777777" w:rsidTr="00B4310A">
        <w:trPr>
          <w:trHeight w:val="274"/>
        </w:trPr>
        <w:tc>
          <w:tcPr>
            <w:tcW w:w="372" w:type="pct"/>
            <w:shd w:val="clear" w:color="auto" w:fill="FFFFFF" w:themeFill="background1"/>
          </w:tcPr>
          <w:p w14:paraId="59ECA68D" w14:textId="191E408A" w:rsidR="002E0E5F" w:rsidRPr="00D70799" w:rsidRDefault="002E0E5F" w:rsidP="002E0E5F">
            <w:pPr>
              <w:numPr>
                <w:ilvl w:val="0"/>
                <w:numId w:val="31"/>
              </w:numPr>
              <w:tabs>
                <w:tab w:val="center" w:pos="284"/>
              </w:tabs>
              <w:ind w:left="0" w:firstLine="0"/>
              <w:rPr>
                <w:sz w:val="20"/>
                <w:szCs w:val="20"/>
              </w:rPr>
            </w:pPr>
          </w:p>
        </w:tc>
        <w:tc>
          <w:tcPr>
            <w:tcW w:w="1053" w:type="pct"/>
            <w:shd w:val="clear" w:color="auto" w:fill="auto"/>
          </w:tcPr>
          <w:p w14:paraId="66BE5BA4" w14:textId="77777777" w:rsidR="002E0E5F" w:rsidRPr="00D70799" w:rsidRDefault="002E0E5F" w:rsidP="002E0E5F">
            <w:pPr>
              <w:pStyle w:val="ListParagraph"/>
              <w:ind w:left="0"/>
              <w:jc w:val="both"/>
              <w:rPr>
                <w:rFonts w:ascii="Times New Roman" w:hAnsi="Times New Roman"/>
                <w:sz w:val="20"/>
                <w:szCs w:val="20"/>
              </w:rPr>
            </w:pPr>
          </w:p>
        </w:tc>
        <w:tc>
          <w:tcPr>
            <w:tcW w:w="1376" w:type="pct"/>
            <w:shd w:val="clear" w:color="auto" w:fill="auto"/>
          </w:tcPr>
          <w:p w14:paraId="31694FC4" w14:textId="77777777" w:rsidR="002E0E5F" w:rsidRDefault="002E0E5F" w:rsidP="002E0E5F">
            <w:pPr>
              <w:pStyle w:val="Default"/>
              <w:adjustRightInd/>
              <w:jc w:val="both"/>
              <w:rPr>
                <w:b/>
                <w:color w:val="auto"/>
                <w:sz w:val="20"/>
                <w:szCs w:val="20"/>
              </w:rPr>
            </w:pPr>
            <w:r>
              <w:rPr>
                <w:b/>
                <w:color w:val="auto"/>
                <w:sz w:val="20"/>
                <w:szCs w:val="20"/>
              </w:rPr>
              <w:t>IEM:</w:t>
            </w:r>
          </w:p>
          <w:p w14:paraId="2FCE9C6A" w14:textId="3025D44B" w:rsidR="002E0E5F" w:rsidRPr="00D70799" w:rsidRDefault="002E0E5F" w:rsidP="002E0E5F">
            <w:pPr>
              <w:pStyle w:val="Default"/>
              <w:adjustRightInd/>
              <w:jc w:val="both"/>
              <w:rPr>
                <w:b/>
                <w:color w:val="auto"/>
                <w:sz w:val="20"/>
                <w:szCs w:val="20"/>
              </w:rPr>
            </w:pPr>
            <w:r w:rsidRPr="00DD7024">
              <w:rPr>
                <w:sz w:val="20"/>
                <w:szCs w:val="20"/>
              </w:rPr>
              <w:t>precizēt anotācijas III. sadaļas 1.-5.punktu, jo tajos norādītā informācija neatbilst 6.punktā norādītajai, un aizpildīt to atbilstoši Ministru kabineta 2009.gada 15.decembra instrukcijas Nr.19 “Tiesību akta projekta sākotnējās ietekmes izvērtēšanas kārtība” prasībām.</w:t>
            </w:r>
          </w:p>
        </w:tc>
        <w:tc>
          <w:tcPr>
            <w:tcW w:w="1124" w:type="pct"/>
            <w:shd w:val="clear" w:color="auto" w:fill="auto"/>
          </w:tcPr>
          <w:p w14:paraId="364DFCAA" w14:textId="77777777" w:rsidR="002E0E5F" w:rsidRDefault="002E0E5F" w:rsidP="002E0E5F">
            <w:pPr>
              <w:jc w:val="both"/>
              <w:rPr>
                <w:b/>
                <w:sz w:val="20"/>
                <w:szCs w:val="20"/>
              </w:rPr>
            </w:pPr>
            <w:r>
              <w:rPr>
                <w:b/>
                <w:sz w:val="20"/>
                <w:szCs w:val="20"/>
              </w:rPr>
              <w:t>Nav ņ</w:t>
            </w:r>
            <w:r w:rsidRPr="00D70799">
              <w:rPr>
                <w:b/>
                <w:sz w:val="20"/>
                <w:szCs w:val="20"/>
              </w:rPr>
              <w:t>emts vērā.</w:t>
            </w:r>
          </w:p>
          <w:p w14:paraId="24534F53" w14:textId="7B0C1FFD" w:rsidR="002E0E5F" w:rsidRPr="00D70799" w:rsidRDefault="002E0E5F" w:rsidP="002E0E5F">
            <w:pPr>
              <w:jc w:val="both"/>
              <w:rPr>
                <w:b/>
                <w:sz w:val="20"/>
                <w:szCs w:val="20"/>
              </w:rPr>
            </w:pPr>
            <w:r w:rsidRPr="002519FA">
              <w:rPr>
                <w:sz w:val="20"/>
                <w:szCs w:val="20"/>
              </w:rPr>
              <w:t xml:space="preserve">Skaidrojam, ka anotācijas </w:t>
            </w:r>
            <w:r>
              <w:rPr>
                <w:sz w:val="20"/>
                <w:szCs w:val="20"/>
              </w:rPr>
              <w:t xml:space="preserve">III. sadaļas </w:t>
            </w:r>
            <w:r w:rsidRPr="002519FA">
              <w:rPr>
                <w:sz w:val="20"/>
                <w:szCs w:val="20"/>
              </w:rPr>
              <w:t>1.-5. punktā sniegta informācija par izmaiņām, salīdzinot ar vidēja termiņa budžeta ietvaru, attiecībā uz 2021. gadu atbilstoši anotācijas pielikumā veiktajiem detalizētajiem aprēķiniem.</w:t>
            </w:r>
            <w:r>
              <w:rPr>
                <w:sz w:val="20"/>
                <w:szCs w:val="20"/>
              </w:rPr>
              <w:t xml:space="preserve"> III. sadaļas 6</w:t>
            </w:r>
            <w:r w:rsidRPr="002519FA">
              <w:rPr>
                <w:sz w:val="20"/>
                <w:szCs w:val="20"/>
              </w:rPr>
              <w:t>. punktā</w:t>
            </w:r>
            <w:r>
              <w:rPr>
                <w:sz w:val="20"/>
                <w:szCs w:val="20"/>
              </w:rPr>
              <w:t xml:space="preserve"> sniegtā informācija apliecina, ka 2019. un 2020. gadā nav ietekmes uz valsts budžetu.</w:t>
            </w:r>
          </w:p>
        </w:tc>
        <w:tc>
          <w:tcPr>
            <w:tcW w:w="1075" w:type="pct"/>
            <w:shd w:val="clear" w:color="auto" w:fill="auto"/>
          </w:tcPr>
          <w:p w14:paraId="2B16DB33" w14:textId="77777777" w:rsidR="002E0E5F" w:rsidRPr="00D70799" w:rsidRDefault="002E0E5F" w:rsidP="002E0E5F">
            <w:pPr>
              <w:jc w:val="both"/>
              <w:rPr>
                <w:sz w:val="20"/>
                <w:szCs w:val="20"/>
              </w:rPr>
            </w:pPr>
          </w:p>
        </w:tc>
      </w:tr>
      <w:tr w:rsidR="002E0E5F" w:rsidRPr="00D70799" w14:paraId="1D8E7CBD" w14:textId="77777777" w:rsidTr="009A1134">
        <w:trPr>
          <w:trHeight w:val="274"/>
        </w:trPr>
        <w:tc>
          <w:tcPr>
            <w:tcW w:w="5000" w:type="pct"/>
            <w:gridSpan w:val="5"/>
            <w:shd w:val="clear" w:color="auto" w:fill="FFFFFF" w:themeFill="background1"/>
          </w:tcPr>
          <w:p w14:paraId="22FEA1B6" w14:textId="379B5959" w:rsidR="002E0E5F" w:rsidRPr="00D70799" w:rsidRDefault="002E0E5F" w:rsidP="002E0E5F">
            <w:pPr>
              <w:jc w:val="both"/>
              <w:rPr>
                <w:sz w:val="20"/>
                <w:szCs w:val="20"/>
              </w:rPr>
            </w:pPr>
            <w:r>
              <w:rPr>
                <w:sz w:val="20"/>
                <w:szCs w:val="20"/>
              </w:rPr>
              <w:t xml:space="preserve">MK sēdes </w:t>
            </w:r>
            <w:proofErr w:type="spellStart"/>
            <w:r>
              <w:rPr>
                <w:sz w:val="20"/>
                <w:szCs w:val="20"/>
              </w:rPr>
              <w:t>protokollēmuma</w:t>
            </w:r>
            <w:proofErr w:type="spellEnd"/>
            <w:r>
              <w:rPr>
                <w:sz w:val="20"/>
                <w:szCs w:val="20"/>
              </w:rPr>
              <w:t xml:space="preserve"> projekts</w:t>
            </w:r>
          </w:p>
        </w:tc>
      </w:tr>
      <w:tr w:rsidR="002E0E5F" w:rsidRPr="00D70799" w14:paraId="5AC9AA2D" w14:textId="19D98856" w:rsidTr="00B4310A">
        <w:trPr>
          <w:trHeight w:val="274"/>
        </w:trPr>
        <w:tc>
          <w:tcPr>
            <w:tcW w:w="372" w:type="pct"/>
            <w:shd w:val="clear" w:color="auto" w:fill="FFFFFF" w:themeFill="background1"/>
          </w:tcPr>
          <w:p w14:paraId="07A8ED7A" w14:textId="77777777" w:rsidR="002E0E5F" w:rsidRPr="00D70799" w:rsidRDefault="002E0E5F" w:rsidP="002E0E5F">
            <w:pPr>
              <w:numPr>
                <w:ilvl w:val="0"/>
                <w:numId w:val="31"/>
              </w:numPr>
              <w:tabs>
                <w:tab w:val="center" w:pos="284"/>
              </w:tabs>
              <w:ind w:left="0" w:firstLine="0"/>
              <w:rPr>
                <w:sz w:val="20"/>
                <w:szCs w:val="20"/>
              </w:rPr>
            </w:pPr>
          </w:p>
        </w:tc>
        <w:tc>
          <w:tcPr>
            <w:tcW w:w="1053" w:type="pct"/>
            <w:shd w:val="clear" w:color="auto" w:fill="auto"/>
          </w:tcPr>
          <w:p w14:paraId="76AB0668" w14:textId="77777777" w:rsidR="002E0E5F" w:rsidRPr="00D70799" w:rsidRDefault="002E0E5F" w:rsidP="002E0E5F">
            <w:pPr>
              <w:pStyle w:val="ListParagraph"/>
              <w:ind w:left="0"/>
              <w:jc w:val="both"/>
              <w:rPr>
                <w:rFonts w:ascii="Times New Roman" w:hAnsi="Times New Roman"/>
                <w:sz w:val="20"/>
                <w:szCs w:val="20"/>
              </w:rPr>
            </w:pPr>
          </w:p>
        </w:tc>
        <w:tc>
          <w:tcPr>
            <w:tcW w:w="1376" w:type="pct"/>
            <w:shd w:val="clear" w:color="auto" w:fill="auto"/>
          </w:tcPr>
          <w:p w14:paraId="78994476" w14:textId="77777777" w:rsidR="002E0E5F" w:rsidRDefault="002E0E5F" w:rsidP="002E0E5F">
            <w:pPr>
              <w:pStyle w:val="Default"/>
              <w:adjustRightInd/>
              <w:jc w:val="both"/>
              <w:rPr>
                <w:b/>
                <w:color w:val="auto"/>
                <w:sz w:val="20"/>
                <w:szCs w:val="20"/>
              </w:rPr>
            </w:pPr>
            <w:proofErr w:type="spellStart"/>
            <w:r>
              <w:rPr>
                <w:b/>
                <w:color w:val="auto"/>
                <w:sz w:val="20"/>
                <w:szCs w:val="20"/>
              </w:rPr>
              <w:t>Iekšlietu</w:t>
            </w:r>
            <w:proofErr w:type="spellEnd"/>
            <w:r>
              <w:rPr>
                <w:b/>
                <w:color w:val="auto"/>
                <w:sz w:val="20"/>
                <w:szCs w:val="20"/>
              </w:rPr>
              <w:t xml:space="preserve"> ministrija (IEM)</w:t>
            </w:r>
          </w:p>
          <w:p w14:paraId="1A21C09D" w14:textId="2AE46D7C" w:rsidR="002E0E5F" w:rsidRPr="00D70799" w:rsidRDefault="002E0E5F" w:rsidP="002E0E5F">
            <w:pPr>
              <w:jc w:val="both"/>
              <w:rPr>
                <w:b/>
                <w:sz w:val="20"/>
                <w:szCs w:val="20"/>
              </w:rPr>
            </w:pPr>
            <w:r w:rsidRPr="00DD7024">
              <w:rPr>
                <w:sz w:val="20"/>
                <w:szCs w:val="20"/>
              </w:rPr>
              <w:t xml:space="preserve">1. aizstāt </w:t>
            </w:r>
            <w:proofErr w:type="spellStart"/>
            <w:r w:rsidRPr="00DD7024">
              <w:rPr>
                <w:sz w:val="20"/>
                <w:szCs w:val="20"/>
              </w:rPr>
              <w:t>protokollēmuma</w:t>
            </w:r>
            <w:proofErr w:type="spellEnd"/>
            <w:r w:rsidRPr="00DD7024">
              <w:rPr>
                <w:sz w:val="20"/>
                <w:szCs w:val="20"/>
              </w:rPr>
              <w:t xml:space="preserve"> projekta 2.2.apakšpunktā vārdu “projekta” ar vārdiem ”likumprojekta un vidēja termiņa budžeta ietvara likumprojekta”;</w:t>
            </w:r>
          </w:p>
        </w:tc>
        <w:tc>
          <w:tcPr>
            <w:tcW w:w="1124" w:type="pct"/>
            <w:shd w:val="clear" w:color="auto" w:fill="auto"/>
          </w:tcPr>
          <w:p w14:paraId="44F9DE8D" w14:textId="77777777" w:rsidR="002E0E5F" w:rsidRPr="00D70799" w:rsidRDefault="002E0E5F" w:rsidP="002E0E5F">
            <w:pPr>
              <w:jc w:val="both"/>
              <w:rPr>
                <w:b/>
                <w:sz w:val="20"/>
                <w:szCs w:val="20"/>
              </w:rPr>
            </w:pPr>
            <w:r>
              <w:rPr>
                <w:b/>
                <w:sz w:val="20"/>
                <w:szCs w:val="20"/>
              </w:rPr>
              <w:t>Ņ</w:t>
            </w:r>
            <w:r w:rsidRPr="00D70799">
              <w:rPr>
                <w:b/>
                <w:sz w:val="20"/>
                <w:szCs w:val="20"/>
              </w:rPr>
              <w:t>emts vērā.</w:t>
            </w:r>
          </w:p>
          <w:p w14:paraId="0AB19C66" w14:textId="40DB9AEB" w:rsidR="002E0E5F" w:rsidRPr="00D70799" w:rsidRDefault="002E0E5F" w:rsidP="002E0E5F">
            <w:pPr>
              <w:jc w:val="both"/>
              <w:rPr>
                <w:sz w:val="20"/>
                <w:szCs w:val="20"/>
              </w:rPr>
            </w:pPr>
            <w:r>
              <w:rPr>
                <w:sz w:val="20"/>
                <w:szCs w:val="20"/>
              </w:rPr>
              <w:t xml:space="preserve">Vārds „projekta” aizstāts ar vārdu „likumprojekta </w:t>
            </w:r>
            <w:r w:rsidRPr="00DD7024">
              <w:rPr>
                <w:sz w:val="20"/>
                <w:szCs w:val="20"/>
              </w:rPr>
              <w:t>un vidēja termiņa budžeta ietvara likumprojekta</w:t>
            </w:r>
            <w:r>
              <w:rPr>
                <w:sz w:val="20"/>
                <w:szCs w:val="20"/>
              </w:rPr>
              <w:t>”.</w:t>
            </w:r>
          </w:p>
        </w:tc>
        <w:tc>
          <w:tcPr>
            <w:tcW w:w="1075" w:type="pct"/>
            <w:shd w:val="clear" w:color="auto" w:fill="auto"/>
          </w:tcPr>
          <w:p w14:paraId="49500E9A" w14:textId="6C474290" w:rsidR="002E0E5F" w:rsidRPr="00D70799" w:rsidRDefault="002E0E5F" w:rsidP="002E0E5F">
            <w:pPr>
              <w:jc w:val="both"/>
              <w:rPr>
                <w:sz w:val="20"/>
                <w:szCs w:val="20"/>
              </w:rPr>
            </w:pPr>
          </w:p>
        </w:tc>
      </w:tr>
      <w:tr w:rsidR="002E0E5F" w:rsidRPr="00D70799" w14:paraId="700DDE98" w14:textId="77777777" w:rsidTr="009A1134">
        <w:trPr>
          <w:trHeight w:val="274"/>
        </w:trPr>
        <w:tc>
          <w:tcPr>
            <w:tcW w:w="5000" w:type="pct"/>
            <w:gridSpan w:val="5"/>
            <w:shd w:val="clear" w:color="auto" w:fill="FFFFFF" w:themeFill="background1"/>
          </w:tcPr>
          <w:p w14:paraId="0F0C9070" w14:textId="01095BFA" w:rsidR="002E0E5F" w:rsidRPr="00D70799" w:rsidRDefault="002E0E5F" w:rsidP="002E0E5F">
            <w:pPr>
              <w:jc w:val="both"/>
              <w:rPr>
                <w:sz w:val="20"/>
                <w:szCs w:val="20"/>
              </w:rPr>
            </w:pPr>
            <w:r w:rsidRPr="00D70799">
              <w:rPr>
                <w:sz w:val="20"/>
                <w:szCs w:val="20"/>
              </w:rPr>
              <w:t>Priekšlikumi.</w:t>
            </w:r>
          </w:p>
        </w:tc>
      </w:tr>
      <w:tr w:rsidR="002E0E5F" w:rsidRPr="00D70799" w14:paraId="2F63AACE" w14:textId="77777777" w:rsidTr="00B4310A">
        <w:trPr>
          <w:trHeight w:val="274"/>
        </w:trPr>
        <w:tc>
          <w:tcPr>
            <w:tcW w:w="372" w:type="pct"/>
            <w:shd w:val="clear" w:color="auto" w:fill="FFFFFF" w:themeFill="background1"/>
          </w:tcPr>
          <w:p w14:paraId="22205A93" w14:textId="77777777" w:rsidR="002E0E5F" w:rsidRPr="00D70799" w:rsidRDefault="002E0E5F" w:rsidP="002E0E5F">
            <w:pPr>
              <w:numPr>
                <w:ilvl w:val="0"/>
                <w:numId w:val="31"/>
              </w:numPr>
              <w:tabs>
                <w:tab w:val="center" w:pos="284"/>
              </w:tabs>
              <w:ind w:left="0" w:firstLine="0"/>
              <w:rPr>
                <w:sz w:val="20"/>
                <w:szCs w:val="20"/>
              </w:rPr>
            </w:pPr>
          </w:p>
        </w:tc>
        <w:tc>
          <w:tcPr>
            <w:tcW w:w="1053" w:type="pct"/>
            <w:vMerge w:val="restart"/>
            <w:shd w:val="clear" w:color="auto" w:fill="auto"/>
          </w:tcPr>
          <w:p w14:paraId="4340DF5A" w14:textId="77777777" w:rsidR="002E0E5F" w:rsidRPr="00D70799" w:rsidRDefault="002E0E5F" w:rsidP="002E0E5F">
            <w:pPr>
              <w:jc w:val="both"/>
              <w:rPr>
                <w:sz w:val="20"/>
                <w:szCs w:val="20"/>
              </w:rPr>
            </w:pPr>
            <w:r w:rsidRPr="00D70799">
              <w:rPr>
                <w:sz w:val="20"/>
                <w:szCs w:val="20"/>
              </w:rPr>
              <w:t>21.</w:t>
            </w:r>
            <w:r w:rsidRPr="00D70799">
              <w:rPr>
                <w:sz w:val="20"/>
                <w:szCs w:val="20"/>
                <w:vertAlign w:val="superscript"/>
              </w:rPr>
              <w:t>1</w:t>
            </w:r>
            <w:r w:rsidRPr="00D70799">
              <w:rPr>
                <w:sz w:val="20"/>
                <w:szCs w:val="20"/>
              </w:rPr>
              <w:t> 2. ierobežotas jomas darbība – augstākās izglītības institūcijas vai infrastruktūras saimnieciskā pamatdarbība, kas atbilst šādiem kritērijiem:</w:t>
            </w:r>
          </w:p>
          <w:p w14:paraId="6BAF8752" w14:textId="77777777" w:rsidR="002E0E5F" w:rsidRPr="00D70799" w:rsidRDefault="002E0E5F" w:rsidP="002E0E5F">
            <w:pPr>
              <w:jc w:val="both"/>
              <w:rPr>
                <w:sz w:val="20"/>
                <w:szCs w:val="20"/>
              </w:rPr>
            </w:pPr>
            <w:r w:rsidRPr="00D70799">
              <w:rPr>
                <w:sz w:val="20"/>
                <w:szCs w:val="20"/>
              </w:rPr>
              <w:t>21.</w:t>
            </w:r>
            <w:r w:rsidRPr="00D70799">
              <w:rPr>
                <w:sz w:val="20"/>
                <w:szCs w:val="20"/>
                <w:vertAlign w:val="superscript"/>
              </w:rPr>
              <w:t>1</w:t>
            </w:r>
            <w:r w:rsidRPr="00D70799">
              <w:rPr>
                <w:sz w:val="20"/>
                <w:szCs w:val="20"/>
              </w:rPr>
              <w:t> 2.1. ir tieši saistīta ar augstākās izglītības institūcijas vai infrastruktūras darbību un izmantošanu ar saimniecisku darbību nesaistītā jomā;</w:t>
            </w:r>
          </w:p>
          <w:p w14:paraId="47E74C4D" w14:textId="77777777" w:rsidR="002E0E5F" w:rsidRPr="00D70799" w:rsidRDefault="002E0E5F" w:rsidP="002E0E5F">
            <w:pPr>
              <w:ind w:firstLine="720"/>
              <w:jc w:val="both"/>
              <w:rPr>
                <w:sz w:val="20"/>
                <w:szCs w:val="20"/>
              </w:rPr>
            </w:pPr>
            <w:r w:rsidRPr="00D70799">
              <w:rPr>
                <w:sz w:val="20"/>
                <w:szCs w:val="20"/>
              </w:rPr>
              <w:t>21.</w:t>
            </w:r>
            <w:r w:rsidRPr="00D70799">
              <w:rPr>
                <w:sz w:val="20"/>
                <w:szCs w:val="20"/>
                <w:vertAlign w:val="superscript"/>
              </w:rPr>
              <w:t>1</w:t>
            </w:r>
            <w:r w:rsidRPr="00D70799">
              <w:rPr>
                <w:sz w:val="20"/>
                <w:szCs w:val="20"/>
              </w:rPr>
              <w:t> 2.2. tai tiek patērēti tādi paši resursi (piemēram, materiāli, aprīkojums, darbaspēks un pamatkapitāls) kā ar saimniecisku darbību nesaistītai pamatdarbībai;</w:t>
            </w:r>
          </w:p>
          <w:p w14:paraId="0E88F359" w14:textId="77777777" w:rsidR="002E0E5F" w:rsidRPr="00D70799" w:rsidRDefault="002E0E5F" w:rsidP="002E0E5F">
            <w:pPr>
              <w:jc w:val="both"/>
              <w:rPr>
                <w:sz w:val="20"/>
                <w:szCs w:val="20"/>
              </w:rPr>
            </w:pPr>
            <w:bookmarkStart w:id="3" w:name="_Ref402250754"/>
            <w:r w:rsidRPr="00D70799">
              <w:rPr>
                <w:sz w:val="20"/>
                <w:szCs w:val="20"/>
              </w:rPr>
              <w:t>21.</w:t>
            </w:r>
            <w:r w:rsidRPr="00D70799">
              <w:rPr>
                <w:sz w:val="20"/>
                <w:szCs w:val="20"/>
                <w:vertAlign w:val="superscript"/>
              </w:rPr>
              <w:t>1</w:t>
            </w:r>
            <w:r w:rsidRPr="00D70799">
              <w:rPr>
                <w:sz w:val="20"/>
                <w:szCs w:val="20"/>
              </w:rPr>
              <w:t xml:space="preserve"> 2.3. katru gadu iedalītā jauda finanšu izteiksmē nepārsniedz 20 procentus no infrastruktūras kopējās gada </w:t>
            </w:r>
            <w:bookmarkEnd w:id="3"/>
            <w:r w:rsidRPr="00D70799">
              <w:rPr>
                <w:sz w:val="20"/>
                <w:szCs w:val="20"/>
              </w:rPr>
              <w:t xml:space="preserve">jaudas finanšu </w:t>
            </w:r>
            <w:r w:rsidRPr="00D70799">
              <w:rPr>
                <w:sz w:val="20"/>
                <w:szCs w:val="20"/>
              </w:rPr>
              <w:lastRenderedPageBreak/>
              <w:t>izteiksmē. J</w:t>
            </w:r>
            <w:r w:rsidRPr="00D70799">
              <w:rPr>
                <w:sz w:val="20"/>
                <w:szCs w:val="20"/>
                <w:lang w:eastAsia="en-US"/>
              </w:rPr>
              <w:t xml:space="preserve">a kādā no kalendāra gadiem projekta pārskata (dzīves cikla) periodā ierobežotas jomas darbībai </w:t>
            </w:r>
            <w:r w:rsidRPr="00D70799">
              <w:rPr>
                <w:sz w:val="20"/>
                <w:szCs w:val="20"/>
              </w:rPr>
              <w:t>iedalītā jauda finanšu izteiksmē pārsniedz 20 procentus no infrastruktūras kopējās gada jaudas</w:t>
            </w:r>
            <w:r w:rsidRPr="00D70799">
              <w:rPr>
                <w:sz w:val="20"/>
                <w:szCs w:val="20"/>
                <w:lang w:eastAsia="en-US"/>
              </w:rPr>
              <w:t>, finansējuma saņēmējam piemēro šo noteikumu 7.14. apakšpunktā minēto publiskā finansējuma atgūšanas mehānismu</w:t>
            </w:r>
            <w:r w:rsidRPr="00D70799">
              <w:rPr>
                <w:sz w:val="20"/>
                <w:szCs w:val="20"/>
              </w:rPr>
              <w:t>".</w:t>
            </w:r>
          </w:p>
          <w:p w14:paraId="6D4A54A9" w14:textId="77777777" w:rsidR="002E0E5F" w:rsidRPr="00D70799" w:rsidRDefault="002E0E5F" w:rsidP="002E0E5F">
            <w:pPr>
              <w:jc w:val="both"/>
              <w:rPr>
                <w:sz w:val="20"/>
                <w:szCs w:val="20"/>
              </w:rPr>
            </w:pPr>
          </w:p>
          <w:p w14:paraId="4E3F7CD6" w14:textId="36EC6530" w:rsidR="002E0E5F" w:rsidRPr="00D70799" w:rsidRDefault="002E0E5F" w:rsidP="002E0E5F">
            <w:pPr>
              <w:pStyle w:val="ListParagraph"/>
              <w:ind w:left="0"/>
              <w:jc w:val="both"/>
              <w:rPr>
                <w:rFonts w:ascii="Times New Roman" w:hAnsi="Times New Roman"/>
                <w:sz w:val="20"/>
                <w:szCs w:val="20"/>
              </w:rPr>
            </w:pPr>
            <w:r w:rsidRPr="00D70799">
              <w:rPr>
                <w:rFonts w:ascii="Times New Roman" w:hAnsi="Times New Roman"/>
                <w:sz w:val="20"/>
                <w:szCs w:val="20"/>
              </w:rPr>
              <w:t>21.</w:t>
            </w:r>
            <w:r w:rsidRPr="00D70799">
              <w:rPr>
                <w:rFonts w:ascii="Times New Roman" w:hAnsi="Times New Roman"/>
                <w:sz w:val="20"/>
                <w:szCs w:val="20"/>
                <w:vertAlign w:val="superscript"/>
              </w:rPr>
              <w:t>4</w:t>
            </w:r>
            <w:r w:rsidRPr="00D70799">
              <w:rPr>
                <w:rFonts w:ascii="Times New Roman" w:hAnsi="Times New Roman"/>
                <w:sz w:val="20"/>
                <w:szCs w:val="20"/>
              </w:rPr>
              <w:t> Ja projekta ietvaros iegādātu ilgtermiņa ieguldījumu projekta pārskata (dzīves cikla) periodā izmanto saimnieciskai darbībai, pārsniedzot šo noteikumu 21.</w:t>
            </w:r>
            <w:r w:rsidRPr="00D70799">
              <w:rPr>
                <w:rFonts w:ascii="Times New Roman" w:hAnsi="Times New Roman"/>
                <w:sz w:val="20"/>
                <w:szCs w:val="20"/>
                <w:vertAlign w:val="superscript"/>
              </w:rPr>
              <w:t>1</w:t>
            </w:r>
            <w:r w:rsidRPr="00D70799">
              <w:rPr>
                <w:rFonts w:ascii="Times New Roman" w:hAnsi="Times New Roman"/>
                <w:sz w:val="20"/>
                <w:szCs w:val="20"/>
              </w:rPr>
              <w:t> 2.3. apakšpunktā minēto ierobežotas jomas darbībai iedalītās jaudas apmēru, atbilstoši šo noteikumu 7.14. apakšpunktā minētajam publiskā finansējuma uzraudzības un atgūšanas mehānismam piemēro proporcionālu publiskā finansējuma samazinājumu (korekciju).</w:t>
            </w:r>
          </w:p>
        </w:tc>
        <w:tc>
          <w:tcPr>
            <w:tcW w:w="1376" w:type="pct"/>
            <w:shd w:val="clear" w:color="auto" w:fill="auto"/>
          </w:tcPr>
          <w:p w14:paraId="529F3712" w14:textId="77777777" w:rsidR="002E0E5F" w:rsidRPr="00D70799" w:rsidRDefault="002E0E5F" w:rsidP="002E0E5F">
            <w:pPr>
              <w:pStyle w:val="Default"/>
              <w:adjustRightInd/>
              <w:jc w:val="both"/>
              <w:rPr>
                <w:b/>
                <w:color w:val="auto"/>
                <w:sz w:val="20"/>
                <w:szCs w:val="20"/>
              </w:rPr>
            </w:pPr>
            <w:r w:rsidRPr="00D70799">
              <w:rPr>
                <w:b/>
                <w:color w:val="auto"/>
                <w:sz w:val="20"/>
                <w:szCs w:val="20"/>
              </w:rPr>
              <w:lastRenderedPageBreak/>
              <w:t>FM:</w:t>
            </w:r>
          </w:p>
          <w:p w14:paraId="74A509DC" w14:textId="78000085" w:rsidR="002E0E5F" w:rsidRPr="00D70799" w:rsidRDefault="002E0E5F" w:rsidP="002E0E5F">
            <w:pPr>
              <w:pStyle w:val="Default"/>
              <w:adjustRightInd/>
              <w:jc w:val="both"/>
              <w:rPr>
                <w:color w:val="auto"/>
                <w:sz w:val="20"/>
                <w:szCs w:val="20"/>
              </w:rPr>
            </w:pPr>
            <w:r w:rsidRPr="00D70799">
              <w:rPr>
                <w:color w:val="auto"/>
                <w:sz w:val="20"/>
                <w:szCs w:val="20"/>
              </w:rPr>
              <w:t>Lūdzam precizēt noteikumu projekta 3.punktā piedāvāto MK noteikumu Nr.265 21.</w:t>
            </w:r>
            <w:r w:rsidRPr="00D70799">
              <w:rPr>
                <w:color w:val="auto"/>
                <w:sz w:val="20"/>
                <w:szCs w:val="20"/>
                <w:vertAlign w:val="superscript"/>
              </w:rPr>
              <w:t>1</w:t>
            </w:r>
            <w:r w:rsidRPr="00D70799">
              <w:rPr>
                <w:color w:val="auto"/>
                <w:sz w:val="20"/>
                <w:szCs w:val="20"/>
              </w:rPr>
              <w:t>2. un 21.</w:t>
            </w:r>
            <w:r w:rsidRPr="00D70799">
              <w:rPr>
                <w:color w:val="auto"/>
                <w:sz w:val="20"/>
                <w:szCs w:val="20"/>
                <w:vertAlign w:val="superscript"/>
              </w:rPr>
              <w:t>1</w:t>
            </w:r>
            <w:r w:rsidRPr="00D70799">
              <w:rPr>
                <w:color w:val="auto"/>
                <w:sz w:val="20"/>
                <w:szCs w:val="20"/>
              </w:rPr>
              <w:t>2.1.apakšpunktu redakciju, ņemot vērā, ka infrastruktūra nevar veikt darbību, bet augstākās izglītības institūcija var izmantot infrastruktūru darbības veikšanai. Attiecīgi lūdzam precizēt arī anotāciju.</w:t>
            </w:r>
          </w:p>
        </w:tc>
        <w:tc>
          <w:tcPr>
            <w:tcW w:w="1124" w:type="pct"/>
            <w:shd w:val="clear" w:color="auto" w:fill="auto"/>
          </w:tcPr>
          <w:p w14:paraId="5B4836A3" w14:textId="77777777" w:rsidR="002E0E5F" w:rsidRPr="00D70799" w:rsidRDefault="002E0E5F" w:rsidP="002E0E5F">
            <w:pPr>
              <w:jc w:val="both"/>
              <w:rPr>
                <w:b/>
                <w:sz w:val="20"/>
                <w:szCs w:val="20"/>
              </w:rPr>
            </w:pPr>
            <w:r w:rsidRPr="00D70799">
              <w:rPr>
                <w:b/>
                <w:sz w:val="20"/>
                <w:szCs w:val="20"/>
              </w:rPr>
              <w:t>Ņemts vērā.</w:t>
            </w:r>
          </w:p>
          <w:p w14:paraId="7A78413E" w14:textId="1ECB83E0" w:rsidR="002E0E5F" w:rsidRPr="00D70799" w:rsidRDefault="002E0E5F" w:rsidP="002E0E5F">
            <w:pPr>
              <w:jc w:val="both"/>
              <w:rPr>
                <w:b/>
                <w:sz w:val="20"/>
                <w:szCs w:val="20"/>
              </w:rPr>
            </w:pPr>
            <w:r w:rsidRPr="00D70799">
              <w:rPr>
                <w:color w:val="000000"/>
                <w:sz w:val="20"/>
                <w:szCs w:val="20"/>
                <w:shd w:val="clear" w:color="auto" w:fill="FFFFFF"/>
              </w:rPr>
              <w:t>darbība ir tieši saistīta ar infrastruktūras ekspluatāciju un tai nepieciešama vai nesaraujami saistīta ar tās galveno nesaimniecisko izmantojumu. Šis nosacījums būtu uzskatāms par izpildītu, ja saimnieciskajai darbībai patērē tos pašus resursus kā pamata nesaimnieciskajai darbībai, piemēram, tos pašus materiālus, iekārtas, darbaspēku vai pamatkapitālu. Papildinošās saimnieciskās darbības apjomam ir jāpaliek ierobežotam attiecībā pret infrastruktūras jaudu</w:t>
            </w:r>
          </w:p>
        </w:tc>
        <w:tc>
          <w:tcPr>
            <w:tcW w:w="1075" w:type="pct"/>
            <w:vMerge w:val="restart"/>
            <w:shd w:val="clear" w:color="auto" w:fill="auto"/>
          </w:tcPr>
          <w:p w14:paraId="60E44803" w14:textId="1FA33755" w:rsidR="002E0E5F" w:rsidRPr="00E27E38" w:rsidRDefault="002E0E5F" w:rsidP="002E0E5F">
            <w:pPr>
              <w:jc w:val="both"/>
              <w:rPr>
                <w:sz w:val="20"/>
                <w:szCs w:val="20"/>
              </w:rPr>
            </w:pPr>
            <w:r w:rsidRPr="00E27E38">
              <w:rPr>
                <w:sz w:val="20"/>
                <w:szCs w:val="20"/>
              </w:rPr>
              <w:t>21.</w:t>
            </w:r>
            <w:r w:rsidRPr="00E27E38">
              <w:rPr>
                <w:sz w:val="20"/>
                <w:szCs w:val="20"/>
                <w:vertAlign w:val="superscript"/>
              </w:rPr>
              <w:t>1</w:t>
            </w:r>
            <w:r w:rsidRPr="00E27E38">
              <w:rPr>
                <w:sz w:val="20"/>
                <w:szCs w:val="20"/>
              </w:rPr>
              <w:t xml:space="preserve"> Lai atbalsts projekta īstenošanai netiktu kvalificēts kā komercdarbības atbalsts, projekta ietvaros modernizēto infrastruktūru </w:t>
            </w:r>
            <w:r w:rsidR="00730719">
              <w:rPr>
                <w:sz w:val="20"/>
                <w:szCs w:val="20"/>
              </w:rPr>
              <w:t>tās amortizācijas</w:t>
            </w:r>
            <w:r w:rsidRPr="00E27E38">
              <w:rPr>
                <w:sz w:val="20"/>
                <w:szCs w:val="20"/>
              </w:rPr>
              <w:t xml:space="preserve"> periodā izmanto šādu darbību īstenošanai: </w:t>
            </w:r>
          </w:p>
          <w:p w14:paraId="30AB78C0" w14:textId="77777777" w:rsidR="002E0E5F" w:rsidRPr="00E27E38" w:rsidRDefault="002E0E5F" w:rsidP="002E0E5F">
            <w:pPr>
              <w:jc w:val="both"/>
              <w:rPr>
                <w:sz w:val="20"/>
                <w:szCs w:val="20"/>
              </w:rPr>
            </w:pPr>
            <w:r w:rsidRPr="00E27E38">
              <w:rPr>
                <w:sz w:val="20"/>
                <w:szCs w:val="20"/>
              </w:rPr>
              <w:t>21.</w:t>
            </w:r>
            <w:r w:rsidRPr="00E27E38">
              <w:rPr>
                <w:sz w:val="20"/>
                <w:szCs w:val="20"/>
                <w:vertAlign w:val="superscript"/>
              </w:rPr>
              <w:t>1</w:t>
            </w:r>
            <w:r w:rsidRPr="00E27E38">
              <w:rPr>
                <w:sz w:val="20"/>
                <w:szCs w:val="20"/>
              </w:rPr>
              <w:t> 1. ar saimniecisku darbību nesaistīta pamatdarbība – augstākās izglītības institūcijas pamatdarbība, kura neietilpst Līguma par Eiropas Savienības darbību 107.panta 1.punktā noteiktajā darbības jomā;</w:t>
            </w:r>
          </w:p>
          <w:p w14:paraId="3D44398A" w14:textId="77777777" w:rsidR="002E0E5F" w:rsidRPr="00E27E38" w:rsidRDefault="002E0E5F" w:rsidP="002E0E5F">
            <w:pPr>
              <w:jc w:val="both"/>
              <w:rPr>
                <w:sz w:val="20"/>
                <w:szCs w:val="20"/>
              </w:rPr>
            </w:pPr>
            <w:r w:rsidRPr="00E27E38">
              <w:rPr>
                <w:sz w:val="20"/>
                <w:szCs w:val="20"/>
              </w:rPr>
              <w:t>21.</w:t>
            </w:r>
            <w:r w:rsidRPr="00E27E38">
              <w:rPr>
                <w:sz w:val="20"/>
                <w:szCs w:val="20"/>
                <w:vertAlign w:val="superscript"/>
              </w:rPr>
              <w:t>1</w:t>
            </w:r>
            <w:r w:rsidRPr="00E27E38">
              <w:rPr>
                <w:sz w:val="20"/>
                <w:szCs w:val="20"/>
              </w:rPr>
              <w:t> 2.  saimnieciska rakstura darbības, ja tās atbilst šādiem kritērijiem:</w:t>
            </w:r>
          </w:p>
          <w:p w14:paraId="7D602A29" w14:textId="77777777" w:rsidR="002E0E5F" w:rsidRPr="00E27E38" w:rsidRDefault="002E0E5F" w:rsidP="002E0E5F">
            <w:pPr>
              <w:jc w:val="both"/>
              <w:rPr>
                <w:sz w:val="20"/>
                <w:szCs w:val="20"/>
                <w:lang w:eastAsia="en-US"/>
              </w:rPr>
            </w:pPr>
            <w:r w:rsidRPr="00E27E38">
              <w:rPr>
                <w:sz w:val="20"/>
                <w:szCs w:val="20"/>
              </w:rPr>
              <w:t>21.</w:t>
            </w:r>
            <w:r w:rsidRPr="00E27E38">
              <w:rPr>
                <w:sz w:val="20"/>
                <w:szCs w:val="20"/>
                <w:vertAlign w:val="superscript"/>
              </w:rPr>
              <w:t>1</w:t>
            </w:r>
            <w:r w:rsidRPr="00E27E38">
              <w:rPr>
                <w:sz w:val="20"/>
                <w:szCs w:val="20"/>
              </w:rPr>
              <w:t xml:space="preserve"> 2.1. papildinoša saimnieciskā darbība, ja tā ir tieši saistīta ar infrastruktūras ekspluatāciju un izmantošanu ar saimniecisku darbību nesaistītā augstākās </w:t>
            </w:r>
            <w:r w:rsidRPr="00E27E38">
              <w:rPr>
                <w:sz w:val="20"/>
                <w:szCs w:val="20"/>
              </w:rPr>
              <w:lastRenderedPageBreak/>
              <w:t>izglītības institūcijas pamatdarbības jomā, tai tiek patērēti tādi paši resursi (piemēram, materiāli, aprīkojums, darbaspēks un pamatkapitāls) kā ar saimniecisku darbību nesaistītai pamatdarbībai un katru gadu iedalītā jauda finanšu izteiksmē nepārsniedz 20 procentus no infrastruktūras kopējās gada jaudas finanšu izteiksmē</w:t>
            </w:r>
            <w:r w:rsidRPr="00E27E38">
              <w:rPr>
                <w:sz w:val="20"/>
                <w:szCs w:val="20"/>
                <w:lang w:eastAsia="en-US"/>
              </w:rPr>
              <w:t>;</w:t>
            </w:r>
          </w:p>
          <w:p w14:paraId="726BDF55" w14:textId="6D3E6E96" w:rsidR="002E0E5F" w:rsidRPr="00E27E38" w:rsidRDefault="002E0E5F" w:rsidP="002E0E5F">
            <w:pPr>
              <w:jc w:val="both"/>
              <w:rPr>
                <w:sz w:val="20"/>
                <w:szCs w:val="20"/>
              </w:rPr>
            </w:pPr>
            <w:r w:rsidRPr="00E27E38">
              <w:rPr>
                <w:sz w:val="20"/>
                <w:szCs w:val="20"/>
              </w:rPr>
              <w:t>21.</w:t>
            </w:r>
            <w:r w:rsidRPr="00E27E38">
              <w:rPr>
                <w:sz w:val="20"/>
                <w:szCs w:val="20"/>
                <w:vertAlign w:val="superscript"/>
              </w:rPr>
              <w:t>1</w:t>
            </w:r>
            <w:r w:rsidRPr="00E27E38">
              <w:rPr>
                <w:sz w:val="20"/>
                <w:szCs w:val="20"/>
              </w:rPr>
              <w:t> 2.2. parastie papildpakalpojumi infrastruktūrā, ja pakalpojumus galvenokārt izmanto nesaimnieciskajai pamatdarbībai un tie neietekmē tirdzniecību starp Eiropas Savienības dalībvalstīm (pakalpojumiem ir vietējs raksturs).</w:t>
            </w:r>
          </w:p>
        </w:tc>
      </w:tr>
      <w:tr w:rsidR="002E0E5F" w:rsidRPr="00D70799" w14:paraId="127A1D53" w14:textId="77777777" w:rsidTr="00B4310A">
        <w:trPr>
          <w:trHeight w:val="274"/>
        </w:trPr>
        <w:tc>
          <w:tcPr>
            <w:tcW w:w="372" w:type="pct"/>
            <w:shd w:val="clear" w:color="auto" w:fill="FFFFFF" w:themeFill="background1"/>
          </w:tcPr>
          <w:p w14:paraId="6E5C8CBC" w14:textId="41109265" w:rsidR="002E0E5F" w:rsidRPr="00D70799" w:rsidRDefault="002E0E5F" w:rsidP="002E0E5F">
            <w:pPr>
              <w:numPr>
                <w:ilvl w:val="0"/>
                <w:numId w:val="31"/>
              </w:numPr>
              <w:tabs>
                <w:tab w:val="center" w:pos="284"/>
              </w:tabs>
              <w:ind w:left="0" w:firstLine="0"/>
              <w:rPr>
                <w:sz w:val="20"/>
                <w:szCs w:val="20"/>
              </w:rPr>
            </w:pPr>
          </w:p>
        </w:tc>
        <w:tc>
          <w:tcPr>
            <w:tcW w:w="1053" w:type="pct"/>
            <w:vMerge/>
            <w:shd w:val="clear" w:color="auto" w:fill="auto"/>
          </w:tcPr>
          <w:p w14:paraId="6F900606" w14:textId="74417741" w:rsidR="002E0E5F" w:rsidRPr="00D70799" w:rsidRDefault="002E0E5F" w:rsidP="002E0E5F">
            <w:pPr>
              <w:pStyle w:val="ListParagraph"/>
              <w:ind w:left="0" w:firstLine="709"/>
              <w:jc w:val="both"/>
              <w:rPr>
                <w:rFonts w:ascii="Times New Roman" w:hAnsi="Times New Roman"/>
                <w:sz w:val="20"/>
                <w:szCs w:val="20"/>
              </w:rPr>
            </w:pPr>
          </w:p>
        </w:tc>
        <w:tc>
          <w:tcPr>
            <w:tcW w:w="1376" w:type="pct"/>
            <w:shd w:val="clear" w:color="auto" w:fill="auto"/>
          </w:tcPr>
          <w:p w14:paraId="3320F903" w14:textId="77777777" w:rsidR="002E0E5F" w:rsidRPr="00D70799" w:rsidRDefault="002E0E5F" w:rsidP="002E0E5F">
            <w:pPr>
              <w:pStyle w:val="Default"/>
              <w:adjustRightInd/>
              <w:jc w:val="both"/>
              <w:rPr>
                <w:color w:val="auto"/>
                <w:sz w:val="20"/>
                <w:szCs w:val="20"/>
              </w:rPr>
            </w:pPr>
            <w:r w:rsidRPr="00D70799">
              <w:rPr>
                <w:color w:val="auto"/>
                <w:sz w:val="20"/>
                <w:szCs w:val="20"/>
              </w:rPr>
              <w:t>FM:</w:t>
            </w:r>
          </w:p>
          <w:p w14:paraId="03440C98" w14:textId="23BA33AD" w:rsidR="002E0E5F" w:rsidRPr="00D70799" w:rsidRDefault="002E0E5F" w:rsidP="002E0E5F">
            <w:pPr>
              <w:pStyle w:val="Default"/>
              <w:adjustRightInd/>
              <w:jc w:val="both"/>
              <w:rPr>
                <w:color w:val="auto"/>
                <w:sz w:val="20"/>
                <w:szCs w:val="20"/>
              </w:rPr>
            </w:pPr>
            <w:r w:rsidRPr="00D70799">
              <w:rPr>
                <w:color w:val="auto"/>
                <w:sz w:val="20"/>
                <w:szCs w:val="20"/>
              </w:rPr>
              <w:t>Lūdzam izvērtēt, vai noteikumu projekta 3.punktā piedāvātā MK noteikumu Nr.265 21.</w:t>
            </w:r>
            <w:r w:rsidRPr="00D70799">
              <w:rPr>
                <w:color w:val="auto"/>
                <w:sz w:val="20"/>
                <w:szCs w:val="20"/>
                <w:vertAlign w:val="superscript"/>
              </w:rPr>
              <w:t>1</w:t>
            </w:r>
            <w:r w:rsidRPr="00D70799">
              <w:rPr>
                <w:color w:val="auto"/>
                <w:sz w:val="20"/>
                <w:szCs w:val="20"/>
              </w:rPr>
              <w:t xml:space="preserve">2.3.apakšpunkta redakcija nedublē MK </w:t>
            </w:r>
            <w:r w:rsidRPr="00D70799">
              <w:rPr>
                <w:color w:val="auto"/>
                <w:sz w:val="20"/>
                <w:szCs w:val="20"/>
              </w:rPr>
              <w:lastRenderedPageBreak/>
              <w:t>noteikumu Nr.265 21.</w:t>
            </w:r>
            <w:r w:rsidRPr="00D70799">
              <w:rPr>
                <w:color w:val="auto"/>
                <w:sz w:val="20"/>
                <w:szCs w:val="20"/>
                <w:vertAlign w:val="superscript"/>
              </w:rPr>
              <w:t>4</w:t>
            </w:r>
            <w:r w:rsidRPr="00D70799">
              <w:rPr>
                <w:color w:val="auto"/>
                <w:sz w:val="20"/>
                <w:szCs w:val="20"/>
              </w:rPr>
              <w:t xml:space="preserve"> punkta redakciju attiecībā uz publiskā finansējuma atgūšanas mehānismu.</w:t>
            </w:r>
          </w:p>
        </w:tc>
        <w:tc>
          <w:tcPr>
            <w:tcW w:w="1124" w:type="pct"/>
            <w:shd w:val="clear" w:color="auto" w:fill="auto"/>
          </w:tcPr>
          <w:p w14:paraId="6DDEA3C8" w14:textId="77777777" w:rsidR="002E0E5F" w:rsidRPr="00D70799" w:rsidRDefault="002E0E5F" w:rsidP="002E0E5F">
            <w:pPr>
              <w:jc w:val="both"/>
              <w:rPr>
                <w:b/>
                <w:sz w:val="20"/>
                <w:szCs w:val="20"/>
              </w:rPr>
            </w:pPr>
            <w:r w:rsidRPr="00D70799">
              <w:rPr>
                <w:b/>
                <w:sz w:val="20"/>
                <w:szCs w:val="20"/>
              </w:rPr>
              <w:lastRenderedPageBreak/>
              <w:t>Ņemts vērā.</w:t>
            </w:r>
          </w:p>
          <w:p w14:paraId="64A3D2CC" w14:textId="12962401" w:rsidR="002E0E5F" w:rsidRPr="00D70799" w:rsidRDefault="002E0E5F" w:rsidP="002E0E5F">
            <w:pPr>
              <w:jc w:val="both"/>
              <w:rPr>
                <w:b/>
                <w:sz w:val="20"/>
                <w:szCs w:val="20"/>
              </w:rPr>
            </w:pPr>
            <w:r>
              <w:rPr>
                <w:sz w:val="20"/>
                <w:szCs w:val="20"/>
              </w:rPr>
              <w:t>D</w:t>
            </w:r>
            <w:r w:rsidRPr="00D70799">
              <w:rPr>
                <w:sz w:val="20"/>
                <w:szCs w:val="20"/>
              </w:rPr>
              <w:t>zēstas dublējošās normas.</w:t>
            </w:r>
          </w:p>
        </w:tc>
        <w:tc>
          <w:tcPr>
            <w:tcW w:w="1075" w:type="pct"/>
            <w:vMerge/>
            <w:shd w:val="clear" w:color="auto" w:fill="auto"/>
          </w:tcPr>
          <w:p w14:paraId="7BDAC30F" w14:textId="77777777" w:rsidR="002E0E5F" w:rsidRPr="00D70799" w:rsidRDefault="002E0E5F" w:rsidP="002E0E5F">
            <w:pPr>
              <w:jc w:val="both"/>
              <w:rPr>
                <w:sz w:val="20"/>
                <w:szCs w:val="20"/>
              </w:rPr>
            </w:pPr>
          </w:p>
        </w:tc>
      </w:tr>
    </w:tbl>
    <w:p w14:paraId="6CABB975" w14:textId="77777777" w:rsidR="006B3DE2" w:rsidRPr="00D70799" w:rsidRDefault="006B3DE2" w:rsidP="009E2178">
      <w:pPr>
        <w:jc w:val="both"/>
        <w:rPr>
          <w:sz w:val="20"/>
          <w:szCs w:val="20"/>
        </w:rPr>
      </w:pPr>
    </w:p>
    <w:p w14:paraId="7DF73B24" w14:textId="77777777" w:rsidR="00A93EEB" w:rsidRDefault="00A93EEB" w:rsidP="009E2178">
      <w:pPr>
        <w:jc w:val="both"/>
        <w:rPr>
          <w:sz w:val="20"/>
          <w:szCs w:val="20"/>
        </w:rPr>
      </w:pPr>
    </w:p>
    <w:bookmarkStart w:id="4" w:name="_GoBack"/>
    <w:p w14:paraId="1CBBB390" w14:textId="77777777" w:rsidR="00A93EEB" w:rsidRPr="00600B68" w:rsidRDefault="00A93EEB" w:rsidP="00A93EEB">
      <w:pPr>
        <w:rPr>
          <w:sz w:val="20"/>
          <w:szCs w:val="20"/>
        </w:rPr>
      </w:pPr>
      <w:r w:rsidRPr="00600B68">
        <w:rPr>
          <w:sz w:val="20"/>
          <w:szCs w:val="20"/>
        </w:rPr>
        <w:fldChar w:fldCharType="begin"/>
      </w:r>
      <w:r w:rsidRPr="00600B68">
        <w:rPr>
          <w:sz w:val="20"/>
          <w:szCs w:val="20"/>
        </w:rPr>
        <w:instrText xml:space="preserve"> DATE  \@ "dd.MM.yyyy H:mm"  \* MERGEFORMAT </w:instrText>
      </w:r>
      <w:r w:rsidRPr="00600B68">
        <w:rPr>
          <w:sz w:val="20"/>
          <w:szCs w:val="20"/>
        </w:rPr>
        <w:fldChar w:fldCharType="separate"/>
      </w:r>
      <w:r w:rsidR="00B35453">
        <w:rPr>
          <w:noProof/>
          <w:sz w:val="20"/>
          <w:szCs w:val="20"/>
        </w:rPr>
        <w:t>24.05.2019 11:23</w:t>
      </w:r>
      <w:r w:rsidRPr="00600B68">
        <w:rPr>
          <w:sz w:val="20"/>
          <w:szCs w:val="20"/>
        </w:rPr>
        <w:fldChar w:fldCharType="end"/>
      </w:r>
    </w:p>
    <w:p w14:paraId="67E461E5" w14:textId="77777777" w:rsidR="00A93EEB" w:rsidRDefault="00A93EEB" w:rsidP="00A93EEB">
      <w:pPr>
        <w:rPr>
          <w:sz w:val="20"/>
          <w:szCs w:val="20"/>
        </w:rPr>
      </w:pPr>
      <w:r w:rsidRPr="00600B68">
        <w:rPr>
          <w:sz w:val="20"/>
          <w:szCs w:val="20"/>
        </w:rPr>
        <w:fldChar w:fldCharType="begin"/>
      </w:r>
      <w:r w:rsidRPr="00600B68">
        <w:rPr>
          <w:sz w:val="20"/>
          <w:szCs w:val="20"/>
        </w:rPr>
        <w:instrText xml:space="preserve"> NUMWORDS   \* MERGEFORMAT </w:instrText>
      </w:r>
      <w:r w:rsidRPr="00600B68">
        <w:rPr>
          <w:sz w:val="20"/>
          <w:szCs w:val="20"/>
        </w:rPr>
        <w:fldChar w:fldCharType="separate"/>
      </w:r>
      <w:r w:rsidR="00B35453">
        <w:rPr>
          <w:noProof/>
          <w:sz w:val="20"/>
          <w:szCs w:val="20"/>
        </w:rPr>
        <w:t>4974</w:t>
      </w:r>
      <w:r w:rsidRPr="00600B68">
        <w:rPr>
          <w:sz w:val="20"/>
          <w:szCs w:val="20"/>
        </w:rPr>
        <w:fldChar w:fldCharType="end"/>
      </w:r>
    </w:p>
    <w:bookmarkEnd w:id="4"/>
    <w:p w14:paraId="73F900B4" w14:textId="77777777" w:rsidR="00EE14EF" w:rsidRPr="00600B68" w:rsidRDefault="00EE14EF" w:rsidP="00A93EEB">
      <w:pPr>
        <w:rPr>
          <w:sz w:val="20"/>
          <w:szCs w:val="20"/>
        </w:rPr>
      </w:pPr>
    </w:p>
    <w:p w14:paraId="091B0599" w14:textId="77777777" w:rsidR="00A93EEB" w:rsidRPr="00600B68" w:rsidRDefault="00A93EEB" w:rsidP="00A93EEB">
      <w:pPr>
        <w:rPr>
          <w:sz w:val="20"/>
          <w:szCs w:val="20"/>
        </w:rPr>
      </w:pPr>
      <w:proofErr w:type="spellStart"/>
      <w:r w:rsidRPr="00600B68">
        <w:rPr>
          <w:sz w:val="20"/>
          <w:szCs w:val="20"/>
        </w:rPr>
        <w:t>I..Švirksta</w:t>
      </w:r>
      <w:proofErr w:type="spellEnd"/>
      <w:r w:rsidRPr="00600B68">
        <w:rPr>
          <w:sz w:val="20"/>
          <w:szCs w:val="20"/>
        </w:rPr>
        <w:t xml:space="preserve"> 67047878</w:t>
      </w:r>
    </w:p>
    <w:p w14:paraId="10A4C8E5" w14:textId="369C70B2" w:rsidR="00A93EEB" w:rsidRPr="00D70799" w:rsidRDefault="005136E3" w:rsidP="00B4310A">
      <w:pPr>
        <w:tabs>
          <w:tab w:val="left" w:pos="2340"/>
          <w:tab w:val="center" w:pos="4153"/>
          <w:tab w:val="right" w:pos="8306"/>
        </w:tabs>
        <w:rPr>
          <w:sz w:val="20"/>
          <w:szCs w:val="20"/>
        </w:rPr>
      </w:pPr>
      <w:hyperlink r:id="rId8" w:history="1">
        <w:r w:rsidR="00A93EEB" w:rsidRPr="00600B68">
          <w:rPr>
            <w:rStyle w:val="Hyperlink"/>
            <w:color w:val="auto"/>
            <w:sz w:val="20"/>
            <w:szCs w:val="20"/>
          </w:rPr>
          <w:t>inta.svirksta@izm.gov.lv</w:t>
        </w:r>
      </w:hyperlink>
    </w:p>
    <w:sectPr w:rsidR="00A93EEB" w:rsidRPr="00D70799" w:rsidSect="004B6353">
      <w:headerReference w:type="even" r:id="rId9"/>
      <w:headerReference w:type="default" r:id="rId10"/>
      <w:footerReference w:type="default" r:id="rId11"/>
      <w:headerReference w:type="first" r:id="rId12"/>
      <w:footerReference w:type="first" r:id="rId13"/>
      <w:pgSz w:w="16838" w:h="11906" w:orient="landscape"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9F6674" w14:textId="77777777" w:rsidR="005136E3" w:rsidRDefault="005136E3">
      <w:r>
        <w:separator/>
      </w:r>
    </w:p>
  </w:endnote>
  <w:endnote w:type="continuationSeparator" w:id="0">
    <w:p w14:paraId="407D4EE7" w14:textId="77777777" w:rsidR="005136E3" w:rsidRDefault="00513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Arial Unicode MS"/>
    <w:charset w:val="80"/>
    <w:family w:val="auto"/>
    <w:pitch w:val="variable"/>
    <w:sig w:usb0="00000000"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PMingLiU">
    <w:altName w:val="新細明體"/>
    <w:panose1 w:val="02010601000101010101"/>
    <w:charset w:val="88"/>
    <w:family w:val="auto"/>
    <w:notTrueType/>
    <w:pitch w:val="variable"/>
    <w:sig w:usb0="00000001" w:usb1="08080000" w:usb2="00000010" w:usb3="00000000" w:csb0="00100000" w:csb1="00000000"/>
  </w:font>
  <w:font w:name="EUAlbertina">
    <w:altName w:val="Times New Roman"/>
    <w:panose1 w:val="00000000000000000000"/>
    <w:charset w:val="00"/>
    <w:family w:val="roman"/>
    <w:notTrueType/>
    <w:pitch w:val="default"/>
    <w:sig w:usb0="00000001"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DB0E1A" w14:textId="6AF8E799" w:rsidR="00E36E54" w:rsidRPr="00F92156" w:rsidRDefault="00E36E54" w:rsidP="008610BC">
    <w:pPr>
      <w:ind w:left="-567"/>
      <w:contextualSpacing/>
      <w:jc w:val="both"/>
      <w:rPr>
        <w:sz w:val="18"/>
        <w:szCs w:val="18"/>
      </w:rPr>
    </w:pPr>
    <w:r w:rsidRPr="00F92156">
      <w:rPr>
        <w:noProof/>
        <w:color w:val="000000" w:themeColor="text1"/>
        <w:sz w:val="18"/>
        <w:szCs w:val="18"/>
      </w:rPr>
      <w:fldChar w:fldCharType="begin"/>
    </w:r>
    <w:r w:rsidRPr="00F92156">
      <w:rPr>
        <w:noProof/>
        <w:color w:val="000000" w:themeColor="text1"/>
        <w:sz w:val="18"/>
        <w:szCs w:val="18"/>
      </w:rPr>
      <w:instrText xml:space="preserve"> FILENAME   \* MERGEFORMAT </w:instrText>
    </w:r>
    <w:r w:rsidRPr="00F92156">
      <w:rPr>
        <w:noProof/>
        <w:color w:val="000000" w:themeColor="text1"/>
        <w:sz w:val="18"/>
        <w:szCs w:val="18"/>
      </w:rPr>
      <w:fldChar w:fldCharType="separate"/>
    </w:r>
    <w:r w:rsidR="00B35453">
      <w:rPr>
        <w:noProof/>
        <w:color w:val="000000" w:themeColor="text1"/>
        <w:sz w:val="18"/>
        <w:szCs w:val="18"/>
      </w:rPr>
      <w:t>IZMizz_240519_VSS-494</w:t>
    </w:r>
    <w:r w:rsidRPr="00F92156">
      <w:rPr>
        <w:noProof/>
        <w:color w:val="000000" w:themeColor="text1"/>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30B9DC" w14:textId="5FFAB371" w:rsidR="00E36E54" w:rsidRPr="00426C1E" w:rsidRDefault="00E36E54" w:rsidP="008610BC">
    <w:pPr>
      <w:ind w:left="-567"/>
      <w:contextualSpacing/>
      <w:jc w:val="both"/>
      <w:rPr>
        <w:b/>
        <w:bCs/>
        <w:noProof/>
        <w:vanish/>
        <w:color w:val="000000"/>
        <w:sz w:val="18"/>
        <w:szCs w:val="18"/>
      </w:rPr>
    </w:pPr>
    <w:r w:rsidRPr="00426C1E">
      <w:rPr>
        <w:noProof/>
        <w:color w:val="000000" w:themeColor="text1"/>
        <w:sz w:val="18"/>
        <w:szCs w:val="18"/>
      </w:rPr>
      <w:fldChar w:fldCharType="begin"/>
    </w:r>
    <w:r w:rsidRPr="00426C1E">
      <w:rPr>
        <w:noProof/>
        <w:color w:val="000000" w:themeColor="text1"/>
        <w:sz w:val="18"/>
        <w:szCs w:val="18"/>
      </w:rPr>
      <w:instrText xml:space="preserve"> FILENAME   \* MERGEFORMAT </w:instrText>
    </w:r>
    <w:r w:rsidRPr="00426C1E">
      <w:rPr>
        <w:noProof/>
        <w:color w:val="000000" w:themeColor="text1"/>
        <w:sz w:val="18"/>
        <w:szCs w:val="18"/>
      </w:rPr>
      <w:fldChar w:fldCharType="separate"/>
    </w:r>
    <w:r w:rsidR="00A2202D">
      <w:rPr>
        <w:noProof/>
        <w:color w:val="000000" w:themeColor="text1"/>
        <w:sz w:val="18"/>
        <w:szCs w:val="18"/>
      </w:rPr>
      <w:t>IZMizz_240519_VSS-494</w:t>
    </w:r>
    <w:r w:rsidRPr="00426C1E">
      <w:rPr>
        <w:noProof/>
        <w:color w:val="000000" w:themeColor="text1"/>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190BC7" w14:textId="77777777" w:rsidR="005136E3" w:rsidRDefault="005136E3">
      <w:r>
        <w:separator/>
      </w:r>
    </w:p>
  </w:footnote>
  <w:footnote w:type="continuationSeparator" w:id="0">
    <w:p w14:paraId="7447790F" w14:textId="77777777" w:rsidR="005136E3" w:rsidRDefault="005136E3">
      <w:r>
        <w:continuationSeparator/>
      </w:r>
    </w:p>
  </w:footnote>
  <w:footnote w:id="1">
    <w:p w14:paraId="4BCD3416" w14:textId="652C9E6C" w:rsidR="00E36E54" w:rsidRPr="00E8599A" w:rsidRDefault="00E36E54" w:rsidP="00E8599A">
      <w:pPr>
        <w:pStyle w:val="FootnoteText"/>
        <w:rPr>
          <w:sz w:val="18"/>
          <w:szCs w:val="18"/>
        </w:rPr>
      </w:pPr>
      <w:r w:rsidRPr="00E8599A">
        <w:rPr>
          <w:rStyle w:val="FootnoteReference"/>
          <w:sz w:val="18"/>
          <w:szCs w:val="18"/>
        </w:rPr>
        <w:footnoteRef/>
      </w:r>
      <w:r w:rsidRPr="00E8599A">
        <w:rPr>
          <w:sz w:val="18"/>
          <w:szCs w:val="18"/>
        </w:rPr>
        <w:t xml:space="preserve"> </w:t>
      </w:r>
      <w:proofErr w:type="spellStart"/>
      <w:r w:rsidRPr="00E8599A">
        <w:rPr>
          <w:sz w:val="18"/>
          <w:szCs w:val="18"/>
        </w:rPr>
        <w:t>Guide</w:t>
      </w:r>
      <w:proofErr w:type="spellEnd"/>
      <w:r w:rsidRPr="00E8599A">
        <w:rPr>
          <w:sz w:val="18"/>
          <w:szCs w:val="18"/>
        </w:rPr>
        <w:t xml:space="preserve"> to </w:t>
      </w:r>
      <w:proofErr w:type="spellStart"/>
      <w:r w:rsidRPr="00E8599A">
        <w:rPr>
          <w:sz w:val="18"/>
          <w:szCs w:val="18"/>
        </w:rPr>
        <w:t>Cost-Benefit</w:t>
      </w:r>
      <w:proofErr w:type="spellEnd"/>
      <w:r w:rsidRPr="00E8599A">
        <w:rPr>
          <w:sz w:val="18"/>
          <w:szCs w:val="18"/>
        </w:rPr>
        <w:t xml:space="preserve"> </w:t>
      </w:r>
      <w:proofErr w:type="spellStart"/>
      <w:r w:rsidRPr="00E8599A">
        <w:rPr>
          <w:sz w:val="18"/>
          <w:szCs w:val="18"/>
        </w:rPr>
        <w:t>Analysis</w:t>
      </w:r>
      <w:proofErr w:type="spellEnd"/>
      <w:r w:rsidRPr="00E8599A">
        <w:rPr>
          <w:sz w:val="18"/>
          <w:szCs w:val="18"/>
        </w:rPr>
        <w:t xml:space="preserve"> </w:t>
      </w:r>
      <w:proofErr w:type="spellStart"/>
      <w:r w:rsidRPr="00E8599A">
        <w:rPr>
          <w:sz w:val="18"/>
          <w:szCs w:val="18"/>
        </w:rPr>
        <w:t>of</w:t>
      </w:r>
      <w:proofErr w:type="spellEnd"/>
      <w:r w:rsidRPr="00E8599A">
        <w:rPr>
          <w:sz w:val="18"/>
          <w:szCs w:val="18"/>
        </w:rPr>
        <w:t xml:space="preserve"> </w:t>
      </w:r>
      <w:proofErr w:type="spellStart"/>
      <w:r w:rsidRPr="00E8599A">
        <w:rPr>
          <w:sz w:val="18"/>
          <w:szCs w:val="18"/>
        </w:rPr>
        <w:t>Investment</w:t>
      </w:r>
      <w:proofErr w:type="spellEnd"/>
      <w:r w:rsidRPr="00E8599A">
        <w:rPr>
          <w:sz w:val="18"/>
          <w:szCs w:val="18"/>
        </w:rPr>
        <w:t xml:space="preserve"> </w:t>
      </w:r>
      <w:proofErr w:type="spellStart"/>
      <w:r w:rsidRPr="00E8599A">
        <w:rPr>
          <w:sz w:val="18"/>
          <w:szCs w:val="18"/>
        </w:rPr>
        <w:t>Projects</w:t>
      </w:r>
      <w:proofErr w:type="spellEnd"/>
      <w:r w:rsidRPr="00E8599A">
        <w:rPr>
          <w:sz w:val="18"/>
          <w:szCs w:val="18"/>
        </w:rPr>
        <w:t xml:space="preserve"> (pieejams tīmekļa vietnē http://ec.europa.eu/regional_policy/sources/docgener/studies/pdf/cba_guide.pdf)</w:t>
      </w:r>
    </w:p>
  </w:footnote>
  <w:footnote w:id="2">
    <w:p w14:paraId="6CA27BAB" w14:textId="6C0E37A9" w:rsidR="00E36E54" w:rsidRPr="00E8599A" w:rsidRDefault="00E36E54" w:rsidP="00E8599A">
      <w:pPr>
        <w:pStyle w:val="FootnoteText"/>
        <w:rPr>
          <w:sz w:val="18"/>
          <w:szCs w:val="18"/>
        </w:rPr>
      </w:pPr>
      <w:r w:rsidRPr="00E8599A">
        <w:rPr>
          <w:rStyle w:val="FootnoteReference"/>
          <w:sz w:val="18"/>
          <w:szCs w:val="18"/>
        </w:rPr>
        <w:footnoteRef/>
      </w:r>
      <w:r w:rsidRPr="00E8599A">
        <w:rPr>
          <w:sz w:val="18"/>
          <w:szCs w:val="18"/>
        </w:rPr>
        <w:t xml:space="preserve"> 2. pielikums Ministru kabineta 2009.gada 15.decembra noteikumiem Nr.1486 (https://likumi.lv/doc.php?id=202636)</w:t>
      </w:r>
    </w:p>
  </w:footnote>
  <w:footnote w:id="3">
    <w:p w14:paraId="4A2D88F4" w14:textId="77777777" w:rsidR="002A66AD" w:rsidRPr="00456206" w:rsidRDefault="002A66AD" w:rsidP="002A66AD">
      <w:pPr>
        <w:pStyle w:val="FootnoteText"/>
      </w:pPr>
      <w:r>
        <w:rPr>
          <w:rStyle w:val="FootnoteReference"/>
        </w:rPr>
        <w:footnoteRef/>
      </w:r>
      <w:r>
        <w:t xml:space="preserve"> </w:t>
      </w:r>
      <w:r w:rsidRPr="00456206">
        <w:t>Ministru kabineta 2009.gada 24.marta noteikumu Nr.265 “Noteikumi par darbības programmas “Infrastruktūra un pakalpojumi” papildinājuma 3.1.2.1.1.apakšaktivitāti “Augstākās izglītības iestāžu telpu un iekārtu modernizēšana studiju programmu kvalitātes uzlabošanai, tajā skaitā nodrošinot izglītības programmu apgūšanas iespējas arī personām ar funkcionāliem traucējumiem”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09FF53" w14:textId="77777777" w:rsidR="00E36E54" w:rsidRDefault="00E36E54"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994EF3E" w14:textId="77777777" w:rsidR="00E36E54" w:rsidRDefault="00E36E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7C8F07" w14:textId="77777777" w:rsidR="00E36E54" w:rsidRDefault="00E36E54"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35453">
      <w:rPr>
        <w:rStyle w:val="PageNumber"/>
        <w:noProof/>
      </w:rPr>
      <w:t>11</w:t>
    </w:r>
    <w:r>
      <w:rPr>
        <w:rStyle w:val="PageNumber"/>
      </w:rPr>
      <w:fldChar w:fldCharType="end"/>
    </w:r>
  </w:p>
  <w:p w14:paraId="1F87B2A5" w14:textId="77777777" w:rsidR="00E36E54" w:rsidRDefault="00E36E5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820734" w14:textId="77777777" w:rsidR="00E36E54" w:rsidRPr="006C4AF5" w:rsidRDefault="00E36E54" w:rsidP="006C4AF5">
    <w:pPr>
      <w:pStyle w:val="Header"/>
      <w:jc w:val="both"/>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42770"/>
    <w:multiLevelType w:val="hybridMultilevel"/>
    <w:tmpl w:val="D58875EA"/>
    <w:lvl w:ilvl="0" w:tplc="FAB82618">
      <w:start w:val="1"/>
      <w:numFmt w:val="decimal"/>
      <w:lvlText w:val="%1)"/>
      <w:lvlJc w:val="left"/>
      <w:pPr>
        <w:ind w:left="1080" w:hanging="360"/>
      </w:pPr>
      <w:rPr>
        <w:rFonts w:eastAsia="SimSun" w:hint="default"/>
        <w:color w:val="auto"/>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nsid w:val="03D1231C"/>
    <w:multiLevelType w:val="hybridMultilevel"/>
    <w:tmpl w:val="A4AAAF8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nsid w:val="04C82618"/>
    <w:multiLevelType w:val="hybridMultilevel"/>
    <w:tmpl w:val="EF88F6CC"/>
    <w:lvl w:ilvl="0" w:tplc="39C4A538">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04F438D5"/>
    <w:multiLevelType w:val="hybridMultilevel"/>
    <w:tmpl w:val="02CEDA54"/>
    <w:lvl w:ilvl="0" w:tplc="C590D034">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05983921"/>
    <w:multiLevelType w:val="hybridMultilevel"/>
    <w:tmpl w:val="AAC60EF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07671A81"/>
    <w:multiLevelType w:val="hybridMultilevel"/>
    <w:tmpl w:val="E85A4A9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0A187A77"/>
    <w:multiLevelType w:val="hybridMultilevel"/>
    <w:tmpl w:val="1878399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A7F5089"/>
    <w:multiLevelType w:val="hybridMultilevel"/>
    <w:tmpl w:val="9BF80F08"/>
    <w:lvl w:ilvl="0" w:tplc="67E647D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0B894291"/>
    <w:multiLevelType w:val="hybridMultilevel"/>
    <w:tmpl w:val="CA9A2896"/>
    <w:lvl w:ilvl="0" w:tplc="67E647D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11A521CF"/>
    <w:multiLevelType w:val="hybridMultilevel"/>
    <w:tmpl w:val="7EB203CA"/>
    <w:lvl w:ilvl="0" w:tplc="9D147BF8">
      <w:start w:val="1"/>
      <w:numFmt w:val="decimal"/>
      <w:lvlText w:val="%1."/>
      <w:lvlJc w:val="left"/>
      <w:pPr>
        <w:ind w:left="720" w:hanging="360"/>
      </w:pPr>
      <w:rPr>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123A7A8B"/>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6D47318"/>
    <w:multiLevelType w:val="multilevel"/>
    <w:tmpl w:val="E9F03D54"/>
    <w:lvl w:ilvl="0">
      <w:start w:val="30"/>
      <w:numFmt w:val="decimal"/>
      <w:lvlText w:val="%1."/>
      <w:lvlJc w:val="left"/>
      <w:pPr>
        <w:ind w:left="72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2">
    <w:nsid w:val="16F72EC8"/>
    <w:multiLevelType w:val="hybridMultilevel"/>
    <w:tmpl w:val="E8E43440"/>
    <w:lvl w:ilvl="0" w:tplc="17461F08">
      <w:start w:val="1"/>
      <w:numFmt w:val="lowerLetter"/>
      <w:lvlText w:val="%1)"/>
      <w:lvlJc w:val="left"/>
      <w:pPr>
        <w:ind w:left="825" w:hanging="46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17D8777D"/>
    <w:multiLevelType w:val="hybridMultilevel"/>
    <w:tmpl w:val="B72826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AD8062D"/>
    <w:multiLevelType w:val="hybridMultilevel"/>
    <w:tmpl w:val="88688F50"/>
    <w:lvl w:ilvl="0" w:tplc="04260011">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5">
    <w:nsid w:val="217F3450"/>
    <w:multiLevelType w:val="hybridMultilevel"/>
    <w:tmpl w:val="258E1F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90D0139"/>
    <w:multiLevelType w:val="hybridMultilevel"/>
    <w:tmpl w:val="0D002E2C"/>
    <w:lvl w:ilvl="0" w:tplc="5F604DF6">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7">
    <w:nsid w:val="2AD849BB"/>
    <w:multiLevelType w:val="hybridMultilevel"/>
    <w:tmpl w:val="C3AE8FC6"/>
    <w:lvl w:ilvl="0" w:tplc="0426000F">
      <w:start w:val="1"/>
      <w:numFmt w:val="decimal"/>
      <w:lvlText w:val="%1."/>
      <w:lvlJc w:val="left"/>
      <w:pPr>
        <w:ind w:left="785"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8">
    <w:nsid w:val="2B701C03"/>
    <w:multiLevelType w:val="hybridMultilevel"/>
    <w:tmpl w:val="7C64870A"/>
    <w:lvl w:ilvl="0" w:tplc="11BC9FE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nsid w:val="3020080A"/>
    <w:multiLevelType w:val="hybridMultilevel"/>
    <w:tmpl w:val="3CAC1C46"/>
    <w:lvl w:ilvl="0" w:tplc="67E647D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nsid w:val="304748C8"/>
    <w:multiLevelType w:val="multilevel"/>
    <w:tmpl w:val="6D9C5786"/>
    <w:lvl w:ilvl="0">
      <w:start w:val="2"/>
      <w:numFmt w:val="decimal"/>
      <w:lvlText w:val="%1."/>
      <w:lvlJc w:val="left"/>
      <w:pPr>
        <w:ind w:left="720" w:hanging="360"/>
      </w:pPr>
      <w:rPr>
        <w:rFonts w:hint="default"/>
        <w:b w:val="0"/>
        <w:i w:val="0"/>
      </w:rPr>
    </w:lvl>
    <w:lvl w:ilvl="1">
      <w:start w:val="7"/>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nsid w:val="32966A9B"/>
    <w:multiLevelType w:val="hybridMultilevel"/>
    <w:tmpl w:val="ED3CBD78"/>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3BEB720F"/>
    <w:multiLevelType w:val="hybridMultilevel"/>
    <w:tmpl w:val="A1A8505C"/>
    <w:lvl w:ilvl="0" w:tplc="FD16EDF0">
      <w:start w:val="1"/>
      <w:numFmt w:val="decimal"/>
      <w:lvlText w:val="%1."/>
      <w:lvlJc w:val="left"/>
      <w:pPr>
        <w:ind w:left="648" w:hanging="360"/>
      </w:pPr>
      <w:rPr>
        <w:rFonts w:hint="default"/>
      </w:rPr>
    </w:lvl>
    <w:lvl w:ilvl="1" w:tplc="04260019" w:tentative="1">
      <w:start w:val="1"/>
      <w:numFmt w:val="lowerLetter"/>
      <w:lvlText w:val="%2."/>
      <w:lvlJc w:val="left"/>
      <w:pPr>
        <w:ind w:left="1368" w:hanging="360"/>
      </w:pPr>
    </w:lvl>
    <w:lvl w:ilvl="2" w:tplc="0426001B" w:tentative="1">
      <w:start w:val="1"/>
      <w:numFmt w:val="lowerRoman"/>
      <w:lvlText w:val="%3."/>
      <w:lvlJc w:val="right"/>
      <w:pPr>
        <w:ind w:left="2088" w:hanging="180"/>
      </w:pPr>
    </w:lvl>
    <w:lvl w:ilvl="3" w:tplc="0426000F" w:tentative="1">
      <w:start w:val="1"/>
      <w:numFmt w:val="decimal"/>
      <w:lvlText w:val="%4."/>
      <w:lvlJc w:val="left"/>
      <w:pPr>
        <w:ind w:left="2808" w:hanging="360"/>
      </w:pPr>
    </w:lvl>
    <w:lvl w:ilvl="4" w:tplc="04260019" w:tentative="1">
      <w:start w:val="1"/>
      <w:numFmt w:val="lowerLetter"/>
      <w:lvlText w:val="%5."/>
      <w:lvlJc w:val="left"/>
      <w:pPr>
        <w:ind w:left="3528" w:hanging="360"/>
      </w:pPr>
    </w:lvl>
    <w:lvl w:ilvl="5" w:tplc="0426001B" w:tentative="1">
      <w:start w:val="1"/>
      <w:numFmt w:val="lowerRoman"/>
      <w:lvlText w:val="%6."/>
      <w:lvlJc w:val="right"/>
      <w:pPr>
        <w:ind w:left="4248" w:hanging="180"/>
      </w:pPr>
    </w:lvl>
    <w:lvl w:ilvl="6" w:tplc="0426000F" w:tentative="1">
      <w:start w:val="1"/>
      <w:numFmt w:val="decimal"/>
      <w:lvlText w:val="%7."/>
      <w:lvlJc w:val="left"/>
      <w:pPr>
        <w:ind w:left="4968" w:hanging="360"/>
      </w:pPr>
    </w:lvl>
    <w:lvl w:ilvl="7" w:tplc="04260019" w:tentative="1">
      <w:start w:val="1"/>
      <w:numFmt w:val="lowerLetter"/>
      <w:lvlText w:val="%8."/>
      <w:lvlJc w:val="left"/>
      <w:pPr>
        <w:ind w:left="5688" w:hanging="360"/>
      </w:pPr>
    </w:lvl>
    <w:lvl w:ilvl="8" w:tplc="0426001B" w:tentative="1">
      <w:start w:val="1"/>
      <w:numFmt w:val="lowerRoman"/>
      <w:lvlText w:val="%9."/>
      <w:lvlJc w:val="right"/>
      <w:pPr>
        <w:ind w:left="6408" w:hanging="180"/>
      </w:pPr>
    </w:lvl>
  </w:abstractNum>
  <w:abstractNum w:abstractNumId="23">
    <w:nsid w:val="417A316B"/>
    <w:multiLevelType w:val="hybridMultilevel"/>
    <w:tmpl w:val="19982E9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nsid w:val="4C01778C"/>
    <w:multiLevelType w:val="hybridMultilevel"/>
    <w:tmpl w:val="AA006FDC"/>
    <w:lvl w:ilvl="0" w:tplc="7FC2D930">
      <w:start w:val="1"/>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nsid w:val="4CAF10A7"/>
    <w:multiLevelType w:val="hybridMultilevel"/>
    <w:tmpl w:val="5DD40A00"/>
    <w:lvl w:ilvl="0" w:tplc="1DB4E9E4">
      <w:start w:val="1"/>
      <w:numFmt w:val="decimal"/>
      <w:lvlText w:val="%1."/>
      <w:lvlJc w:val="left"/>
      <w:pPr>
        <w:ind w:left="644" w:hanging="360"/>
      </w:pPr>
      <w:rPr>
        <w:color w:val="auto"/>
      </w:rPr>
    </w:lvl>
    <w:lvl w:ilvl="1" w:tplc="04260019">
      <w:start w:val="1"/>
      <w:numFmt w:val="lowerLetter"/>
      <w:lvlText w:val="%2."/>
      <w:lvlJc w:val="left"/>
      <w:pPr>
        <w:ind w:left="1364" w:hanging="360"/>
      </w:pPr>
    </w:lvl>
    <w:lvl w:ilvl="2" w:tplc="0426001B">
      <w:start w:val="1"/>
      <w:numFmt w:val="lowerRoman"/>
      <w:lvlText w:val="%3."/>
      <w:lvlJc w:val="right"/>
      <w:pPr>
        <w:ind w:left="2084" w:hanging="180"/>
      </w:pPr>
    </w:lvl>
    <w:lvl w:ilvl="3" w:tplc="0426000F">
      <w:start w:val="1"/>
      <w:numFmt w:val="decimal"/>
      <w:lvlText w:val="%4."/>
      <w:lvlJc w:val="left"/>
      <w:pPr>
        <w:ind w:left="2804" w:hanging="360"/>
      </w:pPr>
    </w:lvl>
    <w:lvl w:ilvl="4" w:tplc="04260019">
      <w:start w:val="1"/>
      <w:numFmt w:val="lowerLetter"/>
      <w:lvlText w:val="%5."/>
      <w:lvlJc w:val="left"/>
      <w:pPr>
        <w:ind w:left="3524" w:hanging="360"/>
      </w:pPr>
    </w:lvl>
    <w:lvl w:ilvl="5" w:tplc="0426001B">
      <w:start w:val="1"/>
      <w:numFmt w:val="lowerRoman"/>
      <w:lvlText w:val="%6."/>
      <w:lvlJc w:val="right"/>
      <w:pPr>
        <w:ind w:left="4244" w:hanging="180"/>
      </w:pPr>
    </w:lvl>
    <w:lvl w:ilvl="6" w:tplc="0426000F">
      <w:start w:val="1"/>
      <w:numFmt w:val="decimal"/>
      <w:lvlText w:val="%7."/>
      <w:lvlJc w:val="left"/>
      <w:pPr>
        <w:ind w:left="4964" w:hanging="360"/>
      </w:pPr>
    </w:lvl>
    <w:lvl w:ilvl="7" w:tplc="04260019">
      <w:start w:val="1"/>
      <w:numFmt w:val="lowerLetter"/>
      <w:lvlText w:val="%8."/>
      <w:lvlJc w:val="left"/>
      <w:pPr>
        <w:ind w:left="5684" w:hanging="360"/>
      </w:pPr>
    </w:lvl>
    <w:lvl w:ilvl="8" w:tplc="0426001B">
      <w:start w:val="1"/>
      <w:numFmt w:val="lowerRoman"/>
      <w:lvlText w:val="%9."/>
      <w:lvlJc w:val="right"/>
      <w:pPr>
        <w:ind w:left="6404" w:hanging="180"/>
      </w:pPr>
    </w:lvl>
  </w:abstractNum>
  <w:abstractNum w:abstractNumId="26">
    <w:nsid w:val="4D0F6EA4"/>
    <w:multiLevelType w:val="hybridMultilevel"/>
    <w:tmpl w:val="084ED91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nsid w:val="514E6743"/>
    <w:multiLevelType w:val="hybridMultilevel"/>
    <w:tmpl w:val="2EDE66E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nsid w:val="51D17466"/>
    <w:multiLevelType w:val="hybridMultilevel"/>
    <w:tmpl w:val="1DF82CE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nsid w:val="54DC4A0C"/>
    <w:multiLevelType w:val="hybridMultilevel"/>
    <w:tmpl w:val="32BCA3C0"/>
    <w:lvl w:ilvl="0" w:tplc="B8307814">
      <w:start w:val="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nsid w:val="58FF6DD8"/>
    <w:multiLevelType w:val="hybridMultilevel"/>
    <w:tmpl w:val="AB9067EA"/>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5BF17CB1"/>
    <w:multiLevelType w:val="hybridMultilevel"/>
    <w:tmpl w:val="1878399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D2224D1"/>
    <w:multiLevelType w:val="hybridMultilevel"/>
    <w:tmpl w:val="52F4EC2A"/>
    <w:lvl w:ilvl="0" w:tplc="C09E1B66">
      <w:start w:val="1"/>
      <w:numFmt w:val="decimal"/>
      <w:lvlText w:val="%1."/>
      <w:lvlJc w:val="left"/>
      <w:pPr>
        <w:ind w:left="360" w:hanging="360"/>
      </w:pPr>
      <w:rPr>
        <w:rFonts w:ascii="Times New Roman" w:eastAsia="Calibri" w:hAnsi="Times New Roman" w:cs="Times New Roman"/>
      </w:r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3">
    <w:nsid w:val="646258EE"/>
    <w:multiLevelType w:val="hybridMultilevel"/>
    <w:tmpl w:val="917CDCCA"/>
    <w:lvl w:ilvl="0" w:tplc="6C7650B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4">
    <w:nsid w:val="659717EB"/>
    <w:multiLevelType w:val="hybridMultilevel"/>
    <w:tmpl w:val="D58875EA"/>
    <w:lvl w:ilvl="0" w:tplc="FAB82618">
      <w:start w:val="1"/>
      <w:numFmt w:val="decimal"/>
      <w:lvlText w:val="%1)"/>
      <w:lvlJc w:val="left"/>
      <w:pPr>
        <w:ind w:left="1080" w:hanging="360"/>
      </w:pPr>
      <w:rPr>
        <w:rFonts w:eastAsia="SimSun" w:hint="default"/>
        <w:color w:val="auto"/>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5">
    <w:nsid w:val="65B34612"/>
    <w:multiLevelType w:val="hybridMultilevel"/>
    <w:tmpl w:val="AC44300E"/>
    <w:lvl w:ilvl="0" w:tplc="93825D88">
      <w:start w:val="3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nsid w:val="66E52782"/>
    <w:multiLevelType w:val="hybridMultilevel"/>
    <w:tmpl w:val="DEEEE2B2"/>
    <w:lvl w:ilvl="0" w:tplc="539CE9E0">
      <w:start w:val="1"/>
      <w:numFmt w:val="decimal"/>
      <w:lvlText w:val="%1."/>
      <w:lvlJc w:val="left"/>
      <w:pPr>
        <w:ind w:left="36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nsid w:val="68D0493C"/>
    <w:multiLevelType w:val="hybridMultilevel"/>
    <w:tmpl w:val="0716576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nsid w:val="6F461263"/>
    <w:multiLevelType w:val="hybridMultilevel"/>
    <w:tmpl w:val="0F58E31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9">
    <w:nsid w:val="74A06B19"/>
    <w:multiLevelType w:val="hybridMultilevel"/>
    <w:tmpl w:val="42FE75B8"/>
    <w:lvl w:ilvl="0" w:tplc="9E8AC608">
      <w:start w:val="1"/>
      <w:numFmt w:val="decimal"/>
      <w:lvlText w:val="%1."/>
      <w:lvlJc w:val="left"/>
      <w:pPr>
        <w:ind w:left="720" w:hanging="360"/>
      </w:pPr>
      <w:rPr>
        <w:rFonts w:ascii="Times New Roman" w:hAnsi="Times New Roman" w:cs="Times New Roman" w:hint="default"/>
        <w:b w:val="0"/>
        <w:i w:val="0"/>
        <w:color w:val="auto"/>
        <w:sz w:val="22"/>
        <w:szCs w:val="22"/>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0">
    <w:nsid w:val="756C0947"/>
    <w:multiLevelType w:val="hybridMultilevel"/>
    <w:tmpl w:val="39F03C72"/>
    <w:lvl w:ilvl="0" w:tplc="597EABE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1">
    <w:nsid w:val="76557685"/>
    <w:multiLevelType w:val="hybridMultilevel"/>
    <w:tmpl w:val="EE6C6008"/>
    <w:lvl w:ilvl="0" w:tplc="4BE632B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2">
    <w:nsid w:val="7E5B3103"/>
    <w:multiLevelType w:val="hybridMultilevel"/>
    <w:tmpl w:val="ADBED14A"/>
    <w:lvl w:ilvl="0" w:tplc="0426000F">
      <w:start w:val="4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2"/>
  </w:num>
  <w:num w:numId="2">
    <w:abstractNumId w:val="28"/>
  </w:num>
  <w:num w:numId="3">
    <w:abstractNumId w:val="20"/>
  </w:num>
  <w:num w:numId="4">
    <w:abstractNumId w:val="42"/>
  </w:num>
  <w:num w:numId="5">
    <w:abstractNumId w:val="36"/>
  </w:num>
  <w:num w:numId="6">
    <w:abstractNumId w:val="4"/>
  </w:num>
  <w:num w:numId="7">
    <w:abstractNumId w:val="26"/>
  </w:num>
  <w:num w:numId="8">
    <w:abstractNumId w:val="21"/>
  </w:num>
  <w:num w:numId="9">
    <w:abstractNumId w:val="2"/>
  </w:num>
  <w:num w:numId="10">
    <w:abstractNumId w:val="12"/>
  </w:num>
  <w:num w:numId="11">
    <w:abstractNumId w:val="23"/>
  </w:num>
  <w:num w:numId="12">
    <w:abstractNumId w:val="7"/>
  </w:num>
  <w:num w:numId="13">
    <w:abstractNumId w:val="11"/>
  </w:num>
  <w:num w:numId="14">
    <w:abstractNumId w:val="19"/>
  </w:num>
  <w:num w:numId="15">
    <w:abstractNumId w:val="30"/>
  </w:num>
  <w:num w:numId="16">
    <w:abstractNumId w:val="8"/>
  </w:num>
  <w:num w:numId="17">
    <w:abstractNumId w:val="5"/>
  </w:num>
  <w:num w:numId="18">
    <w:abstractNumId w:val="38"/>
  </w:num>
  <w:num w:numId="19">
    <w:abstractNumId w:val="27"/>
  </w:num>
  <w:num w:numId="20">
    <w:abstractNumId w:val="31"/>
  </w:num>
  <w:num w:numId="21">
    <w:abstractNumId w:val="15"/>
  </w:num>
  <w:num w:numId="22">
    <w:abstractNumId w:val="3"/>
  </w:num>
  <w:num w:numId="23">
    <w:abstractNumId w:val="6"/>
  </w:num>
  <w:num w:numId="24">
    <w:abstractNumId w:val="22"/>
  </w:num>
  <w:num w:numId="25">
    <w:abstractNumId w:val="0"/>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4"/>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num>
  <w:num w:numId="32">
    <w:abstractNumId w:val="9"/>
  </w:num>
  <w:num w:numId="33">
    <w:abstractNumId w:val="18"/>
  </w:num>
  <w:num w:numId="34">
    <w:abstractNumId w:val="24"/>
  </w:num>
  <w:num w:numId="3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num>
  <w:num w:numId="37">
    <w:abstractNumId w:val="37"/>
  </w:num>
  <w:num w:numId="38">
    <w:abstractNumId w:val="33"/>
  </w:num>
  <w:num w:numId="39">
    <w:abstractNumId w:val="40"/>
  </w:num>
  <w:num w:numId="40">
    <w:abstractNumId w:val="41"/>
  </w:num>
  <w:num w:numId="41">
    <w:abstractNumId w:val="29"/>
  </w:num>
  <w:num w:numId="42">
    <w:abstractNumId w:val="35"/>
  </w:num>
  <w:num w:numId="4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proofState w:spelling="clean" w:grammar="clean"/>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CE4"/>
    <w:rsid w:val="00000D7B"/>
    <w:rsid w:val="00001F89"/>
    <w:rsid w:val="00003049"/>
    <w:rsid w:val="0000331B"/>
    <w:rsid w:val="00003461"/>
    <w:rsid w:val="00003A94"/>
    <w:rsid w:val="00003C53"/>
    <w:rsid w:val="0000456E"/>
    <w:rsid w:val="00004C56"/>
    <w:rsid w:val="00005118"/>
    <w:rsid w:val="0000529C"/>
    <w:rsid w:val="00005344"/>
    <w:rsid w:val="00005456"/>
    <w:rsid w:val="000055EA"/>
    <w:rsid w:val="00005EAD"/>
    <w:rsid w:val="00006473"/>
    <w:rsid w:val="00006A8A"/>
    <w:rsid w:val="00006B67"/>
    <w:rsid w:val="00006BF1"/>
    <w:rsid w:val="00006FB3"/>
    <w:rsid w:val="00007F81"/>
    <w:rsid w:val="000109AA"/>
    <w:rsid w:val="0001118D"/>
    <w:rsid w:val="0001131F"/>
    <w:rsid w:val="00011663"/>
    <w:rsid w:val="000117DB"/>
    <w:rsid w:val="00011950"/>
    <w:rsid w:val="000119A9"/>
    <w:rsid w:val="0001249F"/>
    <w:rsid w:val="000125C0"/>
    <w:rsid w:val="0001270C"/>
    <w:rsid w:val="000136AA"/>
    <w:rsid w:val="00013929"/>
    <w:rsid w:val="00013B4C"/>
    <w:rsid w:val="00013B77"/>
    <w:rsid w:val="00013BF6"/>
    <w:rsid w:val="0001405C"/>
    <w:rsid w:val="00015314"/>
    <w:rsid w:val="00015383"/>
    <w:rsid w:val="0001554C"/>
    <w:rsid w:val="00015AB8"/>
    <w:rsid w:val="00015B94"/>
    <w:rsid w:val="00015C77"/>
    <w:rsid w:val="00015DE5"/>
    <w:rsid w:val="000165C7"/>
    <w:rsid w:val="00016F65"/>
    <w:rsid w:val="000172E2"/>
    <w:rsid w:val="00017449"/>
    <w:rsid w:val="00017551"/>
    <w:rsid w:val="0001764C"/>
    <w:rsid w:val="0001799B"/>
    <w:rsid w:val="00020249"/>
    <w:rsid w:val="00021104"/>
    <w:rsid w:val="00022338"/>
    <w:rsid w:val="000223DC"/>
    <w:rsid w:val="0002256C"/>
    <w:rsid w:val="0002296A"/>
    <w:rsid w:val="00022A2A"/>
    <w:rsid w:val="00022B0F"/>
    <w:rsid w:val="00022B9A"/>
    <w:rsid w:val="00022D32"/>
    <w:rsid w:val="0002356D"/>
    <w:rsid w:val="00023BE9"/>
    <w:rsid w:val="00023C9F"/>
    <w:rsid w:val="00023EBF"/>
    <w:rsid w:val="00023FB2"/>
    <w:rsid w:val="00023FD6"/>
    <w:rsid w:val="0002416A"/>
    <w:rsid w:val="0002446C"/>
    <w:rsid w:val="0002481A"/>
    <w:rsid w:val="00024B80"/>
    <w:rsid w:val="00024CCD"/>
    <w:rsid w:val="00024D20"/>
    <w:rsid w:val="000253DB"/>
    <w:rsid w:val="00025CB0"/>
    <w:rsid w:val="00025CDA"/>
    <w:rsid w:val="00026569"/>
    <w:rsid w:val="000265DE"/>
    <w:rsid w:val="00026D23"/>
    <w:rsid w:val="0002700E"/>
    <w:rsid w:val="000273E2"/>
    <w:rsid w:val="00027531"/>
    <w:rsid w:val="000275B3"/>
    <w:rsid w:val="000278E7"/>
    <w:rsid w:val="00027A63"/>
    <w:rsid w:val="00027F9D"/>
    <w:rsid w:val="0003019F"/>
    <w:rsid w:val="0003045A"/>
    <w:rsid w:val="000307B5"/>
    <w:rsid w:val="00030D4D"/>
    <w:rsid w:val="000310AF"/>
    <w:rsid w:val="00032457"/>
    <w:rsid w:val="00032BE2"/>
    <w:rsid w:val="0003393C"/>
    <w:rsid w:val="0003413A"/>
    <w:rsid w:val="000342B8"/>
    <w:rsid w:val="00034709"/>
    <w:rsid w:val="000349CA"/>
    <w:rsid w:val="000349E5"/>
    <w:rsid w:val="00034F43"/>
    <w:rsid w:val="00035067"/>
    <w:rsid w:val="0003557A"/>
    <w:rsid w:val="000356FA"/>
    <w:rsid w:val="00035C06"/>
    <w:rsid w:val="00035EF0"/>
    <w:rsid w:val="000366DF"/>
    <w:rsid w:val="00036C6D"/>
    <w:rsid w:val="00036C93"/>
    <w:rsid w:val="00037524"/>
    <w:rsid w:val="000376CD"/>
    <w:rsid w:val="000379CE"/>
    <w:rsid w:val="00037A77"/>
    <w:rsid w:val="00037B6B"/>
    <w:rsid w:val="00037B8C"/>
    <w:rsid w:val="00040A5C"/>
    <w:rsid w:val="00040CCD"/>
    <w:rsid w:val="000417C6"/>
    <w:rsid w:val="0004194C"/>
    <w:rsid w:val="00041F91"/>
    <w:rsid w:val="00043005"/>
    <w:rsid w:val="000433A6"/>
    <w:rsid w:val="0004345F"/>
    <w:rsid w:val="00043484"/>
    <w:rsid w:val="000434DA"/>
    <w:rsid w:val="000435C1"/>
    <w:rsid w:val="00043EFE"/>
    <w:rsid w:val="00044026"/>
    <w:rsid w:val="00044106"/>
    <w:rsid w:val="000453CF"/>
    <w:rsid w:val="00045F34"/>
    <w:rsid w:val="00046075"/>
    <w:rsid w:val="00046382"/>
    <w:rsid w:val="0004669C"/>
    <w:rsid w:val="00046CAD"/>
    <w:rsid w:val="00046D4C"/>
    <w:rsid w:val="00046F5C"/>
    <w:rsid w:val="00046FFD"/>
    <w:rsid w:val="00047219"/>
    <w:rsid w:val="00047385"/>
    <w:rsid w:val="000477BE"/>
    <w:rsid w:val="00047A6C"/>
    <w:rsid w:val="00047E39"/>
    <w:rsid w:val="00050554"/>
    <w:rsid w:val="00050D42"/>
    <w:rsid w:val="000511FB"/>
    <w:rsid w:val="00051765"/>
    <w:rsid w:val="00052C5A"/>
    <w:rsid w:val="00053706"/>
    <w:rsid w:val="000537B7"/>
    <w:rsid w:val="00053E04"/>
    <w:rsid w:val="00055F7E"/>
    <w:rsid w:val="000560E4"/>
    <w:rsid w:val="000566F0"/>
    <w:rsid w:val="00056AE0"/>
    <w:rsid w:val="00057149"/>
    <w:rsid w:val="00057556"/>
    <w:rsid w:val="000579E6"/>
    <w:rsid w:val="00060E03"/>
    <w:rsid w:val="0006159B"/>
    <w:rsid w:val="000619AB"/>
    <w:rsid w:val="000620A4"/>
    <w:rsid w:val="00062297"/>
    <w:rsid w:val="00062EAA"/>
    <w:rsid w:val="00062EBF"/>
    <w:rsid w:val="000641B8"/>
    <w:rsid w:val="000641CE"/>
    <w:rsid w:val="0006492A"/>
    <w:rsid w:val="00064AB5"/>
    <w:rsid w:val="00065271"/>
    <w:rsid w:val="00065B27"/>
    <w:rsid w:val="00066176"/>
    <w:rsid w:val="0006618D"/>
    <w:rsid w:val="00066885"/>
    <w:rsid w:val="0006694E"/>
    <w:rsid w:val="00066A37"/>
    <w:rsid w:val="00066C2C"/>
    <w:rsid w:val="00066F05"/>
    <w:rsid w:val="0006779E"/>
    <w:rsid w:val="000709AB"/>
    <w:rsid w:val="000709F7"/>
    <w:rsid w:val="00070B47"/>
    <w:rsid w:val="00072483"/>
    <w:rsid w:val="000725BE"/>
    <w:rsid w:val="00072628"/>
    <w:rsid w:val="000728ED"/>
    <w:rsid w:val="000733F5"/>
    <w:rsid w:val="000733FF"/>
    <w:rsid w:val="00073888"/>
    <w:rsid w:val="00073C0D"/>
    <w:rsid w:val="000745ED"/>
    <w:rsid w:val="00074EDF"/>
    <w:rsid w:val="0007526C"/>
    <w:rsid w:val="0007577A"/>
    <w:rsid w:val="000757DA"/>
    <w:rsid w:val="00075AB3"/>
    <w:rsid w:val="00075F21"/>
    <w:rsid w:val="000775D0"/>
    <w:rsid w:val="00077A80"/>
    <w:rsid w:val="00080A08"/>
    <w:rsid w:val="00080A3E"/>
    <w:rsid w:val="0008109F"/>
    <w:rsid w:val="0008111F"/>
    <w:rsid w:val="00081B0F"/>
    <w:rsid w:val="00081C05"/>
    <w:rsid w:val="00082242"/>
    <w:rsid w:val="00082729"/>
    <w:rsid w:val="0008283D"/>
    <w:rsid w:val="00082BB8"/>
    <w:rsid w:val="00082D17"/>
    <w:rsid w:val="00082FD2"/>
    <w:rsid w:val="00083090"/>
    <w:rsid w:val="00083214"/>
    <w:rsid w:val="000837C4"/>
    <w:rsid w:val="00083B8F"/>
    <w:rsid w:val="00083CFE"/>
    <w:rsid w:val="000848BC"/>
    <w:rsid w:val="00084B11"/>
    <w:rsid w:val="00085322"/>
    <w:rsid w:val="00085680"/>
    <w:rsid w:val="0008656F"/>
    <w:rsid w:val="00086AB9"/>
    <w:rsid w:val="00086BCE"/>
    <w:rsid w:val="00086F36"/>
    <w:rsid w:val="000872E9"/>
    <w:rsid w:val="000874B8"/>
    <w:rsid w:val="0008799E"/>
    <w:rsid w:val="00090168"/>
    <w:rsid w:val="00090888"/>
    <w:rsid w:val="00090C76"/>
    <w:rsid w:val="00091033"/>
    <w:rsid w:val="00091E89"/>
    <w:rsid w:val="00091F10"/>
    <w:rsid w:val="000922BF"/>
    <w:rsid w:val="000922E8"/>
    <w:rsid w:val="00092EC4"/>
    <w:rsid w:val="0009302B"/>
    <w:rsid w:val="000934D7"/>
    <w:rsid w:val="00093D05"/>
    <w:rsid w:val="00093EC2"/>
    <w:rsid w:val="00094307"/>
    <w:rsid w:val="000958A2"/>
    <w:rsid w:val="000959A6"/>
    <w:rsid w:val="00095D1D"/>
    <w:rsid w:val="00095F43"/>
    <w:rsid w:val="000965E7"/>
    <w:rsid w:val="000965F6"/>
    <w:rsid w:val="0009695E"/>
    <w:rsid w:val="000970AA"/>
    <w:rsid w:val="000978E1"/>
    <w:rsid w:val="00097DF8"/>
    <w:rsid w:val="000A0041"/>
    <w:rsid w:val="000A06FC"/>
    <w:rsid w:val="000A11C6"/>
    <w:rsid w:val="000A137C"/>
    <w:rsid w:val="000A14FA"/>
    <w:rsid w:val="000A1A02"/>
    <w:rsid w:val="000A223E"/>
    <w:rsid w:val="000A2915"/>
    <w:rsid w:val="000A34FF"/>
    <w:rsid w:val="000A3E09"/>
    <w:rsid w:val="000A3E8C"/>
    <w:rsid w:val="000A4035"/>
    <w:rsid w:val="000A483A"/>
    <w:rsid w:val="000A485A"/>
    <w:rsid w:val="000A4B5F"/>
    <w:rsid w:val="000A55D2"/>
    <w:rsid w:val="000A5A10"/>
    <w:rsid w:val="000A6046"/>
    <w:rsid w:val="000A6096"/>
    <w:rsid w:val="000A64D3"/>
    <w:rsid w:val="000A6AB6"/>
    <w:rsid w:val="000A77B9"/>
    <w:rsid w:val="000A7877"/>
    <w:rsid w:val="000A7886"/>
    <w:rsid w:val="000A7B4B"/>
    <w:rsid w:val="000A7EA7"/>
    <w:rsid w:val="000B0403"/>
    <w:rsid w:val="000B057B"/>
    <w:rsid w:val="000B06E7"/>
    <w:rsid w:val="000B0C94"/>
    <w:rsid w:val="000B15E5"/>
    <w:rsid w:val="000B1BD7"/>
    <w:rsid w:val="000B2094"/>
    <w:rsid w:val="000B237D"/>
    <w:rsid w:val="000B2382"/>
    <w:rsid w:val="000B24E5"/>
    <w:rsid w:val="000B2FF1"/>
    <w:rsid w:val="000B3171"/>
    <w:rsid w:val="000B34A5"/>
    <w:rsid w:val="000B3739"/>
    <w:rsid w:val="000B3A96"/>
    <w:rsid w:val="000B4746"/>
    <w:rsid w:val="000B5808"/>
    <w:rsid w:val="000B62D8"/>
    <w:rsid w:val="000B6E96"/>
    <w:rsid w:val="000B7966"/>
    <w:rsid w:val="000B7CB1"/>
    <w:rsid w:val="000C03BE"/>
    <w:rsid w:val="000C0966"/>
    <w:rsid w:val="000C0AE6"/>
    <w:rsid w:val="000C0D0D"/>
    <w:rsid w:val="000C0F55"/>
    <w:rsid w:val="000C1664"/>
    <w:rsid w:val="000C185C"/>
    <w:rsid w:val="000C1F26"/>
    <w:rsid w:val="000C2555"/>
    <w:rsid w:val="000C2565"/>
    <w:rsid w:val="000C29DC"/>
    <w:rsid w:val="000C3077"/>
    <w:rsid w:val="000C3545"/>
    <w:rsid w:val="000C4838"/>
    <w:rsid w:val="000C498A"/>
    <w:rsid w:val="000C4A6E"/>
    <w:rsid w:val="000C4B9A"/>
    <w:rsid w:val="000C4C16"/>
    <w:rsid w:val="000C56FC"/>
    <w:rsid w:val="000C5A7F"/>
    <w:rsid w:val="000C5D56"/>
    <w:rsid w:val="000C6C7B"/>
    <w:rsid w:val="000C7907"/>
    <w:rsid w:val="000C7A11"/>
    <w:rsid w:val="000C7F5E"/>
    <w:rsid w:val="000D00AC"/>
    <w:rsid w:val="000D0AED"/>
    <w:rsid w:val="000D2427"/>
    <w:rsid w:val="000D2786"/>
    <w:rsid w:val="000D2A3B"/>
    <w:rsid w:val="000D2A8F"/>
    <w:rsid w:val="000D3602"/>
    <w:rsid w:val="000D3E45"/>
    <w:rsid w:val="000D3FDF"/>
    <w:rsid w:val="000D424E"/>
    <w:rsid w:val="000D4358"/>
    <w:rsid w:val="000D47F3"/>
    <w:rsid w:val="000D4D89"/>
    <w:rsid w:val="000D640C"/>
    <w:rsid w:val="000D6B7E"/>
    <w:rsid w:val="000D6BBD"/>
    <w:rsid w:val="000D6CDB"/>
    <w:rsid w:val="000D6D90"/>
    <w:rsid w:val="000D7606"/>
    <w:rsid w:val="000D7751"/>
    <w:rsid w:val="000D7769"/>
    <w:rsid w:val="000D7BFE"/>
    <w:rsid w:val="000D7C23"/>
    <w:rsid w:val="000E0527"/>
    <w:rsid w:val="000E0A16"/>
    <w:rsid w:val="000E1163"/>
    <w:rsid w:val="000E1665"/>
    <w:rsid w:val="000E1BFA"/>
    <w:rsid w:val="000E2142"/>
    <w:rsid w:val="000E21D0"/>
    <w:rsid w:val="000E29A9"/>
    <w:rsid w:val="000E2A38"/>
    <w:rsid w:val="000E2A39"/>
    <w:rsid w:val="000E2ACC"/>
    <w:rsid w:val="000E2D68"/>
    <w:rsid w:val="000E30C9"/>
    <w:rsid w:val="000E34C2"/>
    <w:rsid w:val="000E3DD3"/>
    <w:rsid w:val="000E3F9A"/>
    <w:rsid w:val="000E4897"/>
    <w:rsid w:val="000E48CA"/>
    <w:rsid w:val="000E5509"/>
    <w:rsid w:val="000E5704"/>
    <w:rsid w:val="000E585F"/>
    <w:rsid w:val="000E5A75"/>
    <w:rsid w:val="000E5FEE"/>
    <w:rsid w:val="000E61B0"/>
    <w:rsid w:val="000E62C6"/>
    <w:rsid w:val="000E66F8"/>
    <w:rsid w:val="000F054F"/>
    <w:rsid w:val="000F05B0"/>
    <w:rsid w:val="000F079D"/>
    <w:rsid w:val="000F09CF"/>
    <w:rsid w:val="000F0D9D"/>
    <w:rsid w:val="000F1CB4"/>
    <w:rsid w:val="000F1D56"/>
    <w:rsid w:val="000F2534"/>
    <w:rsid w:val="000F28D9"/>
    <w:rsid w:val="000F2D43"/>
    <w:rsid w:val="000F2F9A"/>
    <w:rsid w:val="000F33DB"/>
    <w:rsid w:val="000F3545"/>
    <w:rsid w:val="000F36EE"/>
    <w:rsid w:val="000F38C1"/>
    <w:rsid w:val="000F3AA0"/>
    <w:rsid w:val="000F40AE"/>
    <w:rsid w:val="000F48F7"/>
    <w:rsid w:val="000F4AEB"/>
    <w:rsid w:val="000F4B40"/>
    <w:rsid w:val="000F4C3B"/>
    <w:rsid w:val="000F4E7B"/>
    <w:rsid w:val="000F5069"/>
    <w:rsid w:val="000F5493"/>
    <w:rsid w:val="000F57C3"/>
    <w:rsid w:val="000F5807"/>
    <w:rsid w:val="000F5C37"/>
    <w:rsid w:val="000F5DF0"/>
    <w:rsid w:val="000F63DC"/>
    <w:rsid w:val="000F641C"/>
    <w:rsid w:val="000F660E"/>
    <w:rsid w:val="000F6686"/>
    <w:rsid w:val="000F6A0B"/>
    <w:rsid w:val="000F6E4E"/>
    <w:rsid w:val="000F710C"/>
    <w:rsid w:val="000F722C"/>
    <w:rsid w:val="000F733A"/>
    <w:rsid w:val="000F754F"/>
    <w:rsid w:val="000F7695"/>
    <w:rsid w:val="000F7EBF"/>
    <w:rsid w:val="00100B6C"/>
    <w:rsid w:val="001012E3"/>
    <w:rsid w:val="00101403"/>
    <w:rsid w:val="00101EEB"/>
    <w:rsid w:val="00102311"/>
    <w:rsid w:val="00102DF7"/>
    <w:rsid w:val="00103522"/>
    <w:rsid w:val="0010375A"/>
    <w:rsid w:val="0010389C"/>
    <w:rsid w:val="001038ED"/>
    <w:rsid w:val="001042B0"/>
    <w:rsid w:val="001051DF"/>
    <w:rsid w:val="001056A1"/>
    <w:rsid w:val="00105C4A"/>
    <w:rsid w:val="00106CC7"/>
    <w:rsid w:val="00106F4F"/>
    <w:rsid w:val="001071D3"/>
    <w:rsid w:val="001073D7"/>
    <w:rsid w:val="001075A8"/>
    <w:rsid w:val="00107AD5"/>
    <w:rsid w:val="00107DD6"/>
    <w:rsid w:val="00110259"/>
    <w:rsid w:val="001104C5"/>
    <w:rsid w:val="00110AA9"/>
    <w:rsid w:val="001110C2"/>
    <w:rsid w:val="001113AB"/>
    <w:rsid w:val="00111853"/>
    <w:rsid w:val="0011254D"/>
    <w:rsid w:val="00112D97"/>
    <w:rsid w:val="00112DDA"/>
    <w:rsid w:val="00112F8E"/>
    <w:rsid w:val="001135C7"/>
    <w:rsid w:val="001139C2"/>
    <w:rsid w:val="00114559"/>
    <w:rsid w:val="00114A73"/>
    <w:rsid w:val="00114EA9"/>
    <w:rsid w:val="00115757"/>
    <w:rsid w:val="00115ED0"/>
    <w:rsid w:val="00116012"/>
    <w:rsid w:val="00116235"/>
    <w:rsid w:val="0011683C"/>
    <w:rsid w:val="00117174"/>
    <w:rsid w:val="001179E8"/>
    <w:rsid w:val="00117AE1"/>
    <w:rsid w:val="00117CD7"/>
    <w:rsid w:val="00117D06"/>
    <w:rsid w:val="00117F10"/>
    <w:rsid w:val="0012021B"/>
    <w:rsid w:val="001210AD"/>
    <w:rsid w:val="0012165C"/>
    <w:rsid w:val="0012222D"/>
    <w:rsid w:val="00122740"/>
    <w:rsid w:val="00123224"/>
    <w:rsid w:val="001233D5"/>
    <w:rsid w:val="0012406A"/>
    <w:rsid w:val="001253A0"/>
    <w:rsid w:val="001255E6"/>
    <w:rsid w:val="00125C9B"/>
    <w:rsid w:val="00125E6F"/>
    <w:rsid w:val="00127928"/>
    <w:rsid w:val="00127A65"/>
    <w:rsid w:val="00130118"/>
    <w:rsid w:val="0013053A"/>
    <w:rsid w:val="0013066A"/>
    <w:rsid w:val="0013089A"/>
    <w:rsid w:val="00130B1F"/>
    <w:rsid w:val="00130F3D"/>
    <w:rsid w:val="00131593"/>
    <w:rsid w:val="001315EF"/>
    <w:rsid w:val="00131E13"/>
    <w:rsid w:val="00131E54"/>
    <w:rsid w:val="00131F39"/>
    <w:rsid w:val="001322C9"/>
    <w:rsid w:val="00132375"/>
    <w:rsid w:val="00132AEC"/>
    <w:rsid w:val="00132E73"/>
    <w:rsid w:val="001330FA"/>
    <w:rsid w:val="00133505"/>
    <w:rsid w:val="00133AF4"/>
    <w:rsid w:val="00134188"/>
    <w:rsid w:val="0013471C"/>
    <w:rsid w:val="00135437"/>
    <w:rsid w:val="001360E2"/>
    <w:rsid w:val="00136C0D"/>
    <w:rsid w:val="00137403"/>
    <w:rsid w:val="00137A59"/>
    <w:rsid w:val="00137BE9"/>
    <w:rsid w:val="00140044"/>
    <w:rsid w:val="00140706"/>
    <w:rsid w:val="00140A22"/>
    <w:rsid w:val="0014122A"/>
    <w:rsid w:val="001414F4"/>
    <w:rsid w:val="00141E85"/>
    <w:rsid w:val="0014233C"/>
    <w:rsid w:val="001427AA"/>
    <w:rsid w:val="001428B0"/>
    <w:rsid w:val="00142B11"/>
    <w:rsid w:val="0014319C"/>
    <w:rsid w:val="001436B3"/>
    <w:rsid w:val="00143976"/>
    <w:rsid w:val="00143DAC"/>
    <w:rsid w:val="00143FE6"/>
    <w:rsid w:val="00144231"/>
    <w:rsid w:val="00144622"/>
    <w:rsid w:val="00144709"/>
    <w:rsid w:val="00144781"/>
    <w:rsid w:val="00144917"/>
    <w:rsid w:val="00144F38"/>
    <w:rsid w:val="0014512F"/>
    <w:rsid w:val="001456EB"/>
    <w:rsid w:val="0014594D"/>
    <w:rsid w:val="00145CC0"/>
    <w:rsid w:val="00146636"/>
    <w:rsid w:val="0014702D"/>
    <w:rsid w:val="00147177"/>
    <w:rsid w:val="001473D3"/>
    <w:rsid w:val="0014748B"/>
    <w:rsid w:val="00147596"/>
    <w:rsid w:val="001478F3"/>
    <w:rsid w:val="00147E2E"/>
    <w:rsid w:val="00147F08"/>
    <w:rsid w:val="00150624"/>
    <w:rsid w:val="001508D5"/>
    <w:rsid w:val="001516AB"/>
    <w:rsid w:val="001516BD"/>
    <w:rsid w:val="00152718"/>
    <w:rsid w:val="00152B5A"/>
    <w:rsid w:val="00152E65"/>
    <w:rsid w:val="00152F5E"/>
    <w:rsid w:val="001530CF"/>
    <w:rsid w:val="00153172"/>
    <w:rsid w:val="001536BD"/>
    <w:rsid w:val="00153AE1"/>
    <w:rsid w:val="00153C00"/>
    <w:rsid w:val="00153F12"/>
    <w:rsid w:val="0015412E"/>
    <w:rsid w:val="001543DB"/>
    <w:rsid w:val="00154602"/>
    <w:rsid w:val="00154DF9"/>
    <w:rsid w:val="00154E6B"/>
    <w:rsid w:val="00154E7E"/>
    <w:rsid w:val="00155473"/>
    <w:rsid w:val="00155817"/>
    <w:rsid w:val="00155DC2"/>
    <w:rsid w:val="00156068"/>
    <w:rsid w:val="00156CF9"/>
    <w:rsid w:val="00156D90"/>
    <w:rsid w:val="00156E9F"/>
    <w:rsid w:val="00157599"/>
    <w:rsid w:val="00157A57"/>
    <w:rsid w:val="00157A5B"/>
    <w:rsid w:val="00157A9B"/>
    <w:rsid w:val="00157DB6"/>
    <w:rsid w:val="00157EC2"/>
    <w:rsid w:val="001613A2"/>
    <w:rsid w:val="00161478"/>
    <w:rsid w:val="00161B3A"/>
    <w:rsid w:val="001620AA"/>
    <w:rsid w:val="00162A68"/>
    <w:rsid w:val="00162C51"/>
    <w:rsid w:val="00162E08"/>
    <w:rsid w:val="001633F1"/>
    <w:rsid w:val="00163600"/>
    <w:rsid w:val="0016363B"/>
    <w:rsid w:val="0016416D"/>
    <w:rsid w:val="00164271"/>
    <w:rsid w:val="00164477"/>
    <w:rsid w:val="00164ED9"/>
    <w:rsid w:val="0016531E"/>
    <w:rsid w:val="0016565C"/>
    <w:rsid w:val="00165A08"/>
    <w:rsid w:val="00166314"/>
    <w:rsid w:val="00166746"/>
    <w:rsid w:val="0016680B"/>
    <w:rsid w:val="00166A1F"/>
    <w:rsid w:val="00167590"/>
    <w:rsid w:val="00167918"/>
    <w:rsid w:val="00167A9A"/>
    <w:rsid w:val="00167C1E"/>
    <w:rsid w:val="0017037A"/>
    <w:rsid w:val="0017043B"/>
    <w:rsid w:val="001706A1"/>
    <w:rsid w:val="00170752"/>
    <w:rsid w:val="00170914"/>
    <w:rsid w:val="00170DF2"/>
    <w:rsid w:val="00171E71"/>
    <w:rsid w:val="0017257D"/>
    <w:rsid w:val="0017299F"/>
    <w:rsid w:val="0017350B"/>
    <w:rsid w:val="00173D50"/>
    <w:rsid w:val="00173F16"/>
    <w:rsid w:val="00174841"/>
    <w:rsid w:val="00174ABB"/>
    <w:rsid w:val="00174B72"/>
    <w:rsid w:val="00174ECD"/>
    <w:rsid w:val="00175B20"/>
    <w:rsid w:val="001761FD"/>
    <w:rsid w:val="0017623B"/>
    <w:rsid w:val="001766F1"/>
    <w:rsid w:val="0017788E"/>
    <w:rsid w:val="00177D61"/>
    <w:rsid w:val="00180125"/>
    <w:rsid w:val="001808CA"/>
    <w:rsid w:val="00180923"/>
    <w:rsid w:val="00180CE5"/>
    <w:rsid w:val="00180DF6"/>
    <w:rsid w:val="0018147D"/>
    <w:rsid w:val="00181853"/>
    <w:rsid w:val="00181BAA"/>
    <w:rsid w:val="00181D2D"/>
    <w:rsid w:val="001820A4"/>
    <w:rsid w:val="0018210A"/>
    <w:rsid w:val="001828FD"/>
    <w:rsid w:val="00182DE0"/>
    <w:rsid w:val="00183627"/>
    <w:rsid w:val="00183787"/>
    <w:rsid w:val="0018386C"/>
    <w:rsid w:val="00184479"/>
    <w:rsid w:val="0018455F"/>
    <w:rsid w:val="0018457C"/>
    <w:rsid w:val="001846FC"/>
    <w:rsid w:val="0018472C"/>
    <w:rsid w:val="00184792"/>
    <w:rsid w:val="00184838"/>
    <w:rsid w:val="001852A4"/>
    <w:rsid w:val="001855A4"/>
    <w:rsid w:val="00185711"/>
    <w:rsid w:val="00185755"/>
    <w:rsid w:val="001863D4"/>
    <w:rsid w:val="00186ED2"/>
    <w:rsid w:val="00187398"/>
    <w:rsid w:val="00187F73"/>
    <w:rsid w:val="00187FB0"/>
    <w:rsid w:val="001901F5"/>
    <w:rsid w:val="001902E9"/>
    <w:rsid w:val="00190327"/>
    <w:rsid w:val="001905AC"/>
    <w:rsid w:val="001906A5"/>
    <w:rsid w:val="00190A0A"/>
    <w:rsid w:val="00190D91"/>
    <w:rsid w:val="0019196E"/>
    <w:rsid w:val="00191ED8"/>
    <w:rsid w:val="0019257C"/>
    <w:rsid w:val="001926F2"/>
    <w:rsid w:val="00192BB0"/>
    <w:rsid w:val="00192DF0"/>
    <w:rsid w:val="00192F32"/>
    <w:rsid w:val="00193408"/>
    <w:rsid w:val="00193B69"/>
    <w:rsid w:val="00193BCE"/>
    <w:rsid w:val="001945D2"/>
    <w:rsid w:val="00194B87"/>
    <w:rsid w:val="00194ED9"/>
    <w:rsid w:val="0019569A"/>
    <w:rsid w:val="00195962"/>
    <w:rsid w:val="001973E6"/>
    <w:rsid w:val="00197533"/>
    <w:rsid w:val="001977E7"/>
    <w:rsid w:val="00197CCA"/>
    <w:rsid w:val="001A04E6"/>
    <w:rsid w:val="001A0973"/>
    <w:rsid w:val="001A0D8A"/>
    <w:rsid w:val="001A192D"/>
    <w:rsid w:val="001A2310"/>
    <w:rsid w:val="001A2D06"/>
    <w:rsid w:val="001A31E5"/>
    <w:rsid w:val="001A3950"/>
    <w:rsid w:val="001A3DE0"/>
    <w:rsid w:val="001A4AD7"/>
    <w:rsid w:val="001A4B38"/>
    <w:rsid w:val="001A4B3B"/>
    <w:rsid w:val="001A5212"/>
    <w:rsid w:val="001A5223"/>
    <w:rsid w:val="001A531C"/>
    <w:rsid w:val="001A5C13"/>
    <w:rsid w:val="001A61CB"/>
    <w:rsid w:val="001A662A"/>
    <w:rsid w:val="001A6A1C"/>
    <w:rsid w:val="001A6D86"/>
    <w:rsid w:val="001A7147"/>
    <w:rsid w:val="001A72A7"/>
    <w:rsid w:val="001A78E6"/>
    <w:rsid w:val="001A7C72"/>
    <w:rsid w:val="001B084B"/>
    <w:rsid w:val="001B0CEC"/>
    <w:rsid w:val="001B0DED"/>
    <w:rsid w:val="001B0FFC"/>
    <w:rsid w:val="001B104E"/>
    <w:rsid w:val="001B1623"/>
    <w:rsid w:val="001B1CF2"/>
    <w:rsid w:val="001B2494"/>
    <w:rsid w:val="001B2509"/>
    <w:rsid w:val="001B2B3F"/>
    <w:rsid w:val="001B329B"/>
    <w:rsid w:val="001B3824"/>
    <w:rsid w:val="001B3C2B"/>
    <w:rsid w:val="001B3ED9"/>
    <w:rsid w:val="001B4005"/>
    <w:rsid w:val="001B4388"/>
    <w:rsid w:val="001B463E"/>
    <w:rsid w:val="001B49E0"/>
    <w:rsid w:val="001B4D46"/>
    <w:rsid w:val="001B5302"/>
    <w:rsid w:val="001B5377"/>
    <w:rsid w:val="001B5864"/>
    <w:rsid w:val="001B5B79"/>
    <w:rsid w:val="001B5DC4"/>
    <w:rsid w:val="001B5DDA"/>
    <w:rsid w:val="001B5FBA"/>
    <w:rsid w:val="001B6553"/>
    <w:rsid w:val="001B6647"/>
    <w:rsid w:val="001B6A47"/>
    <w:rsid w:val="001B6B0A"/>
    <w:rsid w:val="001B6C3C"/>
    <w:rsid w:val="001C0089"/>
    <w:rsid w:val="001C0824"/>
    <w:rsid w:val="001C0901"/>
    <w:rsid w:val="001C0A15"/>
    <w:rsid w:val="001C0B83"/>
    <w:rsid w:val="001C1004"/>
    <w:rsid w:val="001C100B"/>
    <w:rsid w:val="001C1220"/>
    <w:rsid w:val="001C13CE"/>
    <w:rsid w:val="001C1510"/>
    <w:rsid w:val="001C17E2"/>
    <w:rsid w:val="001C1989"/>
    <w:rsid w:val="001C1ED2"/>
    <w:rsid w:val="001C2033"/>
    <w:rsid w:val="001C2066"/>
    <w:rsid w:val="001C24BA"/>
    <w:rsid w:val="001C28FD"/>
    <w:rsid w:val="001C309E"/>
    <w:rsid w:val="001C3163"/>
    <w:rsid w:val="001C3349"/>
    <w:rsid w:val="001C3E58"/>
    <w:rsid w:val="001C4ABA"/>
    <w:rsid w:val="001C509E"/>
    <w:rsid w:val="001C546B"/>
    <w:rsid w:val="001C553B"/>
    <w:rsid w:val="001C5EA2"/>
    <w:rsid w:val="001C6608"/>
    <w:rsid w:val="001C6680"/>
    <w:rsid w:val="001C6C7D"/>
    <w:rsid w:val="001C79E3"/>
    <w:rsid w:val="001C7A3E"/>
    <w:rsid w:val="001D01B3"/>
    <w:rsid w:val="001D0393"/>
    <w:rsid w:val="001D1CB1"/>
    <w:rsid w:val="001D2232"/>
    <w:rsid w:val="001D260F"/>
    <w:rsid w:val="001D26D8"/>
    <w:rsid w:val="001D2AC0"/>
    <w:rsid w:val="001D2DBA"/>
    <w:rsid w:val="001D2FD0"/>
    <w:rsid w:val="001D3830"/>
    <w:rsid w:val="001D39B3"/>
    <w:rsid w:val="001D3A53"/>
    <w:rsid w:val="001D3BA6"/>
    <w:rsid w:val="001D4F43"/>
    <w:rsid w:val="001D4F79"/>
    <w:rsid w:val="001D4FEC"/>
    <w:rsid w:val="001D5564"/>
    <w:rsid w:val="001D593A"/>
    <w:rsid w:val="001D5D62"/>
    <w:rsid w:val="001D67A2"/>
    <w:rsid w:val="001D6FAA"/>
    <w:rsid w:val="001D70FA"/>
    <w:rsid w:val="001D736D"/>
    <w:rsid w:val="001D7617"/>
    <w:rsid w:val="001D768C"/>
    <w:rsid w:val="001D787D"/>
    <w:rsid w:val="001D7BA9"/>
    <w:rsid w:val="001E00EF"/>
    <w:rsid w:val="001E039D"/>
    <w:rsid w:val="001E0CFC"/>
    <w:rsid w:val="001E1398"/>
    <w:rsid w:val="001E22E7"/>
    <w:rsid w:val="001E2714"/>
    <w:rsid w:val="001E385E"/>
    <w:rsid w:val="001E398C"/>
    <w:rsid w:val="001E4094"/>
    <w:rsid w:val="001E40BB"/>
    <w:rsid w:val="001E4456"/>
    <w:rsid w:val="001E480E"/>
    <w:rsid w:val="001E4DDC"/>
    <w:rsid w:val="001E58C0"/>
    <w:rsid w:val="001E5EAA"/>
    <w:rsid w:val="001E62BC"/>
    <w:rsid w:val="001E6BFD"/>
    <w:rsid w:val="001E73AA"/>
    <w:rsid w:val="001E7716"/>
    <w:rsid w:val="001E774F"/>
    <w:rsid w:val="001E78AC"/>
    <w:rsid w:val="001E7C1D"/>
    <w:rsid w:val="001E7F44"/>
    <w:rsid w:val="001E7F89"/>
    <w:rsid w:val="001F073F"/>
    <w:rsid w:val="001F07B8"/>
    <w:rsid w:val="001F19B5"/>
    <w:rsid w:val="001F2AA2"/>
    <w:rsid w:val="001F3009"/>
    <w:rsid w:val="001F3358"/>
    <w:rsid w:val="001F35CB"/>
    <w:rsid w:val="001F36A2"/>
    <w:rsid w:val="001F390F"/>
    <w:rsid w:val="001F3A8B"/>
    <w:rsid w:val="001F5CD1"/>
    <w:rsid w:val="001F5DEF"/>
    <w:rsid w:val="001F6810"/>
    <w:rsid w:val="001F7257"/>
    <w:rsid w:val="001F72CD"/>
    <w:rsid w:val="001F7739"/>
    <w:rsid w:val="001F7BB6"/>
    <w:rsid w:val="001F7BFA"/>
    <w:rsid w:val="0020011B"/>
    <w:rsid w:val="0020084A"/>
    <w:rsid w:val="0020084C"/>
    <w:rsid w:val="00200886"/>
    <w:rsid w:val="00200B57"/>
    <w:rsid w:val="00200F51"/>
    <w:rsid w:val="00201449"/>
    <w:rsid w:val="002014D7"/>
    <w:rsid w:val="0020187E"/>
    <w:rsid w:val="00201CF1"/>
    <w:rsid w:val="00201DC6"/>
    <w:rsid w:val="00201DE8"/>
    <w:rsid w:val="00201EB6"/>
    <w:rsid w:val="00202116"/>
    <w:rsid w:val="00202375"/>
    <w:rsid w:val="002024ED"/>
    <w:rsid w:val="002025EA"/>
    <w:rsid w:val="00202884"/>
    <w:rsid w:val="00202E44"/>
    <w:rsid w:val="00203556"/>
    <w:rsid w:val="002046CF"/>
    <w:rsid w:val="00204B13"/>
    <w:rsid w:val="00204D0F"/>
    <w:rsid w:val="00204DB6"/>
    <w:rsid w:val="002056ED"/>
    <w:rsid w:val="00205C3A"/>
    <w:rsid w:val="00207D61"/>
    <w:rsid w:val="00210B53"/>
    <w:rsid w:val="00211273"/>
    <w:rsid w:val="002114BA"/>
    <w:rsid w:val="00211548"/>
    <w:rsid w:val="00211698"/>
    <w:rsid w:val="00211793"/>
    <w:rsid w:val="002117BD"/>
    <w:rsid w:val="002119B2"/>
    <w:rsid w:val="00211C11"/>
    <w:rsid w:val="00212345"/>
    <w:rsid w:val="002129DC"/>
    <w:rsid w:val="00213029"/>
    <w:rsid w:val="00213210"/>
    <w:rsid w:val="00213469"/>
    <w:rsid w:val="002138A2"/>
    <w:rsid w:val="00214069"/>
    <w:rsid w:val="002143C4"/>
    <w:rsid w:val="00214412"/>
    <w:rsid w:val="0021457C"/>
    <w:rsid w:val="00214809"/>
    <w:rsid w:val="00214902"/>
    <w:rsid w:val="002149A1"/>
    <w:rsid w:val="00214E7A"/>
    <w:rsid w:val="00215769"/>
    <w:rsid w:val="00215785"/>
    <w:rsid w:val="002159DF"/>
    <w:rsid w:val="00215BFE"/>
    <w:rsid w:val="00215C44"/>
    <w:rsid w:val="00215E45"/>
    <w:rsid w:val="00216E73"/>
    <w:rsid w:val="0021774C"/>
    <w:rsid w:val="00217FF6"/>
    <w:rsid w:val="00220012"/>
    <w:rsid w:val="0022024E"/>
    <w:rsid w:val="00220B96"/>
    <w:rsid w:val="00220E0E"/>
    <w:rsid w:val="0022146C"/>
    <w:rsid w:val="002216B3"/>
    <w:rsid w:val="00221B2E"/>
    <w:rsid w:val="00221C8D"/>
    <w:rsid w:val="00221EBE"/>
    <w:rsid w:val="00222386"/>
    <w:rsid w:val="0022272B"/>
    <w:rsid w:val="002228A8"/>
    <w:rsid w:val="00222D42"/>
    <w:rsid w:val="00222F51"/>
    <w:rsid w:val="002230E1"/>
    <w:rsid w:val="00223361"/>
    <w:rsid w:val="00223443"/>
    <w:rsid w:val="00223A95"/>
    <w:rsid w:val="002244BA"/>
    <w:rsid w:val="00224663"/>
    <w:rsid w:val="002247AA"/>
    <w:rsid w:val="00224B35"/>
    <w:rsid w:val="00224CC7"/>
    <w:rsid w:val="00224DA7"/>
    <w:rsid w:val="002260C4"/>
    <w:rsid w:val="002260EF"/>
    <w:rsid w:val="002261CB"/>
    <w:rsid w:val="00226449"/>
    <w:rsid w:val="002264F6"/>
    <w:rsid w:val="0022676A"/>
    <w:rsid w:val="002268BF"/>
    <w:rsid w:val="00227A54"/>
    <w:rsid w:val="00227BDE"/>
    <w:rsid w:val="00227C12"/>
    <w:rsid w:val="00227C2F"/>
    <w:rsid w:val="00230045"/>
    <w:rsid w:val="0023014E"/>
    <w:rsid w:val="002302C7"/>
    <w:rsid w:val="00230469"/>
    <w:rsid w:val="002308FA"/>
    <w:rsid w:val="00230C8C"/>
    <w:rsid w:val="0023132F"/>
    <w:rsid w:val="00231670"/>
    <w:rsid w:val="00231AA5"/>
    <w:rsid w:val="00232D9A"/>
    <w:rsid w:val="00232E05"/>
    <w:rsid w:val="00232F90"/>
    <w:rsid w:val="0023339B"/>
    <w:rsid w:val="0023366D"/>
    <w:rsid w:val="00233CD3"/>
    <w:rsid w:val="002342B4"/>
    <w:rsid w:val="0023469C"/>
    <w:rsid w:val="00234C4B"/>
    <w:rsid w:val="00234C71"/>
    <w:rsid w:val="00235511"/>
    <w:rsid w:val="00235E33"/>
    <w:rsid w:val="0023626A"/>
    <w:rsid w:val="00236402"/>
    <w:rsid w:val="002366E0"/>
    <w:rsid w:val="00236729"/>
    <w:rsid w:val="00236DE1"/>
    <w:rsid w:val="002372EE"/>
    <w:rsid w:val="002372FD"/>
    <w:rsid w:val="0023764D"/>
    <w:rsid w:val="00237834"/>
    <w:rsid w:val="002400D7"/>
    <w:rsid w:val="00240C8D"/>
    <w:rsid w:val="00240E49"/>
    <w:rsid w:val="002415BC"/>
    <w:rsid w:val="00241F37"/>
    <w:rsid w:val="002424B6"/>
    <w:rsid w:val="002427C6"/>
    <w:rsid w:val="00242918"/>
    <w:rsid w:val="0024298B"/>
    <w:rsid w:val="00242A7D"/>
    <w:rsid w:val="00242E2D"/>
    <w:rsid w:val="0024338E"/>
    <w:rsid w:val="002434B2"/>
    <w:rsid w:val="00243C65"/>
    <w:rsid w:val="0024418E"/>
    <w:rsid w:val="002442F4"/>
    <w:rsid w:val="002445C4"/>
    <w:rsid w:val="002445EA"/>
    <w:rsid w:val="00244B2A"/>
    <w:rsid w:val="00244ECE"/>
    <w:rsid w:val="00244FC5"/>
    <w:rsid w:val="0024503E"/>
    <w:rsid w:val="00245CC5"/>
    <w:rsid w:val="00245D1D"/>
    <w:rsid w:val="00246035"/>
    <w:rsid w:val="00246B5B"/>
    <w:rsid w:val="00247DD7"/>
    <w:rsid w:val="00250229"/>
    <w:rsid w:val="00250340"/>
    <w:rsid w:val="00250D76"/>
    <w:rsid w:val="00250EDA"/>
    <w:rsid w:val="00251108"/>
    <w:rsid w:val="00251356"/>
    <w:rsid w:val="00251502"/>
    <w:rsid w:val="002518E8"/>
    <w:rsid w:val="002519FA"/>
    <w:rsid w:val="00251C10"/>
    <w:rsid w:val="002520B5"/>
    <w:rsid w:val="00252267"/>
    <w:rsid w:val="00252A85"/>
    <w:rsid w:val="00252E1E"/>
    <w:rsid w:val="00253080"/>
    <w:rsid w:val="00253451"/>
    <w:rsid w:val="00253587"/>
    <w:rsid w:val="002537D1"/>
    <w:rsid w:val="002538BA"/>
    <w:rsid w:val="00254192"/>
    <w:rsid w:val="0025469D"/>
    <w:rsid w:val="0025472F"/>
    <w:rsid w:val="002552B1"/>
    <w:rsid w:val="002557C3"/>
    <w:rsid w:val="0025580A"/>
    <w:rsid w:val="00255A10"/>
    <w:rsid w:val="00255D01"/>
    <w:rsid w:val="0025667C"/>
    <w:rsid w:val="00256AE9"/>
    <w:rsid w:val="00256E55"/>
    <w:rsid w:val="00257188"/>
    <w:rsid w:val="00257E0E"/>
    <w:rsid w:val="00257FF4"/>
    <w:rsid w:val="002607E2"/>
    <w:rsid w:val="00260BD2"/>
    <w:rsid w:val="00260FCB"/>
    <w:rsid w:val="002615F5"/>
    <w:rsid w:val="002616B9"/>
    <w:rsid w:val="0026217B"/>
    <w:rsid w:val="002629E4"/>
    <w:rsid w:val="00262B00"/>
    <w:rsid w:val="00262B78"/>
    <w:rsid w:val="00262D19"/>
    <w:rsid w:val="00263325"/>
    <w:rsid w:val="002633B1"/>
    <w:rsid w:val="002636CE"/>
    <w:rsid w:val="002637AA"/>
    <w:rsid w:val="00263FE3"/>
    <w:rsid w:val="00264089"/>
    <w:rsid w:val="0026428B"/>
    <w:rsid w:val="0026484B"/>
    <w:rsid w:val="00264B86"/>
    <w:rsid w:val="00265417"/>
    <w:rsid w:val="002654F6"/>
    <w:rsid w:val="00265593"/>
    <w:rsid w:val="00265A04"/>
    <w:rsid w:val="00266271"/>
    <w:rsid w:val="00266CDD"/>
    <w:rsid w:val="002675EA"/>
    <w:rsid w:val="00267BC5"/>
    <w:rsid w:val="00267C38"/>
    <w:rsid w:val="00267CBE"/>
    <w:rsid w:val="00267E0B"/>
    <w:rsid w:val="0027008A"/>
    <w:rsid w:val="002705CC"/>
    <w:rsid w:val="00270680"/>
    <w:rsid w:val="00271103"/>
    <w:rsid w:val="00271AA3"/>
    <w:rsid w:val="002721FA"/>
    <w:rsid w:val="0027230C"/>
    <w:rsid w:val="00272B99"/>
    <w:rsid w:val="002732E0"/>
    <w:rsid w:val="0027333D"/>
    <w:rsid w:val="00273485"/>
    <w:rsid w:val="0027380D"/>
    <w:rsid w:val="002738AC"/>
    <w:rsid w:val="00273974"/>
    <w:rsid w:val="00273BE6"/>
    <w:rsid w:val="00274097"/>
    <w:rsid w:val="002740C8"/>
    <w:rsid w:val="0027468E"/>
    <w:rsid w:val="00274826"/>
    <w:rsid w:val="00274E43"/>
    <w:rsid w:val="00275005"/>
    <w:rsid w:val="002752AB"/>
    <w:rsid w:val="002756D6"/>
    <w:rsid w:val="0027573C"/>
    <w:rsid w:val="00276B5A"/>
    <w:rsid w:val="00277860"/>
    <w:rsid w:val="00277905"/>
    <w:rsid w:val="00277DFF"/>
    <w:rsid w:val="00277F1D"/>
    <w:rsid w:val="0028148A"/>
    <w:rsid w:val="002814A7"/>
    <w:rsid w:val="002815D0"/>
    <w:rsid w:val="002820A7"/>
    <w:rsid w:val="002827B0"/>
    <w:rsid w:val="002836A6"/>
    <w:rsid w:val="00283B82"/>
    <w:rsid w:val="00283E13"/>
    <w:rsid w:val="00283F3B"/>
    <w:rsid w:val="00284763"/>
    <w:rsid w:val="0028532A"/>
    <w:rsid w:val="00286478"/>
    <w:rsid w:val="002866A8"/>
    <w:rsid w:val="00286B53"/>
    <w:rsid w:val="00287222"/>
    <w:rsid w:val="0028727C"/>
    <w:rsid w:val="00287EDD"/>
    <w:rsid w:val="00290A94"/>
    <w:rsid w:val="00290C7A"/>
    <w:rsid w:val="0029141B"/>
    <w:rsid w:val="00291F6D"/>
    <w:rsid w:val="0029202F"/>
    <w:rsid w:val="002927D3"/>
    <w:rsid w:val="00292EC8"/>
    <w:rsid w:val="002938AD"/>
    <w:rsid w:val="00293DC7"/>
    <w:rsid w:val="00294BDE"/>
    <w:rsid w:val="00294EA6"/>
    <w:rsid w:val="00295DB6"/>
    <w:rsid w:val="002965C0"/>
    <w:rsid w:val="00296D3B"/>
    <w:rsid w:val="00296E1A"/>
    <w:rsid w:val="00296E3F"/>
    <w:rsid w:val="0029788B"/>
    <w:rsid w:val="00297D1B"/>
    <w:rsid w:val="00297F4D"/>
    <w:rsid w:val="002A0226"/>
    <w:rsid w:val="002A0290"/>
    <w:rsid w:val="002A0661"/>
    <w:rsid w:val="002A0B7F"/>
    <w:rsid w:val="002A115D"/>
    <w:rsid w:val="002A1CF2"/>
    <w:rsid w:val="002A1F59"/>
    <w:rsid w:val="002A2018"/>
    <w:rsid w:val="002A2044"/>
    <w:rsid w:val="002A2ED0"/>
    <w:rsid w:val="002A329F"/>
    <w:rsid w:val="002A33D9"/>
    <w:rsid w:val="002A3474"/>
    <w:rsid w:val="002A35BF"/>
    <w:rsid w:val="002A3A84"/>
    <w:rsid w:val="002A3BBF"/>
    <w:rsid w:val="002A3CEC"/>
    <w:rsid w:val="002A4223"/>
    <w:rsid w:val="002A4568"/>
    <w:rsid w:val="002A4AA8"/>
    <w:rsid w:val="002A4C3E"/>
    <w:rsid w:val="002A56BC"/>
    <w:rsid w:val="002A5C53"/>
    <w:rsid w:val="002A6156"/>
    <w:rsid w:val="002A66AD"/>
    <w:rsid w:val="002A6AD6"/>
    <w:rsid w:val="002A72CC"/>
    <w:rsid w:val="002A76AB"/>
    <w:rsid w:val="002A79C7"/>
    <w:rsid w:val="002A7A4F"/>
    <w:rsid w:val="002A7AFE"/>
    <w:rsid w:val="002B011D"/>
    <w:rsid w:val="002B01DB"/>
    <w:rsid w:val="002B05EB"/>
    <w:rsid w:val="002B09C0"/>
    <w:rsid w:val="002B100F"/>
    <w:rsid w:val="002B107A"/>
    <w:rsid w:val="002B125E"/>
    <w:rsid w:val="002B13B3"/>
    <w:rsid w:val="002B183D"/>
    <w:rsid w:val="002B1A70"/>
    <w:rsid w:val="002B1B11"/>
    <w:rsid w:val="002B1DBF"/>
    <w:rsid w:val="002B1DC8"/>
    <w:rsid w:val="002B1DD8"/>
    <w:rsid w:val="002B1FD4"/>
    <w:rsid w:val="002B207F"/>
    <w:rsid w:val="002B24E0"/>
    <w:rsid w:val="002B2A48"/>
    <w:rsid w:val="002B2BEE"/>
    <w:rsid w:val="002B30FC"/>
    <w:rsid w:val="002B31AD"/>
    <w:rsid w:val="002B3471"/>
    <w:rsid w:val="002B3EA7"/>
    <w:rsid w:val="002B465E"/>
    <w:rsid w:val="002B4ABD"/>
    <w:rsid w:val="002B4ACB"/>
    <w:rsid w:val="002B4BAE"/>
    <w:rsid w:val="002B4F67"/>
    <w:rsid w:val="002B50A2"/>
    <w:rsid w:val="002B538B"/>
    <w:rsid w:val="002B5520"/>
    <w:rsid w:val="002B581B"/>
    <w:rsid w:val="002B6176"/>
    <w:rsid w:val="002B6732"/>
    <w:rsid w:val="002B7D9C"/>
    <w:rsid w:val="002B7E7E"/>
    <w:rsid w:val="002C00C2"/>
    <w:rsid w:val="002C019F"/>
    <w:rsid w:val="002C0745"/>
    <w:rsid w:val="002C1543"/>
    <w:rsid w:val="002C196B"/>
    <w:rsid w:val="002C1EF3"/>
    <w:rsid w:val="002C2448"/>
    <w:rsid w:val="002C2892"/>
    <w:rsid w:val="002C2E22"/>
    <w:rsid w:val="002C4037"/>
    <w:rsid w:val="002C43D0"/>
    <w:rsid w:val="002C4992"/>
    <w:rsid w:val="002C5067"/>
    <w:rsid w:val="002C5081"/>
    <w:rsid w:val="002C54AB"/>
    <w:rsid w:val="002C58AB"/>
    <w:rsid w:val="002C64F1"/>
    <w:rsid w:val="002C652C"/>
    <w:rsid w:val="002C6708"/>
    <w:rsid w:val="002C6B15"/>
    <w:rsid w:val="002C6D84"/>
    <w:rsid w:val="002C6EE1"/>
    <w:rsid w:val="002C7D21"/>
    <w:rsid w:val="002C7D8E"/>
    <w:rsid w:val="002D10B2"/>
    <w:rsid w:val="002D1564"/>
    <w:rsid w:val="002D190C"/>
    <w:rsid w:val="002D1B9B"/>
    <w:rsid w:val="002D1CA4"/>
    <w:rsid w:val="002D1CFA"/>
    <w:rsid w:val="002D1FF8"/>
    <w:rsid w:val="002D29FD"/>
    <w:rsid w:val="002D2C09"/>
    <w:rsid w:val="002D2C45"/>
    <w:rsid w:val="002D2D40"/>
    <w:rsid w:val="002D3461"/>
    <w:rsid w:val="002D3FC5"/>
    <w:rsid w:val="002D4324"/>
    <w:rsid w:val="002D4366"/>
    <w:rsid w:val="002D4969"/>
    <w:rsid w:val="002D4EE1"/>
    <w:rsid w:val="002D4F01"/>
    <w:rsid w:val="002D4F49"/>
    <w:rsid w:val="002D58AB"/>
    <w:rsid w:val="002D608B"/>
    <w:rsid w:val="002D69B7"/>
    <w:rsid w:val="002D778E"/>
    <w:rsid w:val="002D7AFC"/>
    <w:rsid w:val="002D7EC3"/>
    <w:rsid w:val="002D7F3D"/>
    <w:rsid w:val="002E0161"/>
    <w:rsid w:val="002E04D7"/>
    <w:rsid w:val="002E06DD"/>
    <w:rsid w:val="002E0AFE"/>
    <w:rsid w:val="002E0E5F"/>
    <w:rsid w:val="002E13BE"/>
    <w:rsid w:val="002E171A"/>
    <w:rsid w:val="002E17EF"/>
    <w:rsid w:val="002E194A"/>
    <w:rsid w:val="002E1D62"/>
    <w:rsid w:val="002E1E81"/>
    <w:rsid w:val="002E1EA1"/>
    <w:rsid w:val="002E2A24"/>
    <w:rsid w:val="002E2D2C"/>
    <w:rsid w:val="002E3D66"/>
    <w:rsid w:val="002E3F11"/>
    <w:rsid w:val="002E4B11"/>
    <w:rsid w:val="002E4F70"/>
    <w:rsid w:val="002E57CE"/>
    <w:rsid w:val="002E5886"/>
    <w:rsid w:val="002E5AD3"/>
    <w:rsid w:val="002E635D"/>
    <w:rsid w:val="002E645A"/>
    <w:rsid w:val="002E7562"/>
    <w:rsid w:val="002E7AE1"/>
    <w:rsid w:val="002F071F"/>
    <w:rsid w:val="002F16D5"/>
    <w:rsid w:val="002F17FF"/>
    <w:rsid w:val="002F1A24"/>
    <w:rsid w:val="002F1A90"/>
    <w:rsid w:val="002F1C2F"/>
    <w:rsid w:val="002F2151"/>
    <w:rsid w:val="002F254B"/>
    <w:rsid w:val="002F297E"/>
    <w:rsid w:val="002F347F"/>
    <w:rsid w:val="002F3D1C"/>
    <w:rsid w:val="002F4EA1"/>
    <w:rsid w:val="002F52DE"/>
    <w:rsid w:val="002F55C1"/>
    <w:rsid w:val="002F5715"/>
    <w:rsid w:val="002F5E1A"/>
    <w:rsid w:val="002F64DE"/>
    <w:rsid w:val="002F797A"/>
    <w:rsid w:val="002F7C2A"/>
    <w:rsid w:val="002F7D9C"/>
    <w:rsid w:val="00300483"/>
    <w:rsid w:val="003012BB"/>
    <w:rsid w:val="0030133B"/>
    <w:rsid w:val="00301B1D"/>
    <w:rsid w:val="00301C91"/>
    <w:rsid w:val="003026F0"/>
    <w:rsid w:val="00302E83"/>
    <w:rsid w:val="003033B5"/>
    <w:rsid w:val="00303F2B"/>
    <w:rsid w:val="00303FE0"/>
    <w:rsid w:val="003042C9"/>
    <w:rsid w:val="00304607"/>
    <w:rsid w:val="0030467A"/>
    <w:rsid w:val="00304D4E"/>
    <w:rsid w:val="00304D61"/>
    <w:rsid w:val="00304EF8"/>
    <w:rsid w:val="00304FFD"/>
    <w:rsid w:val="00305608"/>
    <w:rsid w:val="00305B72"/>
    <w:rsid w:val="00305C41"/>
    <w:rsid w:val="0030610A"/>
    <w:rsid w:val="00306627"/>
    <w:rsid w:val="0030675F"/>
    <w:rsid w:val="003069DD"/>
    <w:rsid w:val="00306CAB"/>
    <w:rsid w:val="0030777A"/>
    <w:rsid w:val="00307C25"/>
    <w:rsid w:val="00310DB4"/>
    <w:rsid w:val="00310E75"/>
    <w:rsid w:val="003110A8"/>
    <w:rsid w:val="00311100"/>
    <w:rsid w:val="0031146F"/>
    <w:rsid w:val="0031150D"/>
    <w:rsid w:val="00311747"/>
    <w:rsid w:val="00311795"/>
    <w:rsid w:val="003117B1"/>
    <w:rsid w:val="00311B70"/>
    <w:rsid w:val="00311CBE"/>
    <w:rsid w:val="00312280"/>
    <w:rsid w:val="0031237C"/>
    <w:rsid w:val="00312CD0"/>
    <w:rsid w:val="00312F94"/>
    <w:rsid w:val="003130B8"/>
    <w:rsid w:val="00313F60"/>
    <w:rsid w:val="00313F6A"/>
    <w:rsid w:val="0031449F"/>
    <w:rsid w:val="003145A5"/>
    <w:rsid w:val="003148B9"/>
    <w:rsid w:val="00314A2E"/>
    <w:rsid w:val="00314B4E"/>
    <w:rsid w:val="00315223"/>
    <w:rsid w:val="00315246"/>
    <w:rsid w:val="00315266"/>
    <w:rsid w:val="00315580"/>
    <w:rsid w:val="00315763"/>
    <w:rsid w:val="003160A9"/>
    <w:rsid w:val="0031682B"/>
    <w:rsid w:val="0031693B"/>
    <w:rsid w:val="003169CE"/>
    <w:rsid w:val="00316F0A"/>
    <w:rsid w:val="00316F8A"/>
    <w:rsid w:val="003178A5"/>
    <w:rsid w:val="00317DC7"/>
    <w:rsid w:val="003200F9"/>
    <w:rsid w:val="003202E0"/>
    <w:rsid w:val="00320CEB"/>
    <w:rsid w:val="00320F38"/>
    <w:rsid w:val="00321183"/>
    <w:rsid w:val="00321694"/>
    <w:rsid w:val="003217DE"/>
    <w:rsid w:val="00321F0A"/>
    <w:rsid w:val="0032216D"/>
    <w:rsid w:val="003223CE"/>
    <w:rsid w:val="00322A2D"/>
    <w:rsid w:val="00322C61"/>
    <w:rsid w:val="00322E80"/>
    <w:rsid w:val="00323002"/>
    <w:rsid w:val="00323DF7"/>
    <w:rsid w:val="00324D5B"/>
    <w:rsid w:val="00325045"/>
    <w:rsid w:val="0032580D"/>
    <w:rsid w:val="00325AF2"/>
    <w:rsid w:val="00325D91"/>
    <w:rsid w:val="00325E20"/>
    <w:rsid w:val="00326349"/>
    <w:rsid w:val="003267B4"/>
    <w:rsid w:val="00326F51"/>
    <w:rsid w:val="003278EC"/>
    <w:rsid w:val="00327A31"/>
    <w:rsid w:val="00327EF6"/>
    <w:rsid w:val="0033015C"/>
    <w:rsid w:val="003303B7"/>
    <w:rsid w:val="00331193"/>
    <w:rsid w:val="00331F2E"/>
    <w:rsid w:val="00333172"/>
    <w:rsid w:val="003333D4"/>
    <w:rsid w:val="00333A95"/>
    <w:rsid w:val="00333EFE"/>
    <w:rsid w:val="0033421D"/>
    <w:rsid w:val="00334317"/>
    <w:rsid w:val="00334951"/>
    <w:rsid w:val="0033537E"/>
    <w:rsid w:val="003356D6"/>
    <w:rsid w:val="003357E7"/>
    <w:rsid w:val="00336115"/>
    <w:rsid w:val="0033621D"/>
    <w:rsid w:val="003362A9"/>
    <w:rsid w:val="003363E9"/>
    <w:rsid w:val="00336411"/>
    <w:rsid w:val="00336687"/>
    <w:rsid w:val="00336694"/>
    <w:rsid w:val="0033678D"/>
    <w:rsid w:val="00336813"/>
    <w:rsid w:val="00336DCF"/>
    <w:rsid w:val="003370BD"/>
    <w:rsid w:val="0033720D"/>
    <w:rsid w:val="003373E8"/>
    <w:rsid w:val="00337823"/>
    <w:rsid w:val="00337A7B"/>
    <w:rsid w:val="00337B08"/>
    <w:rsid w:val="00340558"/>
    <w:rsid w:val="00341A21"/>
    <w:rsid w:val="00342C07"/>
    <w:rsid w:val="003437BC"/>
    <w:rsid w:val="00343C71"/>
    <w:rsid w:val="00344138"/>
    <w:rsid w:val="00344147"/>
    <w:rsid w:val="0034430D"/>
    <w:rsid w:val="003443DD"/>
    <w:rsid w:val="0034486D"/>
    <w:rsid w:val="00344CE5"/>
    <w:rsid w:val="00344D5A"/>
    <w:rsid w:val="00344E9B"/>
    <w:rsid w:val="00345D63"/>
    <w:rsid w:val="00345F7F"/>
    <w:rsid w:val="003460DF"/>
    <w:rsid w:val="003463D4"/>
    <w:rsid w:val="00346E9C"/>
    <w:rsid w:val="00346EB6"/>
    <w:rsid w:val="00347874"/>
    <w:rsid w:val="00347EDB"/>
    <w:rsid w:val="00350529"/>
    <w:rsid w:val="00350797"/>
    <w:rsid w:val="00351A85"/>
    <w:rsid w:val="003522E8"/>
    <w:rsid w:val="003522FA"/>
    <w:rsid w:val="0035298C"/>
    <w:rsid w:val="003530F2"/>
    <w:rsid w:val="0035370E"/>
    <w:rsid w:val="00353989"/>
    <w:rsid w:val="003539A7"/>
    <w:rsid w:val="00353E06"/>
    <w:rsid w:val="00354E3F"/>
    <w:rsid w:val="003556CC"/>
    <w:rsid w:val="00355B7A"/>
    <w:rsid w:val="0035617C"/>
    <w:rsid w:val="00356E7E"/>
    <w:rsid w:val="00356EB8"/>
    <w:rsid w:val="00356F8F"/>
    <w:rsid w:val="00357236"/>
    <w:rsid w:val="003573A6"/>
    <w:rsid w:val="00357791"/>
    <w:rsid w:val="00357B83"/>
    <w:rsid w:val="00360216"/>
    <w:rsid w:val="0036139F"/>
    <w:rsid w:val="003614A6"/>
    <w:rsid w:val="003614A8"/>
    <w:rsid w:val="0036160E"/>
    <w:rsid w:val="00361665"/>
    <w:rsid w:val="003616B3"/>
    <w:rsid w:val="00361767"/>
    <w:rsid w:val="00361883"/>
    <w:rsid w:val="00361DCA"/>
    <w:rsid w:val="00361FDD"/>
    <w:rsid w:val="00362262"/>
    <w:rsid w:val="00362610"/>
    <w:rsid w:val="003629AD"/>
    <w:rsid w:val="00362B6E"/>
    <w:rsid w:val="003630EA"/>
    <w:rsid w:val="0036324C"/>
    <w:rsid w:val="00363830"/>
    <w:rsid w:val="00363D2D"/>
    <w:rsid w:val="00363F6A"/>
    <w:rsid w:val="0036430C"/>
    <w:rsid w:val="00364838"/>
    <w:rsid w:val="00364BB6"/>
    <w:rsid w:val="00364CBA"/>
    <w:rsid w:val="00364D6B"/>
    <w:rsid w:val="003651DA"/>
    <w:rsid w:val="00365408"/>
    <w:rsid w:val="003659CC"/>
    <w:rsid w:val="00365CC0"/>
    <w:rsid w:val="003666BE"/>
    <w:rsid w:val="003668DF"/>
    <w:rsid w:val="0036735D"/>
    <w:rsid w:val="003675DD"/>
    <w:rsid w:val="00367688"/>
    <w:rsid w:val="003679DE"/>
    <w:rsid w:val="003703FB"/>
    <w:rsid w:val="00371B54"/>
    <w:rsid w:val="00372221"/>
    <w:rsid w:val="003729E8"/>
    <w:rsid w:val="00372CF2"/>
    <w:rsid w:val="00373368"/>
    <w:rsid w:val="00373A53"/>
    <w:rsid w:val="00374726"/>
    <w:rsid w:val="003749F1"/>
    <w:rsid w:val="00374ADE"/>
    <w:rsid w:val="00374C7E"/>
    <w:rsid w:val="00374F80"/>
    <w:rsid w:val="003761C7"/>
    <w:rsid w:val="003761FE"/>
    <w:rsid w:val="003770D6"/>
    <w:rsid w:val="00377353"/>
    <w:rsid w:val="0037736B"/>
    <w:rsid w:val="0037798B"/>
    <w:rsid w:val="00377B8B"/>
    <w:rsid w:val="003803C5"/>
    <w:rsid w:val="003809F9"/>
    <w:rsid w:val="00381BDA"/>
    <w:rsid w:val="00381F57"/>
    <w:rsid w:val="0038216E"/>
    <w:rsid w:val="003822E5"/>
    <w:rsid w:val="0038294B"/>
    <w:rsid w:val="003830B8"/>
    <w:rsid w:val="003831C0"/>
    <w:rsid w:val="00383262"/>
    <w:rsid w:val="00383440"/>
    <w:rsid w:val="00384C8B"/>
    <w:rsid w:val="00384EF2"/>
    <w:rsid w:val="00385106"/>
    <w:rsid w:val="003855A3"/>
    <w:rsid w:val="003857D8"/>
    <w:rsid w:val="00385B31"/>
    <w:rsid w:val="00385D13"/>
    <w:rsid w:val="00385F41"/>
    <w:rsid w:val="00386636"/>
    <w:rsid w:val="003867C1"/>
    <w:rsid w:val="00387F14"/>
    <w:rsid w:val="003903CE"/>
    <w:rsid w:val="003905A1"/>
    <w:rsid w:val="00391041"/>
    <w:rsid w:val="00391EF8"/>
    <w:rsid w:val="003921AE"/>
    <w:rsid w:val="00392447"/>
    <w:rsid w:val="00392F8F"/>
    <w:rsid w:val="00392FBD"/>
    <w:rsid w:val="00393B5B"/>
    <w:rsid w:val="00393BC8"/>
    <w:rsid w:val="00394EAB"/>
    <w:rsid w:val="00394FAD"/>
    <w:rsid w:val="00397458"/>
    <w:rsid w:val="003974B5"/>
    <w:rsid w:val="00397982"/>
    <w:rsid w:val="00397A96"/>
    <w:rsid w:val="003A02EE"/>
    <w:rsid w:val="003A04A5"/>
    <w:rsid w:val="003A0546"/>
    <w:rsid w:val="003A157A"/>
    <w:rsid w:val="003A18CC"/>
    <w:rsid w:val="003A2634"/>
    <w:rsid w:val="003A283F"/>
    <w:rsid w:val="003A2A16"/>
    <w:rsid w:val="003A2B4C"/>
    <w:rsid w:val="003A2FDD"/>
    <w:rsid w:val="003A3AFD"/>
    <w:rsid w:val="003A3C43"/>
    <w:rsid w:val="003A422B"/>
    <w:rsid w:val="003A4285"/>
    <w:rsid w:val="003A59AD"/>
    <w:rsid w:val="003A5ABE"/>
    <w:rsid w:val="003A5CCC"/>
    <w:rsid w:val="003A5E66"/>
    <w:rsid w:val="003A622E"/>
    <w:rsid w:val="003A6B7F"/>
    <w:rsid w:val="003A6F92"/>
    <w:rsid w:val="003A70FF"/>
    <w:rsid w:val="003A74D2"/>
    <w:rsid w:val="003A756B"/>
    <w:rsid w:val="003A764B"/>
    <w:rsid w:val="003A7902"/>
    <w:rsid w:val="003A7BD4"/>
    <w:rsid w:val="003A7D70"/>
    <w:rsid w:val="003B083F"/>
    <w:rsid w:val="003B119F"/>
    <w:rsid w:val="003B136A"/>
    <w:rsid w:val="003B14EA"/>
    <w:rsid w:val="003B1679"/>
    <w:rsid w:val="003B23D7"/>
    <w:rsid w:val="003B252C"/>
    <w:rsid w:val="003B312D"/>
    <w:rsid w:val="003B34CB"/>
    <w:rsid w:val="003B38F9"/>
    <w:rsid w:val="003B3AB4"/>
    <w:rsid w:val="003B3AFF"/>
    <w:rsid w:val="003B3CA8"/>
    <w:rsid w:val="003B42A6"/>
    <w:rsid w:val="003B45D5"/>
    <w:rsid w:val="003B494E"/>
    <w:rsid w:val="003B52FE"/>
    <w:rsid w:val="003B55EE"/>
    <w:rsid w:val="003B572A"/>
    <w:rsid w:val="003B5779"/>
    <w:rsid w:val="003B5A50"/>
    <w:rsid w:val="003B5E1A"/>
    <w:rsid w:val="003B60D7"/>
    <w:rsid w:val="003B6325"/>
    <w:rsid w:val="003B64A5"/>
    <w:rsid w:val="003B67A1"/>
    <w:rsid w:val="003B69D3"/>
    <w:rsid w:val="003B70A3"/>
    <w:rsid w:val="003B71E0"/>
    <w:rsid w:val="003B7509"/>
    <w:rsid w:val="003B7861"/>
    <w:rsid w:val="003B78A4"/>
    <w:rsid w:val="003C063B"/>
    <w:rsid w:val="003C1393"/>
    <w:rsid w:val="003C144E"/>
    <w:rsid w:val="003C17E2"/>
    <w:rsid w:val="003C1A07"/>
    <w:rsid w:val="003C1E74"/>
    <w:rsid w:val="003C20A2"/>
    <w:rsid w:val="003C2673"/>
    <w:rsid w:val="003C27A2"/>
    <w:rsid w:val="003C2BDF"/>
    <w:rsid w:val="003C2FA1"/>
    <w:rsid w:val="003C52B7"/>
    <w:rsid w:val="003C5320"/>
    <w:rsid w:val="003C567C"/>
    <w:rsid w:val="003C58D3"/>
    <w:rsid w:val="003C59B8"/>
    <w:rsid w:val="003C5DB1"/>
    <w:rsid w:val="003C6506"/>
    <w:rsid w:val="003C6809"/>
    <w:rsid w:val="003C6904"/>
    <w:rsid w:val="003C6B00"/>
    <w:rsid w:val="003C75F3"/>
    <w:rsid w:val="003C7897"/>
    <w:rsid w:val="003C79C8"/>
    <w:rsid w:val="003D0937"/>
    <w:rsid w:val="003D0BF1"/>
    <w:rsid w:val="003D0C92"/>
    <w:rsid w:val="003D16AB"/>
    <w:rsid w:val="003D17E6"/>
    <w:rsid w:val="003D1A20"/>
    <w:rsid w:val="003D1AC9"/>
    <w:rsid w:val="003D280C"/>
    <w:rsid w:val="003D2AC9"/>
    <w:rsid w:val="003D2CD8"/>
    <w:rsid w:val="003D34DE"/>
    <w:rsid w:val="003D3724"/>
    <w:rsid w:val="003D4035"/>
    <w:rsid w:val="003D42AB"/>
    <w:rsid w:val="003D46A7"/>
    <w:rsid w:val="003D4B4C"/>
    <w:rsid w:val="003D5DB8"/>
    <w:rsid w:val="003D62CF"/>
    <w:rsid w:val="003D6376"/>
    <w:rsid w:val="003D67CE"/>
    <w:rsid w:val="003D70BE"/>
    <w:rsid w:val="003D7168"/>
    <w:rsid w:val="003D76CC"/>
    <w:rsid w:val="003D7B6E"/>
    <w:rsid w:val="003E0258"/>
    <w:rsid w:val="003E05EE"/>
    <w:rsid w:val="003E0C75"/>
    <w:rsid w:val="003E1235"/>
    <w:rsid w:val="003E16BC"/>
    <w:rsid w:val="003E2493"/>
    <w:rsid w:val="003E275B"/>
    <w:rsid w:val="003E2A35"/>
    <w:rsid w:val="003E2B56"/>
    <w:rsid w:val="003E2CE1"/>
    <w:rsid w:val="003E2DCB"/>
    <w:rsid w:val="003E30E6"/>
    <w:rsid w:val="003E389A"/>
    <w:rsid w:val="003E40BF"/>
    <w:rsid w:val="003E4C3F"/>
    <w:rsid w:val="003E4D7C"/>
    <w:rsid w:val="003E4F12"/>
    <w:rsid w:val="003E5CFD"/>
    <w:rsid w:val="003E5FA8"/>
    <w:rsid w:val="003E6060"/>
    <w:rsid w:val="003E6252"/>
    <w:rsid w:val="003E626A"/>
    <w:rsid w:val="003E6669"/>
    <w:rsid w:val="003E6B6A"/>
    <w:rsid w:val="003E6B81"/>
    <w:rsid w:val="003E7DDB"/>
    <w:rsid w:val="003F0478"/>
    <w:rsid w:val="003F06EA"/>
    <w:rsid w:val="003F0B2C"/>
    <w:rsid w:val="003F1200"/>
    <w:rsid w:val="003F1421"/>
    <w:rsid w:val="003F1844"/>
    <w:rsid w:val="003F1E21"/>
    <w:rsid w:val="003F241E"/>
    <w:rsid w:val="003F28C0"/>
    <w:rsid w:val="003F363B"/>
    <w:rsid w:val="003F3B45"/>
    <w:rsid w:val="003F3EE6"/>
    <w:rsid w:val="003F500C"/>
    <w:rsid w:val="003F52B2"/>
    <w:rsid w:val="003F656E"/>
    <w:rsid w:val="003F65EF"/>
    <w:rsid w:val="003F6748"/>
    <w:rsid w:val="003F716E"/>
    <w:rsid w:val="003F733C"/>
    <w:rsid w:val="003F7634"/>
    <w:rsid w:val="003F775D"/>
    <w:rsid w:val="003F7A7E"/>
    <w:rsid w:val="003F7D9D"/>
    <w:rsid w:val="003F7DB7"/>
    <w:rsid w:val="00400061"/>
    <w:rsid w:val="0040068A"/>
    <w:rsid w:val="00400755"/>
    <w:rsid w:val="00400813"/>
    <w:rsid w:val="00400E17"/>
    <w:rsid w:val="00400F9D"/>
    <w:rsid w:val="004010D5"/>
    <w:rsid w:val="004013AD"/>
    <w:rsid w:val="004013C9"/>
    <w:rsid w:val="00402215"/>
    <w:rsid w:val="004022AA"/>
    <w:rsid w:val="00402C35"/>
    <w:rsid w:val="00402D97"/>
    <w:rsid w:val="0040405B"/>
    <w:rsid w:val="00404195"/>
    <w:rsid w:val="00404211"/>
    <w:rsid w:val="004042A4"/>
    <w:rsid w:val="00404346"/>
    <w:rsid w:val="004043F3"/>
    <w:rsid w:val="0040459D"/>
    <w:rsid w:val="00404BAF"/>
    <w:rsid w:val="00404D2F"/>
    <w:rsid w:val="00404DAA"/>
    <w:rsid w:val="00404DDD"/>
    <w:rsid w:val="0040578B"/>
    <w:rsid w:val="004061E6"/>
    <w:rsid w:val="004065D6"/>
    <w:rsid w:val="004067A0"/>
    <w:rsid w:val="0040687D"/>
    <w:rsid w:val="0040687E"/>
    <w:rsid w:val="0040709D"/>
    <w:rsid w:val="0040713F"/>
    <w:rsid w:val="004075A3"/>
    <w:rsid w:val="00407973"/>
    <w:rsid w:val="00410182"/>
    <w:rsid w:val="00410C48"/>
    <w:rsid w:val="0041109D"/>
    <w:rsid w:val="00411638"/>
    <w:rsid w:val="00412B3F"/>
    <w:rsid w:val="0041310F"/>
    <w:rsid w:val="004132FD"/>
    <w:rsid w:val="00414066"/>
    <w:rsid w:val="00415294"/>
    <w:rsid w:val="004155A0"/>
    <w:rsid w:val="004155EF"/>
    <w:rsid w:val="00415900"/>
    <w:rsid w:val="00415ADC"/>
    <w:rsid w:val="00415D75"/>
    <w:rsid w:val="00416277"/>
    <w:rsid w:val="00416621"/>
    <w:rsid w:val="00416B1D"/>
    <w:rsid w:val="00416E24"/>
    <w:rsid w:val="0041754D"/>
    <w:rsid w:val="00417DCA"/>
    <w:rsid w:val="0042009F"/>
    <w:rsid w:val="0042015A"/>
    <w:rsid w:val="0042063D"/>
    <w:rsid w:val="00420841"/>
    <w:rsid w:val="004214A7"/>
    <w:rsid w:val="00421706"/>
    <w:rsid w:val="004219BD"/>
    <w:rsid w:val="00421CBF"/>
    <w:rsid w:val="00422387"/>
    <w:rsid w:val="00422B23"/>
    <w:rsid w:val="004233B9"/>
    <w:rsid w:val="00423A60"/>
    <w:rsid w:val="00423C47"/>
    <w:rsid w:val="00423E03"/>
    <w:rsid w:val="0042574E"/>
    <w:rsid w:val="004262F1"/>
    <w:rsid w:val="0042651C"/>
    <w:rsid w:val="00426703"/>
    <w:rsid w:val="00426C1E"/>
    <w:rsid w:val="00426C32"/>
    <w:rsid w:val="00426E9B"/>
    <w:rsid w:val="00427149"/>
    <w:rsid w:val="004271DE"/>
    <w:rsid w:val="00427ABC"/>
    <w:rsid w:val="00427D55"/>
    <w:rsid w:val="00430429"/>
    <w:rsid w:val="00430A76"/>
    <w:rsid w:val="00431DB2"/>
    <w:rsid w:val="0043233C"/>
    <w:rsid w:val="00432972"/>
    <w:rsid w:val="00432AF2"/>
    <w:rsid w:val="00432B4A"/>
    <w:rsid w:val="00432BAB"/>
    <w:rsid w:val="00433310"/>
    <w:rsid w:val="0043396D"/>
    <w:rsid w:val="00433AAD"/>
    <w:rsid w:val="00433BD3"/>
    <w:rsid w:val="004345A6"/>
    <w:rsid w:val="0043484F"/>
    <w:rsid w:val="00434886"/>
    <w:rsid w:val="00434FC4"/>
    <w:rsid w:val="004351CD"/>
    <w:rsid w:val="00435A07"/>
    <w:rsid w:val="00435B2F"/>
    <w:rsid w:val="00435E03"/>
    <w:rsid w:val="0043626B"/>
    <w:rsid w:val="0043649F"/>
    <w:rsid w:val="00437129"/>
    <w:rsid w:val="0043718A"/>
    <w:rsid w:val="004373E1"/>
    <w:rsid w:val="004374A3"/>
    <w:rsid w:val="00437A7E"/>
    <w:rsid w:val="00437B6C"/>
    <w:rsid w:val="00437EEB"/>
    <w:rsid w:val="00440144"/>
    <w:rsid w:val="0044064E"/>
    <w:rsid w:val="00440805"/>
    <w:rsid w:val="004412E1"/>
    <w:rsid w:val="00441554"/>
    <w:rsid w:val="00441CD7"/>
    <w:rsid w:val="004421DA"/>
    <w:rsid w:val="00442E48"/>
    <w:rsid w:val="0044388E"/>
    <w:rsid w:val="00443DCD"/>
    <w:rsid w:val="00443E7E"/>
    <w:rsid w:val="004445CC"/>
    <w:rsid w:val="00444BE9"/>
    <w:rsid w:val="00444C06"/>
    <w:rsid w:val="004454DF"/>
    <w:rsid w:val="00445EC3"/>
    <w:rsid w:val="00446804"/>
    <w:rsid w:val="004473CA"/>
    <w:rsid w:val="004478D4"/>
    <w:rsid w:val="00450380"/>
    <w:rsid w:val="004505C6"/>
    <w:rsid w:val="00450E8E"/>
    <w:rsid w:val="00451D59"/>
    <w:rsid w:val="00451E95"/>
    <w:rsid w:val="004520CD"/>
    <w:rsid w:val="00452A16"/>
    <w:rsid w:val="00452AD5"/>
    <w:rsid w:val="00452DF3"/>
    <w:rsid w:val="00452FCA"/>
    <w:rsid w:val="004534F5"/>
    <w:rsid w:val="00453765"/>
    <w:rsid w:val="004546CC"/>
    <w:rsid w:val="00454EC3"/>
    <w:rsid w:val="0045502D"/>
    <w:rsid w:val="004552E4"/>
    <w:rsid w:val="0045530A"/>
    <w:rsid w:val="004554AE"/>
    <w:rsid w:val="004554C3"/>
    <w:rsid w:val="00455FB6"/>
    <w:rsid w:val="004562AB"/>
    <w:rsid w:val="004563C5"/>
    <w:rsid w:val="00456BE2"/>
    <w:rsid w:val="00456C21"/>
    <w:rsid w:val="00457197"/>
    <w:rsid w:val="00457555"/>
    <w:rsid w:val="0045765A"/>
    <w:rsid w:val="00457790"/>
    <w:rsid w:val="004577CF"/>
    <w:rsid w:val="00457971"/>
    <w:rsid w:val="00457DD8"/>
    <w:rsid w:val="00457F98"/>
    <w:rsid w:val="004601E1"/>
    <w:rsid w:val="004603D0"/>
    <w:rsid w:val="0046069E"/>
    <w:rsid w:val="00461A03"/>
    <w:rsid w:val="00461DBB"/>
    <w:rsid w:val="004620C6"/>
    <w:rsid w:val="004624AE"/>
    <w:rsid w:val="0046250E"/>
    <w:rsid w:val="004629A8"/>
    <w:rsid w:val="00462E9C"/>
    <w:rsid w:val="00463220"/>
    <w:rsid w:val="0046333A"/>
    <w:rsid w:val="00463515"/>
    <w:rsid w:val="0046395E"/>
    <w:rsid w:val="00464AA5"/>
    <w:rsid w:val="00464B48"/>
    <w:rsid w:val="00465231"/>
    <w:rsid w:val="004661AF"/>
    <w:rsid w:val="004662AD"/>
    <w:rsid w:val="00466516"/>
    <w:rsid w:val="00466692"/>
    <w:rsid w:val="004671CD"/>
    <w:rsid w:val="00467B65"/>
    <w:rsid w:val="004712A4"/>
    <w:rsid w:val="00471833"/>
    <w:rsid w:val="00471AF8"/>
    <w:rsid w:val="00471EA5"/>
    <w:rsid w:val="004720C9"/>
    <w:rsid w:val="00472144"/>
    <w:rsid w:val="00472257"/>
    <w:rsid w:val="00472E49"/>
    <w:rsid w:val="004732BB"/>
    <w:rsid w:val="00473678"/>
    <w:rsid w:val="00473A55"/>
    <w:rsid w:val="00474761"/>
    <w:rsid w:val="0047476F"/>
    <w:rsid w:val="00474C60"/>
    <w:rsid w:val="00475944"/>
    <w:rsid w:val="00475DF0"/>
    <w:rsid w:val="004762F3"/>
    <w:rsid w:val="004763D7"/>
    <w:rsid w:val="00476525"/>
    <w:rsid w:val="004767B7"/>
    <w:rsid w:val="00476935"/>
    <w:rsid w:val="00476DA7"/>
    <w:rsid w:val="004770F9"/>
    <w:rsid w:val="00477210"/>
    <w:rsid w:val="004772E2"/>
    <w:rsid w:val="0047739F"/>
    <w:rsid w:val="004773EE"/>
    <w:rsid w:val="00477BB0"/>
    <w:rsid w:val="00477F97"/>
    <w:rsid w:val="00480460"/>
    <w:rsid w:val="0048054B"/>
    <w:rsid w:val="0048065F"/>
    <w:rsid w:val="00480A2D"/>
    <w:rsid w:val="00480AFB"/>
    <w:rsid w:val="00481247"/>
    <w:rsid w:val="00482406"/>
    <w:rsid w:val="004828D1"/>
    <w:rsid w:val="004828DC"/>
    <w:rsid w:val="00482FF7"/>
    <w:rsid w:val="00483098"/>
    <w:rsid w:val="00483AFB"/>
    <w:rsid w:val="0048402B"/>
    <w:rsid w:val="004840F3"/>
    <w:rsid w:val="0048414A"/>
    <w:rsid w:val="004848FA"/>
    <w:rsid w:val="00484D9A"/>
    <w:rsid w:val="0048550E"/>
    <w:rsid w:val="00485C56"/>
    <w:rsid w:val="00485D18"/>
    <w:rsid w:val="00486B79"/>
    <w:rsid w:val="00486CA2"/>
    <w:rsid w:val="00487F62"/>
    <w:rsid w:val="00490B25"/>
    <w:rsid w:val="00490FD6"/>
    <w:rsid w:val="00491168"/>
    <w:rsid w:val="004911C4"/>
    <w:rsid w:val="00491AD5"/>
    <w:rsid w:val="00492C5E"/>
    <w:rsid w:val="00492EAB"/>
    <w:rsid w:val="00493AAE"/>
    <w:rsid w:val="00494490"/>
    <w:rsid w:val="00494CC8"/>
    <w:rsid w:val="004952FE"/>
    <w:rsid w:val="004955E7"/>
    <w:rsid w:val="0049569E"/>
    <w:rsid w:val="0049589C"/>
    <w:rsid w:val="00495EF1"/>
    <w:rsid w:val="00496035"/>
    <w:rsid w:val="00496337"/>
    <w:rsid w:val="004965D0"/>
    <w:rsid w:val="004967C8"/>
    <w:rsid w:val="0049684E"/>
    <w:rsid w:val="00496ED4"/>
    <w:rsid w:val="00497D4A"/>
    <w:rsid w:val="00497F68"/>
    <w:rsid w:val="004A0441"/>
    <w:rsid w:val="004A084C"/>
    <w:rsid w:val="004A0A40"/>
    <w:rsid w:val="004A0F07"/>
    <w:rsid w:val="004A15B3"/>
    <w:rsid w:val="004A1D01"/>
    <w:rsid w:val="004A246D"/>
    <w:rsid w:val="004A2A54"/>
    <w:rsid w:val="004A2EF3"/>
    <w:rsid w:val="004A3B0D"/>
    <w:rsid w:val="004A44A1"/>
    <w:rsid w:val="004A4743"/>
    <w:rsid w:val="004A50AF"/>
    <w:rsid w:val="004A52F5"/>
    <w:rsid w:val="004A58C4"/>
    <w:rsid w:val="004A5D3A"/>
    <w:rsid w:val="004A5D52"/>
    <w:rsid w:val="004A6302"/>
    <w:rsid w:val="004A6897"/>
    <w:rsid w:val="004A692B"/>
    <w:rsid w:val="004A6DE8"/>
    <w:rsid w:val="004A6E82"/>
    <w:rsid w:val="004A6EB6"/>
    <w:rsid w:val="004A70BC"/>
    <w:rsid w:val="004A735E"/>
    <w:rsid w:val="004A75D6"/>
    <w:rsid w:val="004A767E"/>
    <w:rsid w:val="004A78F8"/>
    <w:rsid w:val="004A794C"/>
    <w:rsid w:val="004B0A74"/>
    <w:rsid w:val="004B17F2"/>
    <w:rsid w:val="004B1F07"/>
    <w:rsid w:val="004B22F8"/>
    <w:rsid w:val="004B2B2A"/>
    <w:rsid w:val="004B2CAD"/>
    <w:rsid w:val="004B3AC8"/>
    <w:rsid w:val="004B3E61"/>
    <w:rsid w:val="004B3EC7"/>
    <w:rsid w:val="004B4216"/>
    <w:rsid w:val="004B5664"/>
    <w:rsid w:val="004B592C"/>
    <w:rsid w:val="004B6353"/>
    <w:rsid w:val="004B63DA"/>
    <w:rsid w:val="004B68C1"/>
    <w:rsid w:val="004B6E09"/>
    <w:rsid w:val="004C01AC"/>
    <w:rsid w:val="004C047A"/>
    <w:rsid w:val="004C0CAB"/>
    <w:rsid w:val="004C1204"/>
    <w:rsid w:val="004C1922"/>
    <w:rsid w:val="004C2107"/>
    <w:rsid w:val="004C2E42"/>
    <w:rsid w:val="004C3A76"/>
    <w:rsid w:val="004C4F79"/>
    <w:rsid w:val="004C56A1"/>
    <w:rsid w:val="004C5FC6"/>
    <w:rsid w:val="004C6435"/>
    <w:rsid w:val="004C649B"/>
    <w:rsid w:val="004C6AF2"/>
    <w:rsid w:val="004C6CB2"/>
    <w:rsid w:val="004C6F8E"/>
    <w:rsid w:val="004C70BF"/>
    <w:rsid w:val="004C7B60"/>
    <w:rsid w:val="004C7B9C"/>
    <w:rsid w:val="004C7D55"/>
    <w:rsid w:val="004C7F66"/>
    <w:rsid w:val="004D089A"/>
    <w:rsid w:val="004D0A9A"/>
    <w:rsid w:val="004D0FB8"/>
    <w:rsid w:val="004D1097"/>
    <w:rsid w:val="004D1324"/>
    <w:rsid w:val="004D164C"/>
    <w:rsid w:val="004D1CB7"/>
    <w:rsid w:val="004D1FA2"/>
    <w:rsid w:val="004D3184"/>
    <w:rsid w:val="004D33C9"/>
    <w:rsid w:val="004D3A2E"/>
    <w:rsid w:val="004D3DDD"/>
    <w:rsid w:val="004D41CB"/>
    <w:rsid w:val="004D480E"/>
    <w:rsid w:val="004D4ACF"/>
    <w:rsid w:val="004D5030"/>
    <w:rsid w:val="004D6045"/>
    <w:rsid w:val="004D62FA"/>
    <w:rsid w:val="004D63A5"/>
    <w:rsid w:val="004D6C1D"/>
    <w:rsid w:val="004D7080"/>
    <w:rsid w:val="004D7546"/>
    <w:rsid w:val="004D7EC5"/>
    <w:rsid w:val="004E0023"/>
    <w:rsid w:val="004E02B0"/>
    <w:rsid w:val="004E09CC"/>
    <w:rsid w:val="004E0B29"/>
    <w:rsid w:val="004E0E11"/>
    <w:rsid w:val="004E0F08"/>
    <w:rsid w:val="004E1546"/>
    <w:rsid w:val="004E158B"/>
    <w:rsid w:val="004E19DC"/>
    <w:rsid w:val="004E2165"/>
    <w:rsid w:val="004E27CF"/>
    <w:rsid w:val="004E280F"/>
    <w:rsid w:val="004E2880"/>
    <w:rsid w:val="004E2897"/>
    <w:rsid w:val="004E2C77"/>
    <w:rsid w:val="004E2C8E"/>
    <w:rsid w:val="004E35E8"/>
    <w:rsid w:val="004E38EB"/>
    <w:rsid w:val="004E4879"/>
    <w:rsid w:val="004E50F0"/>
    <w:rsid w:val="004E6A03"/>
    <w:rsid w:val="004E6BCF"/>
    <w:rsid w:val="004E763A"/>
    <w:rsid w:val="004F0070"/>
    <w:rsid w:val="004F0087"/>
    <w:rsid w:val="004F0409"/>
    <w:rsid w:val="004F0468"/>
    <w:rsid w:val="004F0C3D"/>
    <w:rsid w:val="004F0C51"/>
    <w:rsid w:val="004F118A"/>
    <w:rsid w:val="004F2073"/>
    <w:rsid w:val="004F263C"/>
    <w:rsid w:val="004F2BB1"/>
    <w:rsid w:val="004F2EC7"/>
    <w:rsid w:val="004F38B8"/>
    <w:rsid w:val="004F3CE8"/>
    <w:rsid w:val="004F3D09"/>
    <w:rsid w:val="004F3FD2"/>
    <w:rsid w:val="004F44AD"/>
    <w:rsid w:val="004F5D78"/>
    <w:rsid w:val="004F6BFB"/>
    <w:rsid w:val="004F7170"/>
    <w:rsid w:val="004F741F"/>
    <w:rsid w:val="004F7E4A"/>
    <w:rsid w:val="00500402"/>
    <w:rsid w:val="0050147C"/>
    <w:rsid w:val="0050182B"/>
    <w:rsid w:val="00501AF3"/>
    <w:rsid w:val="00502579"/>
    <w:rsid w:val="005025FC"/>
    <w:rsid w:val="005029F7"/>
    <w:rsid w:val="005033B9"/>
    <w:rsid w:val="00503C42"/>
    <w:rsid w:val="00503D4C"/>
    <w:rsid w:val="00504C0C"/>
    <w:rsid w:val="00504E48"/>
    <w:rsid w:val="00505E0E"/>
    <w:rsid w:val="00506191"/>
    <w:rsid w:val="005070FF"/>
    <w:rsid w:val="00507172"/>
    <w:rsid w:val="0050794A"/>
    <w:rsid w:val="00510605"/>
    <w:rsid w:val="00511393"/>
    <w:rsid w:val="005114D4"/>
    <w:rsid w:val="00511CB0"/>
    <w:rsid w:val="00512868"/>
    <w:rsid w:val="00512A71"/>
    <w:rsid w:val="00512BBC"/>
    <w:rsid w:val="0051335E"/>
    <w:rsid w:val="005134FB"/>
    <w:rsid w:val="005135FD"/>
    <w:rsid w:val="0051366C"/>
    <w:rsid w:val="00513686"/>
    <w:rsid w:val="005136E3"/>
    <w:rsid w:val="00513D51"/>
    <w:rsid w:val="005141E9"/>
    <w:rsid w:val="00514267"/>
    <w:rsid w:val="005155DB"/>
    <w:rsid w:val="0051595F"/>
    <w:rsid w:val="00515BBA"/>
    <w:rsid w:val="00515F0A"/>
    <w:rsid w:val="00516503"/>
    <w:rsid w:val="0051684F"/>
    <w:rsid w:val="00516A92"/>
    <w:rsid w:val="00516B9F"/>
    <w:rsid w:val="00517693"/>
    <w:rsid w:val="00517B30"/>
    <w:rsid w:val="00520496"/>
    <w:rsid w:val="005205AB"/>
    <w:rsid w:val="00520909"/>
    <w:rsid w:val="00520FE0"/>
    <w:rsid w:val="0052200C"/>
    <w:rsid w:val="00522302"/>
    <w:rsid w:val="00522491"/>
    <w:rsid w:val="00522BE8"/>
    <w:rsid w:val="005231CD"/>
    <w:rsid w:val="00523378"/>
    <w:rsid w:val="0052346C"/>
    <w:rsid w:val="005243F1"/>
    <w:rsid w:val="005244FB"/>
    <w:rsid w:val="005247F9"/>
    <w:rsid w:val="00524EFD"/>
    <w:rsid w:val="00524F77"/>
    <w:rsid w:val="00525101"/>
    <w:rsid w:val="0052550F"/>
    <w:rsid w:val="00525E2F"/>
    <w:rsid w:val="00526C0F"/>
    <w:rsid w:val="0052702A"/>
    <w:rsid w:val="005273BD"/>
    <w:rsid w:val="005276E9"/>
    <w:rsid w:val="00530397"/>
    <w:rsid w:val="005303FC"/>
    <w:rsid w:val="00530717"/>
    <w:rsid w:val="0053084C"/>
    <w:rsid w:val="00530F73"/>
    <w:rsid w:val="005327B5"/>
    <w:rsid w:val="005327C0"/>
    <w:rsid w:val="00532A7B"/>
    <w:rsid w:val="00533438"/>
    <w:rsid w:val="0053352F"/>
    <w:rsid w:val="005337FE"/>
    <w:rsid w:val="005339A2"/>
    <w:rsid w:val="00533B8E"/>
    <w:rsid w:val="00533C7F"/>
    <w:rsid w:val="00533E09"/>
    <w:rsid w:val="00533FF3"/>
    <w:rsid w:val="00534143"/>
    <w:rsid w:val="0053435F"/>
    <w:rsid w:val="005351B4"/>
    <w:rsid w:val="00535417"/>
    <w:rsid w:val="0053564E"/>
    <w:rsid w:val="00535833"/>
    <w:rsid w:val="00535EF6"/>
    <w:rsid w:val="00536D28"/>
    <w:rsid w:val="00536F7B"/>
    <w:rsid w:val="005372C5"/>
    <w:rsid w:val="005377A5"/>
    <w:rsid w:val="00537A26"/>
    <w:rsid w:val="005404E7"/>
    <w:rsid w:val="005408A9"/>
    <w:rsid w:val="00540E47"/>
    <w:rsid w:val="005413CC"/>
    <w:rsid w:val="005417F5"/>
    <w:rsid w:val="00541D29"/>
    <w:rsid w:val="00542140"/>
    <w:rsid w:val="00542292"/>
    <w:rsid w:val="00542E2F"/>
    <w:rsid w:val="00543283"/>
    <w:rsid w:val="005432C1"/>
    <w:rsid w:val="005435A3"/>
    <w:rsid w:val="0054364C"/>
    <w:rsid w:val="00543F6B"/>
    <w:rsid w:val="00543FF0"/>
    <w:rsid w:val="0054480A"/>
    <w:rsid w:val="00545A8F"/>
    <w:rsid w:val="00546329"/>
    <w:rsid w:val="00546747"/>
    <w:rsid w:val="0054695C"/>
    <w:rsid w:val="00546F54"/>
    <w:rsid w:val="00547510"/>
    <w:rsid w:val="005479A7"/>
    <w:rsid w:val="00547ECC"/>
    <w:rsid w:val="0055068E"/>
    <w:rsid w:val="005515D0"/>
    <w:rsid w:val="00551D5A"/>
    <w:rsid w:val="00551EC3"/>
    <w:rsid w:val="00552276"/>
    <w:rsid w:val="0055232E"/>
    <w:rsid w:val="0055257D"/>
    <w:rsid w:val="00552C1D"/>
    <w:rsid w:val="005536F0"/>
    <w:rsid w:val="005540A6"/>
    <w:rsid w:val="00554744"/>
    <w:rsid w:val="0055475E"/>
    <w:rsid w:val="005548F4"/>
    <w:rsid w:val="00554A44"/>
    <w:rsid w:val="00554C53"/>
    <w:rsid w:val="00554F18"/>
    <w:rsid w:val="00555220"/>
    <w:rsid w:val="00555427"/>
    <w:rsid w:val="005555F0"/>
    <w:rsid w:val="00555739"/>
    <w:rsid w:val="00556211"/>
    <w:rsid w:val="00556280"/>
    <w:rsid w:val="00556E75"/>
    <w:rsid w:val="005571AA"/>
    <w:rsid w:val="00557C25"/>
    <w:rsid w:val="00557D87"/>
    <w:rsid w:val="005605E0"/>
    <w:rsid w:val="0056069A"/>
    <w:rsid w:val="00560C3B"/>
    <w:rsid w:val="00560DBA"/>
    <w:rsid w:val="005610F7"/>
    <w:rsid w:val="00561B22"/>
    <w:rsid w:val="00561E36"/>
    <w:rsid w:val="00561EA1"/>
    <w:rsid w:val="00562251"/>
    <w:rsid w:val="00562799"/>
    <w:rsid w:val="00562800"/>
    <w:rsid w:val="00562994"/>
    <w:rsid w:val="005630F5"/>
    <w:rsid w:val="00563556"/>
    <w:rsid w:val="0056362B"/>
    <w:rsid w:val="00563BA5"/>
    <w:rsid w:val="00563E1E"/>
    <w:rsid w:val="00563E37"/>
    <w:rsid w:val="005642E6"/>
    <w:rsid w:val="00564804"/>
    <w:rsid w:val="00565598"/>
    <w:rsid w:val="00565651"/>
    <w:rsid w:val="00565B5A"/>
    <w:rsid w:val="00566C62"/>
    <w:rsid w:val="0056741D"/>
    <w:rsid w:val="00567E8F"/>
    <w:rsid w:val="00570240"/>
    <w:rsid w:val="005702D6"/>
    <w:rsid w:val="00570455"/>
    <w:rsid w:val="0057066F"/>
    <w:rsid w:val="00570BA0"/>
    <w:rsid w:val="00571276"/>
    <w:rsid w:val="00571DEF"/>
    <w:rsid w:val="00572588"/>
    <w:rsid w:val="00572807"/>
    <w:rsid w:val="00573072"/>
    <w:rsid w:val="00573A50"/>
    <w:rsid w:val="00573D2C"/>
    <w:rsid w:val="0057468D"/>
    <w:rsid w:val="005746D2"/>
    <w:rsid w:val="0057495A"/>
    <w:rsid w:val="00574E8A"/>
    <w:rsid w:val="005772D8"/>
    <w:rsid w:val="00577775"/>
    <w:rsid w:val="00577AE1"/>
    <w:rsid w:val="00577E35"/>
    <w:rsid w:val="00580182"/>
    <w:rsid w:val="005804F0"/>
    <w:rsid w:val="00580B4C"/>
    <w:rsid w:val="0058121A"/>
    <w:rsid w:val="0058179C"/>
    <w:rsid w:val="00581863"/>
    <w:rsid w:val="00581DE7"/>
    <w:rsid w:val="00581EA3"/>
    <w:rsid w:val="0058205A"/>
    <w:rsid w:val="0058260B"/>
    <w:rsid w:val="00582C15"/>
    <w:rsid w:val="00582FD0"/>
    <w:rsid w:val="005837AF"/>
    <w:rsid w:val="005844AC"/>
    <w:rsid w:val="005844AD"/>
    <w:rsid w:val="005846C1"/>
    <w:rsid w:val="00584D1E"/>
    <w:rsid w:val="00584DC4"/>
    <w:rsid w:val="00585475"/>
    <w:rsid w:val="00586795"/>
    <w:rsid w:val="005867CB"/>
    <w:rsid w:val="00586A6C"/>
    <w:rsid w:val="00586B82"/>
    <w:rsid w:val="00587539"/>
    <w:rsid w:val="00587672"/>
    <w:rsid w:val="0058778A"/>
    <w:rsid w:val="005879E9"/>
    <w:rsid w:val="00587C77"/>
    <w:rsid w:val="00587E13"/>
    <w:rsid w:val="00587F51"/>
    <w:rsid w:val="005901E1"/>
    <w:rsid w:val="005906DD"/>
    <w:rsid w:val="00591023"/>
    <w:rsid w:val="00591815"/>
    <w:rsid w:val="00591D8E"/>
    <w:rsid w:val="00591F71"/>
    <w:rsid w:val="00592AEC"/>
    <w:rsid w:val="005933AA"/>
    <w:rsid w:val="00593549"/>
    <w:rsid w:val="0059364B"/>
    <w:rsid w:val="005936B8"/>
    <w:rsid w:val="005940AA"/>
    <w:rsid w:val="00594614"/>
    <w:rsid w:val="00594E10"/>
    <w:rsid w:val="0059500D"/>
    <w:rsid w:val="005951B1"/>
    <w:rsid w:val="005957A2"/>
    <w:rsid w:val="00595C0E"/>
    <w:rsid w:val="00595D31"/>
    <w:rsid w:val="005962A4"/>
    <w:rsid w:val="00596306"/>
    <w:rsid w:val="00596487"/>
    <w:rsid w:val="0059675D"/>
    <w:rsid w:val="005976FC"/>
    <w:rsid w:val="005979F2"/>
    <w:rsid w:val="005A07E8"/>
    <w:rsid w:val="005A0809"/>
    <w:rsid w:val="005A0A3F"/>
    <w:rsid w:val="005A0B91"/>
    <w:rsid w:val="005A0DE3"/>
    <w:rsid w:val="005A0EF3"/>
    <w:rsid w:val="005A1494"/>
    <w:rsid w:val="005A252D"/>
    <w:rsid w:val="005A308A"/>
    <w:rsid w:val="005A3127"/>
    <w:rsid w:val="005A31EB"/>
    <w:rsid w:val="005A3389"/>
    <w:rsid w:val="005A3590"/>
    <w:rsid w:val="005A4A1C"/>
    <w:rsid w:val="005A4C0D"/>
    <w:rsid w:val="005A5BD8"/>
    <w:rsid w:val="005A692A"/>
    <w:rsid w:val="005A6AB8"/>
    <w:rsid w:val="005A7495"/>
    <w:rsid w:val="005A773F"/>
    <w:rsid w:val="005B0412"/>
    <w:rsid w:val="005B0925"/>
    <w:rsid w:val="005B0A6B"/>
    <w:rsid w:val="005B11C2"/>
    <w:rsid w:val="005B14CD"/>
    <w:rsid w:val="005B16D6"/>
    <w:rsid w:val="005B180A"/>
    <w:rsid w:val="005B25B7"/>
    <w:rsid w:val="005B320F"/>
    <w:rsid w:val="005B322F"/>
    <w:rsid w:val="005B382C"/>
    <w:rsid w:val="005B3C11"/>
    <w:rsid w:val="005B3E89"/>
    <w:rsid w:val="005B3F92"/>
    <w:rsid w:val="005B40DA"/>
    <w:rsid w:val="005B40F5"/>
    <w:rsid w:val="005B4226"/>
    <w:rsid w:val="005B4528"/>
    <w:rsid w:val="005B4A83"/>
    <w:rsid w:val="005B5A12"/>
    <w:rsid w:val="005B5AA4"/>
    <w:rsid w:val="005B656B"/>
    <w:rsid w:val="005B6AC1"/>
    <w:rsid w:val="005B71B3"/>
    <w:rsid w:val="005B76A4"/>
    <w:rsid w:val="005B7B00"/>
    <w:rsid w:val="005C03B3"/>
    <w:rsid w:val="005C04A7"/>
    <w:rsid w:val="005C088F"/>
    <w:rsid w:val="005C0E8C"/>
    <w:rsid w:val="005C17A4"/>
    <w:rsid w:val="005C1929"/>
    <w:rsid w:val="005C1A33"/>
    <w:rsid w:val="005C2373"/>
    <w:rsid w:val="005C2775"/>
    <w:rsid w:val="005C27CC"/>
    <w:rsid w:val="005C3224"/>
    <w:rsid w:val="005C370D"/>
    <w:rsid w:val="005C3992"/>
    <w:rsid w:val="005C4A36"/>
    <w:rsid w:val="005C4BA7"/>
    <w:rsid w:val="005C4D2F"/>
    <w:rsid w:val="005C4D8A"/>
    <w:rsid w:val="005C504E"/>
    <w:rsid w:val="005C5458"/>
    <w:rsid w:val="005C5469"/>
    <w:rsid w:val="005C5D46"/>
    <w:rsid w:val="005C5D4F"/>
    <w:rsid w:val="005C6153"/>
    <w:rsid w:val="005C7430"/>
    <w:rsid w:val="005C78B0"/>
    <w:rsid w:val="005C7B95"/>
    <w:rsid w:val="005D01EB"/>
    <w:rsid w:val="005D0DFB"/>
    <w:rsid w:val="005D0E87"/>
    <w:rsid w:val="005D1112"/>
    <w:rsid w:val="005D1470"/>
    <w:rsid w:val="005D184F"/>
    <w:rsid w:val="005D237C"/>
    <w:rsid w:val="005D25E2"/>
    <w:rsid w:val="005D25FF"/>
    <w:rsid w:val="005D2632"/>
    <w:rsid w:val="005D28E6"/>
    <w:rsid w:val="005D2CFD"/>
    <w:rsid w:val="005D38E0"/>
    <w:rsid w:val="005D3F32"/>
    <w:rsid w:val="005D4C6E"/>
    <w:rsid w:val="005D4E3E"/>
    <w:rsid w:val="005D5DEF"/>
    <w:rsid w:val="005D5EED"/>
    <w:rsid w:val="005D61A3"/>
    <w:rsid w:val="005D6793"/>
    <w:rsid w:val="005D67F7"/>
    <w:rsid w:val="005D75F3"/>
    <w:rsid w:val="005D7D7E"/>
    <w:rsid w:val="005D7EEF"/>
    <w:rsid w:val="005E0B59"/>
    <w:rsid w:val="005E1105"/>
    <w:rsid w:val="005E13F5"/>
    <w:rsid w:val="005E162F"/>
    <w:rsid w:val="005E1D75"/>
    <w:rsid w:val="005E21A5"/>
    <w:rsid w:val="005E21D9"/>
    <w:rsid w:val="005E27AE"/>
    <w:rsid w:val="005E2C60"/>
    <w:rsid w:val="005E2D72"/>
    <w:rsid w:val="005E2F41"/>
    <w:rsid w:val="005E31F6"/>
    <w:rsid w:val="005E3453"/>
    <w:rsid w:val="005E3622"/>
    <w:rsid w:val="005E4119"/>
    <w:rsid w:val="005E42C8"/>
    <w:rsid w:val="005E48A6"/>
    <w:rsid w:val="005E51C0"/>
    <w:rsid w:val="005E60B3"/>
    <w:rsid w:val="005E64C5"/>
    <w:rsid w:val="005E64CF"/>
    <w:rsid w:val="005E65F8"/>
    <w:rsid w:val="005E676C"/>
    <w:rsid w:val="005E6CB9"/>
    <w:rsid w:val="005E7005"/>
    <w:rsid w:val="005E7AB0"/>
    <w:rsid w:val="005E7C18"/>
    <w:rsid w:val="005E7F14"/>
    <w:rsid w:val="005E7FA8"/>
    <w:rsid w:val="005F0154"/>
    <w:rsid w:val="005F0176"/>
    <w:rsid w:val="005F021D"/>
    <w:rsid w:val="005F1179"/>
    <w:rsid w:val="005F1AD3"/>
    <w:rsid w:val="005F1EAC"/>
    <w:rsid w:val="005F1FEC"/>
    <w:rsid w:val="005F2D9A"/>
    <w:rsid w:val="005F308F"/>
    <w:rsid w:val="005F38B5"/>
    <w:rsid w:val="005F399D"/>
    <w:rsid w:val="005F3E49"/>
    <w:rsid w:val="005F4869"/>
    <w:rsid w:val="005F4BFD"/>
    <w:rsid w:val="005F52D8"/>
    <w:rsid w:val="005F5702"/>
    <w:rsid w:val="005F5748"/>
    <w:rsid w:val="005F5834"/>
    <w:rsid w:val="005F5D4B"/>
    <w:rsid w:val="005F5DF0"/>
    <w:rsid w:val="005F5E11"/>
    <w:rsid w:val="005F6071"/>
    <w:rsid w:val="005F6743"/>
    <w:rsid w:val="005F6B0A"/>
    <w:rsid w:val="005F6CC7"/>
    <w:rsid w:val="005F6FA8"/>
    <w:rsid w:val="005F79FE"/>
    <w:rsid w:val="00600325"/>
    <w:rsid w:val="006003E5"/>
    <w:rsid w:val="006009FD"/>
    <w:rsid w:val="00600E63"/>
    <w:rsid w:val="0060113C"/>
    <w:rsid w:val="00601561"/>
    <w:rsid w:val="0060196F"/>
    <w:rsid w:val="00601E55"/>
    <w:rsid w:val="00602037"/>
    <w:rsid w:val="006025DA"/>
    <w:rsid w:val="00602872"/>
    <w:rsid w:val="006029DD"/>
    <w:rsid w:val="00602C6A"/>
    <w:rsid w:val="00603014"/>
    <w:rsid w:val="0060338B"/>
    <w:rsid w:val="00603AF5"/>
    <w:rsid w:val="006041C2"/>
    <w:rsid w:val="00604C54"/>
    <w:rsid w:val="00605310"/>
    <w:rsid w:val="0060537B"/>
    <w:rsid w:val="006053E9"/>
    <w:rsid w:val="00605A40"/>
    <w:rsid w:val="00605EC3"/>
    <w:rsid w:val="00606379"/>
    <w:rsid w:val="00606C66"/>
    <w:rsid w:val="006075B7"/>
    <w:rsid w:val="00607935"/>
    <w:rsid w:val="00610145"/>
    <w:rsid w:val="00610D1F"/>
    <w:rsid w:val="00610F4A"/>
    <w:rsid w:val="00610FF3"/>
    <w:rsid w:val="006121A5"/>
    <w:rsid w:val="006123C6"/>
    <w:rsid w:val="00612967"/>
    <w:rsid w:val="00612C02"/>
    <w:rsid w:val="00612CDD"/>
    <w:rsid w:val="00612D72"/>
    <w:rsid w:val="006131B2"/>
    <w:rsid w:val="00613718"/>
    <w:rsid w:val="00613A42"/>
    <w:rsid w:val="006149F7"/>
    <w:rsid w:val="00614C71"/>
    <w:rsid w:val="00614DD7"/>
    <w:rsid w:val="00615075"/>
    <w:rsid w:val="00615222"/>
    <w:rsid w:val="0061562E"/>
    <w:rsid w:val="00615D10"/>
    <w:rsid w:val="00616A1A"/>
    <w:rsid w:val="00616D41"/>
    <w:rsid w:val="00617292"/>
    <w:rsid w:val="006200A9"/>
    <w:rsid w:val="0062144B"/>
    <w:rsid w:val="00622225"/>
    <w:rsid w:val="00622D03"/>
    <w:rsid w:val="00622DCD"/>
    <w:rsid w:val="00622F57"/>
    <w:rsid w:val="00623DD5"/>
    <w:rsid w:val="00623E21"/>
    <w:rsid w:val="00624269"/>
    <w:rsid w:val="006244A2"/>
    <w:rsid w:val="00624A34"/>
    <w:rsid w:val="0062568D"/>
    <w:rsid w:val="006256D3"/>
    <w:rsid w:val="00625DC9"/>
    <w:rsid w:val="00625E12"/>
    <w:rsid w:val="006263A2"/>
    <w:rsid w:val="006267F5"/>
    <w:rsid w:val="00626C85"/>
    <w:rsid w:val="00626F2D"/>
    <w:rsid w:val="00627006"/>
    <w:rsid w:val="00627337"/>
    <w:rsid w:val="00630069"/>
    <w:rsid w:val="00630583"/>
    <w:rsid w:val="006305A8"/>
    <w:rsid w:val="00630D2E"/>
    <w:rsid w:val="00630D39"/>
    <w:rsid w:val="00631E19"/>
    <w:rsid w:val="00632076"/>
    <w:rsid w:val="00632209"/>
    <w:rsid w:val="006329F5"/>
    <w:rsid w:val="00633146"/>
    <w:rsid w:val="00633E76"/>
    <w:rsid w:val="00633EC9"/>
    <w:rsid w:val="006340F5"/>
    <w:rsid w:val="00634273"/>
    <w:rsid w:val="00634542"/>
    <w:rsid w:val="00634E8F"/>
    <w:rsid w:val="00635379"/>
    <w:rsid w:val="006354EB"/>
    <w:rsid w:val="00635E4D"/>
    <w:rsid w:val="0063620C"/>
    <w:rsid w:val="00636567"/>
    <w:rsid w:val="006368D1"/>
    <w:rsid w:val="00637859"/>
    <w:rsid w:val="00637E18"/>
    <w:rsid w:val="0064032E"/>
    <w:rsid w:val="0064038D"/>
    <w:rsid w:val="00640A19"/>
    <w:rsid w:val="00641A0B"/>
    <w:rsid w:val="00641D5A"/>
    <w:rsid w:val="00641E06"/>
    <w:rsid w:val="006428DC"/>
    <w:rsid w:val="00643007"/>
    <w:rsid w:val="006431D0"/>
    <w:rsid w:val="00643232"/>
    <w:rsid w:val="006432C5"/>
    <w:rsid w:val="006433AA"/>
    <w:rsid w:val="006436FA"/>
    <w:rsid w:val="00643852"/>
    <w:rsid w:val="00643C27"/>
    <w:rsid w:val="0064403C"/>
    <w:rsid w:val="0064447A"/>
    <w:rsid w:val="00644874"/>
    <w:rsid w:val="00644B1B"/>
    <w:rsid w:val="006455E7"/>
    <w:rsid w:val="00645758"/>
    <w:rsid w:val="00645812"/>
    <w:rsid w:val="006461A1"/>
    <w:rsid w:val="00646872"/>
    <w:rsid w:val="00646DAC"/>
    <w:rsid w:val="006471A3"/>
    <w:rsid w:val="00647422"/>
    <w:rsid w:val="00647E6B"/>
    <w:rsid w:val="0065082A"/>
    <w:rsid w:val="00650E84"/>
    <w:rsid w:val="0065198B"/>
    <w:rsid w:val="006523CE"/>
    <w:rsid w:val="006525AF"/>
    <w:rsid w:val="0065266A"/>
    <w:rsid w:val="00652EF8"/>
    <w:rsid w:val="0065313F"/>
    <w:rsid w:val="006537B1"/>
    <w:rsid w:val="00653815"/>
    <w:rsid w:val="0065388D"/>
    <w:rsid w:val="00653F32"/>
    <w:rsid w:val="00653F9C"/>
    <w:rsid w:val="006540B7"/>
    <w:rsid w:val="006548F1"/>
    <w:rsid w:val="006549E8"/>
    <w:rsid w:val="00655470"/>
    <w:rsid w:val="00655705"/>
    <w:rsid w:val="006559A3"/>
    <w:rsid w:val="00656417"/>
    <w:rsid w:val="006565D1"/>
    <w:rsid w:val="00656FEE"/>
    <w:rsid w:val="0065702D"/>
    <w:rsid w:val="0065758F"/>
    <w:rsid w:val="00657888"/>
    <w:rsid w:val="00657C90"/>
    <w:rsid w:val="00657F14"/>
    <w:rsid w:val="00660037"/>
    <w:rsid w:val="006603E3"/>
    <w:rsid w:val="0066049B"/>
    <w:rsid w:val="00660772"/>
    <w:rsid w:val="006607AA"/>
    <w:rsid w:val="00660897"/>
    <w:rsid w:val="00660C51"/>
    <w:rsid w:val="00661028"/>
    <w:rsid w:val="00661342"/>
    <w:rsid w:val="0066159A"/>
    <w:rsid w:val="006617BD"/>
    <w:rsid w:val="00661836"/>
    <w:rsid w:val="0066194D"/>
    <w:rsid w:val="00661CD3"/>
    <w:rsid w:val="0066262D"/>
    <w:rsid w:val="00662E52"/>
    <w:rsid w:val="0066324A"/>
    <w:rsid w:val="00663C29"/>
    <w:rsid w:val="00663F5D"/>
    <w:rsid w:val="00664695"/>
    <w:rsid w:val="00664840"/>
    <w:rsid w:val="00664B44"/>
    <w:rsid w:val="0066501A"/>
    <w:rsid w:val="006652BF"/>
    <w:rsid w:val="006656BF"/>
    <w:rsid w:val="0066630C"/>
    <w:rsid w:val="00666D02"/>
    <w:rsid w:val="00667A33"/>
    <w:rsid w:val="00667BBD"/>
    <w:rsid w:val="00667D69"/>
    <w:rsid w:val="00671149"/>
    <w:rsid w:val="0067137F"/>
    <w:rsid w:val="00671615"/>
    <w:rsid w:val="00671741"/>
    <w:rsid w:val="00671766"/>
    <w:rsid w:val="00671911"/>
    <w:rsid w:val="00672914"/>
    <w:rsid w:val="00672A01"/>
    <w:rsid w:val="00672DD5"/>
    <w:rsid w:val="0067392D"/>
    <w:rsid w:val="00673E1C"/>
    <w:rsid w:val="006744C3"/>
    <w:rsid w:val="00674597"/>
    <w:rsid w:val="006752EE"/>
    <w:rsid w:val="0067537F"/>
    <w:rsid w:val="0067555E"/>
    <w:rsid w:val="0067575D"/>
    <w:rsid w:val="00675CD6"/>
    <w:rsid w:val="00675F12"/>
    <w:rsid w:val="0067625F"/>
    <w:rsid w:val="00676410"/>
    <w:rsid w:val="00676CAE"/>
    <w:rsid w:val="00676F75"/>
    <w:rsid w:val="00680509"/>
    <w:rsid w:val="006805CB"/>
    <w:rsid w:val="00680DA5"/>
    <w:rsid w:val="006811E4"/>
    <w:rsid w:val="00681CC1"/>
    <w:rsid w:val="0068233B"/>
    <w:rsid w:val="006825DC"/>
    <w:rsid w:val="00682A31"/>
    <w:rsid w:val="00682E11"/>
    <w:rsid w:val="00683081"/>
    <w:rsid w:val="006830F2"/>
    <w:rsid w:val="0068335B"/>
    <w:rsid w:val="006845BD"/>
    <w:rsid w:val="00684C95"/>
    <w:rsid w:val="00684EAE"/>
    <w:rsid w:val="006850D3"/>
    <w:rsid w:val="00685249"/>
    <w:rsid w:val="006856B9"/>
    <w:rsid w:val="00685BDE"/>
    <w:rsid w:val="00686085"/>
    <w:rsid w:val="00686761"/>
    <w:rsid w:val="00687423"/>
    <w:rsid w:val="006877E4"/>
    <w:rsid w:val="00687B1C"/>
    <w:rsid w:val="00687C0D"/>
    <w:rsid w:val="00690E99"/>
    <w:rsid w:val="00691237"/>
    <w:rsid w:val="006914CC"/>
    <w:rsid w:val="00691887"/>
    <w:rsid w:val="00691C2D"/>
    <w:rsid w:val="006920E6"/>
    <w:rsid w:val="0069222D"/>
    <w:rsid w:val="00692555"/>
    <w:rsid w:val="006925B0"/>
    <w:rsid w:val="00693324"/>
    <w:rsid w:val="00693540"/>
    <w:rsid w:val="00694069"/>
    <w:rsid w:val="00694189"/>
    <w:rsid w:val="0069580D"/>
    <w:rsid w:val="00695DFD"/>
    <w:rsid w:val="00696566"/>
    <w:rsid w:val="006966BA"/>
    <w:rsid w:val="00696A38"/>
    <w:rsid w:val="00696D80"/>
    <w:rsid w:val="00696E5A"/>
    <w:rsid w:val="0069722D"/>
    <w:rsid w:val="006977EA"/>
    <w:rsid w:val="00697BEF"/>
    <w:rsid w:val="00697DF4"/>
    <w:rsid w:val="006A0052"/>
    <w:rsid w:val="006A0419"/>
    <w:rsid w:val="006A0845"/>
    <w:rsid w:val="006A0A9E"/>
    <w:rsid w:val="006A0E88"/>
    <w:rsid w:val="006A1D37"/>
    <w:rsid w:val="006A1ED5"/>
    <w:rsid w:val="006A1F1C"/>
    <w:rsid w:val="006A2532"/>
    <w:rsid w:val="006A30DF"/>
    <w:rsid w:val="006A3836"/>
    <w:rsid w:val="006A3DD3"/>
    <w:rsid w:val="006A4625"/>
    <w:rsid w:val="006A47AE"/>
    <w:rsid w:val="006A48AE"/>
    <w:rsid w:val="006A4C66"/>
    <w:rsid w:val="006A58CB"/>
    <w:rsid w:val="006A5B22"/>
    <w:rsid w:val="006A5B5E"/>
    <w:rsid w:val="006A67CB"/>
    <w:rsid w:val="006A72F7"/>
    <w:rsid w:val="006A7BFB"/>
    <w:rsid w:val="006A7CAA"/>
    <w:rsid w:val="006A7D2A"/>
    <w:rsid w:val="006B02AA"/>
    <w:rsid w:val="006B0368"/>
    <w:rsid w:val="006B0A7F"/>
    <w:rsid w:val="006B0F6E"/>
    <w:rsid w:val="006B1D7B"/>
    <w:rsid w:val="006B1FBC"/>
    <w:rsid w:val="006B2070"/>
    <w:rsid w:val="006B270D"/>
    <w:rsid w:val="006B2796"/>
    <w:rsid w:val="006B27B2"/>
    <w:rsid w:val="006B27C7"/>
    <w:rsid w:val="006B27D4"/>
    <w:rsid w:val="006B288B"/>
    <w:rsid w:val="006B2C9C"/>
    <w:rsid w:val="006B3518"/>
    <w:rsid w:val="006B3B80"/>
    <w:rsid w:val="006B3DE2"/>
    <w:rsid w:val="006B41C7"/>
    <w:rsid w:val="006B4867"/>
    <w:rsid w:val="006B48EB"/>
    <w:rsid w:val="006B4A78"/>
    <w:rsid w:val="006B4C00"/>
    <w:rsid w:val="006B523A"/>
    <w:rsid w:val="006B56D1"/>
    <w:rsid w:val="006B56FC"/>
    <w:rsid w:val="006B6017"/>
    <w:rsid w:val="006B659A"/>
    <w:rsid w:val="006B678D"/>
    <w:rsid w:val="006B6B03"/>
    <w:rsid w:val="006B6DDA"/>
    <w:rsid w:val="006B73D9"/>
    <w:rsid w:val="006B786B"/>
    <w:rsid w:val="006B7DF0"/>
    <w:rsid w:val="006B7E74"/>
    <w:rsid w:val="006C0166"/>
    <w:rsid w:val="006C05EE"/>
    <w:rsid w:val="006C0D75"/>
    <w:rsid w:val="006C1C48"/>
    <w:rsid w:val="006C1E7C"/>
    <w:rsid w:val="006C1E8A"/>
    <w:rsid w:val="006C1F03"/>
    <w:rsid w:val="006C20BF"/>
    <w:rsid w:val="006C323D"/>
    <w:rsid w:val="006C3C1D"/>
    <w:rsid w:val="006C3C7E"/>
    <w:rsid w:val="006C41FF"/>
    <w:rsid w:val="006C442E"/>
    <w:rsid w:val="006C4AC6"/>
    <w:rsid w:val="006C4AF5"/>
    <w:rsid w:val="006C5145"/>
    <w:rsid w:val="006C584D"/>
    <w:rsid w:val="006C5B6D"/>
    <w:rsid w:val="006C5FB6"/>
    <w:rsid w:val="006C6398"/>
    <w:rsid w:val="006C65A8"/>
    <w:rsid w:val="006C6E85"/>
    <w:rsid w:val="006C705B"/>
    <w:rsid w:val="006C78CF"/>
    <w:rsid w:val="006C7A69"/>
    <w:rsid w:val="006D022A"/>
    <w:rsid w:val="006D05AD"/>
    <w:rsid w:val="006D086A"/>
    <w:rsid w:val="006D0C5A"/>
    <w:rsid w:val="006D0EC1"/>
    <w:rsid w:val="006D155E"/>
    <w:rsid w:val="006D16F8"/>
    <w:rsid w:val="006D1813"/>
    <w:rsid w:val="006D1AF5"/>
    <w:rsid w:val="006D24A9"/>
    <w:rsid w:val="006D2AF3"/>
    <w:rsid w:val="006D2FE1"/>
    <w:rsid w:val="006D3FE9"/>
    <w:rsid w:val="006D4718"/>
    <w:rsid w:val="006D4C0A"/>
    <w:rsid w:val="006D4D79"/>
    <w:rsid w:val="006D4FBD"/>
    <w:rsid w:val="006D530A"/>
    <w:rsid w:val="006D5364"/>
    <w:rsid w:val="006D5879"/>
    <w:rsid w:val="006D618C"/>
    <w:rsid w:val="006D63FD"/>
    <w:rsid w:val="006D65B4"/>
    <w:rsid w:val="006D6A4F"/>
    <w:rsid w:val="006D754A"/>
    <w:rsid w:val="006D7B9C"/>
    <w:rsid w:val="006E0025"/>
    <w:rsid w:val="006E04C6"/>
    <w:rsid w:val="006E0A65"/>
    <w:rsid w:val="006E1B01"/>
    <w:rsid w:val="006E1E2A"/>
    <w:rsid w:val="006E27BB"/>
    <w:rsid w:val="006E2A7A"/>
    <w:rsid w:val="006E3872"/>
    <w:rsid w:val="006E3E3D"/>
    <w:rsid w:val="006E3EEB"/>
    <w:rsid w:val="006E4836"/>
    <w:rsid w:val="006E5DDD"/>
    <w:rsid w:val="006E7811"/>
    <w:rsid w:val="006F04DA"/>
    <w:rsid w:val="006F0557"/>
    <w:rsid w:val="006F0EA3"/>
    <w:rsid w:val="006F1B5D"/>
    <w:rsid w:val="006F1E18"/>
    <w:rsid w:val="006F212B"/>
    <w:rsid w:val="006F28FE"/>
    <w:rsid w:val="006F3110"/>
    <w:rsid w:val="006F34AC"/>
    <w:rsid w:val="006F34EA"/>
    <w:rsid w:val="006F359D"/>
    <w:rsid w:val="006F37F7"/>
    <w:rsid w:val="006F4044"/>
    <w:rsid w:val="006F4575"/>
    <w:rsid w:val="006F469A"/>
    <w:rsid w:val="006F4A61"/>
    <w:rsid w:val="006F4ADC"/>
    <w:rsid w:val="006F4CAD"/>
    <w:rsid w:val="006F510A"/>
    <w:rsid w:val="006F51E3"/>
    <w:rsid w:val="006F578A"/>
    <w:rsid w:val="006F5799"/>
    <w:rsid w:val="006F5893"/>
    <w:rsid w:val="006F5C06"/>
    <w:rsid w:val="006F643D"/>
    <w:rsid w:val="006F6497"/>
    <w:rsid w:val="006F657F"/>
    <w:rsid w:val="006F675C"/>
    <w:rsid w:val="006F6AC4"/>
    <w:rsid w:val="006F6D13"/>
    <w:rsid w:val="006F75CB"/>
    <w:rsid w:val="006F75D3"/>
    <w:rsid w:val="006F7759"/>
    <w:rsid w:val="006F7D95"/>
    <w:rsid w:val="00700C3B"/>
    <w:rsid w:val="00700D41"/>
    <w:rsid w:val="00701524"/>
    <w:rsid w:val="00701ACF"/>
    <w:rsid w:val="00701B21"/>
    <w:rsid w:val="00701D0B"/>
    <w:rsid w:val="00702384"/>
    <w:rsid w:val="00702D00"/>
    <w:rsid w:val="00703346"/>
    <w:rsid w:val="00703482"/>
    <w:rsid w:val="00703BFB"/>
    <w:rsid w:val="00703E65"/>
    <w:rsid w:val="00704818"/>
    <w:rsid w:val="00704831"/>
    <w:rsid w:val="00704A06"/>
    <w:rsid w:val="00704BAE"/>
    <w:rsid w:val="0070544E"/>
    <w:rsid w:val="00705807"/>
    <w:rsid w:val="00705895"/>
    <w:rsid w:val="00705C74"/>
    <w:rsid w:val="00705C78"/>
    <w:rsid w:val="0070600A"/>
    <w:rsid w:val="007060E1"/>
    <w:rsid w:val="0070677E"/>
    <w:rsid w:val="00706824"/>
    <w:rsid w:val="00706B68"/>
    <w:rsid w:val="00706B85"/>
    <w:rsid w:val="007071BF"/>
    <w:rsid w:val="007071FC"/>
    <w:rsid w:val="00707C84"/>
    <w:rsid w:val="00710299"/>
    <w:rsid w:val="00710A12"/>
    <w:rsid w:val="00710A59"/>
    <w:rsid w:val="00710ED2"/>
    <w:rsid w:val="00710FDE"/>
    <w:rsid w:val="007116C7"/>
    <w:rsid w:val="00711B59"/>
    <w:rsid w:val="00711C5A"/>
    <w:rsid w:val="007128C7"/>
    <w:rsid w:val="00712B2B"/>
    <w:rsid w:val="00712B66"/>
    <w:rsid w:val="00712FCB"/>
    <w:rsid w:val="00713C31"/>
    <w:rsid w:val="0071428D"/>
    <w:rsid w:val="00714317"/>
    <w:rsid w:val="007143BE"/>
    <w:rsid w:val="007144C9"/>
    <w:rsid w:val="00715049"/>
    <w:rsid w:val="0071593D"/>
    <w:rsid w:val="00715A4B"/>
    <w:rsid w:val="00716B3C"/>
    <w:rsid w:val="007170C2"/>
    <w:rsid w:val="00717EE4"/>
    <w:rsid w:val="00717F2D"/>
    <w:rsid w:val="00720453"/>
    <w:rsid w:val="0072078F"/>
    <w:rsid w:val="00720853"/>
    <w:rsid w:val="00721087"/>
    <w:rsid w:val="0072178E"/>
    <w:rsid w:val="00721C58"/>
    <w:rsid w:val="00721C9F"/>
    <w:rsid w:val="00722129"/>
    <w:rsid w:val="0072278B"/>
    <w:rsid w:val="00722A24"/>
    <w:rsid w:val="00722EF6"/>
    <w:rsid w:val="00723912"/>
    <w:rsid w:val="00723E10"/>
    <w:rsid w:val="00724173"/>
    <w:rsid w:val="00724380"/>
    <w:rsid w:val="00725635"/>
    <w:rsid w:val="007258C4"/>
    <w:rsid w:val="007260F4"/>
    <w:rsid w:val="00726730"/>
    <w:rsid w:val="0072681F"/>
    <w:rsid w:val="00730598"/>
    <w:rsid w:val="00730719"/>
    <w:rsid w:val="00730F8D"/>
    <w:rsid w:val="007312D7"/>
    <w:rsid w:val="00731C24"/>
    <w:rsid w:val="007320A7"/>
    <w:rsid w:val="0073257E"/>
    <w:rsid w:val="00732863"/>
    <w:rsid w:val="00732A32"/>
    <w:rsid w:val="00732DF4"/>
    <w:rsid w:val="00733066"/>
    <w:rsid w:val="00733469"/>
    <w:rsid w:val="0073348A"/>
    <w:rsid w:val="00733539"/>
    <w:rsid w:val="00733700"/>
    <w:rsid w:val="00733A56"/>
    <w:rsid w:val="00733BFA"/>
    <w:rsid w:val="00733FF8"/>
    <w:rsid w:val="00734937"/>
    <w:rsid w:val="007353EF"/>
    <w:rsid w:val="00735557"/>
    <w:rsid w:val="00735612"/>
    <w:rsid w:val="007356B4"/>
    <w:rsid w:val="00737108"/>
    <w:rsid w:val="00737628"/>
    <w:rsid w:val="007379CE"/>
    <w:rsid w:val="007402A9"/>
    <w:rsid w:val="0074038E"/>
    <w:rsid w:val="007414EF"/>
    <w:rsid w:val="007419A7"/>
    <w:rsid w:val="00741B21"/>
    <w:rsid w:val="00741DD8"/>
    <w:rsid w:val="00741E49"/>
    <w:rsid w:val="0074250D"/>
    <w:rsid w:val="00742D16"/>
    <w:rsid w:val="007433CD"/>
    <w:rsid w:val="0074362F"/>
    <w:rsid w:val="007445E2"/>
    <w:rsid w:val="00744A84"/>
    <w:rsid w:val="007451B4"/>
    <w:rsid w:val="00745496"/>
    <w:rsid w:val="007460DA"/>
    <w:rsid w:val="0074705B"/>
    <w:rsid w:val="007470EC"/>
    <w:rsid w:val="00747118"/>
    <w:rsid w:val="00747408"/>
    <w:rsid w:val="007479F8"/>
    <w:rsid w:val="0075020B"/>
    <w:rsid w:val="00750AD7"/>
    <w:rsid w:val="00751017"/>
    <w:rsid w:val="00751960"/>
    <w:rsid w:val="00751EDF"/>
    <w:rsid w:val="00752582"/>
    <w:rsid w:val="00753273"/>
    <w:rsid w:val="007533A5"/>
    <w:rsid w:val="007535C7"/>
    <w:rsid w:val="0075493D"/>
    <w:rsid w:val="00755043"/>
    <w:rsid w:val="0075646C"/>
    <w:rsid w:val="00756551"/>
    <w:rsid w:val="00757066"/>
    <w:rsid w:val="007572B8"/>
    <w:rsid w:val="00757769"/>
    <w:rsid w:val="0075782D"/>
    <w:rsid w:val="0076067E"/>
    <w:rsid w:val="007609CE"/>
    <w:rsid w:val="00761008"/>
    <w:rsid w:val="0076111E"/>
    <w:rsid w:val="0076158B"/>
    <w:rsid w:val="00761BFD"/>
    <w:rsid w:val="00761C02"/>
    <w:rsid w:val="00761D5C"/>
    <w:rsid w:val="00761FE5"/>
    <w:rsid w:val="00762476"/>
    <w:rsid w:val="00762A18"/>
    <w:rsid w:val="00762D34"/>
    <w:rsid w:val="00763990"/>
    <w:rsid w:val="00763AE2"/>
    <w:rsid w:val="00763F73"/>
    <w:rsid w:val="0076442C"/>
    <w:rsid w:val="00764517"/>
    <w:rsid w:val="0076467D"/>
    <w:rsid w:val="00764767"/>
    <w:rsid w:val="007649AD"/>
    <w:rsid w:val="00764B66"/>
    <w:rsid w:val="00764BD6"/>
    <w:rsid w:val="00764EB3"/>
    <w:rsid w:val="00765531"/>
    <w:rsid w:val="007657EB"/>
    <w:rsid w:val="007658F1"/>
    <w:rsid w:val="00765B6E"/>
    <w:rsid w:val="00765FC5"/>
    <w:rsid w:val="00766D90"/>
    <w:rsid w:val="0076730D"/>
    <w:rsid w:val="00767C19"/>
    <w:rsid w:val="00767D4E"/>
    <w:rsid w:val="00770441"/>
    <w:rsid w:val="00770BD8"/>
    <w:rsid w:val="00771067"/>
    <w:rsid w:val="00771274"/>
    <w:rsid w:val="00771889"/>
    <w:rsid w:val="007721EB"/>
    <w:rsid w:val="007722ED"/>
    <w:rsid w:val="00772693"/>
    <w:rsid w:val="00773AB1"/>
    <w:rsid w:val="00773D38"/>
    <w:rsid w:val="00774AF6"/>
    <w:rsid w:val="00774EC8"/>
    <w:rsid w:val="00775669"/>
    <w:rsid w:val="00775B57"/>
    <w:rsid w:val="00776781"/>
    <w:rsid w:val="0077746F"/>
    <w:rsid w:val="007776CC"/>
    <w:rsid w:val="007777FC"/>
    <w:rsid w:val="00777922"/>
    <w:rsid w:val="00777CE9"/>
    <w:rsid w:val="007802F6"/>
    <w:rsid w:val="0078056B"/>
    <w:rsid w:val="00780D05"/>
    <w:rsid w:val="00782AB1"/>
    <w:rsid w:val="00782BBD"/>
    <w:rsid w:val="007839AC"/>
    <w:rsid w:val="00783B28"/>
    <w:rsid w:val="00783C7B"/>
    <w:rsid w:val="00784C24"/>
    <w:rsid w:val="00784EBA"/>
    <w:rsid w:val="00784EE6"/>
    <w:rsid w:val="0078556C"/>
    <w:rsid w:val="007855C5"/>
    <w:rsid w:val="007856D3"/>
    <w:rsid w:val="00785ABD"/>
    <w:rsid w:val="00785F35"/>
    <w:rsid w:val="007860C6"/>
    <w:rsid w:val="00786254"/>
    <w:rsid w:val="0078630C"/>
    <w:rsid w:val="00786DB0"/>
    <w:rsid w:val="0078703C"/>
    <w:rsid w:val="00787D47"/>
    <w:rsid w:val="00787DFE"/>
    <w:rsid w:val="0079014E"/>
    <w:rsid w:val="00790E5B"/>
    <w:rsid w:val="00790FC3"/>
    <w:rsid w:val="0079148B"/>
    <w:rsid w:val="00791608"/>
    <w:rsid w:val="00791711"/>
    <w:rsid w:val="00792497"/>
    <w:rsid w:val="00792575"/>
    <w:rsid w:val="00792971"/>
    <w:rsid w:val="00792C91"/>
    <w:rsid w:val="0079334B"/>
    <w:rsid w:val="00793368"/>
    <w:rsid w:val="007935C6"/>
    <w:rsid w:val="00794129"/>
    <w:rsid w:val="00794162"/>
    <w:rsid w:val="00794516"/>
    <w:rsid w:val="00794878"/>
    <w:rsid w:val="00794CCB"/>
    <w:rsid w:val="00794E22"/>
    <w:rsid w:val="00795367"/>
    <w:rsid w:val="00795512"/>
    <w:rsid w:val="007956C9"/>
    <w:rsid w:val="007958B1"/>
    <w:rsid w:val="00795A32"/>
    <w:rsid w:val="00795AB7"/>
    <w:rsid w:val="00795E37"/>
    <w:rsid w:val="00796227"/>
    <w:rsid w:val="00796743"/>
    <w:rsid w:val="00796786"/>
    <w:rsid w:val="0079694C"/>
    <w:rsid w:val="00796D89"/>
    <w:rsid w:val="00796DA2"/>
    <w:rsid w:val="007A0056"/>
    <w:rsid w:val="007A0415"/>
    <w:rsid w:val="007A06BA"/>
    <w:rsid w:val="007A0CB9"/>
    <w:rsid w:val="007A1570"/>
    <w:rsid w:val="007A27BD"/>
    <w:rsid w:val="007A294A"/>
    <w:rsid w:val="007A3433"/>
    <w:rsid w:val="007A37E4"/>
    <w:rsid w:val="007A4C96"/>
    <w:rsid w:val="007A51A6"/>
    <w:rsid w:val="007A523D"/>
    <w:rsid w:val="007A53FB"/>
    <w:rsid w:val="007A5629"/>
    <w:rsid w:val="007A56E5"/>
    <w:rsid w:val="007A5AB0"/>
    <w:rsid w:val="007A5AD4"/>
    <w:rsid w:val="007A60CA"/>
    <w:rsid w:val="007A6195"/>
    <w:rsid w:val="007A6F0F"/>
    <w:rsid w:val="007A6FEC"/>
    <w:rsid w:val="007A705C"/>
    <w:rsid w:val="007A708C"/>
    <w:rsid w:val="007A73EB"/>
    <w:rsid w:val="007A75B5"/>
    <w:rsid w:val="007A7985"/>
    <w:rsid w:val="007A7ABE"/>
    <w:rsid w:val="007A7D66"/>
    <w:rsid w:val="007A7E95"/>
    <w:rsid w:val="007B03C5"/>
    <w:rsid w:val="007B21FD"/>
    <w:rsid w:val="007B2521"/>
    <w:rsid w:val="007B26E1"/>
    <w:rsid w:val="007B2C10"/>
    <w:rsid w:val="007B2C3D"/>
    <w:rsid w:val="007B3045"/>
    <w:rsid w:val="007B3180"/>
    <w:rsid w:val="007B33AF"/>
    <w:rsid w:val="007B3B55"/>
    <w:rsid w:val="007B4C0F"/>
    <w:rsid w:val="007B50FA"/>
    <w:rsid w:val="007B547F"/>
    <w:rsid w:val="007B5822"/>
    <w:rsid w:val="007B58FC"/>
    <w:rsid w:val="007B5E25"/>
    <w:rsid w:val="007B613A"/>
    <w:rsid w:val="007B6398"/>
    <w:rsid w:val="007B6E0E"/>
    <w:rsid w:val="007B7F7D"/>
    <w:rsid w:val="007C0B5B"/>
    <w:rsid w:val="007C14B4"/>
    <w:rsid w:val="007C2355"/>
    <w:rsid w:val="007C27FB"/>
    <w:rsid w:val="007C2BBE"/>
    <w:rsid w:val="007C2CBB"/>
    <w:rsid w:val="007C2E5B"/>
    <w:rsid w:val="007C309C"/>
    <w:rsid w:val="007C31F3"/>
    <w:rsid w:val="007C3675"/>
    <w:rsid w:val="007C374F"/>
    <w:rsid w:val="007C4209"/>
    <w:rsid w:val="007C42F9"/>
    <w:rsid w:val="007C47FA"/>
    <w:rsid w:val="007C4DEB"/>
    <w:rsid w:val="007C500F"/>
    <w:rsid w:val="007C5845"/>
    <w:rsid w:val="007C5B69"/>
    <w:rsid w:val="007C5EB9"/>
    <w:rsid w:val="007C64FF"/>
    <w:rsid w:val="007C674D"/>
    <w:rsid w:val="007C6A93"/>
    <w:rsid w:val="007C6B98"/>
    <w:rsid w:val="007C6CBB"/>
    <w:rsid w:val="007C6CE4"/>
    <w:rsid w:val="007C7449"/>
    <w:rsid w:val="007C7536"/>
    <w:rsid w:val="007C79E2"/>
    <w:rsid w:val="007C7A03"/>
    <w:rsid w:val="007C7A90"/>
    <w:rsid w:val="007C7E83"/>
    <w:rsid w:val="007C7EA5"/>
    <w:rsid w:val="007D0245"/>
    <w:rsid w:val="007D07E6"/>
    <w:rsid w:val="007D08EF"/>
    <w:rsid w:val="007D135B"/>
    <w:rsid w:val="007D18D9"/>
    <w:rsid w:val="007D1983"/>
    <w:rsid w:val="007D1A95"/>
    <w:rsid w:val="007D245E"/>
    <w:rsid w:val="007D327B"/>
    <w:rsid w:val="007D3764"/>
    <w:rsid w:val="007D3C0E"/>
    <w:rsid w:val="007D3E38"/>
    <w:rsid w:val="007D458B"/>
    <w:rsid w:val="007D458E"/>
    <w:rsid w:val="007D46FE"/>
    <w:rsid w:val="007D485A"/>
    <w:rsid w:val="007D49EF"/>
    <w:rsid w:val="007D50B5"/>
    <w:rsid w:val="007D54FF"/>
    <w:rsid w:val="007D57D4"/>
    <w:rsid w:val="007D5C39"/>
    <w:rsid w:val="007D5E67"/>
    <w:rsid w:val="007D6315"/>
    <w:rsid w:val="007D724A"/>
    <w:rsid w:val="007D736A"/>
    <w:rsid w:val="007D7545"/>
    <w:rsid w:val="007D75A3"/>
    <w:rsid w:val="007D798C"/>
    <w:rsid w:val="007E06A3"/>
    <w:rsid w:val="007E0BC6"/>
    <w:rsid w:val="007E0D81"/>
    <w:rsid w:val="007E0F93"/>
    <w:rsid w:val="007E1513"/>
    <w:rsid w:val="007E16E2"/>
    <w:rsid w:val="007E19FE"/>
    <w:rsid w:val="007E1AAC"/>
    <w:rsid w:val="007E2C7E"/>
    <w:rsid w:val="007E3B9C"/>
    <w:rsid w:val="007E4A2F"/>
    <w:rsid w:val="007E4F4E"/>
    <w:rsid w:val="007E587D"/>
    <w:rsid w:val="007E5A25"/>
    <w:rsid w:val="007E5C4A"/>
    <w:rsid w:val="007E5FB0"/>
    <w:rsid w:val="007E6915"/>
    <w:rsid w:val="007E6B2D"/>
    <w:rsid w:val="007E7215"/>
    <w:rsid w:val="007E74CA"/>
    <w:rsid w:val="007E74F0"/>
    <w:rsid w:val="007E756D"/>
    <w:rsid w:val="007E7582"/>
    <w:rsid w:val="007E7A5D"/>
    <w:rsid w:val="007E7AD3"/>
    <w:rsid w:val="007E7CD5"/>
    <w:rsid w:val="007F0070"/>
    <w:rsid w:val="007F0441"/>
    <w:rsid w:val="007F083B"/>
    <w:rsid w:val="007F0DFB"/>
    <w:rsid w:val="007F0E99"/>
    <w:rsid w:val="007F1A83"/>
    <w:rsid w:val="007F1BE9"/>
    <w:rsid w:val="007F20F1"/>
    <w:rsid w:val="007F2A38"/>
    <w:rsid w:val="007F3767"/>
    <w:rsid w:val="007F380E"/>
    <w:rsid w:val="007F401E"/>
    <w:rsid w:val="007F4224"/>
    <w:rsid w:val="007F4DD2"/>
    <w:rsid w:val="007F4FB9"/>
    <w:rsid w:val="007F5065"/>
    <w:rsid w:val="007F56E5"/>
    <w:rsid w:val="007F5785"/>
    <w:rsid w:val="007F69E2"/>
    <w:rsid w:val="007F6E63"/>
    <w:rsid w:val="007F7022"/>
    <w:rsid w:val="007F71D8"/>
    <w:rsid w:val="007F7690"/>
    <w:rsid w:val="00800BC4"/>
    <w:rsid w:val="008011CC"/>
    <w:rsid w:val="00801363"/>
    <w:rsid w:val="00801404"/>
    <w:rsid w:val="008017AA"/>
    <w:rsid w:val="008017EC"/>
    <w:rsid w:val="00801CBA"/>
    <w:rsid w:val="00801D92"/>
    <w:rsid w:val="008020D0"/>
    <w:rsid w:val="00802A4F"/>
    <w:rsid w:val="00803DB7"/>
    <w:rsid w:val="008041B8"/>
    <w:rsid w:val="00804BCF"/>
    <w:rsid w:val="00804F83"/>
    <w:rsid w:val="00804FA4"/>
    <w:rsid w:val="00805275"/>
    <w:rsid w:val="00805883"/>
    <w:rsid w:val="0080590D"/>
    <w:rsid w:val="008063DF"/>
    <w:rsid w:val="00806A62"/>
    <w:rsid w:val="00806E55"/>
    <w:rsid w:val="00806EFB"/>
    <w:rsid w:val="0080716A"/>
    <w:rsid w:val="008075CE"/>
    <w:rsid w:val="00807D35"/>
    <w:rsid w:val="0081096A"/>
    <w:rsid w:val="00810AD4"/>
    <w:rsid w:val="00810E00"/>
    <w:rsid w:val="008111CB"/>
    <w:rsid w:val="00811325"/>
    <w:rsid w:val="00811CA9"/>
    <w:rsid w:val="00812179"/>
    <w:rsid w:val="008124E2"/>
    <w:rsid w:val="0081299C"/>
    <w:rsid w:val="00812D10"/>
    <w:rsid w:val="0081300B"/>
    <w:rsid w:val="0081303D"/>
    <w:rsid w:val="0081373B"/>
    <w:rsid w:val="00813928"/>
    <w:rsid w:val="00815321"/>
    <w:rsid w:val="00815D9A"/>
    <w:rsid w:val="008166DB"/>
    <w:rsid w:val="0081688E"/>
    <w:rsid w:val="008173E0"/>
    <w:rsid w:val="008175C1"/>
    <w:rsid w:val="00817DB6"/>
    <w:rsid w:val="00820074"/>
    <w:rsid w:val="008200D4"/>
    <w:rsid w:val="00820370"/>
    <w:rsid w:val="00820CC6"/>
    <w:rsid w:val="008211E9"/>
    <w:rsid w:val="00821A0F"/>
    <w:rsid w:val="00821F13"/>
    <w:rsid w:val="00822C41"/>
    <w:rsid w:val="00823DEB"/>
    <w:rsid w:val="0082471B"/>
    <w:rsid w:val="00824ACF"/>
    <w:rsid w:val="00825043"/>
    <w:rsid w:val="00825267"/>
    <w:rsid w:val="008264EC"/>
    <w:rsid w:val="00826886"/>
    <w:rsid w:val="008268BF"/>
    <w:rsid w:val="00826A65"/>
    <w:rsid w:val="00826CA2"/>
    <w:rsid w:val="00827668"/>
    <w:rsid w:val="0082796E"/>
    <w:rsid w:val="00827C0D"/>
    <w:rsid w:val="0083032E"/>
    <w:rsid w:val="00830642"/>
    <w:rsid w:val="00830F26"/>
    <w:rsid w:val="00831020"/>
    <w:rsid w:val="00831250"/>
    <w:rsid w:val="00831411"/>
    <w:rsid w:val="008315AD"/>
    <w:rsid w:val="0083184A"/>
    <w:rsid w:val="00831B4E"/>
    <w:rsid w:val="00831D1D"/>
    <w:rsid w:val="00831D8D"/>
    <w:rsid w:val="00831F3E"/>
    <w:rsid w:val="008322D9"/>
    <w:rsid w:val="00832C21"/>
    <w:rsid w:val="00832D5E"/>
    <w:rsid w:val="00832EC3"/>
    <w:rsid w:val="0083310A"/>
    <w:rsid w:val="008331CD"/>
    <w:rsid w:val="008333B7"/>
    <w:rsid w:val="008334B0"/>
    <w:rsid w:val="0083354D"/>
    <w:rsid w:val="008336EC"/>
    <w:rsid w:val="008337B9"/>
    <w:rsid w:val="00833A95"/>
    <w:rsid w:val="00834FD2"/>
    <w:rsid w:val="00835084"/>
    <w:rsid w:val="008350C2"/>
    <w:rsid w:val="00835184"/>
    <w:rsid w:val="00835569"/>
    <w:rsid w:val="00835651"/>
    <w:rsid w:val="00835802"/>
    <w:rsid w:val="00836295"/>
    <w:rsid w:val="00836FE0"/>
    <w:rsid w:val="008370EE"/>
    <w:rsid w:val="00837B8B"/>
    <w:rsid w:val="00837FF4"/>
    <w:rsid w:val="00840198"/>
    <w:rsid w:val="0084093F"/>
    <w:rsid w:val="0084098A"/>
    <w:rsid w:val="00840C24"/>
    <w:rsid w:val="00840DB0"/>
    <w:rsid w:val="00840EDE"/>
    <w:rsid w:val="008418A5"/>
    <w:rsid w:val="008420B6"/>
    <w:rsid w:val="00843088"/>
    <w:rsid w:val="008431F0"/>
    <w:rsid w:val="00843548"/>
    <w:rsid w:val="0084383C"/>
    <w:rsid w:val="00843CC0"/>
    <w:rsid w:val="00843CF4"/>
    <w:rsid w:val="00844018"/>
    <w:rsid w:val="00844ADD"/>
    <w:rsid w:val="00844DAC"/>
    <w:rsid w:val="00844E4C"/>
    <w:rsid w:val="00845058"/>
    <w:rsid w:val="0084534E"/>
    <w:rsid w:val="00845397"/>
    <w:rsid w:val="00846062"/>
    <w:rsid w:val="0084627E"/>
    <w:rsid w:val="0084636B"/>
    <w:rsid w:val="00846842"/>
    <w:rsid w:val="0084687C"/>
    <w:rsid w:val="008474C1"/>
    <w:rsid w:val="00847A02"/>
    <w:rsid w:val="00847A97"/>
    <w:rsid w:val="00847C1C"/>
    <w:rsid w:val="00847CA4"/>
    <w:rsid w:val="008500AD"/>
    <w:rsid w:val="008501FD"/>
    <w:rsid w:val="0085055E"/>
    <w:rsid w:val="00850951"/>
    <w:rsid w:val="00850C3B"/>
    <w:rsid w:val="00851605"/>
    <w:rsid w:val="008520D2"/>
    <w:rsid w:val="00852CA0"/>
    <w:rsid w:val="00852D85"/>
    <w:rsid w:val="00852EB8"/>
    <w:rsid w:val="00852EBE"/>
    <w:rsid w:val="00852F6C"/>
    <w:rsid w:val="00853776"/>
    <w:rsid w:val="008540C6"/>
    <w:rsid w:val="0085465C"/>
    <w:rsid w:val="00854967"/>
    <w:rsid w:val="00854F9F"/>
    <w:rsid w:val="0085540B"/>
    <w:rsid w:val="00855511"/>
    <w:rsid w:val="0085582C"/>
    <w:rsid w:val="008559E2"/>
    <w:rsid w:val="00855FD3"/>
    <w:rsid w:val="0085665F"/>
    <w:rsid w:val="008566AF"/>
    <w:rsid w:val="00856727"/>
    <w:rsid w:val="008568A3"/>
    <w:rsid w:val="00857086"/>
    <w:rsid w:val="00857572"/>
    <w:rsid w:val="008575E6"/>
    <w:rsid w:val="00860485"/>
    <w:rsid w:val="00860886"/>
    <w:rsid w:val="00860F4D"/>
    <w:rsid w:val="008610BC"/>
    <w:rsid w:val="008611DE"/>
    <w:rsid w:val="00861375"/>
    <w:rsid w:val="00861C56"/>
    <w:rsid w:val="00861F29"/>
    <w:rsid w:val="008620A2"/>
    <w:rsid w:val="00862741"/>
    <w:rsid w:val="00862BBD"/>
    <w:rsid w:val="00863624"/>
    <w:rsid w:val="00863ABC"/>
    <w:rsid w:val="00863B14"/>
    <w:rsid w:val="00863BA5"/>
    <w:rsid w:val="00863C9F"/>
    <w:rsid w:val="008645D6"/>
    <w:rsid w:val="00864986"/>
    <w:rsid w:val="0086552B"/>
    <w:rsid w:val="008655A2"/>
    <w:rsid w:val="008656B2"/>
    <w:rsid w:val="0086584F"/>
    <w:rsid w:val="00865A50"/>
    <w:rsid w:val="00865CD4"/>
    <w:rsid w:val="00866113"/>
    <w:rsid w:val="0086715D"/>
    <w:rsid w:val="008671C7"/>
    <w:rsid w:val="00867A44"/>
    <w:rsid w:val="00867B5D"/>
    <w:rsid w:val="00867BAD"/>
    <w:rsid w:val="00867EB8"/>
    <w:rsid w:val="00870335"/>
    <w:rsid w:val="00870AA2"/>
    <w:rsid w:val="00870D4B"/>
    <w:rsid w:val="00871262"/>
    <w:rsid w:val="0087133B"/>
    <w:rsid w:val="008718ED"/>
    <w:rsid w:val="00871C6E"/>
    <w:rsid w:val="008727DC"/>
    <w:rsid w:val="00872DE3"/>
    <w:rsid w:val="00872FFE"/>
    <w:rsid w:val="00873A9E"/>
    <w:rsid w:val="00873D88"/>
    <w:rsid w:val="0087433B"/>
    <w:rsid w:val="00876077"/>
    <w:rsid w:val="0087621E"/>
    <w:rsid w:val="008767B2"/>
    <w:rsid w:val="00876D11"/>
    <w:rsid w:val="00876EF9"/>
    <w:rsid w:val="0087714C"/>
    <w:rsid w:val="00877265"/>
    <w:rsid w:val="00877328"/>
    <w:rsid w:val="00877431"/>
    <w:rsid w:val="00877809"/>
    <w:rsid w:val="0087787A"/>
    <w:rsid w:val="00880168"/>
    <w:rsid w:val="008802F0"/>
    <w:rsid w:val="00880992"/>
    <w:rsid w:val="0088167D"/>
    <w:rsid w:val="00881690"/>
    <w:rsid w:val="00881692"/>
    <w:rsid w:val="0088207F"/>
    <w:rsid w:val="0088210E"/>
    <w:rsid w:val="00882B26"/>
    <w:rsid w:val="00882E73"/>
    <w:rsid w:val="00883143"/>
    <w:rsid w:val="008840E7"/>
    <w:rsid w:val="0088504D"/>
    <w:rsid w:val="00885B38"/>
    <w:rsid w:val="00885C94"/>
    <w:rsid w:val="00886154"/>
    <w:rsid w:val="00886DEB"/>
    <w:rsid w:val="00887CDA"/>
    <w:rsid w:val="00887D68"/>
    <w:rsid w:val="00890277"/>
    <w:rsid w:val="0089061A"/>
    <w:rsid w:val="00890E5F"/>
    <w:rsid w:val="008915C6"/>
    <w:rsid w:val="00891677"/>
    <w:rsid w:val="008918CB"/>
    <w:rsid w:val="0089251C"/>
    <w:rsid w:val="008926FD"/>
    <w:rsid w:val="008927DF"/>
    <w:rsid w:val="00892C8A"/>
    <w:rsid w:val="00892DB5"/>
    <w:rsid w:val="00892E41"/>
    <w:rsid w:val="008932E9"/>
    <w:rsid w:val="00893719"/>
    <w:rsid w:val="00894368"/>
    <w:rsid w:val="008947C1"/>
    <w:rsid w:val="00894B61"/>
    <w:rsid w:val="00895255"/>
    <w:rsid w:val="008959E0"/>
    <w:rsid w:val="00895DF1"/>
    <w:rsid w:val="00896639"/>
    <w:rsid w:val="00896645"/>
    <w:rsid w:val="0089672D"/>
    <w:rsid w:val="00896B86"/>
    <w:rsid w:val="00896FAB"/>
    <w:rsid w:val="00897245"/>
    <w:rsid w:val="0089729C"/>
    <w:rsid w:val="008974C2"/>
    <w:rsid w:val="008975D2"/>
    <w:rsid w:val="008976AE"/>
    <w:rsid w:val="008977FC"/>
    <w:rsid w:val="00897939"/>
    <w:rsid w:val="00897C39"/>
    <w:rsid w:val="00897F91"/>
    <w:rsid w:val="008A035B"/>
    <w:rsid w:val="008A0452"/>
    <w:rsid w:val="008A0459"/>
    <w:rsid w:val="008A0463"/>
    <w:rsid w:val="008A0637"/>
    <w:rsid w:val="008A0A70"/>
    <w:rsid w:val="008A0C23"/>
    <w:rsid w:val="008A0C5C"/>
    <w:rsid w:val="008A1218"/>
    <w:rsid w:val="008A15B6"/>
    <w:rsid w:val="008A1A6E"/>
    <w:rsid w:val="008A202A"/>
    <w:rsid w:val="008A2CFF"/>
    <w:rsid w:val="008A34FD"/>
    <w:rsid w:val="008A369F"/>
    <w:rsid w:val="008A36C9"/>
    <w:rsid w:val="008A467B"/>
    <w:rsid w:val="008A4ED9"/>
    <w:rsid w:val="008A571D"/>
    <w:rsid w:val="008A5AF9"/>
    <w:rsid w:val="008A5E18"/>
    <w:rsid w:val="008A68D0"/>
    <w:rsid w:val="008A7028"/>
    <w:rsid w:val="008A771F"/>
    <w:rsid w:val="008B0343"/>
    <w:rsid w:val="008B1228"/>
    <w:rsid w:val="008B16DE"/>
    <w:rsid w:val="008B1B86"/>
    <w:rsid w:val="008B251F"/>
    <w:rsid w:val="008B2602"/>
    <w:rsid w:val="008B2712"/>
    <w:rsid w:val="008B2727"/>
    <w:rsid w:val="008B28D9"/>
    <w:rsid w:val="008B28E1"/>
    <w:rsid w:val="008B300E"/>
    <w:rsid w:val="008B316B"/>
    <w:rsid w:val="008B3B19"/>
    <w:rsid w:val="008B4224"/>
    <w:rsid w:val="008B4692"/>
    <w:rsid w:val="008B5059"/>
    <w:rsid w:val="008B5349"/>
    <w:rsid w:val="008B5369"/>
    <w:rsid w:val="008B5BF2"/>
    <w:rsid w:val="008B5CD6"/>
    <w:rsid w:val="008B5E13"/>
    <w:rsid w:val="008B6869"/>
    <w:rsid w:val="008B6934"/>
    <w:rsid w:val="008B6CF8"/>
    <w:rsid w:val="008B70A6"/>
    <w:rsid w:val="008B7154"/>
    <w:rsid w:val="008B72F6"/>
    <w:rsid w:val="008C0D50"/>
    <w:rsid w:val="008C119E"/>
    <w:rsid w:val="008C1E24"/>
    <w:rsid w:val="008C296B"/>
    <w:rsid w:val="008C2A46"/>
    <w:rsid w:val="008C3087"/>
    <w:rsid w:val="008C3158"/>
    <w:rsid w:val="008C31AE"/>
    <w:rsid w:val="008C3719"/>
    <w:rsid w:val="008C4278"/>
    <w:rsid w:val="008C520E"/>
    <w:rsid w:val="008C563B"/>
    <w:rsid w:val="008C567E"/>
    <w:rsid w:val="008C5DEE"/>
    <w:rsid w:val="008C6285"/>
    <w:rsid w:val="008C6BF8"/>
    <w:rsid w:val="008C6E15"/>
    <w:rsid w:val="008C7182"/>
    <w:rsid w:val="008C7268"/>
    <w:rsid w:val="008C7CA5"/>
    <w:rsid w:val="008C7D9D"/>
    <w:rsid w:val="008C7EA8"/>
    <w:rsid w:val="008D0250"/>
    <w:rsid w:val="008D0416"/>
    <w:rsid w:val="008D0420"/>
    <w:rsid w:val="008D0AF2"/>
    <w:rsid w:val="008D0C2B"/>
    <w:rsid w:val="008D13C6"/>
    <w:rsid w:val="008D13D3"/>
    <w:rsid w:val="008D1576"/>
    <w:rsid w:val="008D198F"/>
    <w:rsid w:val="008D1B04"/>
    <w:rsid w:val="008D1BBE"/>
    <w:rsid w:val="008D20C2"/>
    <w:rsid w:val="008D22AC"/>
    <w:rsid w:val="008D2888"/>
    <w:rsid w:val="008D2F85"/>
    <w:rsid w:val="008D3212"/>
    <w:rsid w:val="008D3235"/>
    <w:rsid w:val="008D33C8"/>
    <w:rsid w:val="008D3893"/>
    <w:rsid w:val="008D3D37"/>
    <w:rsid w:val="008D4207"/>
    <w:rsid w:val="008D45CD"/>
    <w:rsid w:val="008D4B13"/>
    <w:rsid w:val="008D554F"/>
    <w:rsid w:val="008D55F1"/>
    <w:rsid w:val="008D5BEE"/>
    <w:rsid w:val="008D5CD7"/>
    <w:rsid w:val="008D6D32"/>
    <w:rsid w:val="008D718E"/>
    <w:rsid w:val="008D7240"/>
    <w:rsid w:val="008D728B"/>
    <w:rsid w:val="008D7874"/>
    <w:rsid w:val="008E04C1"/>
    <w:rsid w:val="008E09C5"/>
    <w:rsid w:val="008E0AA7"/>
    <w:rsid w:val="008E17D0"/>
    <w:rsid w:val="008E1DF8"/>
    <w:rsid w:val="008E2355"/>
    <w:rsid w:val="008E2F44"/>
    <w:rsid w:val="008E3018"/>
    <w:rsid w:val="008E3151"/>
    <w:rsid w:val="008E32EE"/>
    <w:rsid w:val="008E3386"/>
    <w:rsid w:val="008E461C"/>
    <w:rsid w:val="008E46EF"/>
    <w:rsid w:val="008E4CDE"/>
    <w:rsid w:val="008E5409"/>
    <w:rsid w:val="008E5410"/>
    <w:rsid w:val="008E5A3F"/>
    <w:rsid w:val="008E5F24"/>
    <w:rsid w:val="008E5FEA"/>
    <w:rsid w:val="008E6658"/>
    <w:rsid w:val="008E7209"/>
    <w:rsid w:val="008E7256"/>
    <w:rsid w:val="008E7263"/>
    <w:rsid w:val="008E7391"/>
    <w:rsid w:val="008E7448"/>
    <w:rsid w:val="008E7793"/>
    <w:rsid w:val="008E7A54"/>
    <w:rsid w:val="008E7D8C"/>
    <w:rsid w:val="008F0388"/>
    <w:rsid w:val="008F11BB"/>
    <w:rsid w:val="008F16FF"/>
    <w:rsid w:val="008F182F"/>
    <w:rsid w:val="008F193C"/>
    <w:rsid w:val="008F1CD3"/>
    <w:rsid w:val="008F1E95"/>
    <w:rsid w:val="008F1F76"/>
    <w:rsid w:val="008F2304"/>
    <w:rsid w:val="008F443C"/>
    <w:rsid w:val="008F57DD"/>
    <w:rsid w:val="008F5AEE"/>
    <w:rsid w:val="008F5DAB"/>
    <w:rsid w:val="008F617B"/>
    <w:rsid w:val="008F625E"/>
    <w:rsid w:val="008F6964"/>
    <w:rsid w:val="008F69B1"/>
    <w:rsid w:val="008F6B98"/>
    <w:rsid w:val="008F6EAA"/>
    <w:rsid w:val="008F77FF"/>
    <w:rsid w:val="008F7800"/>
    <w:rsid w:val="008F7BCA"/>
    <w:rsid w:val="00900824"/>
    <w:rsid w:val="00900F4D"/>
    <w:rsid w:val="00901408"/>
    <w:rsid w:val="00901611"/>
    <w:rsid w:val="0090167B"/>
    <w:rsid w:val="00901BEB"/>
    <w:rsid w:val="00901BF0"/>
    <w:rsid w:val="009021E1"/>
    <w:rsid w:val="00902361"/>
    <w:rsid w:val="00902BD1"/>
    <w:rsid w:val="00902DEC"/>
    <w:rsid w:val="0090342E"/>
    <w:rsid w:val="00903981"/>
    <w:rsid w:val="00903BDC"/>
    <w:rsid w:val="00903D3A"/>
    <w:rsid w:val="009044B9"/>
    <w:rsid w:val="009047B1"/>
    <w:rsid w:val="00904C86"/>
    <w:rsid w:val="00904E21"/>
    <w:rsid w:val="0090555A"/>
    <w:rsid w:val="009067F5"/>
    <w:rsid w:val="0090680D"/>
    <w:rsid w:val="00906C65"/>
    <w:rsid w:val="00907B6C"/>
    <w:rsid w:val="0091045D"/>
    <w:rsid w:val="009110BF"/>
    <w:rsid w:val="0091129E"/>
    <w:rsid w:val="00911CDC"/>
    <w:rsid w:val="00911DCF"/>
    <w:rsid w:val="00911E48"/>
    <w:rsid w:val="00911ED8"/>
    <w:rsid w:val="0091281A"/>
    <w:rsid w:val="0091298B"/>
    <w:rsid w:val="00912B24"/>
    <w:rsid w:val="00913774"/>
    <w:rsid w:val="009139B5"/>
    <w:rsid w:val="00913A3C"/>
    <w:rsid w:val="00913D2A"/>
    <w:rsid w:val="00914514"/>
    <w:rsid w:val="00914549"/>
    <w:rsid w:val="00914BFC"/>
    <w:rsid w:val="00914C08"/>
    <w:rsid w:val="00914C3F"/>
    <w:rsid w:val="00914F2F"/>
    <w:rsid w:val="00915BF7"/>
    <w:rsid w:val="00915FE0"/>
    <w:rsid w:val="00916057"/>
    <w:rsid w:val="0091667F"/>
    <w:rsid w:val="00916AD1"/>
    <w:rsid w:val="00917637"/>
    <w:rsid w:val="00917946"/>
    <w:rsid w:val="00917FEE"/>
    <w:rsid w:val="0092023D"/>
    <w:rsid w:val="0092035F"/>
    <w:rsid w:val="00920472"/>
    <w:rsid w:val="00920916"/>
    <w:rsid w:val="00920CC8"/>
    <w:rsid w:val="00921034"/>
    <w:rsid w:val="009210EF"/>
    <w:rsid w:val="00921251"/>
    <w:rsid w:val="00921861"/>
    <w:rsid w:val="00921865"/>
    <w:rsid w:val="0092189E"/>
    <w:rsid w:val="009219FD"/>
    <w:rsid w:val="00921DF7"/>
    <w:rsid w:val="00922BBE"/>
    <w:rsid w:val="00922FC0"/>
    <w:rsid w:val="009236BD"/>
    <w:rsid w:val="0092480D"/>
    <w:rsid w:val="00924C8F"/>
    <w:rsid w:val="0092504C"/>
    <w:rsid w:val="009257B0"/>
    <w:rsid w:val="009258BD"/>
    <w:rsid w:val="00925DEB"/>
    <w:rsid w:val="00925F48"/>
    <w:rsid w:val="009261B0"/>
    <w:rsid w:val="009263C0"/>
    <w:rsid w:val="009265C7"/>
    <w:rsid w:val="00927D0B"/>
    <w:rsid w:val="009302D4"/>
    <w:rsid w:val="009303D4"/>
    <w:rsid w:val="009307F2"/>
    <w:rsid w:val="00930CEC"/>
    <w:rsid w:val="00930F4A"/>
    <w:rsid w:val="00931158"/>
    <w:rsid w:val="00932068"/>
    <w:rsid w:val="0093279F"/>
    <w:rsid w:val="00932B2D"/>
    <w:rsid w:val="0093340C"/>
    <w:rsid w:val="0093375E"/>
    <w:rsid w:val="00933BEF"/>
    <w:rsid w:val="00934B8B"/>
    <w:rsid w:val="00934B9D"/>
    <w:rsid w:val="00934FFC"/>
    <w:rsid w:val="00935321"/>
    <w:rsid w:val="0093787E"/>
    <w:rsid w:val="00940A67"/>
    <w:rsid w:val="009412CC"/>
    <w:rsid w:val="009427EB"/>
    <w:rsid w:val="00942A91"/>
    <w:rsid w:val="00942B2D"/>
    <w:rsid w:val="009431A9"/>
    <w:rsid w:val="00943419"/>
    <w:rsid w:val="0094388B"/>
    <w:rsid w:val="00943D09"/>
    <w:rsid w:val="00943D78"/>
    <w:rsid w:val="00943D96"/>
    <w:rsid w:val="00944826"/>
    <w:rsid w:val="009451CD"/>
    <w:rsid w:val="00945586"/>
    <w:rsid w:val="009457A1"/>
    <w:rsid w:val="0094626C"/>
    <w:rsid w:val="00947086"/>
    <w:rsid w:val="00947C5D"/>
    <w:rsid w:val="00947CA9"/>
    <w:rsid w:val="00947FE2"/>
    <w:rsid w:val="00950478"/>
    <w:rsid w:val="0095067C"/>
    <w:rsid w:val="00950888"/>
    <w:rsid w:val="00950A28"/>
    <w:rsid w:val="00950AF9"/>
    <w:rsid w:val="00950B5F"/>
    <w:rsid w:val="00950D35"/>
    <w:rsid w:val="0095144C"/>
    <w:rsid w:val="0095165B"/>
    <w:rsid w:val="00951B17"/>
    <w:rsid w:val="00951B8D"/>
    <w:rsid w:val="009522F5"/>
    <w:rsid w:val="00952EC9"/>
    <w:rsid w:val="009532AF"/>
    <w:rsid w:val="009536A8"/>
    <w:rsid w:val="0095397E"/>
    <w:rsid w:val="00954596"/>
    <w:rsid w:val="00955851"/>
    <w:rsid w:val="00957E23"/>
    <w:rsid w:val="00957F30"/>
    <w:rsid w:val="0096037A"/>
    <w:rsid w:val="009610A9"/>
    <w:rsid w:val="00961466"/>
    <w:rsid w:val="00961487"/>
    <w:rsid w:val="00961825"/>
    <w:rsid w:val="00961BA7"/>
    <w:rsid w:val="00961F01"/>
    <w:rsid w:val="00962162"/>
    <w:rsid w:val="009623BC"/>
    <w:rsid w:val="009628BE"/>
    <w:rsid w:val="00962AF0"/>
    <w:rsid w:val="00962B23"/>
    <w:rsid w:val="00962C47"/>
    <w:rsid w:val="009631C8"/>
    <w:rsid w:val="00963AE4"/>
    <w:rsid w:val="00963C14"/>
    <w:rsid w:val="0096403E"/>
    <w:rsid w:val="00964075"/>
    <w:rsid w:val="009645CD"/>
    <w:rsid w:val="00964CC5"/>
    <w:rsid w:val="00965113"/>
    <w:rsid w:val="00965940"/>
    <w:rsid w:val="00965A4E"/>
    <w:rsid w:val="00966BE5"/>
    <w:rsid w:val="00966EB0"/>
    <w:rsid w:val="00966F74"/>
    <w:rsid w:val="0097043C"/>
    <w:rsid w:val="009704FD"/>
    <w:rsid w:val="00970D0B"/>
    <w:rsid w:val="00970FC2"/>
    <w:rsid w:val="00971116"/>
    <w:rsid w:val="00972032"/>
    <w:rsid w:val="0097287E"/>
    <w:rsid w:val="00972B55"/>
    <w:rsid w:val="00972C24"/>
    <w:rsid w:val="00972D0E"/>
    <w:rsid w:val="00972E28"/>
    <w:rsid w:val="00972E6A"/>
    <w:rsid w:val="00973030"/>
    <w:rsid w:val="009733F3"/>
    <w:rsid w:val="0097405A"/>
    <w:rsid w:val="0097419A"/>
    <w:rsid w:val="009748E4"/>
    <w:rsid w:val="00975EC7"/>
    <w:rsid w:val="009766DA"/>
    <w:rsid w:val="00976A6E"/>
    <w:rsid w:val="00976BA8"/>
    <w:rsid w:val="00976BC0"/>
    <w:rsid w:val="00976CC9"/>
    <w:rsid w:val="00976D65"/>
    <w:rsid w:val="00976F72"/>
    <w:rsid w:val="00976F84"/>
    <w:rsid w:val="009770FE"/>
    <w:rsid w:val="00977ADF"/>
    <w:rsid w:val="00977CE6"/>
    <w:rsid w:val="009807AC"/>
    <w:rsid w:val="00980B43"/>
    <w:rsid w:val="00980C18"/>
    <w:rsid w:val="00980CD0"/>
    <w:rsid w:val="00980D81"/>
    <w:rsid w:val="00980DAA"/>
    <w:rsid w:val="00980F13"/>
    <w:rsid w:val="009810E9"/>
    <w:rsid w:val="00981368"/>
    <w:rsid w:val="0098141C"/>
    <w:rsid w:val="009815DE"/>
    <w:rsid w:val="00981AA9"/>
    <w:rsid w:val="00981C91"/>
    <w:rsid w:val="00982869"/>
    <w:rsid w:val="00982B2F"/>
    <w:rsid w:val="00983132"/>
    <w:rsid w:val="00983314"/>
    <w:rsid w:val="00983DF2"/>
    <w:rsid w:val="009842CF"/>
    <w:rsid w:val="0098433A"/>
    <w:rsid w:val="00984C66"/>
    <w:rsid w:val="00984F6C"/>
    <w:rsid w:val="00985675"/>
    <w:rsid w:val="00985726"/>
    <w:rsid w:val="00985939"/>
    <w:rsid w:val="0098637F"/>
    <w:rsid w:val="009864C5"/>
    <w:rsid w:val="009864CE"/>
    <w:rsid w:val="00986A9B"/>
    <w:rsid w:val="00986B9C"/>
    <w:rsid w:val="00987B14"/>
    <w:rsid w:val="00987BAB"/>
    <w:rsid w:val="009905F8"/>
    <w:rsid w:val="009906BF"/>
    <w:rsid w:val="00990A0A"/>
    <w:rsid w:val="009913F3"/>
    <w:rsid w:val="00991DA1"/>
    <w:rsid w:val="009927F1"/>
    <w:rsid w:val="0099291A"/>
    <w:rsid w:val="00992DD9"/>
    <w:rsid w:val="009936C4"/>
    <w:rsid w:val="00993E3A"/>
    <w:rsid w:val="009943AD"/>
    <w:rsid w:val="009948ED"/>
    <w:rsid w:val="00994987"/>
    <w:rsid w:val="00994A29"/>
    <w:rsid w:val="00994BFC"/>
    <w:rsid w:val="009952B4"/>
    <w:rsid w:val="00995861"/>
    <w:rsid w:val="00995ADA"/>
    <w:rsid w:val="009962C4"/>
    <w:rsid w:val="0099643A"/>
    <w:rsid w:val="00996719"/>
    <w:rsid w:val="00997431"/>
    <w:rsid w:val="009974CB"/>
    <w:rsid w:val="0099780E"/>
    <w:rsid w:val="00997959"/>
    <w:rsid w:val="009A04A6"/>
    <w:rsid w:val="009A0AD5"/>
    <w:rsid w:val="009A0BAF"/>
    <w:rsid w:val="009A0CAA"/>
    <w:rsid w:val="009A1134"/>
    <w:rsid w:val="009A13B9"/>
    <w:rsid w:val="009A1431"/>
    <w:rsid w:val="009A153D"/>
    <w:rsid w:val="009A1634"/>
    <w:rsid w:val="009A16B8"/>
    <w:rsid w:val="009A1B91"/>
    <w:rsid w:val="009A1F18"/>
    <w:rsid w:val="009A28F9"/>
    <w:rsid w:val="009A2972"/>
    <w:rsid w:val="009A351B"/>
    <w:rsid w:val="009A3A34"/>
    <w:rsid w:val="009A3FE2"/>
    <w:rsid w:val="009A400C"/>
    <w:rsid w:val="009A4B2C"/>
    <w:rsid w:val="009A5592"/>
    <w:rsid w:val="009A59BA"/>
    <w:rsid w:val="009A613B"/>
    <w:rsid w:val="009A6417"/>
    <w:rsid w:val="009A6A9C"/>
    <w:rsid w:val="009A6F53"/>
    <w:rsid w:val="009A7B97"/>
    <w:rsid w:val="009B01DF"/>
    <w:rsid w:val="009B020D"/>
    <w:rsid w:val="009B0239"/>
    <w:rsid w:val="009B072F"/>
    <w:rsid w:val="009B0773"/>
    <w:rsid w:val="009B07A1"/>
    <w:rsid w:val="009B09CC"/>
    <w:rsid w:val="009B173B"/>
    <w:rsid w:val="009B192A"/>
    <w:rsid w:val="009B1A1A"/>
    <w:rsid w:val="009B1FC1"/>
    <w:rsid w:val="009B22A0"/>
    <w:rsid w:val="009B23FF"/>
    <w:rsid w:val="009B2608"/>
    <w:rsid w:val="009B2939"/>
    <w:rsid w:val="009B2A71"/>
    <w:rsid w:val="009B2CCD"/>
    <w:rsid w:val="009B2E67"/>
    <w:rsid w:val="009B36D3"/>
    <w:rsid w:val="009B4027"/>
    <w:rsid w:val="009B435F"/>
    <w:rsid w:val="009B4975"/>
    <w:rsid w:val="009B5348"/>
    <w:rsid w:val="009B53CB"/>
    <w:rsid w:val="009B561F"/>
    <w:rsid w:val="009B569F"/>
    <w:rsid w:val="009B5773"/>
    <w:rsid w:val="009B5D2D"/>
    <w:rsid w:val="009B5E61"/>
    <w:rsid w:val="009B609E"/>
    <w:rsid w:val="009B6228"/>
    <w:rsid w:val="009B6FC6"/>
    <w:rsid w:val="009B799C"/>
    <w:rsid w:val="009C058F"/>
    <w:rsid w:val="009C1355"/>
    <w:rsid w:val="009C16E0"/>
    <w:rsid w:val="009C2B3E"/>
    <w:rsid w:val="009C2EA2"/>
    <w:rsid w:val="009C30DE"/>
    <w:rsid w:val="009C3256"/>
    <w:rsid w:val="009C3721"/>
    <w:rsid w:val="009C4141"/>
    <w:rsid w:val="009C4B55"/>
    <w:rsid w:val="009C4F84"/>
    <w:rsid w:val="009C506C"/>
    <w:rsid w:val="009C56B2"/>
    <w:rsid w:val="009C5FCC"/>
    <w:rsid w:val="009C601A"/>
    <w:rsid w:val="009C61A2"/>
    <w:rsid w:val="009C651F"/>
    <w:rsid w:val="009C65C8"/>
    <w:rsid w:val="009C662B"/>
    <w:rsid w:val="009C6D3D"/>
    <w:rsid w:val="009C6DF6"/>
    <w:rsid w:val="009C6E92"/>
    <w:rsid w:val="009C7360"/>
    <w:rsid w:val="009C7510"/>
    <w:rsid w:val="009C7A4A"/>
    <w:rsid w:val="009D04F7"/>
    <w:rsid w:val="009D1163"/>
    <w:rsid w:val="009D1501"/>
    <w:rsid w:val="009D1589"/>
    <w:rsid w:val="009D1B37"/>
    <w:rsid w:val="009D2003"/>
    <w:rsid w:val="009D292E"/>
    <w:rsid w:val="009D2C15"/>
    <w:rsid w:val="009D2FD3"/>
    <w:rsid w:val="009D323A"/>
    <w:rsid w:val="009D32FB"/>
    <w:rsid w:val="009D36AF"/>
    <w:rsid w:val="009D38C2"/>
    <w:rsid w:val="009D3A6E"/>
    <w:rsid w:val="009D3BAE"/>
    <w:rsid w:val="009D417F"/>
    <w:rsid w:val="009D42DD"/>
    <w:rsid w:val="009D45E5"/>
    <w:rsid w:val="009D4B85"/>
    <w:rsid w:val="009D535B"/>
    <w:rsid w:val="009D539D"/>
    <w:rsid w:val="009D5570"/>
    <w:rsid w:val="009D5B88"/>
    <w:rsid w:val="009D6296"/>
    <w:rsid w:val="009D630B"/>
    <w:rsid w:val="009D63F2"/>
    <w:rsid w:val="009D6CAA"/>
    <w:rsid w:val="009D6CF6"/>
    <w:rsid w:val="009D6E69"/>
    <w:rsid w:val="009D6F61"/>
    <w:rsid w:val="009D719B"/>
    <w:rsid w:val="009E02DC"/>
    <w:rsid w:val="009E1062"/>
    <w:rsid w:val="009E1098"/>
    <w:rsid w:val="009E115C"/>
    <w:rsid w:val="009E13FD"/>
    <w:rsid w:val="009E1B5E"/>
    <w:rsid w:val="009E1C19"/>
    <w:rsid w:val="009E1E3D"/>
    <w:rsid w:val="009E1F2F"/>
    <w:rsid w:val="009E2040"/>
    <w:rsid w:val="009E2178"/>
    <w:rsid w:val="009E26F8"/>
    <w:rsid w:val="009E2A4D"/>
    <w:rsid w:val="009E2D45"/>
    <w:rsid w:val="009E3851"/>
    <w:rsid w:val="009E40F9"/>
    <w:rsid w:val="009E46CD"/>
    <w:rsid w:val="009E49AE"/>
    <w:rsid w:val="009E4A8E"/>
    <w:rsid w:val="009E4DC7"/>
    <w:rsid w:val="009E5488"/>
    <w:rsid w:val="009E5AFE"/>
    <w:rsid w:val="009E5B12"/>
    <w:rsid w:val="009E5B92"/>
    <w:rsid w:val="009E660A"/>
    <w:rsid w:val="009E68FC"/>
    <w:rsid w:val="009E6B64"/>
    <w:rsid w:val="009E7277"/>
    <w:rsid w:val="009E72E5"/>
    <w:rsid w:val="009E7636"/>
    <w:rsid w:val="009F062A"/>
    <w:rsid w:val="009F06D4"/>
    <w:rsid w:val="009F0E72"/>
    <w:rsid w:val="009F0FB3"/>
    <w:rsid w:val="009F299C"/>
    <w:rsid w:val="009F2B21"/>
    <w:rsid w:val="009F2E46"/>
    <w:rsid w:val="009F2EFD"/>
    <w:rsid w:val="009F2F1C"/>
    <w:rsid w:val="009F366E"/>
    <w:rsid w:val="009F4068"/>
    <w:rsid w:val="009F46C8"/>
    <w:rsid w:val="009F4F2A"/>
    <w:rsid w:val="009F5485"/>
    <w:rsid w:val="009F660B"/>
    <w:rsid w:val="009F671E"/>
    <w:rsid w:val="009F67F2"/>
    <w:rsid w:val="009F6F96"/>
    <w:rsid w:val="009F7142"/>
    <w:rsid w:val="009F7ED1"/>
    <w:rsid w:val="00A00303"/>
    <w:rsid w:val="00A00A46"/>
    <w:rsid w:val="00A00F76"/>
    <w:rsid w:val="00A0149B"/>
    <w:rsid w:val="00A0156F"/>
    <w:rsid w:val="00A01607"/>
    <w:rsid w:val="00A0162D"/>
    <w:rsid w:val="00A018D4"/>
    <w:rsid w:val="00A019E6"/>
    <w:rsid w:val="00A028E0"/>
    <w:rsid w:val="00A02F9D"/>
    <w:rsid w:val="00A033DE"/>
    <w:rsid w:val="00A03685"/>
    <w:rsid w:val="00A03767"/>
    <w:rsid w:val="00A038E7"/>
    <w:rsid w:val="00A0394A"/>
    <w:rsid w:val="00A03AC4"/>
    <w:rsid w:val="00A04099"/>
    <w:rsid w:val="00A04587"/>
    <w:rsid w:val="00A04834"/>
    <w:rsid w:val="00A04C82"/>
    <w:rsid w:val="00A04D4D"/>
    <w:rsid w:val="00A05628"/>
    <w:rsid w:val="00A05D40"/>
    <w:rsid w:val="00A07C44"/>
    <w:rsid w:val="00A07C4D"/>
    <w:rsid w:val="00A07DCF"/>
    <w:rsid w:val="00A1032A"/>
    <w:rsid w:val="00A10E36"/>
    <w:rsid w:val="00A11BD9"/>
    <w:rsid w:val="00A11BEA"/>
    <w:rsid w:val="00A11D3C"/>
    <w:rsid w:val="00A12114"/>
    <w:rsid w:val="00A12835"/>
    <w:rsid w:val="00A12979"/>
    <w:rsid w:val="00A131A9"/>
    <w:rsid w:val="00A13222"/>
    <w:rsid w:val="00A1496E"/>
    <w:rsid w:val="00A14D6B"/>
    <w:rsid w:val="00A14F84"/>
    <w:rsid w:val="00A15060"/>
    <w:rsid w:val="00A156D5"/>
    <w:rsid w:val="00A16037"/>
    <w:rsid w:val="00A1650A"/>
    <w:rsid w:val="00A16D6D"/>
    <w:rsid w:val="00A16D6F"/>
    <w:rsid w:val="00A175B0"/>
    <w:rsid w:val="00A17C75"/>
    <w:rsid w:val="00A20DBF"/>
    <w:rsid w:val="00A21039"/>
    <w:rsid w:val="00A211C8"/>
    <w:rsid w:val="00A21203"/>
    <w:rsid w:val="00A2121E"/>
    <w:rsid w:val="00A21E7C"/>
    <w:rsid w:val="00A21EAC"/>
    <w:rsid w:val="00A21FA2"/>
    <w:rsid w:val="00A21FC3"/>
    <w:rsid w:val="00A2202D"/>
    <w:rsid w:val="00A221DE"/>
    <w:rsid w:val="00A22598"/>
    <w:rsid w:val="00A228FD"/>
    <w:rsid w:val="00A229D4"/>
    <w:rsid w:val="00A22CB2"/>
    <w:rsid w:val="00A22D65"/>
    <w:rsid w:val="00A23138"/>
    <w:rsid w:val="00A2349C"/>
    <w:rsid w:val="00A23940"/>
    <w:rsid w:val="00A23ECC"/>
    <w:rsid w:val="00A24509"/>
    <w:rsid w:val="00A24717"/>
    <w:rsid w:val="00A24CD3"/>
    <w:rsid w:val="00A250AB"/>
    <w:rsid w:val="00A25129"/>
    <w:rsid w:val="00A25461"/>
    <w:rsid w:val="00A25993"/>
    <w:rsid w:val="00A25EAF"/>
    <w:rsid w:val="00A261D7"/>
    <w:rsid w:val="00A26367"/>
    <w:rsid w:val="00A2678A"/>
    <w:rsid w:val="00A269E1"/>
    <w:rsid w:val="00A26A7C"/>
    <w:rsid w:val="00A26D5D"/>
    <w:rsid w:val="00A27343"/>
    <w:rsid w:val="00A27372"/>
    <w:rsid w:val="00A27509"/>
    <w:rsid w:val="00A27B8D"/>
    <w:rsid w:val="00A27C1C"/>
    <w:rsid w:val="00A27CBC"/>
    <w:rsid w:val="00A305AE"/>
    <w:rsid w:val="00A309EC"/>
    <w:rsid w:val="00A30F6A"/>
    <w:rsid w:val="00A3184D"/>
    <w:rsid w:val="00A32AEA"/>
    <w:rsid w:val="00A32D36"/>
    <w:rsid w:val="00A32F32"/>
    <w:rsid w:val="00A335A9"/>
    <w:rsid w:val="00A33862"/>
    <w:rsid w:val="00A33E80"/>
    <w:rsid w:val="00A33EFE"/>
    <w:rsid w:val="00A340C4"/>
    <w:rsid w:val="00A34401"/>
    <w:rsid w:val="00A35718"/>
    <w:rsid w:val="00A35A93"/>
    <w:rsid w:val="00A35FBF"/>
    <w:rsid w:val="00A361C5"/>
    <w:rsid w:val="00A36806"/>
    <w:rsid w:val="00A37817"/>
    <w:rsid w:val="00A37C4F"/>
    <w:rsid w:val="00A40525"/>
    <w:rsid w:val="00A40949"/>
    <w:rsid w:val="00A4148D"/>
    <w:rsid w:val="00A415CD"/>
    <w:rsid w:val="00A41BBB"/>
    <w:rsid w:val="00A4245B"/>
    <w:rsid w:val="00A424F4"/>
    <w:rsid w:val="00A42533"/>
    <w:rsid w:val="00A427D9"/>
    <w:rsid w:val="00A429AB"/>
    <w:rsid w:val="00A43D34"/>
    <w:rsid w:val="00A43DDC"/>
    <w:rsid w:val="00A444DF"/>
    <w:rsid w:val="00A44518"/>
    <w:rsid w:val="00A44D0E"/>
    <w:rsid w:val="00A45128"/>
    <w:rsid w:val="00A4588D"/>
    <w:rsid w:val="00A45C48"/>
    <w:rsid w:val="00A45CDD"/>
    <w:rsid w:val="00A4621D"/>
    <w:rsid w:val="00A4691E"/>
    <w:rsid w:val="00A469EA"/>
    <w:rsid w:val="00A46CC4"/>
    <w:rsid w:val="00A50548"/>
    <w:rsid w:val="00A50931"/>
    <w:rsid w:val="00A5097A"/>
    <w:rsid w:val="00A509FB"/>
    <w:rsid w:val="00A51028"/>
    <w:rsid w:val="00A5129D"/>
    <w:rsid w:val="00A51B57"/>
    <w:rsid w:val="00A51C19"/>
    <w:rsid w:val="00A51E04"/>
    <w:rsid w:val="00A52034"/>
    <w:rsid w:val="00A522B5"/>
    <w:rsid w:val="00A5244D"/>
    <w:rsid w:val="00A52C31"/>
    <w:rsid w:val="00A52F37"/>
    <w:rsid w:val="00A533C5"/>
    <w:rsid w:val="00A534A8"/>
    <w:rsid w:val="00A53572"/>
    <w:rsid w:val="00A5388C"/>
    <w:rsid w:val="00A5397B"/>
    <w:rsid w:val="00A53BE1"/>
    <w:rsid w:val="00A54644"/>
    <w:rsid w:val="00A54B90"/>
    <w:rsid w:val="00A555B2"/>
    <w:rsid w:val="00A55921"/>
    <w:rsid w:val="00A560E3"/>
    <w:rsid w:val="00A5617E"/>
    <w:rsid w:val="00A56225"/>
    <w:rsid w:val="00A5628F"/>
    <w:rsid w:val="00A564AF"/>
    <w:rsid w:val="00A566A8"/>
    <w:rsid w:val="00A56D0B"/>
    <w:rsid w:val="00A5775C"/>
    <w:rsid w:val="00A57A0F"/>
    <w:rsid w:val="00A57DA9"/>
    <w:rsid w:val="00A60CA5"/>
    <w:rsid w:val="00A60E4E"/>
    <w:rsid w:val="00A60E72"/>
    <w:rsid w:val="00A60FA5"/>
    <w:rsid w:val="00A60FAC"/>
    <w:rsid w:val="00A6176D"/>
    <w:rsid w:val="00A61C7D"/>
    <w:rsid w:val="00A61F0C"/>
    <w:rsid w:val="00A61FF0"/>
    <w:rsid w:val="00A62580"/>
    <w:rsid w:val="00A62CB9"/>
    <w:rsid w:val="00A62D9E"/>
    <w:rsid w:val="00A632DB"/>
    <w:rsid w:val="00A6357E"/>
    <w:rsid w:val="00A63717"/>
    <w:rsid w:val="00A63AC9"/>
    <w:rsid w:val="00A64370"/>
    <w:rsid w:val="00A64502"/>
    <w:rsid w:val="00A64B5F"/>
    <w:rsid w:val="00A64D4F"/>
    <w:rsid w:val="00A64F17"/>
    <w:rsid w:val="00A65125"/>
    <w:rsid w:val="00A65EA0"/>
    <w:rsid w:val="00A66517"/>
    <w:rsid w:val="00A66A69"/>
    <w:rsid w:val="00A66E80"/>
    <w:rsid w:val="00A674EE"/>
    <w:rsid w:val="00A67575"/>
    <w:rsid w:val="00A67B0E"/>
    <w:rsid w:val="00A67F45"/>
    <w:rsid w:val="00A67FDD"/>
    <w:rsid w:val="00A70E5F"/>
    <w:rsid w:val="00A70FEA"/>
    <w:rsid w:val="00A710A8"/>
    <w:rsid w:val="00A712B7"/>
    <w:rsid w:val="00A71427"/>
    <w:rsid w:val="00A718EF"/>
    <w:rsid w:val="00A72134"/>
    <w:rsid w:val="00A726A8"/>
    <w:rsid w:val="00A72951"/>
    <w:rsid w:val="00A72BB0"/>
    <w:rsid w:val="00A72EBD"/>
    <w:rsid w:val="00A72EE7"/>
    <w:rsid w:val="00A73505"/>
    <w:rsid w:val="00A73937"/>
    <w:rsid w:val="00A739AC"/>
    <w:rsid w:val="00A73E29"/>
    <w:rsid w:val="00A745C8"/>
    <w:rsid w:val="00A75E02"/>
    <w:rsid w:val="00A76C7E"/>
    <w:rsid w:val="00A76E79"/>
    <w:rsid w:val="00A7771B"/>
    <w:rsid w:val="00A77758"/>
    <w:rsid w:val="00A778C8"/>
    <w:rsid w:val="00A779CE"/>
    <w:rsid w:val="00A77B53"/>
    <w:rsid w:val="00A77F8F"/>
    <w:rsid w:val="00A80346"/>
    <w:rsid w:val="00A811F1"/>
    <w:rsid w:val="00A82887"/>
    <w:rsid w:val="00A83010"/>
    <w:rsid w:val="00A8331D"/>
    <w:rsid w:val="00A835A9"/>
    <w:rsid w:val="00A8373A"/>
    <w:rsid w:val="00A83986"/>
    <w:rsid w:val="00A83BF5"/>
    <w:rsid w:val="00A849ED"/>
    <w:rsid w:val="00A84CD1"/>
    <w:rsid w:val="00A84DC4"/>
    <w:rsid w:val="00A84EE8"/>
    <w:rsid w:val="00A85906"/>
    <w:rsid w:val="00A85C82"/>
    <w:rsid w:val="00A85E2E"/>
    <w:rsid w:val="00A861F3"/>
    <w:rsid w:val="00A8660B"/>
    <w:rsid w:val="00A86BFC"/>
    <w:rsid w:val="00A87285"/>
    <w:rsid w:val="00A8728F"/>
    <w:rsid w:val="00A873E4"/>
    <w:rsid w:val="00A8756A"/>
    <w:rsid w:val="00A87754"/>
    <w:rsid w:val="00A879B8"/>
    <w:rsid w:val="00A87F7D"/>
    <w:rsid w:val="00A906B7"/>
    <w:rsid w:val="00A9070E"/>
    <w:rsid w:val="00A91331"/>
    <w:rsid w:val="00A91873"/>
    <w:rsid w:val="00A92692"/>
    <w:rsid w:val="00A92741"/>
    <w:rsid w:val="00A92DD4"/>
    <w:rsid w:val="00A92FC6"/>
    <w:rsid w:val="00A9326D"/>
    <w:rsid w:val="00A933D5"/>
    <w:rsid w:val="00A93534"/>
    <w:rsid w:val="00A9365C"/>
    <w:rsid w:val="00A938E6"/>
    <w:rsid w:val="00A93EEB"/>
    <w:rsid w:val="00A94200"/>
    <w:rsid w:val="00A94D0F"/>
    <w:rsid w:val="00A94DFA"/>
    <w:rsid w:val="00A94F13"/>
    <w:rsid w:val="00A955E0"/>
    <w:rsid w:val="00A9568C"/>
    <w:rsid w:val="00A95BED"/>
    <w:rsid w:val="00A95C74"/>
    <w:rsid w:val="00A95C7A"/>
    <w:rsid w:val="00A95EA2"/>
    <w:rsid w:val="00A96B02"/>
    <w:rsid w:val="00A96F0D"/>
    <w:rsid w:val="00A96F7A"/>
    <w:rsid w:val="00A96FAD"/>
    <w:rsid w:val="00A97242"/>
    <w:rsid w:val="00A97875"/>
    <w:rsid w:val="00A9787E"/>
    <w:rsid w:val="00A97AF9"/>
    <w:rsid w:val="00AA0369"/>
    <w:rsid w:val="00AA0500"/>
    <w:rsid w:val="00AA08E8"/>
    <w:rsid w:val="00AA0DB4"/>
    <w:rsid w:val="00AA11C5"/>
    <w:rsid w:val="00AA14CE"/>
    <w:rsid w:val="00AA15FE"/>
    <w:rsid w:val="00AA17E2"/>
    <w:rsid w:val="00AA1DB3"/>
    <w:rsid w:val="00AA1E7E"/>
    <w:rsid w:val="00AA21B7"/>
    <w:rsid w:val="00AA2EDE"/>
    <w:rsid w:val="00AA3827"/>
    <w:rsid w:val="00AA382D"/>
    <w:rsid w:val="00AA390F"/>
    <w:rsid w:val="00AA3FD2"/>
    <w:rsid w:val="00AA431E"/>
    <w:rsid w:val="00AA4A2C"/>
    <w:rsid w:val="00AA4CEB"/>
    <w:rsid w:val="00AA579A"/>
    <w:rsid w:val="00AA59A6"/>
    <w:rsid w:val="00AA5E5C"/>
    <w:rsid w:val="00AA6109"/>
    <w:rsid w:val="00AA6299"/>
    <w:rsid w:val="00AA66B6"/>
    <w:rsid w:val="00AA674E"/>
    <w:rsid w:val="00AA6E05"/>
    <w:rsid w:val="00AA6E60"/>
    <w:rsid w:val="00AA71B7"/>
    <w:rsid w:val="00AA78EA"/>
    <w:rsid w:val="00AB0099"/>
    <w:rsid w:val="00AB0262"/>
    <w:rsid w:val="00AB0556"/>
    <w:rsid w:val="00AB069A"/>
    <w:rsid w:val="00AB0A6D"/>
    <w:rsid w:val="00AB11F1"/>
    <w:rsid w:val="00AB14A1"/>
    <w:rsid w:val="00AB1BA0"/>
    <w:rsid w:val="00AB1BFF"/>
    <w:rsid w:val="00AB202A"/>
    <w:rsid w:val="00AB2DAC"/>
    <w:rsid w:val="00AB39B5"/>
    <w:rsid w:val="00AB3DA7"/>
    <w:rsid w:val="00AB3E56"/>
    <w:rsid w:val="00AB3FA9"/>
    <w:rsid w:val="00AB415A"/>
    <w:rsid w:val="00AB44F4"/>
    <w:rsid w:val="00AB4A3C"/>
    <w:rsid w:val="00AB4C55"/>
    <w:rsid w:val="00AB4D42"/>
    <w:rsid w:val="00AB4F20"/>
    <w:rsid w:val="00AB5265"/>
    <w:rsid w:val="00AB5328"/>
    <w:rsid w:val="00AB5555"/>
    <w:rsid w:val="00AB55AD"/>
    <w:rsid w:val="00AB5D1B"/>
    <w:rsid w:val="00AB60EE"/>
    <w:rsid w:val="00AB6243"/>
    <w:rsid w:val="00AB6918"/>
    <w:rsid w:val="00AB6B40"/>
    <w:rsid w:val="00AB740A"/>
    <w:rsid w:val="00AB767F"/>
    <w:rsid w:val="00AB7828"/>
    <w:rsid w:val="00AB7E0A"/>
    <w:rsid w:val="00AC0595"/>
    <w:rsid w:val="00AC07CA"/>
    <w:rsid w:val="00AC0CDE"/>
    <w:rsid w:val="00AC1215"/>
    <w:rsid w:val="00AC19B5"/>
    <w:rsid w:val="00AC1DA5"/>
    <w:rsid w:val="00AC1F6A"/>
    <w:rsid w:val="00AC216B"/>
    <w:rsid w:val="00AC2690"/>
    <w:rsid w:val="00AC26B1"/>
    <w:rsid w:val="00AC2837"/>
    <w:rsid w:val="00AC2CFF"/>
    <w:rsid w:val="00AC317E"/>
    <w:rsid w:val="00AC392C"/>
    <w:rsid w:val="00AC42B8"/>
    <w:rsid w:val="00AC45C5"/>
    <w:rsid w:val="00AC4791"/>
    <w:rsid w:val="00AC4A76"/>
    <w:rsid w:val="00AC4FB6"/>
    <w:rsid w:val="00AC4FD1"/>
    <w:rsid w:val="00AC500B"/>
    <w:rsid w:val="00AC525D"/>
    <w:rsid w:val="00AC5666"/>
    <w:rsid w:val="00AC5841"/>
    <w:rsid w:val="00AC5FEF"/>
    <w:rsid w:val="00AC6036"/>
    <w:rsid w:val="00AC6243"/>
    <w:rsid w:val="00AC7831"/>
    <w:rsid w:val="00AD0328"/>
    <w:rsid w:val="00AD0756"/>
    <w:rsid w:val="00AD0B00"/>
    <w:rsid w:val="00AD11DC"/>
    <w:rsid w:val="00AD1885"/>
    <w:rsid w:val="00AD1966"/>
    <w:rsid w:val="00AD19E8"/>
    <w:rsid w:val="00AD1DAE"/>
    <w:rsid w:val="00AD2253"/>
    <w:rsid w:val="00AD2B03"/>
    <w:rsid w:val="00AD2E07"/>
    <w:rsid w:val="00AD2F3E"/>
    <w:rsid w:val="00AD30D5"/>
    <w:rsid w:val="00AD322C"/>
    <w:rsid w:val="00AD3237"/>
    <w:rsid w:val="00AD38A9"/>
    <w:rsid w:val="00AD3E97"/>
    <w:rsid w:val="00AD4071"/>
    <w:rsid w:val="00AD44EA"/>
    <w:rsid w:val="00AD4516"/>
    <w:rsid w:val="00AD4782"/>
    <w:rsid w:val="00AD4BFF"/>
    <w:rsid w:val="00AD5236"/>
    <w:rsid w:val="00AD527D"/>
    <w:rsid w:val="00AD54E0"/>
    <w:rsid w:val="00AD5F0C"/>
    <w:rsid w:val="00AD5F36"/>
    <w:rsid w:val="00AD5F3C"/>
    <w:rsid w:val="00AD6008"/>
    <w:rsid w:val="00AD6153"/>
    <w:rsid w:val="00AD64F5"/>
    <w:rsid w:val="00AD6EF1"/>
    <w:rsid w:val="00AD758E"/>
    <w:rsid w:val="00AD7AB5"/>
    <w:rsid w:val="00AE0063"/>
    <w:rsid w:val="00AE08B7"/>
    <w:rsid w:val="00AE0DBA"/>
    <w:rsid w:val="00AE160F"/>
    <w:rsid w:val="00AE1D6D"/>
    <w:rsid w:val="00AE21DC"/>
    <w:rsid w:val="00AE239B"/>
    <w:rsid w:val="00AE25D2"/>
    <w:rsid w:val="00AE270B"/>
    <w:rsid w:val="00AE2870"/>
    <w:rsid w:val="00AE2B47"/>
    <w:rsid w:val="00AE2CAD"/>
    <w:rsid w:val="00AE3090"/>
    <w:rsid w:val="00AE35CC"/>
    <w:rsid w:val="00AE3606"/>
    <w:rsid w:val="00AE380E"/>
    <w:rsid w:val="00AE38E3"/>
    <w:rsid w:val="00AE3AAD"/>
    <w:rsid w:val="00AE3B3B"/>
    <w:rsid w:val="00AE4189"/>
    <w:rsid w:val="00AE433C"/>
    <w:rsid w:val="00AE4E66"/>
    <w:rsid w:val="00AE4FF7"/>
    <w:rsid w:val="00AE503A"/>
    <w:rsid w:val="00AE5547"/>
    <w:rsid w:val="00AE5B1F"/>
    <w:rsid w:val="00AE5C82"/>
    <w:rsid w:val="00AE5F7D"/>
    <w:rsid w:val="00AE6051"/>
    <w:rsid w:val="00AE66CA"/>
    <w:rsid w:val="00AE68E2"/>
    <w:rsid w:val="00AF0157"/>
    <w:rsid w:val="00AF22E1"/>
    <w:rsid w:val="00AF2A92"/>
    <w:rsid w:val="00AF2EC7"/>
    <w:rsid w:val="00AF30D5"/>
    <w:rsid w:val="00AF3613"/>
    <w:rsid w:val="00AF3AC0"/>
    <w:rsid w:val="00AF4595"/>
    <w:rsid w:val="00AF4A19"/>
    <w:rsid w:val="00AF4F4A"/>
    <w:rsid w:val="00AF66BA"/>
    <w:rsid w:val="00AF687C"/>
    <w:rsid w:val="00AF75F5"/>
    <w:rsid w:val="00AF7A6C"/>
    <w:rsid w:val="00B0076F"/>
    <w:rsid w:val="00B009A9"/>
    <w:rsid w:val="00B00C24"/>
    <w:rsid w:val="00B00DB3"/>
    <w:rsid w:val="00B00F93"/>
    <w:rsid w:val="00B013C3"/>
    <w:rsid w:val="00B01555"/>
    <w:rsid w:val="00B01BBE"/>
    <w:rsid w:val="00B02E28"/>
    <w:rsid w:val="00B03399"/>
    <w:rsid w:val="00B03EFF"/>
    <w:rsid w:val="00B03F92"/>
    <w:rsid w:val="00B043C6"/>
    <w:rsid w:val="00B049C6"/>
    <w:rsid w:val="00B054EB"/>
    <w:rsid w:val="00B055D8"/>
    <w:rsid w:val="00B0564D"/>
    <w:rsid w:val="00B059C5"/>
    <w:rsid w:val="00B05D72"/>
    <w:rsid w:val="00B0625C"/>
    <w:rsid w:val="00B06392"/>
    <w:rsid w:val="00B068F4"/>
    <w:rsid w:val="00B06CD6"/>
    <w:rsid w:val="00B06EBC"/>
    <w:rsid w:val="00B0708A"/>
    <w:rsid w:val="00B07232"/>
    <w:rsid w:val="00B075D7"/>
    <w:rsid w:val="00B07A16"/>
    <w:rsid w:val="00B1031A"/>
    <w:rsid w:val="00B10D22"/>
    <w:rsid w:val="00B11341"/>
    <w:rsid w:val="00B11B1A"/>
    <w:rsid w:val="00B11C0C"/>
    <w:rsid w:val="00B11D2D"/>
    <w:rsid w:val="00B1223C"/>
    <w:rsid w:val="00B123F0"/>
    <w:rsid w:val="00B12891"/>
    <w:rsid w:val="00B12FA5"/>
    <w:rsid w:val="00B143E3"/>
    <w:rsid w:val="00B146C1"/>
    <w:rsid w:val="00B146E7"/>
    <w:rsid w:val="00B147DD"/>
    <w:rsid w:val="00B14A57"/>
    <w:rsid w:val="00B14D0B"/>
    <w:rsid w:val="00B156DF"/>
    <w:rsid w:val="00B15ABB"/>
    <w:rsid w:val="00B15CF8"/>
    <w:rsid w:val="00B15D3D"/>
    <w:rsid w:val="00B160CF"/>
    <w:rsid w:val="00B16973"/>
    <w:rsid w:val="00B16BB1"/>
    <w:rsid w:val="00B16F9E"/>
    <w:rsid w:val="00B17027"/>
    <w:rsid w:val="00B2036A"/>
    <w:rsid w:val="00B206F9"/>
    <w:rsid w:val="00B21057"/>
    <w:rsid w:val="00B214ED"/>
    <w:rsid w:val="00B21894"/>
    <w:rsid w:val="00B21B23"/>
    <w:rsid w:val="00B21C3C"/>
    <w:rsid w:val="00B2202B"/>
    <w:rsid w:val="00B2206C"/>
    <w:rsid w:val="00B22097"/>
    <w:rsid w:val="00B22D3F"/>
    <w:rsid w:val="00B23422"/>
    <w:rsid w:val="00B2365C"/>
    <w:rsid w:val="00B23795"/>
    <w:rsid w:val="00B23953"/>
    <w:rsid w:val="00B23969"/>
    <w:rsid w:val="00B23AAA"/>
    <w:rsid w:val="00B23E18"/>
    <w:rsid w:val="00B2420C"/>
    <w:rsid w:val="00B24948"/>
    <w:rsid w:val="00B24C3A"/>
    <w:rsid w:val="00B24CBD"/>
    <w:rsid w:val="00B24F43"/>
    <w:rsid w:val="00B25107"/>
    <w:rsid w:val="00B251B6"/>
    <w:rsid w:val="00B25862"/>
    <w:rsid w:val="00B25CA3"/>
    <w:rsid w:val="00B26413"/>
    <w:rsid w:val="00B266EB"/>
    <w:rsid w:val="00B26BDF"/>
    <w:rsid w:val="00B27050"/>
    <w:rsid w:val="00B278BD"/>
    <w:rsid w:val="00B27B9F"/>
    <w:rsid w:val="00B27E2A"/>
    <w:rsid w:val="00B30028"/>
    <w:rsid w:val="00B3009C"/>
    <w:rsid w:val="00B30C2A"/>
    <w:rsid w:val="00B30F19"/>
    <w:rsid w:val="00B31467"/>
    <w:rsid w:val="00B31530"/>
    <w:rsid w:val="00B31E8D"/>
    <w:rsid w:val="00B32A9A"/>
    <w:rsid w:val="00B32B22"/>
    <w:rsid w:val="00B32FAD"/>
    <w:rsid w:val="00B32FC6"/>
    <w:rsid w:val="00B3313B"/>
    <w:rsid w:val="00B331E8"/>
    <w:rsid w:val="00B331EA"/>
    <w:rsid w:val="00B33796"/>
    <w:rsid w:val="00B33EEB"/>
    <w:rsid w:val="00B341F4"/>
    <w:rsid w:val="00B34732"/>
    <w:rsid w:val="00B347CB"/>
    <w:rsid w:val="00B34CFB"/>
    <w:rsid w:val="00B34D82"/>
    <w:rsid w:val="00B34DC9"/>
    <w:rsid w:val="00B353B8"/>
    <w:rsid w:val="00B35453"/>
    <w:rsid w:val="00B35A93"/>
    <w:rsid w:val="00B35BEB"/>
    <w:rsid w:val="00B35C56"/>
    <w:rsid w:val="00B35F0A"/>
    <w:rsid w:val="00B36248"/>
    <w:rsid w:val="00B363B1"/>
    <w:rsid w:val="00B36736"/>
    <w:rsid w:val="00B36AD4"/>
    <w:rsid w:val="00B36C11"/>
    <w:rsid w:val="00B36F17"/>
    <w:rsid w:val="00B371AA"/>
    <w:rsid w:val="00B372ED"/>
    <w:rsid w:val="00B37320"/>
    <w:rsid w:val="00B3782E"/>
    <w:rsid w:val="00B4006F"/>
    <w:rsid w:val="00B40590"/>
    <w:rsid w:val="00B40603"/>
    <w:rsid w:val="00B40AF6"/>
    <w:rsid w:val="00B41071"/>
    <w:rsid w:val="00B415C2"/>
    <w:rsid w:val="00B416F6"/>
    <w:rsid w:val="00B41F62"/>
    <w:rsid w:val="00B41FDB"/>
    <w:rsid w:val="00B41FE5"/>
    <w:rsid w:val="00B425C0"/>
    <w:rsid w:val="00B426FD"/>
    <w:rsid w:val="00B4298B"/>
    <w:rsid w:val="00B42AAA"/>
    <w:rsid w:val="00B4310A"/>
    <w:rsid w:val="00B439D0"/>
    <w:rsid w:val="00B443BF"/>
    <w:rsid w:val="00B446EE"/>
    <w:rsid w:val="00B44D74"/>
    <w:rsid w:val="00B44FAA"/>
    <w:rsid w:val="00B46957"/>
    <w:rsid w:val="00B46CFD"/>
    <w:rsid w:val="00B46DB0"/>
    <w:rsid w:val="00B47921"/>
    <w:rsid w:val="00B47B54"/>
    <w:rsid w:val="00B50B29"/>
    <w:rsid w:val="00B50E99"/>
    <w:rsid w:val="00B51926"/>
    <w:rsid w:val="00B51F9A"/>
    <w:rsid w:val="00B5244A"/>
    <w:rsid w:val="00B529EA"/>
    <w:rsid w:val="00B52B18"/>
    <w:rsid w:val="00B53EDB"/>
    <w:rsid w:val="00B53F1C"/>
    <w:rsid w:val="00B54050"/>
    <w:rsid w:val="00B54111"/>
    <w:rsid w:val="00B5452F"/>
    <w:rsid w:val="00B54DA7"/>
    <w:rsid w:val="00B54E17"/>
    <w:rsid w:val="00B551D6"/>
    <w:rsid w:val="00B55F31"/>
    <w:rsid w:val="00B56D17"/>
    <w:rsid w:val="00B600C6"/>
    <w:rsid w:val="00B60167"/>
    <w:rsid w:val="00B60FC0"/>
    <w:rsid w:val="00B61281"/>
    <w:rsid w:val="00B6155A"/>
    <w:rsid w:val="00B61665"/>
    <w:rsid w:val="00B6229D"/>
    <w:rsid w:val="00B63528"/>
    <w:rsid w:val="00B63922"/>
    <w:rsid w:val="00B63C3F"/>
    <w:rsid w:val="00B63DAF"/>
    <w:rsid w:val="00B63E98"/>
    <w:rsid w:val="00B6405E"/>
    <w:rsid w:val="00B640B9"/>
    <w:rsid w:val="00B6416E"/>
    <w:rsid w:val="00B65754"/>
    <w:rsid w:val="00B661AA"/>
    <w:rsid w:val="00B66235"/>
    <w:rsid w:val="00B66242"/>
    <w:rsid w:val="00B670D3"/>
    <w:rsid w:val="00B6787B"/>
    <w:rsid w:val="00B67958"/>
    <w:rsid w:val="00B67B45"/>
    <w:rsid w:val="00B701D1"/>
    <w:rsid w:val="00B711A9"/>
    <w:rsid w:val="00B713B7"/>
    <w:rsid w:val="00B715A3"/>
    <w:rsid w:val="00B716BB"/>
    <w:rsid w:val="00B716FD"/>
    <w:rsid w:val="00B71D48"/>
    <w:rsid w:val="00B72339"/>
    <w:rsid w:val="00B72443"/>
    <w:rsid w:val="00B734C2"/>
    <w:rsid w:val="00B73BDA"/>
    <w:rsid w:val="00B73CEE"/>
    <w:rsid w:val="00B73D55"/>
    <w:rsid w:val="00B74053"/>
    <w:rsid w:val="00B747AF"/>
    <w:rsid w:val="00B74DAE"/>
    <w:rsid w:val="00B7592D"/>
    <w:rsid w:val="00B75A61"/>
    <w:rsid w:val="00B761EA"/>
    <w:rsid w:val="00B765A0"/>
    <w:rsid w:val="00B768D8"/>
    <w:rsid w:val="00B769E6"/>
    <w:rsid w:val="00B76B27"/>
    <w:rsid w:val="00B76C02"/>
    <w:rsid w:val="00B778C2"/>
    <w:rsid w:val="00B77BD2"/>
    <w:rsid w:val="00B8008E"/>
    <w:rsid w:val="00B800A1"/>
    <w:rsid w:val="00B80CE6"/>
    <w:rsid w:val="00B80EE7"/>
    <w:rsid w:val="00B814CB"/>
    <w:rsid w:val="00B81B6A"/>
    <w:rsid w:val="00B820F4"/>
    <w:rsid w:val="00B824EA"/>
    <w:rsid w:val="00B830D0"/>
    <w:rsid w:val="00B833A3"/>
    <w:rsid w:val="00B835E0"/>
    <w:rsid w:val="00B83747"/>
    <w:rsid w:val="00B83893"/>
    <w:rsid w:val="00B8396D"/>
    <w:rsid w:val="00B83D33"/>
    <w:rsid w:val="00B83E78"/>
    <w:rsid w:val="00B842DE"/>
    <w:rsid w:val="00B847AE"/>
    <w:rsid w:val="00B8492F"/>
    <w:rsid w:val="00B84BC5"/>
    <w:rsid w:val="00B84BE8"/>
    <w:rsid w:val="00B84F83"/>
    <w:rsid w:val="00B86E68"/>
    <w:rsid w:val="00B87507"/>
    <w:rsid w:val="00B87E35"/>
    <w:rsid w:val="00B87E74"/>
    <w:rsid w:val="00B87E90"/>
    <w:rsid w:val="00B87ED4"/>
    <w:rsid w:val="00B90331"/>
    <w:rsid w:val="00B903ED"/>
    <w:rsid w:val="00B90A07"/>
    <w:rsid w:val="00B90B2D"/>
    <w:rsid w:val="00B90B6F"/>
    <w:rsid w:val="00B91AD7"/>
    <w:rsid w:val="00B91C28"/>
    <w:rsid w:val="00B923CB"/>
    <w:rsid w:val="00B924B8"/>
    <w:rsid w:val="00B92631"/>
    <w:rsid w:val="00B931CB"/>
    <w:rsid w:val="00B935A1"/>
    <w:rsid w:val="00B93FCE"/>
    <w:rsid w:val="00B94C2F"/>
    <w:rsid w:val="00B95DAD"/>
    <w:rsid w:val="00B9607B"/>
    <w:rsid w:val="00B96C0C"/>
    <w:rsid w:val="00B96D51"/>
    <w:rsid w:val="00B9734D"/>
    <w:rsid w:val="00B9772B"/>
    <w:rsid w:val="00B97732"/>
    <w:rsid w:val="00B97B97"/>
    <w:rsid w:val="00B97FBA"/>
    <w:rsid w:val="00BA055F"/>
    <w:rsid w:val="00BA0AD5"/>
    <w:rsid w:val="00BA1FD3"/>
    <w:rsid w:val="00BA25BA"/>
    <w:rsid w:val="00BA27F4"/>
    <w:rsid w:val="00BA29AF"/>
    <w:rsid w:val="00BA2BEE"/>
    <w:rsid w:val="00BA2E40"/>
    <w:rsid w:val="00BA3CB7"/>
    <w:rsid w:val="00BA41DE"/>
    <w:rsid w:val="00BA4566"/>
    <w:rsid w:val="00BA45B3"/>
    <w:rsid w:val="00BA495B"/>
    <w:rsid w:val="00BA4DAA"/>
    <w:rsid w:val="00BA501B"/>
    <w:rsid w:val="00BA556C"/>
    <w:rsid w:val="00BA6F7C"/>
    <w:rsid w:val="00BA7417"/>
    <w:rsid w:val="00BA773F"/>
    <w:rsid w:val="00BB064F"/>
    <w:rsid w:val="00BB0D73"/>
    <w:rsid w:val="00BB0DDF"/>
    <w:rsid w:val="00BB0E17"/>
    <w:rsid w:val="00BB0F31"/>
    <w:rsid w:val="00BB140F"/>
    <w:rsid w:val="00BB15AB"/>
    <w:rsid w:val="00BB1734"/>
    <w:rsid w:val="00BB189B"/>
    <w:rsid w:val="00BB1D21"/>
    <w:rsid w:val="00BB2A3A"/>
    <w:rsid w:val="00BB2E51"/>
    <w:rsid w:val="00BB3235"/>
    <w:rsid w:val="00BB37A0"/>
    <w:rsid w:val="00BB3D9C"/>
    <w:rsid w:val="00BB4BEA"/>
    <w:rsid w:val="00BB4C1A"/>
    <w:rsid w:val="00BB4FD1"/>
    <w:rsid w:val="00BB50AB"/>
    <w:rsid w:val="00BB50C8"/>
    <w:rsid w:val="00BB554C"/>
    <w:rsid w:val="00BB6664"/>
    <w:rsid w:val="00BB682C"/>
    <w:rsid w:val="00BB6BEB"/>
    <w:rsid w:val="00BB7703"/>
    <w:rsid w:val="00BC01FC"/>
    <w:rsid w:val="00BC02D4"/>
    <w:rsid w:val="00BC033E"/>
    <w:rsid w:val="00BC0377"/>
    <w:rsid w:val="00BC0B0A"/>
    <w:rsid w:val="00BC0D57"/>
    <w:rsid w:val="00BC0E78"/>
    <w:rsid w:val="00BC1B81"/>
    <w:rsid w:val="00BC1BD9"/>
    <w:rsid w:val="00BC1F79"/>
    <w:rsid w:val="00BC21A9"/>
    <w:rsid w:val="00BC2201"/>
    <w:rsid w:val="00BC244A"/>
    <w:rsid w:val="00BC2C4E"/>
    <w:rsid w:val="00BC3930"/>
    <w:rsid w:val="00BC3C7A"/>
    <w:rsid w:val="00BC49BC"/>
    <w:rsid w:val="00BC4BB8"/>
    <w:rsid w:val="00BC5748"/>
    <w:rsid w:val="00BC713C"/>
    <w:rsid w:val="00BC7A0C"/>
    <w:rsid w:val="00BC7DC6"/>
    <w:rsid w:val="00BD0B25"/>
    <w:rsid w:val="00BD1039"/>
    <w:rsid w:val="00BD129A"/>
    <w:rsid w:val="00BD13B5"/>
    <w:rsid w:val="00BD1F70"/>
    <w:rsid w:val="00BD270B"/>
    <w:rsid w:val="00BD2C4B"/>
    <w:rsid w:val="00BD2E32"/>
    <w:rsid w:val="00BD2EFC"/>
    <w:rsid w:val="00BD340E"/>
    <w:rsid w:val="00BD3F0A"/>
    <w:rsid w:val="00BD3F8D"/>
    <w:rsid w:val="00BD43E4"/>
    <w:rsid w:val="00BD4857"/>
    <w:rsid w:val="00BD4D39"/>
    <w:rsid w:val="00BD52D8"/>
    <w:rsid w:val="00BD5C74"/>
    <w:rsid w:val="00BD5E04"/>
    <w:rsid w:val="00BD60AD"/>
    <w:rsid w:val="00BD6C02"/>
    <w:rsid w:val="00BD6D46"/>
    <w:rsid w:val="00BD729E"/>
    <w:rsid w:val="00BE05D9"/>
    <w:rsid w:val="00BE1244"/>
    <w:rsid w:val="00BE165D"/>
    <w:rsid w:val="00BE1BF1"/>
    <w:rsid w:val="00BE2394"/>
    <w:rsid w:val="00BE269A"/>
    <w:rsid w:val="00BE2702"/>
    <w:rsid w:val="00BE2BC8"/>
    <w:rsid w:val="00BE363D"/>
    <w:rsid w:val="00BE38D3"/>
    <w:rsid w:val="00BE39A7"/>
    <w:rsid w:val="00BE4326"/>
    <w:rsid w:val="00BE44C2"/>
    <w:rsid w:val="00BE50D2"/>
    <w:rsid w:val="00BE5477"/>
    <w:rsid w:val="00BE5E36"/>
    <w:rsid w:val="00BE5F4F"/>
    <w:rsid w:val="00BE60DB"/>
    <w:rsid w:val="00BE6C01"/>
    <w:rsid w:val="00BE7249"/>
    <w:rsid w:val="00BE7F96"/>
    <w:rsid w:val="00BF0191"/>
    <w:rsid w:val="00BF0804"/>
    <w:rsid w:val="00BF0B05"/>
    <w:rsid w:val="00BF1257"/>
    <w:rsid w:val="00BF13EC"/>
    <w:rsid w:val="00BF1C07"/>
    <w:rsid w:val="00BF1E36"/>
    <w:rsid w:val="00BF26BD"/>
    <w:rsid w:val="00BF2A60"/>
    <w:rsid w:val="00BF3085"/>
    <w:rsid w:val="00BF34E9"/>
    <w:rsid w:val="00BF3863"/>
    <w:rsid w:val="00BF3DEE"/>
    <w:rsid w:val="00BF4AE6"/>
    <w:rsid w:val="00BF54AC"/>
    <w:rsid w:val="00BF54BD"/>
    <w:rsid w:val="00BF58B5"/>
    <w:rsid w:val="00BF5C34"/>
    <w:rsid w:val="00BF6B8E"/>
    <w:rsid w:val="00BF7406"/>
    <w:rsid w:val="00C00F23"/>
    <w:rsid w:val="00C01082"/>
    <w:rsid w:val="00C0176E"/>
    <w:rsid w:val="00C018E1"/>
    <w:rsid w:val="00C01B0D"/>
    <w:rsid w:val="00C0233D"/>
    <w:rsid w:val="00C0251E"/>
    <w:rsid w:val="00C025A5"/>
    <w:rsid w:val="00C03C78"/>
    <w:rsid w:val="00C04EDE"/>
    <w:rsid w:val="00C04FA3"/>
    <w:rsid w:val="00C04FD3"/>
    <w:rsid w:val="00C05057"/>
    <w:rsid w:val="00C065A2"/>
    <w:rsid w:val="00C0697C"/>
    <w:rsid w:val="00C07679"/>
    <w:rsid w:val="00C07919"/>
    <w:rsid w:val="00C079FE"/>
    <w:rsid w:val="00C1017A"/>
    <w:rsid w:val="00C1025B"/>
    <w:rsid w:val="00C103F9"/>
    <w:rsid w:val="00C104AC"/>
    <w:rsid w:val="00C10F52"/>
    <w:rsid w:val="00C110E1"/>
    <w:rsid w:val="00C1198F"/>
    <w:rsid w:val="00C11FA1"/>
    <w:rsid w:val="00C1288D"/>
    <w:rsid w:val="00C12E21"/>
    <w:rsid w:val="00C12E65"/>
    <w:rsid w:val="00C12EE9"/>
    <w:rsid w:val="00C13848"/>
    <w:rsid w:val="00C13C20"/>
    <w:rsid w:val="00C13F74"/>
    <w:rsid w:val="00C146D3"/>
    <w:rsid w:val="00C15B23"/>
    <w:rsid w:val="00C15BF3"/>
    <w:rsid w:val="00C15C63"/>
    <w:rsid w:val="00C16209"/>
    <w:rsid w:val="00C162A8"/>
    <w:rsid w:val="00C168D4"/>
    <w:rsid w:val="00C16BE0"/>
    <w:rsid w:val="00C2041D"/>
    <w:rsid w:val="00C2073A"/>
    <w:rsid w:val="00C20BCF"/>
    <w:rsid w:val="00C21161"/>
    <w:rsid w:val="00C215F4"/>
    <w:rsid w:val="00C216A3"/>
    <w:rsid w:val="00C21733"/>
    <w:rsid w:val="00C21C39"/>
    <w:rsid w:val="00C22685"/>
    <w:rsid w:val="00C229CF"/>
    <w:rsid w:val="00C22A91"/>
    <w:rsid w:val="00C230B5"/>
    <w:rsid w:val="00C2325C"/>
    <w:rsid w:val="00C239ED"/>
    <w:rsid w:val="00C23DAC"/>
    <w:rsid w:val="00C246A3"/>
    <w:rsid w:val="00C2489E"/>
    <w:rsid w:val="00C24D9D"/>
    <w:rsid w:val="00C257FA"/>
    <w:rsid w:val="00C25CF3"/>
    <w:rsid w:val="00C263E9"/>
    <w:rsid w:val="00C267BB"/>
    <w:rsid w:val="00C26AEB"/>
    <w:rsid w:val="00C26B3A"/>
    <w:rsid w:val="00C26D74"/>
    <w:rsid w:val="00C26EB7"/>
    <w:rsid w:val="00C2775A"/>
    <w:rsid w:val="00C27886"/>
    <w:rsid w:val="00C30316"/>
    <w:rsid w:val="00C3063A"/>
    <w:rsid w:val="00C306B9"/>
    <w:rsid w:val="00C308B6"/>
    <w:rsid w:val="00C30BAD"/>
    <w:rsid w:val="00C30E93"/>
    <w:rsid w:val="00C311AB"/>
    <w:rsid w:val="00C31E8F"/>
    <w:rsid w:val="00C322D1"/>
    <w:rsid w:val="00C3323F"/>
    <w:rsid w:val="00C332C7"/>
    <w:rsid w:val="00C33429"/>
    <w:rsid w:val="00C3355E"/>
    <w:rsid w:val="00C3359F"/>
    <w:rsid w:val="00C335DA"/>
    <w:rsid w:val="00C33D3E"/>
    <w:rsid w:val="00C33EFA"/>
    <w:rsid w:val="00C33F43"/>
    <w:rsid w:val="00C34952"/>
    <w:rsid w:val="00C34970"/>
    <w:rsid w:val="00C35AEA"/>
    <w:rsid w:val="00C35CC0"/>
    <w:rsid w:val="00C35D9C"/>
    <w:rsid w:val="00C362E0"/>
    <w:rsid w:val="00C363AF"/>
    <w:rsid w:val="00C36743"/>
    <w:rsid w:val="00C36BB0"/>
    <w:rsid w:val="00C36ED4"/>
    <w:rsid w:val="00C36FAF"/>
    <w:rsid w:val="00C376CC"/>
    <w:rsid w:val="00C400F7"/>
    <w:rsid w:val="00C40185"/>
    <w:rsid w:val="00C40699"/>
    <w:rsid w:val="00C40EC6"/>
    <w:rsid w:val="00C417AA"/>
    <w:rsid w:val="00C419AD"/>
    <w:rsid w:val="00C41B5F"/>
    <w:rsid w:val="00C41B7E"/>
    <w:rsid w:val="00C41BD0"/>
    <w:rsid w:val="00C41C0F"/>
    <w:rsid w:val="00C43029"/>
    <w:rsid w:val="00C436E3"/>
    <w:rsid w:val="00C437BA"/>
    <w:rsid w:val="00C44094"/>
    <w:rsid w:val="00C4426E"/>
    <w:rsid w:val="00C44395"/>
    <w:rsid w:val="00C443B3"/>
    <w:rsid w:val="00C45CE8"/>
    <w:rsid w:val="00C465E7"/>
    <w:rsid w:val="00C46637"/>
    <w:rsid w:val="00C46A8C"/>
    <w:rsid w:val="00C46BFD"/>
    <w:rsid w:val="00C46F06"/>
    <w:rsid w:val="00C479A5"/>
    <w:rsid w:val="00C47D22"/>
    <w:rsid w:val="00C47DA6"/>
    <w:rsid w:val="00C50173"/>
    <w:rsid w:val="00C503F9"/>
    <w:rsid w:val="00C504B3"/>
    <w:rsid w:val="00C508F4"/>
    <w:rsid w:val="00C50982"/>
    <w:rsid w:val="00C50986"/>
    <w:rsid w:val="00C50ABF"/>
    <w:rsid w:val="00C50BAA"/>
    <w:rsid w:val="00C50EF2"/>
    <w:rsid w:val="00C51256"/>
    <w:rsid w:val="00C51566"/>
    <w:rsid w:val="00C516B7"/>
    <w:rsid w:val="00C516C4"/>
    <w:rsid w:val="00C51A62"/>
    <w:rsid w:val="00C51C1F"/>
    <w:rsid w:val="00C51E17"/>
    <w:rsid w:val="00C51F68"/>
    <w:rsid w:val="00C52433"/>
    <w:rsid w:val="00C52830"/>
    <w:rsid w:val="00C52D62"/>
    <w:rsid w:val="00C52EF3"/>
    <w:rsid w:val="00C533D4"/>
    <w:rsid w:val="00C53A4C"/>
    <w:rsid w:val="00C5400E"/>
    <w:rsid w:val="00C5434F"/>
    <w:rsid w:val="00C5448D"/>
    <w:rsid w:val="00C5477F"/>
    <w:rsid w:val="00C547B7"/>
    <w:rsid w:val="00C54B9A"/>
    <w:rsid w:val="00C5503B"/>
    <w:rsid w:val="00C55167"/>
    <w:rsid w:val="00C55A32"/>
    <w:rsid w:val="00C55E45"/>
    <w:rsid w:val="00C564F2"/>
    <w:rsid w:val="00C56525"/>
    <w:rsid w:val="00C5658B"/>
    <w:rsid w:val="00C56B12"/>
    <w:rsid w:val="00C56F11"/>
    <w:rsid w:val="00C576B0"/>
    <w:rsid w:val="00C60330"/>
    <w:rsid w:val="00C60E5E"/>
    <w:rsid w:val="00C610A7"/>
    <w:rsid w:val="00C615A2"/>
    <w:rsid w:val="00C61E88"/>
    <w:rsid w:val="00C61F3A"/>
    <w:rsid w:val="00C61FDF"/>
    <w:rsid w:val="00C629CB"/>
    <w:rsid w:val="00C62B75"/>
    <w:rsid w:val="00C639FA"/>
    <w:rsid w:val="00C63AD4"/>
    <w:rsid w:val="00C6454F"/>
    <w:rsid w:val="00C64C1E"/>
    <w:rsid w:val="00C65078"/>
    <w:rsid w:val="00C651EE"/>
    <w:rsid w:val="00C657B5"/>
    <w:rsid w:val="00C659DF"/>
    <w:rsid w:val="00C661E1"/>
    <w:rsid w:val="00C66686"/>
    <w:rsid w:val="00C6673C"/>
    <w:rsid w:val="00C67363"/>
    <w:rsid w:val="00C678A5"/>
    <w:rsid w:val="00C678C4"/>
    <w:rsid w:val="00C679AD"/>
    <w:rsid w:val="00C701BD"/>
    <w:rsid w:val="00C703A9"/>
    <w:rsid w:val="00C70827"/>
    <w:rsid w:val="00C70E5B"/>
    <w:rsid w:val="00C710BE"/>
    <w:rsid w:val="00C71215"/>
    <w:rsid w:val="00C71309"/>
    <w:rsid w:val="00C7216B"/>
    <w:rsid w:val="00C724DC"/>
    <w:rsid w:val="00C725F9"/>
    <w:rsid w:val="00C727BE"/>
    <w:rsid w:val="00C732A9"/>
    <w:rsid w:val="00C73448"/>
    <w:rsid w:val="00C73E2E"/>
    <w:rsid w:val="00C7453B"/>
    <w:rsid w:val="00C74546"/>
    <w:rsid w:val="00C74639"/>
    <w:rsid w:val="00C7482A"/>
    <w:rsid w:val="00C748E2"/>
    <w:rsid w:val="00C7491B"/>
    <w:rsid w:val="00C75061"/>
    <w:rsid w:val="00C75BED"/>
    <w:rsid w:val="00C76333"/>
    <w:rsid w:val="00C77087"/>
    <w:rsid w:val="00C7776C"/>
    <w:rsid w:val="00C777BC"/>
    <w:rsid w:val="00C81026"/>
    <w:rsid w:val="00C81586"/>
    <w:rsid w:val="00C81AB2"/>
    <w:rsid w:val="00C827E8"/>
    <w:rsid w:val="00C82EB1"/>
    <w:rsid w:val="00C830C2"/>
    <w:rsid w:val="00C837B8"/>
    <w:rsid w:val="00C8398D"/>
    <w:rsid w:val="00C84BC2"/>
    <w:rsid w:val="00C84F50"/>
    <w:rsid w:val="00C85139"/>
    <w:rsid w:val="00C85657"/>
    <w:rsid w:val="00C8566D"/>
    <w:rsid w:val="00C860B8"/>
    <w:rsid w:val="00C870B9"/>
    <w:rsid w:val="00C873D8"/>
    <w:rsid w:val="00C8748B"/>
    <w:rsid w:val="00C87E6C"/>
    <w:rsid w:val="00C9046C"/>
    <w:rsid w:val="00C90475"/>
    <w:rsid w:val="00C90819"/>
    <w:rsid w:val="00C91618"/>
    <w:rsid w:val="00C91989"/>
    <w:rsid w:val="00C91C88"/>
    <w:rsid w:val="00C91DF2"/>
    <w:rsid w:val="00C929DA"/>
    <w:rsid w:val="00C92DBF"/>
    <w:rsid w:val="00C939C3"/>
    <w:rsid w:val="00C94228"/>
    <w:rsid w:val="00C94657"/>
    <w:rsid w:val="00C9543D"/>
    <w:rsid w:val="00C966E7"/>
    <w:rsid w:val="00C96C75"/>
    <w:rsid w:val="00C96D56"/>
    <w:rsid w:val="00C97509"/>
    <w:rsid w:val="00C977E6"/>
    <w:rsid w:val="00C97D3F"/>
    <w:rsid w:val="00CA0020"/>
    <w:rsid w:val="00CA0592"/>
    <w:rsid w:val="00CA0664"/>
    <w:rsid w:val="00CA0B2E"/>
    <w:rsid w:val="00CA1566"/>
    <w:rsid w:val="00CA18CA"/>
    <w:rsid w:val="00CA1EA8"/>
    <w:rsid w:val="00CA2557"/>
    <w:rsid w:val="00CA403B"/>
    <w:rsid w:val="00CA4F70"/>
    <w:rsid w:val="00CA5413"/>
    <w:rsid w:val="00CA54E3"/>
    <w:rsid w:val="00CA5674"/>
    <w:rsid w:val="00CA5A45"/>
    <w:rsid w:val="00CA5BDA"/>
    <w:rsid w:val="00CA5C1A"/>
    <w:rsid w:val="00CA5F2E"/>
    <w:rsid w:val="00CA6104"/>
    <w:rsid w:val="00CA62FD"/>
    <w:rsid w:val="00CA633F"/>
    <w:rsid w:val="00CA641E"/>
    <w:rsid w:val="00CA6DDC"/>
    <w:rsid w:val="00CA6FC0"/>
    <w:rsid w:val="00CA7006"/>
    <w:rsid w:val="00CA7558"/>
    <w:rsid w:val="00CA785F"/>
    <w:rsid w:val="00CA792A"/>
    <w:rsid w:val="00CA7949"/>
    <w:rsid w:val="00CA7C17"/>
    <w:rsid w:val="00CB0841"/>
    <w:rsid w:val="00CB08A8"/>
    <w:rsid w:val="00CB0C6E"/>
    <w:rsid w:val="00CB0C89"/>
    <w:rsid w:val="00CB1E97"/>
    <w:rsid w:val="00CB226B"/>
    <w:rsid w:val="00CB229B"/>
    <w:rsid w:val="00CB3185"/>
    <w:rsid w:val="00CB33B4"/>
    <w:rsid w:val="00CB3685"/>
    <w:rsid w:val="00CB388F"/>
    <w:rsid w:val="00CB3D93"/>
    <w:rsid w:val="00CB4441"/>
    <w:rsid w:val="00CB4769"/>
    <w:rsid w:val="00CB4B1A"/>
    <w:rsid w:val="00CB4B9F"/>
    <w:rsid w:val="00CB4E1F"/>
    <w:rsid w:val="00CB5713"/>
    <w:rsid w:val="00CB5BF8"/>
    <w:rsid w:val="00CB5EC6"/>
    <w:rsid w:val="00CB65F2"/>
    <w:rsid w:val="00CB7872"/>
    <w:rsid w:val="00CB7FF0"/>
    <w:rsid w:val="00CC00CF"/>
    <w:rsid w:val="00CC117C"/>
    <w:rsid w:val="00CC1209"/>
    <w:rsid w:val="00CC147E"/>
    <w:rsid w:val="00CC152E"/>
    <w:rsid w:val="00CC1EC9"/>
    <w:rsid w:val="00CC2044"/>
    <w:rsid w:val="00CC2493"/>
    <w:rsid w:val="00CC3222"/>
    <w:rsid w:val="00CC35F1"/>
    <w:rsid w:val="00CC35FF"/>
    <w:rsid w:val="00CC3A62"/>
    <w:rsid w:val="00CC415D"/>
    <w:rsid w:val="00CC4333"/>
    <w:rsid w:val="00CC4E62"/>
    <w:rsid w:val="00CC4E79"/>
    <w:rsid w:val="00CC5300"/>
    <w:rsid w:val="00CC5D2F"/>
    <w:rsid w:val="00CC60CB"/>
    <w:rsid w:val="00CC610F"/>
    <w:rsid w:val="00CC6738"/>
    <w:rsid w:val="00CC67E3"/>
    <w:rsid w:val="00CC791B"/>
    <w:rsid w:val="00CC7B9D"/>
    <w:rsid w:val="00CC7DA8"/>
    <w:rsid w:val="00CD099B"/>
    <w:rsid w:val="00CD0E6E"/>
    <w:rsid w:val="00CD1CF5"/>
    <w:rsid w:val="00CD1FDC"/>
    <w:rsid w:val="00CD23AE"/>
    <w:rsid w:val="00CD263D"/>
    <w:rsid w:val="00CD275D"/>
    <w:rsid w:val="00CD27DF"/>
    <w:rsid w:val="00CD2D8A"/>
    <w:rsid w:val="00CD2D8C"/>
    <w:rsid w:val="00CD3AFC"/>
    <w:rsid w:val="00CD3BAC"/>
    <w:rsid w:val="00CD3FF2"/>
    <w:rsid w:val="00CD472D"/>
    <w:rsid w:val="00CD4A65"/>
    <w:rsid w:val="00CD4BF4"/>
    <w:rsid w:val="00CD4F83"/>
    <w:rsid w:val="00CD531F"/>
    <w:rsid w:val="00CD6210"/>
    <w:rsid w:val="00CD624A"/>
    <w:rsid w:val="00CD6702"/>
    <w:rsid w:val="00CD6FA3"/>
    <w:rsid w:val="00CD717C"/>
    <w:rsid w:val="00CD75B9"/>
    <w:rsid w:val="00CD7D61"/>
    <w:rsid w:val="00CE0D13"/>
    <w:rsid w:val="00CE1AE5"/>
    <w:rsid w:val="00CE2184"/>
    <w:rsid w:val="00CE28FA"/>
    <w:rsid w:val="00CE2C1F"/>
    <w:rsid w:val="00CE3A8C"/>
    <w:rsid w:val="00CE3B7F"/>
    <w:rsid w:val="00CE3E55"/>
    <w:rsid w:val="00CE3FA2"/>
    <w:rsid w:val="00CE41A0"/>
    <w:rsid w:val="00CE4243"/>
    <w:rsid w:val="00CE4958"/>
    <w:rsid w:val="00CE4AC6"/>
    <w:rsid w:val="00CE63C1"/>
    <w:rsid w:val="00CE652B"/>
    <w:rsid w:val="00CE663A"/>
    <w:rsid w:val="00CE68E2"/>
    <w:rsid w:val="00CE69AC"/>
    <w:rsid w:val="00CE6BA3"/>
    <w:rsid w:val="00CE706E"/>
    <w:rsid w:val="00CE70B1"/>
    <w:rsid w:val="00CE7117"/>
    <w:rsid w:val="00CE7AE4"/>
    <w:rsid w:val="00CE7D47"/>
    <w:rsid w:val="00CF059C"/>
    <w:rsid w:val="00CF08E4"/>
    <w:rsid w:val="00CF0A4C"/>
    <w:rsid w:val="00CF0B9A"/>
    <w:rsid w:val="00CF0EA8"/>
    <w:rsid w:val="00CF150A"/>
    <w:rsid w:val="00CF15F4"/>
    <w:rsid w:val="00CF1E4E"/>
    <w:rsid w:val="00CF1E5A"/>
    <w:rsid w:val="00CF2225"/>
    <w:rsid w:val="00CF25E7"/>
    <w:rsid w:val="00CF2C29"/>
    <w:rsid w:val="00CF30BC"/>
    <w:rsid w:val="00CF377B"/>
    <w:rsid w:val="00CF39B5"/>
    <w:rsid w:val="00CF3A45"/>
    <w:rsid w:val="00CF3C77"/>
    <w:rsid w:val="00CF3F5B"/>
    <w:rsid w:val="00CF40F0"/>
    <w:rsid w:val="00CF45A2"/>
    <w:rsid w:val="00CF474F"/>
    <w:rsid w:val="00CF4D76"/>
    <w:rsid w:val="00CF4E2A"/>
    <w:rsid w:val="00CF52E7"/>
    <w:rsid w:val="00CF642D"/>
    <w:rsid w:val="00CF6494"/>
    <w:rsid w:val="00CF649C"/>
    <w:rsid w:val="00CF64A9"/>
    <w:rsid w:val="00CF64B5"/>
    <w:rsid w:val="00CF6CFC"/>
    <w:rsid w:val="00CF6FB3"/>
    <w:rsid w:val="00CF702C"/>
    <w:rsid w:val="00CF7853"/>
    <w:rsid w:val="00CF7902"/>
    <w:rsid w:val="00D004ED"/>
    <w:rsid w:val="00D00536"/>
    <w:rsid w:val="00D01395"/>
    <w:rsid w:val="00D01ACB"/>
    <w:rsid w:val="00D0260F"/>
    <w:rsid w:val="00D02696"/>
    <w:rsid w:val="00D03257"/>
    <w:rsid w:val="00D033EE"/>
    <w:rsid w:val="00D035C7"/>
    <w:rsid w:val="00D03708"/>
    <w:rsid w:val="00D0391A"/>
    <w:rsid w:val="00D03B14"/>
    <w:rsid w:val="00D04A20"/>
    <w:rsid w:val="00D04DA4"/>
    <w:rsid w:val="00D051D3"/>
    <w:rsid w:val="00D06776"/>
    <w:rsid w:val="00D06E46"/>
    <w:rsid w:val="00D06F95"/>
    <w:rsid w:val="00D07012"/>
    <w:rsid w:val="00D07357"/>
    <w:rsid w:val="00D104C7"/>
    <w:rsid w:val="00D1158C"/>
    <w:rsid w:val="00D11600"/>
    <w:rsid w:val="00D118C1"/>
    <w:rsid w:val="00D118E6"/>
    <w:rsid w:val="00D119A2"/>
    <w:rsid w:val="00D1248A"/>
    <w:rsid w:val="00D124DD"/>
    <w:rsid w:val="00D12657"/>
    <w:rsid w:val="00D12E31"/>
    <w:rsid w:val="00D13069"/>
    <w:rsid w:val="00D137F9"/>
    <w:rsid w:val="00D1458C"/>
    <w:rsid w:val="00D14ABF"/>
    <w:rsid w:val="00D150FB"/>
    <w:rsid w:val="00D15AD5"/>
    <w:rsid w:val="00D15E61"/>
    <w:rsid w:val="00D1620E"/>
    <w:rsid w:val="00D16867"/>
    <w:rsid w:val="00D16B91"/>
    <w:rsid w:val="00D16C21"/>
    <w:rsid w:val="00D16EEC"/>
    <w:rsid w:val="00D171E3"/>
    <w:rsid w:val="00D1792B"/>
    <w:rsid w:val="00D20216"/>
    <w:rsid w:val="00D2047A"/>
    <w:rsid w:val="00D20631"/>
    <w:rsid w:val="00D207FC"/>
    <w:rsid w:val="00D20AF0"/>
    <w:rsid w:val="00D20D68"/>
    <w:rsid w:val="00D21312"/>
    <w:rsid w:val="00D2258A"/>
    <w:rsid w:val="00D2260B"/>
    <w:rsid w:val="00D22CF0"/>
    <w:rsid w:val="00D22D49"/>
    <w:rsid w:val="00D23930"/>
    <w:rsid w:val="00D23A23"/>
    <w:rsid w:val="00D24056"/>
    <w:rsid w:val="00D24D8A"/>
    <w:rsid w:val="00D24DA4"/>
    <w:rsid w:val="00D25235"/>
    <w:rsid w:val="00D252EF"/>
    <w:rsid w:val="00D25383"/>
    <w:rsid w:val="00D25670"/>
    <w:rsid w:val="00D258E0"/>
    <w:rsid w:val="00D2591D"/>
    <w:rsid w:val="00D26DED"/>
    <w:rsid w:val="00D301AF"/>
    <w:rsid w:val="00D301FF"/>
    <w:rsid w:val="00D30557"/>
    <w:rsid w:val="00D30690"/>
    <w:rsid w:val="00D31DC4"/>
    <w:rsid w:val="00D3257F"/>
    <w:rsid w:val="00D32733"/>
    <w:rsid w:val="00D33851"/>
    <w:rsid w:val="00D3385C"/>
    <w:rsid w:val="00D33DDF"/>
    <w:rsid w:val="00D340E2"/>
    <w:rsid w:val="00D34DF6"/>
    <w:rsid w:val="00D35277"/>
    <w:rsid w:val="00D35C6B"/>
    <w:rsid w:val="00D35DC1"/>
    <w:rsid w:val="00D35E80"/>
    <w:rsid w:val="00D36018"/>
    <w:rsid w:val="00D36242"/>
    <w:rsid w:val="00D36251"/>
    <w:rsid w:val="00D36254"/>
    <w:rsid w:val="00D36887"/>
    <w:rsid w:val="00D369BC"/>
    <w:rsid w:val="00D37105"/>
    <w:rsid w:val="00D37563"/>
    <w:rsid w:val="00D379EB"/>
    <w:rsid w:val="00D400B8"/>
    <w:rsid w:val="00D4022C"/>
    <w:rsid w:val="00D40916"/>
    <w:rsid w:val="00D40962"/>
    <w:rsid w:val="00D40B13"/>
    <w:rsid w:val="00D41023"/>
    <w:rsid w:val="00D41050"/>
    <w:rsid w:val="00D4141A"/>
    <w:rsid w:val="00D4158A"/>
    <w:rsid w:val="00D41B4F"/>
    <w:rsid w:val="00D41C6C"/>
    <w:rsid w:val="00D41D53"/>
    <w:rsid w:val="00D42047"/>
    <w:rsid w:val="00D422B0"/>
    <w:rsid w:val="00D42465"/>
    <w:rsid w:val="00D4275B"/>
    <w:rsid w:val="00D42E5B"/>
    <w:rsid w:val="00D43648"/>
    <w:rsid w:val="00D43984"/>
    <w:rsid w:val="00D439D1"/>
    <w:rsid w:val="00D43C68"/>
    <w:rsid w:val="00D444B2"/>
    <w:rsid w:val="00D45038"/>
    <w:rsid w:val="00D45101"/>
    <w:rsid w:val="00D453E4"/>
    <w:rsid w:val="00D46A17"/>
    <w:rsid w:val="00D46B81"/>
    <w:rsid w:val="00D47226"/>
    <w:rsid w:val="00D4742E"/>
    <w:rsid w:val="00D503E5"/>
    <w:rsid w:val="00D508BE"/>
    <w:rsid w:val="00D50B21"/>
    <w:rsid w:val="00D50CE9"/>
    <w:rsid w:val="00D51349"/>
    <w:rsid w:val="00D516F8"/>
    <w:rsid w:val="00D51D06"/>
    <w:rsid w:val="00D521DE"/>
    <w:rsid w:val="00D524CA"/>
    <w:rsid w:val="00D526C8"/>
    <w:rsid w:val="00D527AF"/>
    <w:rsid w:val="00D52853"/>
    <w:rsid w:val="00D529E1"/>
    <w:rsid w:val="00D52D09"/>
    <w:rsid w:val="00D534C2"/>
    <w:rsid w:val="00D5410F"/>
    <w:rsid w:val="00D54461"/>
    <w:rsid w:val="00D54AFD"/>
    <w:rsid w:val="00D54EA3"/>
    <w:rsid w:val="00D54F60"/>
    <w:rsid w:val="00D5514A"/>
    <w:rsid w:val="00D5574D"/>
    <w:rsid w:val="00D564AE"/>
    <w:rsid w:val="00D564DF"/>
    <w:rsid w:val="00D56BDA"/>
    <w:rsid w:val="00D56CF0"/>
    <w:rsid w:val="00D56FAA"/>
    <w:rsid w:val="00D576DD"/>
    <w:rsid w:val="00D57CB4"/>
    <w:rsid w:val="00D61477"/>
    <w:rsid w:val="00D61764"/>
    <w:rsid w:val="00D619E2"/>
    <w:rsid w:val="00D61E89"/>
    <w:rsid w:val="00D62036"/>
    <w:rsid w:val="00D620CC"/>
    <w:rsid w:val="00D6223F"/>
    <w:rsid w:val="00D6253E"/>
    <w:rsid w:val="00D62F1C"/>
    <w:rsid w:val="00D63305"/>
    <w:rsid w:val="00D634B8"/>
    <w:rsid w:val="00D63EF3"/>
    <w:rsid w:val="00D6407C"/>
    <w:rsid w:val="00D642F4"/>
    <w:rsid w:val="00D64441"/>
    <w:rsid w:val="00D6449E"/>
    <w:rsid w:val="00D645D9"/>
    <w:rsid w:val="00D64DF1"/>
    <w:rsid w:val="00D64FA4"/>
    <w:rsid w:val="00D6511E"/>
    <w:rsid w:val="00D65497"/>
    <w:rsid w:val="00D654DA"/>
    <w:rsid w:val="00D6609E"/>
    <w:rsid w:val="00D661DD"/>
    <w:rsid w:val="00D66562"/>
    <w:rsid w:val="00D66AC3"/>
    <w:rsid w:val="00D678E2"/>
    <w:rsid w:val="00D67A9F"/>
    <w:rsid w:val="00D67C20"/>
    <w:rsid w:val="00D70034"/>
    <w:rsid w:val="00D7033F"/>
    <w:rsid w:val="00D70799"/>
    <w:rsid w:val="00D70C1B"/>
    <w:rsid w:val="00D70CCA"/>
    <w:rsid w:val="00D70E5C"/>
    <w:rsid w:val="00D71014"/>
    <w:rsid w:val="00D71045"/>
    <w:rsid w:val="00D713F5"/>
    <w:rsid w:val="00D7146C"/>
    <w:rsid w:val="00D718CD"/>
    <w:rsid w:val="00D7364A"/>
    <w:rsid w:val="00D7365C"/>
    <w:rsid w:val="00D7416F"/>
    <w:rsid w:val="00D7453E"/>
    <w:rsid w:val="00D74592"/>
    <w:rsid w:val="00D755F2"/>
    <w:rsid w:val="00D76197"/>
    <w:rsid w:val="00D762AC"/>
    <w:rsid w:val="00D7712C"/>
    <w:rsid w:val="00D77222"/>
    <w:rsid w:val="00D77381"/>
    <w:rsid w:val="00D775E7"/>
    <w:rsid w:val="00D777D5"/>
    <w:rsid w:val="00D777E7"/>
    <w:rsid w:val="00D77813"/>
    <w:rsid w:val="00D77B9E"/>
    <w:rsid w:val="00D77CD6"/>
    <w:rsid w:val="00D80415"/>
    <w:rsid w:val="00D80534"/>
    <w:rsid w:val="00D818AB"/>
    <w:rsid w:val="00D81A7C"/>
    <w:rsid w:val="00D81CA9"/>
    <w:rsid w:val="00D81E4E"/>
    <w:rsid w:val="00D82203"/>
    <w:rsid w:val="00D83707"/>
    <w:rsid w:val="00D837A6"/>
    <w:rsid w:val="00D839D8"/>
    <w:rsid w:val="00D83F9E"/>
    <w:rsid w:val="00D840C2"/>
    <w:rsid w:val="00D84207"/>
    <w:rsid w:val="00D84562"/>
    <w:rsid w:val="00D84D2E"/>
    <w:rsid w:val="00D85000"/>
    <w:rsid w:val="00D85685"/>
    <w:rsid w:val="00D85882"/>
    <w:rsid w:val="00D85C16"/>
    <w:rsid w:val="00D86169"/>
    <w:rsid w:val="00D862E7"/>
    <w:rsid w:val="00D8669F"/>
    <w:rsid w:val="00D86990"/>
    <w:rsid w:val="00D8717B"/>
    <w:rsid w:val="00D8732E"/>
    <w:rsid w:val="00D8765A"/>
    <w:rsid w:val="00D87BFD"/>
    <w:rsid w:val="00D90A40"/>
    <w:rsid w:val="00D90BA5"/>
    <w:rsid w:val="00D90CEF"/>
    <w:rsid w:val="00D91294"/>
    <w:rsid w:val="00D913EB"/>
    <w:rsid w:val="00D9152D"/>
    <w:rsid w:val="00D9186A"/>
    <w:rsid w:val="00D92432"/>
    <w:rsid w:val="00D92773"/>
    <w:rsid w:val="00D92D3F"/>
    <w:rsid w:val="00D92D47"/>
    <w:rsid w:val="00D93BE7"/>
    <w:rsid w:val="00D94213"/>
    <w:rsid w:val="00D9427A"/>
    <w:rsid w:val="00D94453"/>
    <w:rsid w:val="00D94976"/>
    <w:rsid w:val="00D94BEB"/>
    <w:rsid w:val="00D94E48"/>
    <w:rsid w:val="00D94EA5"/>
    <w:rsid w:val="00D94F69"/>
    <w:rsid w:val="00D95F32"/>
    <w:rsid w:val="00D973A2"/>
    <w:rsid w:val="00D975F4"/>
    <w:rsid w:val="00DA0214"/>
    <w:rsid w:val="00DA024A"/>
    <w:rsid w:val="00DA07EE"/>
    <w:rsid w:val="00DA0A58"/>
    <w:rsid w:val="00DA0A59"/>
    <w:rsid w:val="00DA0F87"/>
    <w:rsid w:val="00DA1C85"/>
    <w:rsid w:val="00DA1CC9"/>
    <w:rsid w:val="00DA2A67"/>
    <w:rsid w:val="00DA2C81"/>
    <w:rsid w:val="00DA2E58"/>
    <w:rsid w:val="00DA3050"/>
    <w:rsid w:val="00DA328E"/>
    <w:rsid w:val="00DA3AA6"/>
    <w:rsid w:val="00DA3E54"/>
    <w:rsid w:val="00DA42C0"/>
    <w:rsid w:val="00DA46C1"/>
    <w:rsid w:val="00DA5C96"/>
    <w:rsid w:val="00DA5FAD"/>
    <w:rsid w:val="00DA6463"/>
    <w:rsid w:val="00DA6913"/>
    <w:rsid w:val="00DA70DD"/>
    <w:rsid w:val="00DA7C13"/>
    <w:rsid w:val="00DB06E1"/>
    <w:rsid w:val="00DB088F"/>
    <w:rsid w:val="00DB0B4A"/>
    <w:rsid w:val="00DB1487"/>
    <w:rsid w:val="00DB168E"/>
    <w:rsid w:val="00DB19B4"/>
    <w:rsid w:val="00DB19F1"/>
    <w:rsid w:val="00DB1F04"/>
    <w:rsid w:val="00DB23B7"/>
    <w:rsid w:val="00DB26AE"/>
    <w:rsid w:val="00DB291E"/>
    <w:rsid w:val="00DB2DFC"/>
    <w:rsid w:val="00DB3884"/>
    <w:rsid w:val="00DB40C3"/>
    <w:rsid w:val="00DB41EA"/>
    <w:rsid w:val="00DB4258"/>
    <w:rsid w:val="00DB4411"/>
    <w:rsid w:val="00DB466D"/>
    <w:rsid w:val="00DB4C3D"/>
    <w:rsid w:val="00DB50EA"/>
    <w:rsid w:val="00DB5471"/>
    <w:rsid w:val="00DB5D0A"/>
    <w:rsid w:val="00DB5FD0"/>
    <w:rsid w:val="00DB6051"/>
    <w:rsid w:val="00DB6851"/>
    <w:rsid w:val="00DB7054"/>
    <w:rsid w:val="00DB709F"/>
    <w:rsid w:val="00DB7352"/>
    <w:rsid w:val="00DB7395"/>
    <w:rsid w:val="00DB75C2"/>
    <w:rsid w:val="00DB776B"/>
    <w:rsid w:val="00DB7B24"/>
    <w:rsid w:val="00DB7E2C"/>
    <w:rsid w:val="00DC027B"/>
    <w:rsid w:val="00DC05A6"/>
    <w:rsid w:val="00DC0A64"/>
    <w:rsid w:val="00DC0C1E"/>
    <w:rsid w:val="00DC0FC4"/>
    <w:rsid w:val="00DC1612"/>
    <w:rsid w:val="00DC198F"/>
    <w:rsid w:val="00DC1B9A"/>
    <w:rsid w:val="00DC2344"/>
    <w:rsid w:val="00DC2E4F"/>
    <w:rsid w:val="00DC32E9"/>
    <w:rsid w:val="00DC35F7"/>
    <w:rsid w:val="00DC384C"/>
    <w:rsid w:val="00DC3C7E"/>
    <w:rsid w:val="00DC40C4"/>
    <w:rsid w:val="00DC4AFD"/>
    <w:rsid w:val="00DC4D87"/>
    <w:rsid w:val="00DC4D8A"/>
    <w:rsid w:val="00DC4FD7"/>
    <w:rsid w:val="00DC5BE1"/>
    <w:rsid w:val="00DC65A1"/>
    <w:rsid w:val="00DC6DF6"/>
    <w:rsid w:val="00DC705D"/>
    <w:rsid w:val="00DC72E3"/>
    <w:rsid w:val="00DC7BF0"/>
    <w:rsid w:val="00DC7BFE"/>
    <w:rsid w:val="00DD08C7"/>
    <w:rsid w:val="00DD1386"/>
    <w:rsid w:val="00DD1523"/>
    <w:rsid w:val="00DD1A10"/>
    <w:rsid w:val="00DD1A62"/>
    <w:rsid w:val="00DD1DBB"/>
    <w:rsid w:val="00DD200D"/>
    <w:rsid w:val="00DD2446"/>
    <w:rsid w:val="00DD25FF"/>
    <w:rsid w:val="00DD2990"/>
    <w:rsid w:val="00DD2FE9"/>
    <w:rsid w:val="00DD3541"/>
    <w:rsid w:val="00DD3A7E"/>
    <w:rsid w:val="00DD3BF9"/>
    <w:rsid w:val="00DD4255"/>
    <w:rsid w:val="00DD434E"/>
    <w:rsid w:val="00DD4402"/>
    <w:rsid w:val="00DD45C6"/>
    <w:rsid w:val="00DD465E"/>
    <w:rsid w:val="00DD4C01"/>
    <w:rsid w:val="00DD4F27"/>
    <w:rsid w:val="00DD53ED"/>
    <w:rsid w:val="00DD55DE"/>
    <w:rsid w:val="00DD56F3"/>
    <w:rsid w:val="00DD5700"/>
    <w:rsid w:val="00DD5824"/>
    <w:rsid w:val="00DD60CE"/>
    <w:rsid w:val="00DD60D0"/>
    <w:rsid w:val="00DD6200"/>
    <w:rsid w:val="00DD686C"/>
    <w:rsid w:val="00DD6E86"/>
    <w:rsid w:val="00DD7024"/>
    <w:rsid w:val="00DE0E5D"/>
    <w:rsid w:val="00DE0F26"/>
    <w:rsid w:val="00DE1288"/>
    <w:rsid w:val="00DE1994"/>
    <w:rsid w:val="00DE1F74"/>
    <w:rsid w:val="00DE2414"/>
    <w:rsid w:val="00DE359B"/>
    <w:rsid w:val="00DE35D5"/>
    <w:rsid w:val="00DE373A"/>
    <w:rsid w:val="00DE3BDD"/>
    <w:rsid w:val="00DE3C47"/>
    <w:rsid w:val="00DE447F"/>
    <w:rsid w:val="00DE48F0"/>
    <w:rsid w:val="00DE490D"/>
    <w:rsid w:val="00DE4A77"/>
    <w:rsid w:val="00DE4D8A"/>
    <w:rsid w:val="00DE5369"/>
    <w:rsid w:val="00DE58B3"/>
    <w:rsid w:val="00DE68EE"/>
    <w:rsid w:val="00DE6D24"/>
    <w:rsid w:val="00DE6E33"/>
    <w:rsid w:val="00DE6E84"/>
    <w:rsid w:val="00DE7285"/>
    <w:rsid w:val="00DE7A60"/>
    <w:rsid w:val="00DE7C40"/>
    <w:rsid w:val="00DE7CF5"/>
    <w:rsid w:val="00DF039A"/>
    <w:rsid w:val="00DF0ABC"/>
    <w:rsid w:val="00DF0EA5"/>
    <w:rsid w:val="00DF11BF"/>
    <w:rsid w:val="00DF133D"/>
    <w:rsid w:val="00DF187A"/>
    <w:rsid w:val="00DF1F1D"/>
    <w:rsid w:val="00DF23A5"/>
    <w:rsid w:val="00DF26D2"/>
    <w:rsid w:val="00DF2F90"/>
    <w:rsid w:val="00DF3AAE"/>
    <w:rsid w:val="00DF4586"/>
    <w:rsid w:val="00DF4C6E"/>
    <w:rsid w:val="00DF50B2"/>
    <w:rsid w:val="00DF5560"/>
    <w:rsid w:val="00DF5744"/>
    <w:rsid w:val="00DF59BB"/>
    <w:rsid w:val="00DF5CA4"/>
    <w:rsid w:val="00DF6666"/>
    <w:rsid w:val="00DF745E"/>
    <w:rsid w:val="00DF762E"/>
    <w:rsid w:val="00E00019"/>
    <w:rsid w:val="00E0044E"/>
    <w:rsid w:val="00E00816"/>
    <w:rsid w:val="00E0224C"/>
    <w:rsid w:val="00E0239F"/>
    <w:rsid w:val="00E0267B"/>
    <w:rsid w:val="00E02E70"/>
    <w:rsid w:val="00E03A6C"/>
    <w:rsid w:val="00E04041"/>
    <w:rsid w:val="00E04441"/>
    <w:rsid w:val="00E04846"/>
    <w:rsid w:val="00E04B19"/>
    <w:rsid w:val="00E05805"/>
    <w:rsid w:val="00E05ADD"/>
    <w:rsid w:val="00E05F03"/>
    <w:rsid w:val="00E05F35"/>
    <w:rsid w:val="00E05F74"/>
    <w:rsid w:val="00E060A5"/>
    <w:rsid w:val="00E06297"/>
    <w:rsid w:val="00E06370"/>
    <w:rsid w:val="00E06B7B"/>
    <w:rsid w:val="00E06E20"/>
    <w:rsid w:val="00E07D1E"/>
    <w:rsid w:val="00E07DD9"/>
    <w:rsid w:val="00E07E0D"/>
    <w:rsid w:val="00E102F8"/>
    <w:rsid w:val="00E10494"/>
    <w:rsid w:val="00E105BB"/>
    <w:rsid w:val="00E1073E"/>
    <w:rsid w:val="00E108EA"/>
    <w:rsid w:val="00E10E08"/>
    <w:rsid w:val="00E11D8F"/>
    <w:rsid w:val="00E11EA3"/>
    <w:rsid w:val="00E129AC"/>
    <w:rsid w:val="00E12FCF"/>
    <w:rsid w:val="00E13273"/>
    <w:rsid w:val="00E13379"/>
    <w:rsid w:val="00E138A7"/>
    <w:rsid w:val="00E139EE"/>
    <w:rsid w:val="00E14525"/>
    <w:rsid w:val="00E14D83"/>
    <w:rsid w:val="00E14FA6"/>
    <w:rsid w:val="00E1590E"/>
    <w:rsid w:val="00E1592A"/>
    <w:rsid w:val="00E15A0D"/>
    <w:rsid w:val="00E15B8D"/>
    <w:rsid w:val="00E15FC6"/>
    <w:rsid w:val="00E16640"/>
    <w:rsid w:val="00E16B19"/>
    <w:rsid w:val="00E16BB9"/>
    <w:rsid w:val="00E16CE8"/>
    <w:rsid w:val="00E1740F"/>
    <w:rsid w:val="00E200CF"/>
    <w:rsid w:val="00E21398"/>
    <w:rsid w:val="00E22E89"/>
    <w:rsid w:val="00E23535"/>
    <w:rsid w:val="00E237C7"/>
    <w:rsid w:val="00E237EF"/>
    <w:rsid w:val="00E23D34"/>
    <w:rsid w:val="00E24287"/>
    <w:rsid w:val="00E25573"/>
    <w:rsid w:val="00E258B8"/>
    <w:rsid w:val="00E25FE3"/>
    <w:rsid w:val="00E261F0"/>
    <w:rsid w:val="00E2675D"/>
    <w:rsid w:val="00E27C34"/>
    <w:rsid w:val="00E27E38"/>
    <w:rsid w:val="00E30193"/>
    <w:rsid w:val="00E303FB"/>
    <w:rsid w:val="00E310F8"/>
    <w:rsid w:val="00E31367"/>
    <w:rsid w:val="00E31471"/>
    <w:rsid w:val="00E3181C"/>
    <w:rsid w:val="00E31BB2"/>
    <w:rsid w:val="00E328E1"/>
    <w:rsid w:val="00E32EF3"/>
    <w:rsid w:val="00E3320C"/>
    <w:rsid w:val="00E33629"/>
    <w:rsid w:val="00E336E3"/>
    <w:rsid w:val="00E33BD1"/>
    <w:rsid w:val="00E33E21"/>
    <w:rsid w:val="00E34BC4"/>
    <w:rsid w:val="00E34EF6"/>
    <w:rsid w:val="00E34F89"/>
    <w:rsid w:val="00E3540C"/>
    <w:rsid w:val="00E3582D"/>
    <w:rsid w:val="00E35CDB"/>
    <w:rsid w:val="00E35FF5"/>
    <w:rsid w:val="00E36187"/>
    <w:rsid w:val="00E36332"/>
    <w:rsid w:val="00E36C9B"/>
    <w:rsid w:val="00E36E54"/>
    <w:rsid w:val="00E372F7"/>
    <w:rsid w:val="00E37533"/>
    <w:rsid w:val="00E37638"/>
    <w:rsid w:val="00E37B8D"/>
    <w:rsid w:val="00E37E9D"/>
    <w:rsid w:val="00E37EE3"/>
    <w:rsid w:val="00E4032F"/>
    <w:rsid w:val="00E40361"/>
    <w:rsid w:val="00E40442"/>
    <w:rsid w:val="00E40918"/>
    <w:rsid w:val="00E41039"/>
    <w:rsid w:val="00E415A1"/>
    <w:rsid w:val="00E41852"/>
    <w:rsid w:val="00E41934"/>
    <w:rsid w:val="00E41B71"/>
    <w:rsid w:val="00E41C49"/>
    <w:rsid w:val="00E42569"/>
    <w:rsid w:val="00E428DF"/>
    <w:rsid w:val="00E434A0"/>
    <w:rsid w:val="00E43847"/>
    <w:rsid w:val="00E440D3"/>
    <w:rsid w:val="00E4441D"/>
    <w:rsid w:val="00E44D30"/>
    <w:rsid w:val="00E454A9"/>
    <w:rsid w:val="00E4597F"/>
    <w:rsid w:val="00E4698A"/>
    <w:rsid w:val="00E46CB7"/>
    <w:rsid w:val="00E471A3"/>
    <w:rsid w:val="00E4723D"/>
    <w:rsid w:val="00E47C7E"/>
    <w:rsid w:val="00E50514"/>
    <w:rsid w:val="00E5077C"/>
    <w:rsid w:val="00E509F7"/>
    <w:rsid w:val="00E50EC8"/>
    <w:rsid w:val="00E510C3"/>
    <w:rsid w:val="00E514D9"/>
    <w:rsid w:val="00E5159B"/>
    <w:rsid w:val="00E515C6"/>
    <w:rsid w:val="00E5166F"/>
    <w:rsid w:val="00E51BDA"/>
    <w:rsid w:val="00E52E0D"/>
    <w:rsid w:val="00E52FE2"/>
    <w:rsid w:val="00E537C5"/>
    <w:rsid w:val="00E53A24"/>
    <w:rsid w:val="00E54027"/>
    <w:rsid w:val="00E54629"/>
    <w:rsid w:val="00E54715"/>
    <w:rsid w:val="00E549FE"/>
    <w:rsid w:val="00E54D6B"/>
    <w:rsid w:val="00E54E6F"/>
    <w:rsid w:val="00E55161"/>
    <w:rsid w:val="00E55338"/>
    <w:rsid w:val="00E566EB"/>
    <w:rsid w:val="00E569AF"/>
    <w:rsid w:val="00E56E79"/>
    <w:rsid w:val="00E57349"/>
    <w:rsid w:val="00E5774E"/>
    <w:rsid w:val="00E577B0"/>
    <w:rsid w:val="00E57CBB"/>
    <w:rsid w:val="00E57EAE"/>
    <w:rsid w:val="00E57EEB"/>
    <w:rsid w:val="00E60318"/>
    <w:rsid w:val="00E60BA8"/>
    <w:rsid w:val="00E60D3A"/>
    <w:rsid w:val="00E60E6A"/>
    <w:rsid w:val="00E6116D"/>
    <w:rsid w:val="00E6127D"/>
    <w:rsid w:val="00E61E25"/>
    <w:rsid w:val="00E61E28"/>
    <w:rsid w:val="00E6203B"/>
    <w:rsid w:val="00E62426"/>
    <w:rsid w:val="00E62695"/>
    <w:rsid w:val="00E6275F"/>
    <w:rsid w:val="00E628E4"/>
    <w:rsid w:val="00E62FA5"/>
    <w:rsid w:val="00E64453"/>
    <w:rsid w:val="00E647F7"/>
    <w:rsid w:val="00E64CFA"/>
    <w:rsid w:val="00E64EAB"/>
    <w:rsid w:val="00E65588"/>
    <w:rsid w:val="00E65FF5"/>
    <w:rsid w:val="00E66857"/>
    <w:rsid w:val="00E668D4"/>
    <w:rsid w:val="00E673EA"/>
    <w:rsid w:val="00E67556"/>
    <w:rsid w:val="00E679C5"/>
    <w:rsid w:val="00E70257"/>
    <w:rsid w:val="00E70E8A"/>
    <w:rsid w:val="00E71225"/>
    <w:rsid w:val="00E7137A"/>
    <w:rsid w:val="00E71A18"/>
    <w:rsid w:val="00E7252F"/>
    <w:rsid w:val="00E7255C"/>
    <w:rsid w:val="00E72F4A"/>
    <w:rsid w:val="00E737C1"/>
    <w:rsid w:val="00E73FC2"/>
    <w:rsid w:val="00E740FC"/>
    <w:rsid w:val="00E74481"/>
    <w:rsid w:val="00E74517"/>
    <w:rsid w:val="00E74707"/>
    <w:rsid w:val="00E74F13"/>
    <w:rsid w:val="00E750D8"/>
    <w:rsid w:val="00E755D7"/>
    <w:rsid w:val="00E7566D"/>
    <w:rsid w:val="00E766A6"/>
    <w:rsid w:val="00E76E91"/>
    <w:rsid w:val="00E774B4"/>
    <w:rsid w:val="00E778F5"/>
    <w:rsid w:val="00E802B1"/>
    <w:rsid w:val="00E80E7C"/>
    <w:rsid w:val="00E8119B"/>
    <w:rsid w:val="00E8166D"/>
    <w:rsid w:val="00E81779"/>
    <w:rsid w:val="00E81E76"/>
    <w:rsid w:val="00E81ED0"/>
    <w:rsid w:val="00E8205B"/>
    <w:rsid w:val="00E82444"/>
    <w:rsid w:val="00E82B1C"/>
    <w:rsid w:val="00E82F52"/>
    <w:rsid w:val="00E83014"/>
    <w:rsid w:val="00E8341C"/>
    <w:rsid w:val="00E837CA"/>
    <w:rsid w:val="00E83ACD"/>
    <w:rsid w:val="00E840B8"/>
    <w:rsid w:val="00E84885"/>
    <w:rsid w:val="00E854DA"/>
    <w:rsid w:val="00E8559A"/>
    <w:rsid w:val="00E8599A"/>
    <w:rsid w:val="00E8602B"/>
    <w:rsid w:val="00E86B5F"/>
    <w:rsid w:val="00E87647"/>
    <w:rsid w:val="00E87D05"/>
    <w:rsid w:val="00E90A6A"/>
    <w:rsid w:val="00E9109C"/>
    <w:rsid w:val="00E914F3"/>
    <w:rsid w:val="00E91614"/>
    <w:rsid w:val="00E91F96"/>
    <w:rsid w:val="00E925E0"/>
    <w:rsid w:val="00E92E99"/>
    <w:rsid w:val="00E932FF"/>
    <w:rsid w:val="00E9503E"/>
    <w:rsid w:val="00E95B5D"/>
    <w:rsid w:val="00E95BED"/>
    <w:rsid w:val="00E968FD"/>
    <w:rsid w:val="00E96D55"/>
    <w:rsid w:val="00E97993"/>
    <w:rsid w:val="00EA04B5"/>
    <w:rsid w:val="00EA09D9"/>
    <w:rsid w:val="00EA0AD8"/>
    <w:rsid w:val="00EA0D5D"/>
    <w:rsid w:val="00EA1192"/>
    <w:rsid w:val="00EA153F"/>
    <w:rsid w:val="00EA1847"/>
    <w:rsid w:val="00EA1B57"/>
    <w:rsid w:val="00EA2332"/>
    <w:rsid w:val="00EA2788"/>
    <w:rsid w:val="00EA2A9F"/>
    <w:rsid w:val="00EA2C6E"/>
    <w:rsid w:val="00EA38EB"/>
    <w:rsid w:val="00EA4155"/>
    <w:rsid w:val="00EA4192"/>
    <w:rsid w:val="00EA46DB"/>
    <w:rsid w:val="00EA4964"/>
    <w:rsid w:val="00EA4C95"/>
    <w:rsid w:val="00EA4F1A"/>
    <w:rsid w:val="00EA5F1E"/>
    <w:rsid w:val="00EA6F03"/>
    <w:rsid w:val="00EA7331"/>
    <w:rsid w:val="00EA75D4"/>
    <w:rsid w:val="00EA788F"/>
    <w:rsid w:val="00EA7A64"/>
    <w:rsid w:val="00EA7CC8"/>
    <w:rsid w:val="00EB02DE"/>
    <w:rsid w:val="00EB0A07"/>
    <w:rsid w:val="00EB0A61"/>
    <w:rsid w:val="00EB112F"/>
    <w:rsid w:val="00EB1B69"/>
    <w:rsid w:val="00EB1C78"/>
    <w:rsid w:val="00EB2AFA"/>
    <w:rsid w:val="00EB2C05"/>
    <w:rsid w:val="00EB2E04"/>
    <w:rsid w:val="00EB3B46"/>
    <w:rsid w:val="00EB44E1"/>
    <w:rsid w:val="00EB47DF"/>
    <w:rsid w:val="00EB48DD"/>
    <w:rsid w:val="00EB4B27"/>
    <w:rsid w:val="00EB4CE6"/>
    <w:rsid w:val="00EB4F08"/>
    <w:rsid w:val="00EB5660"/>
    <w:rsid w:val="00EB5B01"/>
    <w:rsid w:val="00EB5B5A"/>
    <w:rsid w:val="00EB5C04"/>
    <w:rsid w:val="00EB6723"/>
    <w:rsid w:val="00EB6876"/>
    <w:rsid w:val="00EB7C72"/>
    <w:rsid w:val="00EB7D48"/>
    <w:rsid w:val="00EC03D4"/>
    <w:rsid w:val="00EC0C5B"/>
    <w:rsid w:val="00EC107A"/>
    <w:rsid w:val="00EC1ADE"/>
    <w:rsid w:val="00EC208D"/>
    <w:rsid w:val="00EC215B"/>
    <w:rsid w:val="00EC2507"/>
    <w:rsid w:val="00EC256E"/>
    <w:rsid w:val="00EC2E07"/>
    <w:rsid w:val="00EC37D5"/>
    <w:rsid w:val="00EC43C7"/>
    <w:rsid w:val="00EC465D"/>
    <w:rsid w:val="00EC4A05"/>
    <w:rsid w:val="00EC5C89"/>
    <w:rsid w:val="00EC5CF6"/>
    <w:rsid w:val="00EC65E3"/>
    <w:rsid w:val="00EC66D2"/>
    <w:rsid w:val="00EC67E7"/>
    <w:rsid w:val="00EC69F8"/>
    <w:rsid w:val="00EC6DF4"/>
    <w:rsid w:val="00EC6FC8"/>
    <w:rsid w:val="00EC7410"/>
    <w:rsid w:val="00EC783C"/>
    <w:rsid w:val="00EC7884"/>
    <w:rsid w:val="00EC78FB"/>
    <w:rsid w:val="00ED021B"/>
    <w:rsid w:val="00ED044E"/>
    <w:rsid w:val="00ED0A1B"/>
    <w:rsid w:val="00ED0F71"/>
    <w:rsid w:val="00ED1FC1"/>
    <w:rsid w:val="00ED21BC"/>
    <w:rsid w:val="00ED2FEC"/>
    <w:rsid w:val="00ED3496"/>
    <w:rsid w:val="00ED3891"/>
    <w:rsid w:val="00ED3F67"/>
    <w:rsid w:val="00ED40CD"/>
    <w:rsid w:val="00ED43D7"/>
    <w:rsid w:val="00ED440A"/>
    <w:rsid w:val="00ED460D"/>
    <w:rsid w:val="00ED4F54"/>
    <w:rsid w:val="00ED50EA"/>
    <w:rsid w:val="00ED52C0"/>
    <w:rsid w:val="00ED66CC"/>
    <w:rsid w:val="00ED7971"/>
    <w:rsid w:val="00ED7E96"/>
    <w:rsid w:val="00EE0748"/>
    <w:rsid w:val="00EE089B"/>
    <w:rsid w:val="00EE1095"/>
    <w:rsid w:val="00EE14EF"/>
    <w:rsid w:val="00EE15D6"/>
    <w:rsid w:val="00EE29A0"/>
    <w:rsid w:val="00EE2A4A"/>
    <w:rsid w:val="00EE2A60"/>
    <w:rsid w:val="00EE2CEA"/>
    <w:rsid w:val="00EE3365"/>
    <w:rsid w:val="00EE382D"/>
    <w:rsid w:val="00EE4591"/>
    <w:rsid w:val="00EE48DF"/>
    <w:rsid w:val="00EE4AB3"/>
    <w:rsid w:val="00EE570E"/>
    <w:rsid w:val="00EE6173"/>
    <w:rsid w:val="00EE6F32"/>
    <w:rsid w:val="00EE7405"/>
    <w:rsid w:val="00EE7FEA"/>
    <w:rsid w:val="00EF02EF"/>
    <w:rsid w:val="00EF033E"/>
    <w:rsid w:val="00EF06EC"/>
    <w:rsid w:val="00EF07BE"/>
    <w:rsid w:val="00EF07F1"/>
    <w:rsid w:val="00EF14FF"/>
    <w:rsid w:val="00EF267D"/>
    <w:rsid w:val="00EF27D9"/>
    <w:rsid w:val="00EF2BFE"/>
    <w:rsid w:val="00EF2D85"/>
    <w:rsid w:val="00EF2F96"/>
    <w:rsid w:val="00EF308E"/>
    <w:rsid w:val="00EF30BF"/>
    <w:rsid w:val="00EF357E"/>
    <w:rsid w:val="00EF3597"/>
    <w:rsid w:val="00EF402C"/>
    <w:rsid w:val="00EF45E0"/>
    <w:rsid w:val="00EF4E6F"/>
    <w:rsid w:val="00EF51BD"/>
    <w:rsid w:val="00EF5C82"/>
    <w:rsid w:val="00EF616E"/>
    <w:rsid w:val="00EF6439"/>
    <w:rsid w:val="00EF6D3C"/>
    <w:rsid w:val="00EF6FA7"/>
    <w:rsid w:val="00EF7A15"/>
    <w:rsid w:val="00F00F78"/>
    <w:rsid w:val="00F01F8C"/>
    <w:rsid w:val="00F02532"/>
    <w:rsid w:val="00F028F9"/>
    <w:rsid w:val="00F02D93"/>
    <w:rsid w:val="00F035A6"/>
    <w:rsid w:val="00F039F8"/>
    <w:rsid w:val="00F03BA2"/>
    <w:rsid w:val="00F04AD0"/>
    <w:rsid w:val="00F055F6"/>
    <w:rsid w:val="00F05ED3"/>
    <w:rsid w:val="00F06009"/>
    <w:rsid w:val="00F0621F"/>
    <w:rsid w:val="00F06709"/>
    <w:rsid w:val="00F07585"/>
    <w:rsid w:val="00F0786A"/>
    <w:rsid w:val="00F10033"/>
    <w:rsid w:val="00F10450"/>
    <w:rsid w:val="00F10848"/>
    <w:rsid w:val="00F10B68"/>
    <w:rsid w:val="00F1105D"/>
    <w:rsid w:val="00F11870"/>
    <w:rsid w:val="00F11F55"/>
    <w:rsid w:val="00F12D0E"/>
    <w:rsid w:val="00F12DEC"/>
    <w:rsid w:val="00F12FFA"/>
    <w:rsid w:val="00F13151"/>
    <w:rsid w:val="00F1327B"/>
    <w:rsid w:val="00F13A02"/>
    <w:rsid w:val="00F13AEC"/>
    <w:rsid w:val="00F14B13"/>
    <w:rsid w:val="00F15523"/>
    <w:rsid w:val="00F15F38"/>
    <w:rsid w:val="00F1600C"/>
    <w:rsid w:val="00F16309"/>
    <w:rsid w:val="00F16391"/>
    <w:rsid w:val="00F16904"/>
    <w:rsid w:val="00F16EAC"/>
    <w:rsid w:val="00F1779D"/>
    <w:rsid w:val="00F2062B"/>
    <w:rsid w:val="00F209DE"/>
    <w:rsid w:val="00F20B19"/>
    <w:rsid w:val="00F21A18"/>
    <w:rsid w:val="00F21E61"/>
    <w:rsid w:val="00F220EA"/>
    <w:rsid w:val="00F222CD"/>
    <w:rsid w:val="00F223A5"/>
    <w:rsid w:val="00F2245C"/>
    <w:rsid w:val="00F24EA4"/>
    <w:rsid w:val="00F25159"/>
    <w:rsid w:val="00F2582D"/>
    <w:rsid w:val="00F2625A"/>
    <w:rsid w:val="00F27597"/>
    <w:rsid w:val="00F2795B"/>
    <w:rsid w:val="00F31A03"/>
    <w:rsid w:val="00F31C15"/>
    <w:rsid w:val="00F31CEC"/>
    <w:rsid w:val="00F3283C"/>
    <w:rsid w:val="00F32B0E"/>
    <w:rsid w:val="00F32D0F"/>
    <w:rsid w:val="00F339C4"/>
    <w:rsid w:val="00F33A63"/>
    <w:rsid w:val="00F34004"/>
    <w:rsid w:val="00F343F0"/>
    <w:rsid w:val="00F34620"/>
    <w:rsid w:val="00F34804"/>
    <w:rsid w:val="00F34AAB"/>
    <w:rsid w:val="00F34C4D"/>
    <w:rsid w:val="00F350CF"/>
    <w:rsid w:val="00F35582"/>
    <w:rsid w:val="00F3568D"/>
    <w:rsid w:val="00F35A98"/>
    <w:rsid w:val="00F37004"/>
    <w:rsid w:val="00F37200"/>
    <w:rsid w:val="00F376A1"/>
    <w:rsid w:val="00F37B8E"/>
    <w:rsid w:val="00F37E50"/>
    <w:rsid w:val="00F40F2E"/>
    <w:rsid w:val="00F415F9"/>
    <w:rsid w:val="00F41746"/>
    <w:rsid w:val="00F41E79"/>
    <w:rsid w:val="00F4315F"/>
    <w:rsid w:val="00F4386D"/>
    <w:rsid w:val="00F44000"/>
    <w:rsid w:val="00F445AC"/>
    <w:rsid w:val="00F445F6"/>
    <w:rsid w:val="00F44B04"/>
    <w:rsid w:val="00F4512F"/>
    <w:rsid w:val="00F45763"/>
    <w:rsid w:val="00F45A5C"/>
    <w:rsid w:val="00F45BCF"/>
    <w:rsid w:val="00F45BEA"/>
    <w:rsid w:val="00F45CFE"/>
    <w:rsid w:val="00F46877"/>
    <w:rsid w:val="00F46B04"/>
    <w:rsid w:val="00F47F3E"/>
    <w:rsid w:val="00F47F76"/>
    <w:rsid w:val="00F50DA9"/>
    <w:rsid w:val="00F511B6"/>
    <w:rsid w:val="00F5120B"/>
    <w:rsid w:val="00F522F1"/>
    <w:rsid w:val="00F52AD4"/>
    <w:rsid w:val="00F530E6"/>
    <w:rsid w:val="00F532C7"/>
    <w:rsid w:val="00F5380B"/>
    <w:rsid w:val="00F5393C"/>
    <w:rsid w:val="00F5416F"/>
    <w:rsid w:val="00F54929"/>
    <w:rsid w:val="00F549A4"/>
    <w:rsid w:val="00F54EE5"/>
    <w:rsid w:val="00F5504E"/>
    <w:rsid w:val="00F55358"/>
    <w:rsid w:val="00F55B5B"/>
    <w:rsid w:val="00F5603C"/>
    <w:rsid w:val="00F5605C"/>
    <w:rsid w:val="00F564B9"/>
    <w:rsid w:val="00F57522"/>
    <w:rsid w:val="00F57905"/>
    <w:rsid w:val="00F57909"/>
    <w:rsid w:val="00F57B94"/>
    <w:rsid w:val="00F6050E"/>
    <w:rsid w:val="00F609C0"/>
    <w:rsid w:val="00F6106F"/>
    <w:rsid w:val="00F612D6"/>
    <w:rsid w:val="00F61D27"/>
    <w:rsid w:val="00F6272A"/>
    <w:rsid w:val="00F63400"/>
    <w:rsid w:val="00F6354C"/>
    <w:rsid w:val="00F636C6"/>
    <w:rsid w:val="00F63BFE"/>
    <w:rsid w:val="00F63C17"/>
    <w:rsid w:val="00F63C2F"/>
    <w:rsid w:val="00F64211"/>
    <w:rsid w:val="00F64298"/>
    <w:rsid w:val="00F6433D"/>
    <w:rsid w:val="00F6486C"/>
    <w:rsid w:val="00F65363"/>
    <w:rsid w:val="00F6573E"/>
    <w:rsid w:val="00F65D3C"/>
    <w:rsid w:val="00F662EB"/>
    <w:rsid w:val="00F66FCE"/>
    <w:rsid w:val="00F67606"/>
    <w:rsid w:val="00F67B2E"/>
    <w:rsid w:val="00F67CD0"/>
    <w:rsid w:val="00F70327"/>
    <w:rsid w:val="00F70E7F"/>
    <w:rsid w:val="00F70FEF"/>
    <w:rsid w:val="00F72297"/>
    <w:rsid w:val="00F72FA8"/>
    <w:rsid w:val="00F73060"/>
    <w:rsid w:val="00F73419"/>
    <w:rsid w:val="00F75415"/>
    <w:rsid w:val="00F7583C"/>
    <w:rsid w:val="00F76599"/>
    <w:rsid w:val="00F76762"/>
    <w:rsid w:val="00F76EFE"/>
    <w:rsid w:val="00F773F9"/>
    <w:rsid w:val="00F77C6D"/>
    <w:rsid w:val="00F8010C"/>
    <w:rsid w:val="00F8024B"/>
    <w:rsid w:val="00F804E7"/>
    <w:rsid w:val="00F80A02"/>
    <w:rsid w:val="00F8101C"/>
    <w:rsid w:val="00F81027"/>
    <w:rsid w:val="00F81030"/>
    <w:rsid w:val="00F817B9"/>
    <w:rsid w:val="00F81CB7"/>
    <w:rsid w:val="00F82280"/>
    <w:rsid w:val="00F822B8"/>
    <w:rsid w:val="00F8235F"/>
    <w:rsid w:val="00F82949"/>
    <w:rsid w:val="00F8356C"/>
    <w:rsid w:val="00F83A22"/>
    <w:rsid w:val="00F83A97"/>
    <w:rsid w:val="00F843AF"/>
    <w:rsid w:val="00F844F0"/>
    <w:rsid w:val="00F84710"/>
    <w:rsid w:val="00F84895"/>
    <w:rsid w:val="00F84E9D"/>
    <w:rsid w:val="00F8626F"/>
    <w:rsid w:val="00F862EC"/>
    <w:rsid w:val="00F8659E"/>
    <w:rsid w:val="00F86975"/>
    <w:rsid w:val="00F869CC"/>
    <w:rsid w:val="00F86CE4"/>
    <w:rsid w:val="00F86F42"/>
    <w:rsid w:val="00F87D39"/>
    <w:rsid w:val="00F90433"/>
    <w:rsid w:val="00F912F9"/>
    <w:rsid w:val="00F914B6"/>
    <w:rsid w:val="00F9152E"/>
    <w:rsid w:val="00F91828"/>
    <w:rsid w:val="00F91941"/>
    <w:rsid w:val="00F92156"/>
    <w:rsid w:val="00F92E3F"/>
    <w:rsid w:val="00F93697"/>
    <w:rsid w:val="00F937A0"/>
    <w:rsid w:val="00F938D2"/>
    <w:rsid w:val="00F93BA9"/>
    <w:rsid w:val="00F9515E"/>
    <w:rsid w:val="00F959E2"/>
    <w:rsid w:val="00F95B9D"/>
    <w:rsid w:val="00F96057"/>
    <w:rsid w:val="00F960FF"/>
    <w:rsid w:val="00F96389"/>
    <w:rsid w:val="00F9650E"/>
    <w:rsid w:val="00F96B73"/>
    <w:rsid w:val="00F96EA6"/>
    <w:rsid w:val="00F9755E"/>
    <w:rsid w:val="00F977C7"/>
    <w:rsid w:val="00F97C0B"/>
    <w:rsid w:val="00F97C96"/>
    <w:rsid w:val="00FA0890"/>
    <w:rsid w:val="00FA0BC3"/>
    <w:rsid w:val="00FA0BF5"/>
    <w:rsid w:val="00FA0CFA"/>
    <w:rsid w:val="00FA164A"/>
    <w:rsid w:val="00FA1D3C"/>
    <w:rsid w:val="00FA21DD"/>
    <w:rsid w:val="00FA251C"/>
    <w:rsid w:val="00FA2533"/>
    <w:rsid w:val="00FA261D"/>
    <w:rsid w:val="00FA2703"/>
    <w:rsid w:val="00FA3513"/>
    <w:rsid w:val="00FA3BFC"/>
    <w:rsid w:val="00FA3F3E"/>
    <w:rsid w:val="00FA4272"/>
    <w:rsid w:val="00FA4855"/>
    <w:rsid w:val="00FA4ACD"/>
    <w:rsid w:val="00FA4FF9"/>
    <w:rsid w:val="00FA55FF"/>
    <w:rsid w:val="00FA5F14"/>
    <w:rsid w:val="00FA6428"/>
    <w:rsid w:val="00FA6ADE"/>
    <w:rsid w:val="00FA6FB3"/>
    <w:rsid w:val="00FA6FDC"/>
    <w:rsid w:val="00FA7144"/>
    <w:rsid w:val="00FA7184"/>
    <w:rsid w:val="00FA794C"/>
    <w:rsid w:val="00FB0119"/>
    <w:rsid w:val="00FB08F3"/>
    <w:rsid w:val="00FB0D2F"/>
    <w:rsid w:val="00FB13A2"/>
    <w:rsid w:val="00FB1938"/>
    <w:rsid w:val="00FB1D9D"/>
    <w:rsid w:val="00FB1FFB"/>
    <w:rsid w:val="00FB250C"/>
    <w:rsid w:val="00FB3304"/>
    <w:rsid w:val="00FB433E"/>
    <w:rsid w:val="00FB46B8"/>
    <w:rsid w:val="00FB4A91"/>
    <w:rsid w:val="00FB4B38"/>
    <w:rsid w:val="00FB53A7"/>
    <w:rsid w:val="00FB54BB"/>
    <w:rsid w:val="00FB5AC0"/>
    <w:rsid w:val="00FB69A2"/>
    <w:rsid w:val="00FB6C91"/>
    <w:rsid w:val="00FB74E8"/>
    <w:rsid w:val="00FB7905"/>
    <w:rsid w:val="00FC0263"/>
    <w:rsid w:val="00FC0348"/>
    <w:rsid w:val="00FC0451"/>
    <w:rsid w:val="00FC0FB5"/>
    <w:rsid w:val="00FC102A"/>
    <w:rsid w:val="00FC154C"/>
    <w:rsid w:val="00FC172C"/>
    <w:rsid w:val="00FC1BA5"/>
    <w:rsid w:val="00FC1DBC"/>
    <w:rsid w:val="00FC1F0E"/>
    <w:rsid w:val="00FC2637"/>
    <w:rsid w:val="00FC28CA"/>
    <w:rsid w:val="00FC2B1A"/>
    <w:rsid w:val="00FC2DEC"/>
    <w:rsid w:val="00FC2E93"/>
    <w:rsid w:val="00FC32BC"/>
    <w:rsid w:val="00FC393B"/>
    <w:rsid w:val="00FC3A4C"/>
    <w:rsid w:val="00FC3FA9"/>
    <w:rsid w:val="00FC4052"/>
    <w:rsid w:val="00FC4330"/>
    <w:rsid w:val="00FC439C"/>
    <w:rsid w:val="00FC44DD"/>
    <w:rsid w:val="00FC47D9"/>
    <w:rsid w:val="00FC4EA6"/>
    <w:rsid w:val="00FC5252"/>
    <w:rsid w:val="00FC632E"/>
    <w:rsid w:val="00FC6356"/>
    <w:rsid w:val="00FC6408"/>
    <w:rsid w:val="00FC6AB3"/>
    <w:rsid w:val="00FC6C09"/>
    <w:rsid w:val="00FC79FF"/>
    <w:rsid w:val="00FC7D01"/>
    <w:rsid w:val="00FD0130"/>
    <w:rsid w:val="00FD0373"/>
    <w:rsid w:val="00FD04C8"/>
    <w:rsid w:val="00FD0582"/>
    <w:rsid w:val="00FD0852"/>
    <w:rsid w:val="00FD0C93"/>
    <w:rsid w:val="00FD0FD3"/>
    <w:rsid w:val="00FD1062"/>
    <w:rsid w:val="00FD1234"/>
    <w:rsid w:val="00FD1820"/>
    <w:rsid w:val="00FD197E"/>
    <w:rsid w:val="00FD2171"/>
    <w:rsid w:val="00FD2589"/>
    <w:rsid w:val="00FD2E66"/>
    <w:rsid w:val="00FD3EE6"/>
    <w:rsid w:val="00FD4196"/>
    <w:rsid w:val="00FD41D5"/>
    <w:rsid w:val="00FD4876"/>
    <w:rsid w:val="00FD49AF"/>
    <w:rsid w:val="00FD4B73"/>
    <w:rsid w:val="00FD50A6"/>
    <w:rsid w:val="00FD52A3"/>
    <w:rsid w:val="00FD5394"/>
    <w:rsid w:val="00FD58B9"/>
    <w:rsid w:val="00FD6140"/>
    <w:rsid w:val="00FD67D9"/>
    <w:rsid w:val="00FD68D4"/>
    <w:rsid w:val="00FD6D0D"/>
    <w:rsid w:val="00FE00D9"/>
    <w:rsid w:val="00FE0699"/>
    <w:rsid w:val="00FE1186"/>
    <w:rsid w:val="00FE177A"/>
    <w:rsid w:val="00FE1FC5"/>
    <w:rsid w:val="00FE240A"/>
    <w:rsid w:val="00FE28CD"/>
    <w:rsid w:val="00FE2A46"/>
    <w:rsid w:val="00FE3C87"/>
    <w:rsid w:val="00FE3E3C"/>
    <w:rsid w:val="00FE419B"/>
    <w:rsid w:val="00FE43B1"/>
    <w:rsid w:val="00FE43E7"/>
    <w:rsid w:val="00FE44FC"/>
    <w:rsid w:val="00FE48EB"/>
    <w:rsid w:val="00FE4B37"/>
    <w:rsid w:val="00FE4B66"/>
    <w:rsid w:val="00FE4DFE"/>
    <w:rsid w:val="00FE4F18"/>
    <w:rsid w:val="00FE4F6E"/>
    <w:rsid w:val="00FE5202"/>
    <w:rsid w:val="00FE583F"/>
    <w:rsid w:val="00FE5B49"/>
    <w:rsid w:val="00FE5CC4"/>
    <w:rsid w:val="00FE5CE0"/>
    <w:rsid w:val="00FE6B13"/>
    <w:rsid w:val="00FE7575"/>
    <w:rsid w:val="00FF1070"/>
    <w:rsid w:val="00FF1203"/>
    <w:rsid w:val="00FF13E2"/>
    <w:rsid w:val="00FF1A27"/>
    <w:rsid w:val="00FF1A42"/>
    <w:rsid w:val="00FF2237"/>
    <w:rsid w:val="00FF2934"/>
    <w:rsid w:val="00FF3399"/>
    <w:rsid w:val="00FF343E"/>
    <w:rsid w:val="00FF3645"/>
    <w:rsid w:val="00FF409E"/>
    <w:rsid w:val="00FF41D2"/>
    <w:rsid w:val="00FF47FA"/>
    <w:rsid w:val="00FF48E7"/>
    <w:rsid w:val="00FF4953"/>
    <w:rsid w:val="00FF4DBA"/>
    <w:rsid w:val="00FF5728"/>
    <w:rsid w:val="00FF5FA3"/>
    <w:rsid w:val="00FF5FCE"/>
    <w:rsid w:val="00FF6177"/>
    <w:rsid w:val="00FF6AD9"/>
    <w:rsid w:val="00FF702B"/>
    <w:rsid w:val="00FF76E5"/>
    <w:rsid w:val="00FF7AFA"/>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A2E81C"/>
  <w15:chartTrackingRefBased/>
  <w15:docId w15:val="{5787A495-ADE0-4B2A-B5F9-98B9EF836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annotation text" w:uiPriority="99"/>
    <w:lsdException w:name="footer" w:uiPriority="99"/>
    <w:lsdException w:name="caption" w:locked="1" w:semiHidden="1" w:unhideWhenUsed="1" w:qFormat="1"/>
    <w:lsdException w:name="footnote reference" w:uiPriority="99"/>
    <w:lsdException w:name="annotation reference" w:uiPriority="99"/>
    <w:lsdException w:name="Title" w:locked="1" w:qFormat="1"/>
    <w:lsdException w:name="Default Paragraph Font" w:locked="1"/>
    <w:lsdException w:name="Subtitle" w:locked="1" w:qFormat="1"/>
    <w:lsdException w:name="Strong" w:locked="1" w:uiPriority="22" w:qFormat="1"/>
    <w:lsdException w:name="Emphasis" w:locked="1" w:uiPriority="20" w:qFormat="1"/>
    <w:lsdException w:name="Plain Text" w:uiPriority="99"/>
    <w:lsdException w:name="Normal (Web)" w:uiPriority="99"/>
    <w:lsdException w:name="HTML Typewriter"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1FD4"/>
    <w:rPr>
      <w:sz w:val="24"/>
      <w:szCs w:val="24"/>
    </w:rPr>
  </w:style>
  <w:style w:type="paragraph" w:styleId="Heading1">
    <w:name w:val="heading 1"/>
    <w:basedOn w:val="Normal"/>
    <w:link w:val="Heading1Char"/>
    <w:qFormat/>
    <w:rsid w:val="00944826"/>
    <w:pPr>
      <w:spacing w:before="100" w:beforeAutospacing="1" w:after="100" w:afterAutospacing="1"/>
      <w:outlineLvl w:val="0"/>
    </w:pPr>
    <w:rPr>
      <w:rFonts w:ascii="Cambria" w:hAnsi="Cambria"/>
      <w:b/>
      <w:bCs/>
      <w:color w:val="365F91"/>
      <w:sz w:val="28"/>
      <w:szCs w:val="28"/>
      <w:lang w:val="x-none" w:eastAsia="x-none"/>
    </w:rPr>
  </w:style>
  <w:style w:type="paragraph" w:styleId="Heading3">
    <w:name w:val="heading 3"/>
    <w:basedOn w:val="Normal"/>
    <w:next w:val="Normal"/>
    <w:link w:val="Heading3Char"/>
    <w:qFormat/>
    <w:locked/>
    <w:rsid w:val="005141E9"/>
    <w:pPr>
      <w:keepNext/>
      <w:spacing w:before="240" w:after="60"/>
      <w:outlineLvl w:val="2"/>
    </w:pPr>
    <w:rPr>
      <w:rFonts w:ascii="Calibri Light" w:hAnsi="Calibri Light"/>
      <w:b/>
      <w:bCs/>
      <w:sz w:val="26"/>
      <w:szCs w:val="26"/>
    </w:rPr>
  </w:style>
  <w:style w:type="paragraph" w:styleId="Heading4">
    <w:name w:val="heading 4"/>
    <w:basedOn w:val="Normal"/>
    <w:next w:val="Normal"/>
    <w:qFormat/>
    <w:locked/>
    <w:rsid w:val="003F7A7E"/>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944826"/>
    <w:rPr>
      <w:rFonts w:ascii="Cambria" w:hAnsi="Cambria" w:cs="Times New Roman"/>
      <w:b/>
      <w:bCs/>
      <w:color w:val="365F91"/>
      <w:sz w:val="28"/>
      <w:szCs w:val="28"/>
    </w:rPr>
  </w:style>
  <w:style w:type="character" w:styleId="Hyperlink">
    <w:name w:val="Hyperlink"/>
    <w:rsid w:val="00944826"/>
    <w:rPr>
      <w:rFonts w:cs="Times New Roman"/>
      <w:color w:val="0000FF"/>
      <w:u w:val="single"/>
    </w:rPr>
  </w:style>
  <w:style w:type="character" w:styleId="FollowedHyperlink">
    <w:name w:val="FollowedHyperlink"/>
    <w:semiHidden/>
    <w:rsid w:val="00944826"/>
    <w:rPr>
      <w:rFonts w:cs="Times New Roman"/>
      <w:color w:val="800080"/>
      <w:u w:val="single"/>
    </w:rPr>
  </w:style>
  <w:style w:type="paragraph" w:customStyle="1" w:styleId="h1">
    <w:name w:val="h1"/>
    <w:basedOn w:val="Normal"/>
    <w:rsid w:val="00944826"/>
    <w:pPr>
      <w:spacing w:after="150"/>
    </w:pPr>
    <w:rPr>
      <w:color w:val="306060"/>
      <w:sz w:val="31"/>
      <w:szCs w:val="31"/>
    </w:rPr>
  </w:style>
  <w:style w:type="paragraph" w:customStyle="1" w:styleId="h2">
    <w:name w:val="h2"/>
    <w:basedOn w:val="Normal"/>
    <w:rsid w:val="00944826"/>
    <w:pPr>
      <w:spacing w:before="100" w:beforeAutospacing="1" w:after="100" w:afterAutospacing="1"/>
    </w:pPr>
    <w:rPr>
      <w:color w:val="306060"/>
    </w:rPr>
  </w:style>
  <w:style w:type="paragraph" w:customStyle="1" w:styleId="a">
    <w:name w:val="a"/>
    <w:basedOn w:val="Normal"/>
    <w:rsid w:val="00944826"/>
    <w:pPr>
      <w:spacing w:before="100" w:beforeAutospacing="1" w:after="100" w:afterAutospacing="1"/>
    </w:pPr>
    <w:rPr>
      <w:color w:val="306060"/>
    </w:rPr>
  </w:style>
  <w:style w:type="paragraph" w:customStyle="1" w:styleId="b">
    <w:name w:val="b"/>
    <w:basedOn w:val="Normal"/>
    <w:rsid w:val="00944826"/>
    <w:pPr>
      <w:spacing w:before="100" w:beforeAutospacing="1" w:after="100" w:afterAutospacing="1"/>
    </w:pPr>
    <w:rPr>
      <w:color w:val="306060"/>
    </w:rPr>
  </w:style>
  <w:style w:type="paragraph" w:customStyle="1" w:styleId="body">
    <w:name w:val="body"/>
    <w:basedOn w:val="Normal"/>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rsid w:val="00944826"/>
    <w:pPr>
      <w:spacing w:before="100" w:beforeAutospacing="1" w:after="100" w:afterAutospacing="1"/>
    </w:pPr>
    <w:rPr>
      <w:color w:val="F0F8F8"/>
    </w:rPr>
  </w:style>
  <w:style w:type="paragraph" w:customStyle="1" w:styleId="radio">
    <w:name w:val="radio"/>
    <w:basedOn w:val="Normal"/>
    <w:rsid w:val="00944826"/>
    <w:pPr>
      <w:spacing w:before="100" w:beforeAutospacing="1" w:after="100" w:afterAutospacing="1"/>
    </w:pPr>
  </w:style>
  <w:style w:type="paragraph" w:customStyle="1" w:styleId="headcol">
    <w:name w:val="headcol"/>
    <w:basedOn w:val="Normal"/>
    <w:rsid w:val="00944826"/>
    <w:pPr>
      <w:spacing w:before="100" w:beforeAutospacing="1" w:after="100" w:afterAutospacing="1"/>
    </w:pPr>
    <w:rPr>
      <w:color w:val="F0F8F8"/>
    </w:rPr>
  </w:style>
  <w:style w:type="paragraph" w:customStyle="1" w:styleId="titlecol">
    <w:name w:val="titlecol"/>
    <w:basedOn w:val="Normal"/>
    <w:rsid w:val="00944826"/>
    <w:pPr>
      <w:spacing w:before="100" w:beforeAutospacing="1" w:after="100" w:afterAutospacing="1"/>
      <w:jc w:val="right"/>
    </w:pPr>
    <w:rPr>
      <w:b/>
      <w:bCs/>
    </w:rPr>
  </w:style>
  <w:style w:type="paragraph" w:customStyle="1" w:styleId="th">
    <w:name w:val="th"/>
    <w:basedOn w:val="Normal"/>
    <w:rsid w:val="00944826"/>
    <w:pPr>
      <w:spacing w:before="100" w:beforeAutospacing="1" w:after="100" w:afterAutospacing="1"/>
    </w:pPr>
    <w:rPr>
      <w:b/>
      <w:bCs/>
      <w:color w:val="333333"/>
    </w:rPr>
  </w:style>
  <w:style w:type="paragraph" w:customStyle="1" w:styleId="thr">
    <w:name w:val="thr"/>
    <w:basedOn w:val="Normal"/>
    <w:rsid w:val="00944826"/>
    <w:pPr>
      <w:spacing w:before="100" w:beforeAutospacing="1" w:after="100" w:afterAutospacing="1"/>
      <w:jc w:val="right"/>
    </w:pPr>
  </w:style>
  <w:style w:type="paragraph" w:customStyle="1" w:styleId="bdc">
    <w:name w:val="bdc"/>
    <w:basedOn w:val="Normal"/>
    <w:rsid w:val="00944826"/>
    <w:pPr>
      <w:spacing w:before="100" w:beforeAutospacing="1" w:after="100" w:afterAutospacing="1"/>
    </w:pPr>
    <w:rPr>
      <w:b/>
      <w:bCs/>
    </w:rPr>
  </w:style>
  <w:style w:type="paragraph" w:customStyle="1" w:styleId="input">
    <w:name w:val="input"/>
    <w:basedOn w:val="Normal"/>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rsid w:val="00944826"/>
    <w:pPr>
      <w:shd w:val="clear" w:color="auto" w:fill="F0F8F8"/>
      <w:spacing w:before="100" w:beforeAutospacing="1" w:after="100" w:afterAutospacing="1"/>
    </w:pPr>
    <w:rPr>
      <w:color w:val="333333"/>
    </w:rPr>
  </w:style>
  <w:style w:type="paragraph" w:customStyle="1" w:styleId="top1">
    <w:name w:val="top1"/>
    <w:basedOn w:val="Normal"/>
    <w:rsid w:val="00944826"/>
    <w:pPr>
      <w:spacing w:before="100" w:beforeAutospacing="1" w:after="100" w:afterAutospacing="1"/>
    </w:pPr>
  </w:style>
  <w:style w:type="paragraph" w:customStyle="1" w:styleId="logo">
    <w:name w:val="logo"/>
    <w:basedOn w:val="Normal"/>
    <w:rsid w:val="00944826"/>
    <w:pPr>
      <w:spacing w:before="100" w:beforeAutospacing="1" w:after="100" w:afterAutospacing="1"/>
    </w:pPr>
  </w:style>
  <w:style w:type="paragraph" w:customStyle="1" w:styleId="top2">
    <w:name w:val="top2"/>
    <w:basedOn w:val="Normal"/>
    <w:rsid w:val="00944826"/>
    <w:pPr>
      <w:spacing w:before="100" w:beforeAutospacing="1" w:after="100" w:afterAutospacing="1"/>
    </w:pPr>
  </w:style>
  <w:style w:type="paragraph" w:customStyle="1" w:styleId="hline">
    <w:name w:val="hline"/>
    <w:basedOn w:val="Normal"/>
    <w:rsid w:val="00944826"/>
    <w:pPr>
      <w:spacing w:before="100" w:beforeAutospacing="1" w:after="100" w:afterAutospacing="1"/>
    </w:pPr>
  </w:style>
  <w:style w:type="paragraph" w:customStyle="1" w:styleId="vline">
    <w:name w:val="vline"/>
    <w:basedOn w:val="Normal"/>
    <w:rsid w:val="00944826"/>
    <w:pPr>
      <w:spacing w:before="100" w:beforeAutospacing="1" w:after="100" w:afterAutospacing="1"/>
    </w:pPr>
  </w:style>
  <w:style w:type="paragraph" w:customStyle="1" w:styleId="zvabri">
    <w:name w:val="zvabri"/>
    <w:basedOn w:val="Normal"/>
    <w:rsid w:val="00944826"/>
    <w:pPr>
      <w:spacing w:before="100" w:beforeAutospacing="1" w:after="100" w:afterAutospacing="1"/>
    </w:pPr>
    <w:rPr>
      <w:color w:val="FF0000"/>
    </w:rPr>
  </w:style>
  <w:style w:type="paragraph" w:styleId="z-TopofForm">
    <w:name w:val="HTML Top of Form"/>
    <w:basedOn w:val="Normal"/>
    <w:next w:val="Normal"/>
    <w:link w:val="z-TopofFormChar"/>
    <w:hidden/>
    <w:semiHidden/>
    <w:rsid w:val="00944826"/>
    <w:pPr>
      <w:pBdr>
        <w:bottom w:val="single" w:sz="6" w:space="1" w:color="auto"/>
      </w:pBdr>
      <w:jc w:val="center"/>
    </w:pPr>
    <w:rPr>
      <w:rFonts w:ascii="Arial" w:hAnsi="Arial"/>
      <w:vanish/>
      <w:sz w:val="16"/>
      <w:szCs w:val="16"/>
      <w:lang w:val="x-none" w:eastAsia="x-none"/>
    </w:rPr>
  </w:style>
  <w:style w:type="character" w:customStyle="1" w:styleId="z-TopofFormChar">
    <w:name w:val="z-Top of Form Char"/>
    <w:link w:val="z-TopofForm"/>
    <w:semiHidden/>
    <w:locked/>
    <w:rsid w:val="00944826"/>
    <w:rPr>
      <w:rFonts w:ascii="Arial" w:hAnsi="Arial" w:cs="Arial"/>
      <w:vanish/>
      <w:sz w:val="16"/>
      <w:szCs w:val="16"/>
    </w:rPr>
  </w:style>
  <w:style w:type="paragraph" w:styleId="z-BottomofForm">
    <w:name w:val="HTML Bottom of Form"/>
    <w:basedOn w:val="Normal"/>
    <w:next w:val="Normal"/>
    <w:link w:val="z-BottomofFormChar"/>
    <w:hidden/>
    <w:rsid w:val="00944826"/>
    <w:pPr>
      <w:pBdr>
        <w:top w:val="single" w:sz="6" w:space="1" w:color="auto"/>
      </w:pBdr>
      <w:jc w:val="center"/>
    </w:pPr>
    <w:rPr>
      <w:rFonts w:ascii="Arial" w:hAnsi="Arial"/>
      <w:vanish/>
      <w:sz w:val="16"/>
      <w:szCs w:val="16"/>
      <w:lang w:val="x-none" w:eastAsia="x-none"/>
    </w:rPr>
  </w:style>
  <w:style w:type="character" w:customStyle="1" w:styleId="z-BottomofFormChar">
    <w:name w:val="z-Bottom of Form Char"/>
    <w:link w:val="z-BottomofForm"/>
    <w:locked/>
    <w:rsid w:val="00944826"/>
    <w:rPr>
      <w:rFonts w:ascii="Arial" w:hAnsi="Arial" w:cs="Arial"/>
      <w:vanish/>
      <w:sz w:val="16"/>
      <w:szCs w:val="16"/>
    </w:rPr>
  </w:style>
  <w:style w:type="paragraph" w:styleId="NormalWeb">
    <w:name w:val="Normal (Web)"/>
    <w:basedOn w:val="Normal"/>
    <w:uiPriority w:val="99"/>
    <w:rsid w:val="00944826"/>
    <w:pPr>
      <w:spacing w:before="100" w:beforeAutospacing="1" w:after="100" w:afterAutospacing="1"/>
    </w:pPr>
  </w:style>
  <w:style w:type="paragraph" w:customStyle="1" w:styleId="naisf">
    <w:name w:val="naisf"/>
    <w:basedOn w:val="Normal"/>
    <w:rsid w:val="00944826"/>
    <w:pPr>
      <w:spacing w:before="75" w:after="75"/>
      <w:ind w:firstLine="375"/>
      <w:jc w:val="both"/>
    </w:pPr>
  </w:style>
  <w:style w:type="paragraph" w:customStyle="1" w:styleId="nais1">
    <w:name w:val="nais1"/>
    <w:basedOn w:val="Normal"/>
    <w:rsid w:val="00944826"/>
    <w:pPr>
      <w:spacing w:before="75" w:after="75"/>
      <w:ind w:left="450" w:firstLine="375"/>
      <w:jc w:val="both"/>
    </w:pPr>
  </w:style>
  <w:style w:type="paragraph" w:customStyle="1" w:styleId="nais2">
    <w:name w:val="nais2"/>
    <w:basedOn w:val="Normal"/>
    <w:rsid w:val="00944826"/>
    <w:pPr>
      <w:spacing w:before="75" w:after="75"/>
      <w:ind w:left="900" w:firstLine="375"/>
      <w:jc w:val="both"/>
    </w:pPr>
  </w:style>
  <w:style w:type="paragraph" w:customStyle="1" w:styleId="naispant">
    <w:name w:val="naispant"/>
    <w:basedOn w:val="Normal"/>
    <w:rsid w:val="00944826"/>
    <w:pPr>
      <w:spacing w:before="75" w:after="75"/>
      <w:ind w:left="375" w:firstLine="375"/>
      <w:jc w:val="both"/>
    </w:pPr>
    <w:rPr>
      <w:b/>
      <w:bCs/>
    </w:rPr>
  </w:style>
  <w:style w:type="paragraph" w:customStyle="1" w:styleId="naisvisr">
    <w:name w:val="naisvisr"/>
    <w:basedOn w:val="Normal"/>
    <w:rsid w:val="00944826"/>
    <w:pPr>
      <w:spacing w:before="150" w:after="150"/>
      <w:jc w:val="center"/>
    </w:pPr>
    <w:rPr>
      <w:b/>
      <w:bCs/>
      <w:sz w:val="28"/>
      <w:szCs w:val="28"/>
    </w:rPr>
  </w:style>
  <w:style w:type="paragraph" w:customStyle="1" w:styleId="naisnod">
    <w:name w:val="naisnod"/>
    <w:basedOn w:val="Normal"/>
    <w:rsid w:val="00944826"/>
    <w:pPr>
      <w:spacing w:before="150" w:after="150"/>
      <w:jc w:val="center"/>
    </w:pPr>
    <w:rPr>
      <w:b/>
      <w:bCs/>
    </w:rPr>
  </w:style>
  <w:style w:type="paragraph" w:customStyle="1" w:styleId="naislab">
    <w:name w:val="naislab"/>
    <w:basedOn w:val="Normal"/>
    <w:rsid w:val="00944826"/>
    <w:pPr>
      <w:spacing w:before="75" w:after="75"/>
      <w:jc w:val="right"/>
    </w:pPr>
  </w:style>
  <w:style w:type="paragraph" w:customStyle="1" w:styleId="naiskr">
    <w:name w:val="naiskr"/>
    <w:basedOn w:val="Normal"/>
    <w:rsid w:val="00944826"/>
    <w:pPr>
      <w:spacing w:before="75" w:after="75"/>
    </w:pPr>
  </w:style>
  <w:style w:type="paragraph" w:customStyle="1" w:styleId="naisc">
    <w:name w:val="naisc"/>
    <w:basedOn w:val="Normal"/>
    <w:rsid w:val="00944826"/>
    <w:pPr>
      <w:spacing w:before="75" w:after="75"/>
      <w:jc w:val="center"/>
    </w:pPr>
  </w:style>
  <w:style w:type="character" w:styleId="Strong">
    <w:name w:val="Strong"/>
    <w:uiPriority w:val="22"/>
    <w:qFormat/>
    <w:rsid w:val="00944826"/>
    <w:rPr>
      <w:rFonts w:cs="Times New Roman"/>
      <w:b/>
      <w:bCs/>
    </w:rPr>
  </w:style>
  <w:style w:type="character" w:customStyle="1" w:styleId="th1">
    <w:name w:val="th1"/>
    <w:rsid w:val="00944826"/>
    <w:rPr>
      <w:rFonts w:cs="Times New Roman"/>
      <w:b/>
      <w:bCs/>
      <w:color w:val="333333"/>
    </w:rPr>
  </w:style>
  <w:style w:type="character" w:styleId="Emphasis">
    <w:name w:val="Emphasis"/>
    <w:uiPriority w:val="20"/>
    <w:qFormat/>
    <w:rsid w:val="00944826"/>
    <w:rPr>
      <w:rFonts w:cs="Times New Roman"/>
      <w:i/>
      <w:iCs/>
    </w:rPr>
  </w:style>
  <w:style w:type="paragraph" w:styleId="BalloonText">
    <w:name w:val="Balloon Text"/>
    <w:basedOn w:val="Normal"/>
    <w:link w:val="BalloonTextChar"/>
    <w:semiHidden/>
    <w:rsid w:val="002308FA"/>
    <w:rPr>
      <w:rFonts w:ascii="Tahoma" w:hAnsi="Tahoma"/>
      <w:sz w:val="16"/>
      <w:szCs w:val="16"/>
      <w:lang w:val="x-none" w:eastAsia="x-none"/>
    </w:rPr>
  </w:style>
  <w:style w:type="character" w:customStyle="1" w:styleId="BalloonTextChar">
    <w:name w:val="Balloon Text Char"/>
    <w:link w:val="BalloonText"/>
    <w:semiHidden/>
    <w:locked/>
    <w:rsid w:val="002308FA"/>
    <w:rPr>
      <w:rFonts w:ascii="Tahoma" w:hAnsi="Tahoma" w:cs="Tahoma"/>
      <w:sz w:val="16"/>
      <w:szCs w:val="16"/>
    </w:rPr>
  </w:style>
  <w:style w:type="table" w:styleId="TableGrid">
    <w:name w:val="Table Grid"/>
    <w:basedOn w:val="TableNormal"/>
    <w:locked/>
    <w:rsid w:val="00CD23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rsid w:val="006D24A9"/>
    <w:pPr>
      <w:ind w:firstLine="709"/>
      <w:jc w:val="both"/>
    </w:pPr>
    <w:rPr>
      <w:sz w:val="28"/>
      <w:szCs w:val="28"/>
      <w:lang w:eastAsia="x-none"/>
    </w:rPr>
  </w:style>
  <w:style w:type="character" w:customStyle="1" w:styleId="BodyTextIndent3Char">
    <w:name w:val="Body Text Indent 3 Char"/>
    <w:link w:val="BodyTextIndent3"/>
    <w:locked/>
    <w:rsid w:val="006D24A9"/>
    <w:rPr>
      <w:rFonts w:cs="Times New Roman"/>
      <w:sz w:val="28"/>
      <w:szCs w:val="28"/>
      <w:lang w:val="lv-LV"/>
    </w:rPr>
  </w:style>
  <w:style w:type="paragraph" w:styleId="Header">
    <w:name w:val="header"/>
    <w:aliases w:val="18pt Bold"/>
    <w:basedOn w:val="Normal"/>
    <w:link w:val="HeaderChar"/>
    <w:rsid w:val="00745496"/>
    <w:pPr>
      <w:tabs>
        <w:tab w:val="center" w:pos="4153"/>
        <w:tab w:val="right" w:pos="8306"/>
      </w:tabs>
    </w:pPr>
  </w:style>
  <w:style w:type="character" w:customStyle="1" w:styleId="HeaderChar">
    <w:name w:val="Header Char"/>
    <w:aliases w:val="18pt Bold Char"/>
    <w:link w:val="Header"/>
    <w:locked/>
    <w:rsid w:val="009A1431"/>
    <w:rPr>
      <w:rFonts w:cs="Times New Roman"/>
      <w:sz w:val="24"/>
      <w:szCs w:val="24"/>
      <w:lang w:val="lv-LV" w:eastAsia="lv-LV"/>
    </w:rPr>
  </w:style>
  <w:style w:type="character" w:styleId="PageNumber">
    <w:name w:val="page number"/>
    <w:rsid w:val="00745496"/>
    <w:rPr>
      <w:rFonts w:cs="Times New Roman"/>
    </w:rPr>
  </w:style>
  <w:style w:type="paragraph" w:styleId="Footer">
    <w:name w:val="footer"/>
    <w:basedOn w:val="Normal"/>
    <w:link w:val="FooterChar1"/>
    <w:rsid w:val="00745496"/>
    <w:pPr>
      <w:tabs>
        <w:tab w:val="center" w:pos="4153"/>
        <w:tab w:val="right" w:pos="8306"/>
      </w:tabs>
    </w:pPr>
  </w:style>
  <w:style w:type="character" w:customStyle="1" w:styleId="FooterChar1">
    <w:name w:val="Footer Char1"/>
    <w:link w:val="Footer"/>
    <w:semiHidden/>
    <w:locked/>
    <w:rsid w:val="009A1431"/>
    <w:rPr>
      <w:rFonts w:cs="Times New Roman"/>
      <w:sz w:val="24"/>
      <w:szCs w:val="24"/>
      <w:lang w:val="lv-LV" w:eastAsia="lv-LV"/>
    </w:rPr>
  </w:style>
  <w:style w:type="paragraph" w:customStyle="1" w:styleId="ColorfulList-Accent12">
    <w:name w:val="Colorful List - Accent 12"/>
    <w:aliases w:val="2,Strip"/>
    <w:basedOn w:val="Normal"/>
    <w:link w:val="ColorfulList-Accent1Char"/>
    <w:uiPriority w:val="34"/>
    <w:qFormat/>
    <w:rsid w:val="00426E9B"/>
    <w:pPr>
      <w:spacing w:after="200" w:line="276" w:lineRule="auto"/>
      <w:ind w:left="720"/>
      <w:contextualSpacing/>
    </w:pPr>
    <w:rPr>
      <w:rFonts w:ascii="Calibri" w:hAnsi="Calibri"/>
      <w:sz w:val="22"/>
      <w:szCs w:val="22"/>
      <w:lang w:val="x-none" w:eastAsia="en-US"/>
    </w:rPr>
  </w:style>
  <w:style w:type="character" w:styleId="CommentReference">
    <w:name w:val="annotation reference"/>
    <w:uiPriority w:val="99"/>
    <w:rsid w:val="00FE43E7"/>
    <w:rPr>
      <w:rFonts w:cs="Times New Roman"/>
      <w:sz w:val="16"/>
      <w:szCs w:val="16"/>
    </w:rPr>
  </w:style>
  <w:style w:type="paragraph" w:styleId="CommentText">
    <w:name w:val="annotation text"/>
    <w:basedOn w:val="Normal"/>
    <w:link w:val="CommentTextChar1"/>
    <w:uiPriority w:val="99"/>
    <w:rsid w:val="00FE43E7"/>
    <w:rPr>
      <w:sz w:val="20"/>
      <w:szCs w:val="20"/>
      <w:lang w:val="x-none" w:eastAsia="x-none"/>
    </w:rPr>
  </w:style>
  <w:style w:type="character" w:customStyle="1" w:styleId="CommentTextChar1">
    <w:name w:val="Comment Text Char1"/>
    <w:link w:val="CommentText"/>
    <w:uiPriority w:val="99"/>
    <w:locked/>
    <w:rsid w:val="00FE43E7"/>
    <w:rPr>
      <w:rFonts w:cs="Times New Roman"/>
    </w:rPr>
  </w:style>
  <w:style w:type="paragraph" w:styleId="CommentSubject">
    <w:name w:val="annotation subject"/>
    <w:basedOn w:val="CommentText"/>
    <w:next w:val="CommentText"/>
    <w:link w:val="CommentSubjectChar"/>
    <w:semiHidden/>
    <w:rsid w:val="00FE43E7"/>
    <w:rPr>
      <w:b/>
      <w:bCs/>
    </w:rPr>
  </w:style>
  <w:style w:type="character" w:customStyle="1" w:styleId="CommentSubjectChar">
    <w:name w:val="Comment Subject Char"/>
    <w:link w:val="CommentSubject"/>
    <w:semiHidden/>
    <w:locked/>
    <w:rsid w:val="00FE43E7"/>
    <w:rPr>
      <w:rFonts w:cs="Times New Roman"/>
      <w:b/>
      <w:bCs/>
    </w:rPr>
  </w:style>
  <w:style w:type="character" w:customStyle="1" w:styleId="FooterChar">
    <w:name w:val="Footer Char"/>
    <w:uiPriority w:val="99"/>
    <w:locked/>
    <w:rsid w:val="00174ECD"/>
    <w:rPr>
      <w:rFonts w:cs="Times New Roman"/>
      <w:sz w:val="24"/>
      <w:szCs w:val="24"/>
      <w:lang w:eastAsia="en-US"/>
    </w:rPr>
  </w:style>
  <w:style w:type="paragraph" w:styleId="BodyText">
    <w:name w:val="Body Text"/>
    <w:basedOn w:val="Normal"/>
    <w:rsid w:val="009451CD"/>
    <w:pPr>
      <w:spacing w:after="120"/>
    </w:pPr>
  </w:style>
  <w:style w:type="paragraph" w:customStyle="1" w:styleId="Default">
    <w:name w:val="Default"/>
    <w:uiPriority w:val="99"/>
    <w:rsid w:val="00784EBA"/>
    <w:pPr>
      <w:autoSpaceDE w:val="0"/>
      <w:autoSpaceDN w:val="0"/>
      <w:adjustRightInd w:val="0"/>
    </w:pPr>
    <w:rPr>
      <w:color w:val="000000"/>
      <w:sz w:val="24"/>
      <w:szCs w:val="24"/>
    </w:rPr>
  </w:style>
  <w:style w:type="paragraph" w:customStyle="1" w:styleId="EE-paragr-12">
    <w:name w:val="EE-paragr-12"/>
    <w:basedOn w:val="Normal"/>
    <w:link w:val="EE-paragr-12Char"/>
    <w:rsid w:val="00FC6408"/>
    <w:pPr>
      <w:jc w:val="both"/>
    </w:pPr>
  </w:style>
  <w:style w:type="character" w:customStyle="1" w:styleId="EE-paragr-12Char">
    <w:name w:val="EE-paragr-12 Char"/>
    <w:link w:val="EE-paragr-12"/>
    <w:locked/>
    <w:rsid w:val="00FC6408"/>
    <w:rPr>
      <w:rFonts w:cs="Times New Roman"/>
      <w:sz w:val="24"/>
      <w:szCs w:val="24"/>
      <w:lang w:val="lv-LV" w:eastAsia="lv-LV" w:bidi="ar-SA"/>
    </w:rPr>
  </w:style>
  <w:style w:type="paragraph" w:customStyle="1" w:styleId="StyleEE-numbering12pt">
    <w:name w:val="Style EE-numbering + 12 pt"/>
    <w:basedOn w:val="Normal"/>
    <w:link w:val="StyleEE-numbering12ptChar"/>
    <w:autoRedefine/>
    <w:rsid w:val="007C64FF"/>
    <w:pPr>
      <w:spacing w:before="120"/>
      <w:jc w:val="both"/>
    </w:pPr>
    <w:rPr>
      <w:bCs/>
      <w:noProof/>
      <w:color w:val="000000"/>
    </w:rPr>
  </w:style>
  <w:style w:type="character" w:customStyle="1" w:styleId="StyleEE-numbering12ptChar">
    <w:name w:val="Style EE-numbering + 12 pt Char"/>
    <w:link w:val="StyleEE-numbering12pt"/>
    <w:locked/>
    <w:rsid w:val="007C64FF"/>
    <w:rPr>
      <w:rFonts w:cs="Times New Roman"/>
      <w:bCs/>
      <w:noProof/>
      <w:color w:val="000000"/>
      <w:sz w:val="24"/>
      <w:szCs w:val="24"/>
      <w:lang w:val="lv-LV" w:eastAsia="lv-LV" w:bidi="ar-SA"/>
    </w:rPr>
  </w:style>
  <w:style w:type="paragraph" w:customStyle="1" w:styleId="RakstzCharCharRakstzCharCharRakstz">
    <w:name w:val="Rakstz. Char Char Rakstz. Char Char Rakstz."/>
    <w:basedOn w:val="Normal"/>
    <w:rsid w:val="00421CBF"/>
    <w:pPr>
      <w:spacing w:after="160" w:line="240" w:lineRule="exact"/>
    </w:pPr>
    <w:rPr>
      <w:rFonts w:ascii="Tahoma" w:hAnsi="Tahoma"/>
      <w:sz w:val="20"/>
      <w:szCs w:val="20"/>
      <w:lang w:val="en-US" w:eastAsia="en-US"/>
    </w:rPr>
  </w:style>
  <w:style w:type="character" w:customStyle="1" w:styleId="CommentTextChar">
    <w:name w:val="Comment Text Char"/>
    <w:uiPriority w:val="99"/>
    <w:locked/>
    <w:rsid w:val="00253080"/>
    <w:rPr>
      <w:rFonts w:cs="Times New Roman"/>
      <w:lang w:eastAsia="en-US"/>
    </w:rPr>
  </w:style>
  <w:style w:type="character" w:customStyle="1" w:styleId="CharChar2">
    <w:name w:val="Char Char2"/>
    <w:basedOn w:val="DefaultParagraphFont"/>
    <w:semiHidden/>
    <w:rsid w:val="007A37E4"/>
  </w:style>
  <w:style w:type="paragraph" w:styleId="FootnoteText">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Normal"/>
    <w:link w:val="FootnoteTextChar"/>
    <w:uiPriority w:val="99"/>
    <w:rsid w:val="00A21E7C"/>
    <w:pPr>
      <w:jc w:val="both"/>
    </w:pPr>
    <w:rPr>
      <w:sz w:val="20"/>
      <w:szCs w:val="20"/>
      <w:lang w:eastAsia="en-US"/>
    </w:rPr>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f Char"/>
    <w:link w:val="FootnoteText"/>
    <w:uiPriority w:val="99"/>
    <w:rsid w:val="00A21E7C"/>
    <w:rPr>
      <w:lang w:val="lv-LV" w:eastAsia="en-US" w:bidi="ar-SA"/>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link w:val="CharCharCharChar"/>
    <w:uiPriority w:val="99"/>
    <w:rsid w:val="00A21E7C"/>
    <w:rPr>
      <w:vertAlign w:val="superscript"/>
    </w:rPr>
  </w:style>
  <w:style w:type="paragraph" w:customStyle="1" w:styleId="tv213">
    <w:name w:val="tv213"/>
    <w:basedOn w:val="Normal"/>
    <w:rsid w:val="0053084C"/>
    <w:pPr>
      <w:spacing w:before="100" w:beforeAutospacing="1" w:after="100" w:afterAutospacing="1"/>
    </w:pPr>
  </w:style>
  <w:style w:type="paragraph" w:customStyle="1" w:styleId="Body0">
    <w:name w:val="Body"/>
    <w:rsid w:val="002E7AE1"/>
    <w:rPr>
      <w:rFonts w:ascii="Helvetica" w:eastAsia="ヒラギノ角ゴ Pro W3" w:hAnsi="Helvetica"/>
      <w:color w:val="000000"/>
      <w:sz w:val="24"/>
      <w:lang w:val="en-US"/>
    </w:rPr>
  </w:style>
  <w:style w:type="paragraph" w:styleId="BodyText2">
    <w:name w:val="Body Text 2"/>
    <w:basedOn w:val="Normal"/>
    <w:link w:val="BodyText2Char"/>
    <w:rsid w:val="00E25FE3"/>
    <w:pPr>
      <w:spacing w:after="120" w:line="480" w:lineRule="auto"/>
    </w:pPr>
    <w:rPr>
      <w:lang w:val="x-none" w:eastAsia="x-none"/>
    </w:rPr>
  </w:style>
  <w:style w:type="character" w:customStyle="1" w:styleId="BodyText2Char">
    <w:name w:val="Body Text 2 Char"/>
    <w:link w:val="BodyText2"/>
    <w:rsid w:val="00E25FE3"/>
    <w:rPr>
      <w:sz w:val="24"/>
      <w:szCs w:val="24"/>
    </w:rPr>
  </w:style>
  <w:style w:type="character" w:styleId="HTMLTypewriter">
    <w:name w:val="HTML Typewriter"/>
    <w:uiPriority w:val="99"/>
    <w:unhideWhenUsed/>
    <w:rsid w:val="00890E5F"/>
    <w:rPr>
      <w:rFonts w:ascii="Courier New" w:eastAsia="Times New Roman" w:hAnsi="Courier New" w:cs="Courier New"/>
      <w:sz w:val="20"/>
      <w:szCs w:val="20"/>
    </w:rPr>
  </w:style>
  <w:style w:type="character" w:customStyle="1" w:styleId="ColorfulList-Accent1Char">
    <w:name w:val="Colorful List - Accent 1 Char"/>
    <w:aliases w:val="2 Char,Strip Char,List Paragraph Char,H&amp;P List Paragraph Char"/>
    <w:link w:val="ColorfulList-Accent12"/>
    <w:uiPriority w:val="34"/>
    <w:qFormat/>
    <w:rsid w:val="0022272B"/>
    <w:rPr>
      <w:rFonts w:ascii="Calibri" w:hAnsi="Calibri"/>
      <w:sz w:val="22"/>
      <w:szCs w:val="22"/>
      <w:lang w:eastAsia="en-US"/>
    </w:rPr>
  </w:style>
  <w:style w:type="paragraph" w:customStyle="1" w:styleId="ColorfulShading-Accent11">
    <w:name w:val="Colorful Shading - Accent 11"/>
    <w:hidden/>
    <w:uiPriority w:val="99"/>
    <w:semiHidden/>
    <w:rsid w:val="00286B53"/>
    <w:pPr>
      <w:spacing w:line="276" w:lineRule="auto"/>
      <w:jc w:val="both"/>
    </w:pPr>
    <w:rPr>
      <w:rFonts w:ascii="Calibri" w:eastAsia="ヒラギノ角ゴ Pro W3" w:hAnsi="Calibri"/>
      <w:color w:val="000000"/>
      <w:sz w:val="22"/>
      <w:szCs w:val="24"/>
      <w:lang w:eastAsia="en-US"/>
    </w:rPr>
  </w:style>
  <w:style w:type="paragraph" w:customStyle="1" w:styleId="IAPteksts">
    <w:name w:val="IAP teksts"/>
    <w:basedOn w:val="Normal"/>
    <w:link w:val="IAPtekstsChar"/>
    <w:qFormat/>
    <w:rsid w:val="003F7DB7"/>
    <w:pPr>
      <w:tabs>
        <w:tab w:val="right" w:pos="8640"/>
      </w:tabs>
      <w:spacing w:before="120" w:after="120" w:line="240" w:lineRule="exact"/>
      <w:ind w:firstLine="567"/>
      <w:jc w:val="both"/>
    </w:pPr>
    <w:rPr>
      <w:rFonts w:ascii="Garamond" w:eastAsia="Calibri" w:hAnsi="Garamond"/>
      <w:noProof/>
      <w:szCs w:val="22"/>
      <w:lang w:val="x-none" w:eastAsia="en-US"/>
    </w:rPr>
  </w:style>
  <w:style w:type="character" w:customStyle="1" w:styleId="IAPtekstsChar">
    <w:name w:val="IAP teksts Char"/>
    <w:link w:val="IAPteksts"/>
    <w:rsid w:val="003F7DB7"/>
    <w:rPr>
      <w:rFonts w:ascii="Garamond" w:eastAsia="Calibri" w:hAnsi="Garamond"/>
      <w:noProof/>
      <w:sz w:val="24"/>
      <w:szCs w:val="22"/>
      <w:lang w:eastAsia="en-US"/>
    </w:rPr>
  </w:style>
  <w:style w:type="paragraph" w:customStyle="1" w:styleId="MediumGrid21">
    <w:name w:val="Medium Grid 21"/>
    <w:uiPriority w:val="1"/>
    <w:qFormat/>
    <w:rsid w:val="00AB60EE"/>
    <w:rPr>
      <w:rFonts w:ascii="Calibri" w:eastAsia="Calibri" w:hAnsi="Calibri"/>
      <w:sz w:val="22"/>
      <w:szCs w:val="22"/>
      <w:lang w:eastAsia="en-US"/>
    </w:rPr>
  </w:style>
  <w:style w:type="character" w:customStyle="1" w:styleId="apple-converted-space">
    <w:name w:val="apple-converted-space"/>
    <w:rsid w:val="00CC7B9D"/>
  </w:style>
  <w:style w:type="paragraph" w:customStyle="1" w:styleId="Normal1">
    <w:name w:val="Normal1"/>
    <w:rsid w:val="00C246A3"/>
    <w:pPr>
      <w:spacing w:line="276" w:lineRule="auto"/>
      <w:jc w:val="both"/>
    </w:pPr>
    <w:rPr>
      <w:rFonts w:ascii="Calibri" w:hAnsi="Calibri" w:cs="Calibri"/>
      <w:color w:val="000000"/>
      <w:sz w:val="22"/>
      <w:szCs w:val="22"/>
    </w:rPr>
  </w:style>
  <w:style w:type="paragraph" w:customStyle="1" w:styleId="Stils1">
    <w:name w:val="Stils 1"/>
    <w:basedOn w:val="Normal"/>
    <w:link w:val="Stils1Char"/>
    <w:qFormat/>
    <w:rsid w:val="00A97875"/>
    <w:pPr>
      <w:jc w:val="both"/>
    </w:pPr>
    <w:rPr>
      <w:rFonts w:eastAsia="Calibri"/>
      <w:lang w:val="x-none" w:eastAsia="en-US"/>
    </w:rPr>
  </w:style>
  <w:style w:type="character" w:customStyle="1" w:styleId="Stils1Char">
    <w:name w:val="Stils 1 Char"/>
    <w:link w:val="Stils1"/>
    <w:rsid w:val="00A97875"/>
    <w:rPr>
      <w:rFonts w:eastAsia="Calibri"/>
      <w:sz w:val="24"/>
      <w:szCs w:val="24"/>
      <w:lang w:eastAsia="en-US"/>
    </w:rPr>
  </w:style>
  <w:style w:type="paragraph" w:customStyle="1" w:styleId="tv2131">
    <w:name w:val="tv2131"/>
    <w:basedOn w:val="Normal"/>
    <w:rsid w:val="00A80346"/>
    <w:pPr>
      <w:spacing w:line="360" w:lineRule="auto"/>
      <w:ind w:firstLine="335"/>
    </w:pPr>
    <w:rPr>
      <w:color w:val="414142"/>
      <w:sz w:val="22"/>
      <w:szCs w:val="22"/>
    </w:rPr>
  </w:style>
  <w:style w:type="character" w:customStyle="1" w:styleId="naisf14ptRakstz">
    <w:name w:val="naisf + 14pt Rakstz."/>
    <w:link w:val="naisf14pt"/>
    <w:locked/>
    <w:rsid w:val="00211273"/>
    <w:rPr>
      <w:sz w:val="28"/>
      <w:szCs w:val="24"/>
    </w:rPr>
  </w:style>
  <w:style w:type="paragraph" w:customStyle="1" w:styleId="naisf14pt">
    <w:name w:val="naisf + 14pt"/>
    <w:basedOn w:val="Normal"/>
    <w:link w:val="naisf14ptRakstz"/>
    <w:rsid w:val="00211273"/>
    <w:pPr>
      <w:ind w:right="57" w:firstLine="709"/>
      <w:jc w:val="both"/>
    </w:pPr>
    <w:rPr>
      <w:sz w:val="28"/>
    </w:rPr>
  </w:style>
  <w:style w:type="paragraph" w:customStyle="1" w:styleId="CharCharCharChar">
    <w:name w:val="Char Char Char Char"/>
    <w:aliases w:val="Char2"/>
    <w:basedOn w:val="Normal"/>
    <w:next w:val="Normal"/>
    <w:link w:val="FootnoteReference"/>
    <w:uiPriority w:val="99"/>
    <w:rsid w:val="00B56D17"/>
    <w:pPr>
      <w:spacing w:after="160" w:line="240" w:lineRule="exact"/>
      <w:jc w:val="both"/>
    </w:pPr>
    <w:rPr>
      <w:sz w:val="20"/>
      <w:szCs w:val="20"/>
      <w:vertAlign w:val="superscript"/>
    </w:rPr>
  </w:style>
  <w:style w:type="character" w:customStyle="1" w:styleId="FontStyle26">
    <w:name w:val="Font Style26"/>
    <w:uiPriority w:val="99"/>
    <w:rsid w:val="00A22598"/>
    <w:rPr>
      <w:rFonts w:ascii="Times New Roman" w:hAnsi="Times New Roman" w:cs="Times New Roman"/>
      <w:sz w:val="26"/>
      <w:szCs w:val="26"/>
    </w:rPr>
  </w:style>
  <w:style w:type="character" w:customStyle="1" w:styleId="spelle">
    <w:name w:val="spelle"/>
    <w:rsid w:val="00B9772B"/>
  </w:style>
  <w:style w:type="paragraph" w:customStyle="1" w:styleId="tvhtml">
    <w:name w:val="tv_html"/>
    <w:basedOn w:val="Normal"/>
    <w:rsid w:val="006B523A"/>
    <w:pPr>
      <w:spacing w:before="100" w:beforeAutospacing="1" w:after="100" w:afterAutospacing="1"/>
    </w:pPr>
  </w:style>
  <w:style w:type="paragraph" w:customStyle="1" w:styleId="ColorfulList-Accent11">
    <w:name w:val="Colorful List - Accent 11"/>
    <w:aliases w:val="H&amp;P List Paragraph"/>
    <w:basedOn w:val="Normal"/>
    <w:uiPriority w:val="34"/>
    <w:qFormat/>
    <w:rsid w:val="00AC7831"/>
    <w:pPr>
      <w:spacing w:after="200" w:line="276" w:lineRule="auto"/>
      <w:ind w:left="720"/>
      <w:contextualSpacing/>
    </w:pPr>
    <w:rPr>
      <w:rFonts w:ascii="Calibri" w:eastAsia="PMingLiU" w:hAnsi="Calibri"/>
      <w:sz w:val="22"/>
      <w:szCs w:val="22"/>
    </w:rPr>
  </w:style>
  <w:style w:type="paragraph" w:customStyle="1" w:styleId="ColorfulList-Accent13">
    <w:name w:val="Colorful List - Accent 13"/>
    <w:basedOn w:val="Normal"/>
    <w:uiPriority w:val="34"/>
    <w:qFormat/>
    <w:rsid w:val="00EA2332"/>
    <w:pPr>
      <w:widowControl w:val="0"/>
      <w:spacing w:after="200" w:line="276" w:lineRule="auto"/>
      <w:ind w:left="720"/>
      <w:contextualSpacing/>
    </w:pPr>
    <w:rPr>
      <w:rFonts w:ascii="Calibri" w:eastAsia="Calibri" w:hAnsi="Calibri"/>
      <w:sz w:val="22"/>
      <w:szCs w:val="22"/>
      <w:lang w:eastAsia="en-US"/>
    </w:rPr>
  </w:style>
  <w:style w:type="character" w:customStyle="1" w:styleId="Heading3Char">
    <w:name w:val="Heading 3 Char"/>
    <w:link w:val="Heading3"/>
    <w:semiHidden/>
    <w:rsid w:val="005141E9"/>
    <w:rPr>
      <w:rFonts w:ascii="Calibri Light" w:eastAsia="Times New Roman" w:hAnsi="Calibri Light" w:cs="Times New Roman"/>
      <w:b/>
      <w:bCs/>
      <w:sz w:val="26"/>
      <w:szCs w:val="26"/>
    </w:rPr>
  </w:style>
  <w:style w:type="paragraph" w:styleId="PlainText">
    <w:name w:val="Plain Text"/>
    <w:basedOn w:val="Normal"/>
    <w:link w:val="PlainTextChar"/>
    <w:uiPriority w:val="99"/>
    <w:unhideWhenUsed/>
    <w:rsid w:val="007F71D8"/>
    <w:rPr>
      <w:rFonts w:ascii="Calibri" w:eastAsia="Calibri" w:hAnsi="Calibri"/>
      <w:sz w:val="22"/>
      <w:szCs w:val="21"/>
      <w:lang w:eastAsia="en-US"/>
    </w:rPr>
  </w:style>
  <w:style w:type="character" w:customStyle="1" w:styleId="PlainTextChar">
    <w:name w:val="Plain Text Char"/>
    <w:link w:val="PlainText"/>
    <w:uiPriority w:val="99"/>
    <w:rsid w:val="007F71D8"/>
    <w:rPr>
      <w:rFonts w:ascii="Calibri" w:eastAsia="Calibri" w:hAnsi="Calibri"/>
      <w:sz w:val="22"/>
      <w:szCs w:val="21"/>
      <w:lang w:eastAsia="en-US"/>
    </w:rPr>
  </w:style>
  <w:style w:type="paragraph" w:customStyle="1" w:styleId="MediumGrid1-Accent21">
    <w:name w:val="Medium Grid 1 - Accent 21"/>
    <w:basedOn w:val="Normal"/>
    <w:uiPriority w:val="34"/>
    <w:qFormat/>
    <w:rsid w:val="00C01B0D"/>
    <w:pPr>
      <w:spacing w:after="200" w:line="276" w:lineRule="auto"/>
      <w:ind w:left="720"/>
      <w:contextualSpacing/>
    </w:pPr>
    <w:rPr>
      <w:rFonts w:ascii="Calibri" w:eastAsia="Calibri" w:hAnsi="Calibri"/>
      <w:sz w:val="22"/>
      <w:szCs w:val="22"/>
      <w:lang w:eastAsia="en-US"/>
    </w:rPr>
  </w:style>
  <w:style w:type="paragraph" w:styleId="ListParagraph">
    <w:name w:val="List Paragraph"/>
    <w:basedOn w:val="Normal"/>
    <w:uiPriority w:val="34"/>
    <w:qFormat/>
    <w:rsid w:val="00962B23"/>
    <w:pPr>
      <w:ind w:left="720"/>
    </w:pPr>
    <w:rPr>
      <w:rFonts w:ascii="Calibri" w:eastAsia="Calibri" w:hAnsi="Calibri"/>
      <w:sz w:val="22"/>
      <w:szCs w:val="22"/>
      <w:lang w:eastAsia="en-US"/>
    </w:rPr>
  </w:style>
  <w:style w:type="paragraph" w:customStyle="1" w:styleId="CM1">
    <w:name w:val="CM1"/>
    <w:basedOn w:val="Default"/>
    <w:next w:val="Default"/>
    <w:uiPriority w:val="99"/>
    <w:rsid w:val="005E64CF"/>
    <w:rPr>
      <w:rFonts w:ascii="EUAlbertina" w:hAnsi="EUAlbertina"/>
      <w:color w:val="auto"/>
    </w:rPr>
  </w:style>
  <w:style w:type="paragraph" w:customStyle="1" w:styleId="CM3">
    <w:name w:val="CM3"/>
    <w:basedOn w:val="Default"/>
    <w:next w:val="Default"/>
    <w:uiPriority w:val="99"/>
    <w:rsid w:val="005E64CF"/>
    <w:rPr>
      <w:rFonts w:ascii="EUAlbertina" w:hAnsi="EUAlbertina"/>
      <w:color w:val="auto"/>
    </w:rPr>
  </w:style>
  <w:style w:type="paragraph" w:customStyle="1" w:styleId="Normal2">
    <w:name w:val="Normal2"/>
    <w:basedOn w:val="Normal"/>
    <w:rsid w:val="003E4F12"/>
    <w:pPr>
      <w:spacing w:before="100" w:beforeAutospacing="1" w:after="100" w:afterAutospacing="1"/>
    </w:pPr>
  </w:style>
  <w:style w:type="character" w:customStyle="1" w:styleId="super">
    <w:name w:val="super"/>
    <w:basedOn w:val="DefaultParagraphFont"/>
    <w:rsid w:val="00E859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single" w:sz="12" w:space="0" w:color="8CC4C3"/>
            <w:left w:val="single" w:sz="12" w:space="0" w:color="8CC4C3"/>
            <w:bottom w:val="single" w:sz="12" w:space="0" w:color="8CC4C3"/>
            <w:right w:val="single" w:sz="12" w:space="0" w:color="8CC4C3"/>
          </w:divBdr>
          <w:divsChild>
            <w:div w:id="3">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
      </w:divsChild>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
      </w:divsChild>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30">
      <w:marLeft w:val="53"/>
      <w:marRight w:val="53"/>
      <w:marTop w:val="105"/>
      <w:marBottom w:val="105"/>
      <w:divBdr>
        <w:top w:val="none" w:sz="0" w:space="0" w:color="auto"/>
        <w:left w:val="none" w:sz="0" w:space="0" w:color="auto"/>
        <w:bottom w:val="none" w:sz="0" w:space="0" w:color="auto"/>
        <w:right w:val="none" w:sz="0" w:space="0" w:color="auto"/>
      </w:divBdr>
      <w:divsChild>
        <w:div w:id="29">
          <w:marLeft w:val="0"/>
          <w:marRight w:val="0"/>
          <w:marTop w:val="240"/>
          <w:marBottom w:val="0"/>
          <w:divBdr>
            <w:top w:val="none" w:sz="0" w:space="0" w:color="auto"/>
            <w:left w:val="none" w:sz="0" w:space="0" w:color="auto"/>
            <w:bottom w:val="none" w:sz="0" w:space="0" w:color="auto"/>
            <w:right w:val="none" w:sz="0" w:space="0" w:color="auto"/>
          </w:divBdr>
        </w:div>
      </w:divsChild>
    </w:div>
    <w:div w:id="1663514">
      <w:bodyDiv w:val="1"/>
      <w:marLeft w:val="0"/>
      <w:marRight w:val="0"/>
      <w:marTop w:val="0"/>
      <w:marBottom w:val="0"/>
      <w:divBdr>
        <w:top w:val="none" w:sz="0" w:space="0" w:color="auto"/>
        <w:left w:val="none" w:sz="0" w:space="0" w:color="auto"/>
        <w:bottom w:val="none" w:sz="0" w:space="0" w:color="auto"/>
        <w:right w:val="none" w:sz="0" w:space="0" w:color="auto"/>
      </w:divBdr>
    </w:div>
    <w:div w:id="37051251">
      <w:bodyDiv w:val="1"/>
      <w:marLeft w:val="0"/>
      <w:marRight w:val="0"/>
      <w:marTop w:val="0"/>
      <w:marBottom w:val="0"/>
      <w:divBdr>
        <w:top w:val="none" w:sz="0" w:space="0" w:color="auto"/>
        <w:left w:val="none" w:sz="0" w:space="0" w:color="auto"/>
        <w:bottom w:val="none" w:sz="0" w:space="0" w:color="auto"/>
        <w:right w:val="none" w:sz="0" w:space="0" w:color="auto"/>
      </w:divBdr>
    </w:div>
    <w:div w:id="44377105">
      <w:bodyDiv w:val="1"/>
      <w:marLeft w:val="0"/>
      <w:marRight w:val="0"/>
      <w:marTop w:val="0"/>
      <w:marBottom w:val="0"/>
      <w:divBdr>
        <w:top w:val="none" w:sz="0" w:space="0" w:color="auto"/>
        <w:left w:val="none" w:sz="0" w:space="0" w:color="auto"/>
        <w:bottom w:val="none" w:sz="0" w:space="0" w:color="auto"/>
        <w:right w:val="none" w:sz="0" w:space="0" w:color="auto"/>
      </w:divBdr>
    </w:div>
    <w:div w:id="51929100">
      <w:bodyDiv w:val="1"/>
      <w:marLeft w:val="0"/>
      <w:marRight w:val="0"/>
      <w:marTop w:val="0"/>
      <w:marBottom w:val="0"/>
      <w:divBdr>
        <w:top w:val="none" w:sz="0" w:space="0" w:color="auto"/>
        <w:left w:val="none" w:sz="0" w:space="0" w:color="auto"/>
        <w:bottom w:val="none" w:sz="0" w:space="0" w:color="auto"/>
        <w:right w:val="none" w:sz="0" w:space="0" w:color="auto"/>
      </w:divBdr>
    </w:div>
    <w:div w:id="71976143">
      <w:bodyDiv w:val="1"/>
      <w:marLeft w:val="0"/>
      <w:marRight w:val="0"/>
      <w:marTop w:val="0"/>
      <w:marBottom w:val="0"/>
      <w:divBdr>
        <w:top w:val="none" w:sz="0" w:space="0" w:color="auto"/>
        <w:left w:val="none" w:sz="0" w:space="0" w:color="auto"/>
        <w:bottom w:val="none" w:sz="0" w:space="0" w:color="auto"/>
        <w:right w:val="none" w:sz="0" w:space="0" w:color="auto"/>
      </w:divBdr>
    </w:div>
    <w:div w:id="85662349">
      <w:bodyDiv w:val="1"/>
      <w:marLeft w:val="0"/>
      <w:marRight w:val="0"/>
      <w:marTop w:val="0"/>
      <w:marBottom w:val="0"/>
      <w:divBdr>
        <w:top w:val="none" w:sz="0" w:space="0" w:color="auto"/>
        <w:left w:val="none" w:sz="0" w:space="0" w:color="auto"/>
        <w:bottom w:val="none" w:sz="0" w:space="0" w:color="auto"/>
        <w:right w:val="none" w:sz="0" w:space="0" w:color="auto"/>
      </w:divBdr>
    </w:div>
    <w:div w:id="98726087">
      <w:bodyDiv w:val="1"/>
      <w:marLeft w:val="0"/>
      <w:marRight w:val="0"/>
      <w:marTop w:val="0"/>
      <w:marBottom w:val="0"/>
      <w:divBdr>
        <w:top w:val="none" w:sz="0" w:space="0" w:color="auto"/>
        <w:left w:val="none" w:sz="0" w:space="0" w:color="auto"/>
        <w:bottom w:val="none" w:sz="0" w:space="0" w:color="auto"/>
        <w:right w:val="none" w:sz="0" w:space="0" w:color="auto"/>
      </w:divBdr>
    </w:div>
    <w:div w:id="101272066">
      <w:bodyDiv w:val="1"/>
      <w:marLeft w:val="0"/>
      <w:marRight w:val="0"/>
      <w:marTop w:val="0"/>
      <w:marBottom w:val="0"/>
      <w:divBdr>
        <w:top w:val="none" w:sz="0" w:space="0" w:color="auto"/>
        <w:left w:val="none" w:sz="0" w:space="0" w:color="auto"/>
        <w:bottom w:val="none" w:sz="0" w:space="0" w:color="auto"/>
        <w:right w:val="none" w:sz="0" w:space="0" w:color="auto"/>
      </w:divBdr>
    </w:div>
    <w:div w:id="119766398">
      <w:bodyDiv w:val="1"/>
      <w:marLeft w:val="0"/>
      <w:marRight w:val="0"/>
      <w:marTop w:val="0"/>
      <w:marBottom w:val="0"/>
      <w:divBdr>
        <w:top w:val="none" w:sz="0" w:space="0" w:color="auto"/>
        <w:left w:val="none" w:sz="0" w:space="0" w:color="auto"/>
        <w:bottom w:val="none" w:sz="0" w:space="0" w:color="auto"/>
        <w:right w:val="none" w:sz="0" w:space="0" w:color="auto"/>
      </w:divBdr>
    </w:div>
    <w:div w:id="126511981">
      <w:bodyDiv w:val="1"/>
      <w:marLeft w:val="0"/>
      <w:marRight w:val="0"/>
      <w:marTop w:val="0"/>
      <w:marBottom w:val="0"/>
      <w:divBdr>
        <w:top w:val="none" w:sz="0" w:space="0" w:color="auto"/>
        <w:left w:val="none" w:sz="0" w:space="0" w:color="auto"/>
        <w:bottom w:val="none" w:sz="0" w:space="0" w:color="auto"/>
        <w:right w:val="none" w:sz="0" w:space="0" w:color="auto"/>
      </w:divBdr>
    </w:div>
    <w:div w:id="139614785">
      <w:bodyDiv w:val="1"/>
      <w:marLeft w:val="0"/>
      <w:marRight w:val="0"/>
      <w:marTop w:val="0"/>
      <w:marBottom w:val="0"/>
      <w:divBdr>
        <w:top w:val="none" w:sz="0" w:space="0" w:color="auto"/>
        <w:left w:val="none" w:sz="0" w:space="0" w:color="auto"/>
        <w:bottom w:val="none" w:sz="0" w:space="0" w:color="auto"/>
        <w:right w:val="none" w:sz="0" w:space="0" w:color="auto"/>
      </w:divBdr>
    </w:div>
    <w:div w:id="147211692">
      <w:bodyDiv w:val="1"/>
      <w:marLeft w:val="0"/>
      <w:marRight w:val="0"/>
      <w:marTop w:val="0"/>
      <w:marBottom w:val="0"/>
      <w:divBdr>
        <w:top w:val="none" w:sz="0" w:space="0" w:color="auto"/>
        <w:left w:val="none" w:sz="0" w:space="0" w:color="auto"/>
        <w:bottom w:val="none" w:sz="0" w:space="0" w:color="auto"/>
        <w:right w:val="none" w:sz="0" w:space="0" w:color="auto"/>
      </w:divBdr>
    </w:div>
    <w:div w:id="165631652">
      <w:bodyDiv w:val="1"/>
      <w:marLeft w:val="0"/>
      <w:marRight w:val="0"/>
      <w:marTop w:val="0"/>
      <w:marBottom w:val="0"/>
      <w:divBdr>
        <w:top w:val="none" w:sz="0" w:space="0" w:color="auto"/>
        <w:left w:val="none" w:sz="0" w:space="0" w:color="auto"/>
        <w:bottom w:val="none" w:sz="0" w:space="0" w:color="auto"/>
        <w:right w:val="none" w:sz="0" w:space="0" w:color="auto"/>
      </w:divBdr>
      <w:divsChild>
        <w:div w:id="11691782">
          <w:marLeft w:val="0"/>
          <w:marRight w:val="0"/>
          <w:marTop w:val="0"/>
          <w:marBottom w:val="0"/>
          <w:divBdr>
            <w:top w:val="none" w:sz="0" w:space="0" w:color="auto"/>
            <w:left w:val="none" w:sz="0" w:space="0" w:color="auto"/>
            <w:bottom w:val="none" w:sz="0" w:space="0" w:color="auto"/>
            <w:right w:val="none" w:sz="0" w:space="0" w:color="auto"/>
          </w:divBdr>
          <w:divsChild>
            <w:div w:id="1790709334">
              <w:marLeft w:val="0"/>
              <w:marRight w:val="0"/>
              <w:marTop w:val="0"/>
              <w:marBottom w:val="0"/>
              <w:divBdr>
                <w:top w:val="none" w:sz="0" w:space="0" w:color="auto"/>
                <w:left w:val="none" w:sz="0" w:space="0" w:color="auto"/>
                <w:bottom w:val="none" w:sz="0" w:space="0" w:color="auto"/>
                <w:right w:val="none" w:sz="0" w:space="0" w:color="auto"/>
              </w:divBdr>
              <w:divsChild>
                <w:div w:id="352928031">
                  <w:marLeft w:val="0"/>
                  <w:marRight w:val="0"/>
                  <w:marTop w:val="0"/>
                  <w:marBottom w:val="0"/>
                  <w:divBdr>
                    <w:top w:val="none" w:sz="0" w:space="0" w:color="auto"/>
                    <w:left w:val="none" w:sz="0" w:space="0" w:color="auto"/>
                    <w:bottom w:val="none" w:sz="0" w:space="0" w:color="auto"/>
                    <w:right w:val="none" w:sz="0" w:space="0" w:color="auto"/>
                  </w:divBdr>
                  <w:divsChild>
                    <w:div w:id="1133328955">
                      <w:marLeft w:val="0"/>
                      <w:marRight w:val="0"/>
                      <w:marTop w:val="0"/>
                      <w:marBottom w:val="0"/>
                      <w:divBdr>
                        <w:top w:val="none" w:sz="0" w:space="0" w:color="auto"/>
                        <w:left w:val="none" w:sz="0" w:space="0" w:color="auto"/>
                        <w:bottom w:val="none" w:sz="0" w:space="0" w:color="auto"/>
                        <w:right w:val="none" w:sz="0" w:space="0" w:color="auto"/>
                      </w:divBdr>
                      <w:divsChild>
                        <w:div w:id="1880584601">
                          <w:marLeft w:val="0"/>
                          <w:marRight w:val="0"/>
                          <w:marTop w:val="0"/>
                          <w:marBottom w:val="0"/>
                          <w:divBdr>
                            <w:top w:val="none" w:sz="0" w:space="0" w:color="auto"/>
                            <w:left w:val="none" w:sz="0" w:space="0" w:color="auto"/>
                            <w:bottom w:val="none" w:sz="0" w:space="0" w:color="auto"/>
                            <w:right w:val="none" w:sz="0" w:space="0" w:color="auto"/>
                          </w:divBdr>
                          <w:divsChild>
                            <w:div w:id="62863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7202966">
      <w:bodyDiv w:val="1"/>
      <w:marLeft w:val="0"/>
      <w:marRight w:val="0"/>
      <w:marTop w:val="0"/>
      <w:marBottom w:val="0"/>
      <w:divBdr>
        <w:top w:val="none" w:sz="0" w:space="0" w:color="auto"/>
        <w:left w:val="none" w:sz="0" w:space="0" w:color="auto"/>
        <w:bottom w:val="none" w:sz="0" w:space="0" w:color="auto"/>
        <w:right w:val="none" w:sz="0" w:space="0" w:color="auto"/>
      </w:divBdr>
    </w:div>
    <w:div w:id="222376828">
      <w:bodyDiv w:val="1"/>
      <w:marLeft w:val="0"/>
      <w:marRight w:val="0"/>
      <w:marTop w:val="0"/>
      <w:marBottom w:val="0"/>
      <w:divBdr>
        <w:top w:val="none" w:sz="0" w:space="0" w:color="auto"/>
        <w:left w:val="none" w:sz="0" w:space="0" w:color="auto"/>
        <w:bottom w:val="none" w:sz="0" w:space="0" w:color="auto"/>
        <w:right w:val="none" w:sz="0" w:space="0" w:color="auto"/>
      </w:divBdr>
    </w:div>
    <w:div w:id="255136237">
      <w:bodyDiv w:val="1"/>
      <w:marLeft w:val="0"/>
      <w:marRight w:val="0"/>
      <w:marTop w:val="0"/>
      <w:marBottom w:val="0"/>
      <w:divBdr>
        <w:top w:val="none" w:sz="0" w:space="0" w:color="auto"/>
        <w:left w:val="none" w:sz="0" w:space="0" w:color="auto"/>
        <w:bottom w:val="none" w:sz="0" w:space="0" w:color="auto"/>
        <w:right w:val="none" w:sz="0" w:space="0" w:color="auto"/>
      </w:divBdr>
    </w:div>
    <w:div w:id="257494142">
      <w:bodyDiv w:val="1"/>
      <w:marLeft w:val="0"/>
      <w:marRight w:val="0"/>
      <w:marTop w:val="0"/>
      <w:marBottom w:val="0"/>
      <w:divBdr>
        <w:top w:val="none" w:sz="0" w:space="0" w:color="auto"/>
        <w:left w:val="none" w:sz="0" w:space="0" w:color="auto"/>
        <w:bottom w:val="none" w:sz="0" w:space="0" w:color="auto"/>
        <w:right w:val="none" w:sz="0" w:space="0" w:color="auto"/>
      </w:divBdr>
    </w:div>
    <w:div w:id="276301653">
      <w:bodyDiv w:val="1"/>
      <w:marLeft w:val="0"/>
      <w:marRight w:val="0"/>
      <w:marTop w:val="0"/>
      <w:marBottom w:val="0"/>
      <w:divBdr>
        <w:top w:val="none" w:sz="0" w:space="0" w:color="auto"/>
        <w:left w:val="none" w:sz="0" w:space="0" w:color="auto"/>
        <w:bottom w:val="none" w:sz="0" w:space="0" w:color="auto"/>
        <w:right w:val="none" w:sz="0" w:space="0" w:color="auto"/>
      </w:divBdr>
    </w:div>
    <w:div w:id="294603503">
      <w:bodyDiv w:val="1"/>
      <w:marLeft w:val="0"/>
      <w:marRight w:val="0"/>
      <w:marTop w:val="0"/>
      <w:marBottom w:val="0"/>
      <w:divBdr>
        <w:top w:val="none" w:sz="0" w:space="0" w:color="auto"/>
        <w:left w:val="none" w:sz="0" w:space="0" w:color="auto"/>
        <w:bottom w:val="none" w:sz="0" w:space="0" w:color="auto"/>
        <w:right w:val="none" w:sz="0" w:space="0" w:color="auto"/>
      </w:divBdr>
    </w:div>
    <w:div w:id="299655377">
      <w:bodyDiv w:val="1"/>
      <w:marLeft w:val="0"/>
      <w:marRight w:val="0"/>
      <w:marTop w:val="0"/>
      <w:marBottom w:val="0"/>
      <w:divBdr>
        <w:top w:val="none" w:sz="0" w:space="0" w:color="auto"/>
        <w:left w:val="none" w:sz="0" w:space="0" w:color="auto"/>
        <w:bottom w:val="none" w:sz="0" w:space="0" w:color="auto"/>
        <w:right w:val="none" w:sz="0" w:space="0" w:color="auto"/>
      </w:divBdr>
    </w:div>
    <w:div w:id="316879564">
      <w:bodyDiv w:val="1"/>
      <w:marLeft w:val="0"/>
      <w:marRight w:val="0"/>
      <w:marTop w:val="0"/>
      <w:marBottom w:val="0"/>
      <w:divBdr>
        <w:top w:val="none" w:sz="0" w:space="0" w:color="auto"/>
        <w:left w:val="none" w:sz="0" w:space="0" w:color="auto"/>
        <w:bottom w:val="none" w:sz="0" w:space="0" w:color="auto"/>
        <w:right w:val="none" w:sz="0" w:space="0" w:color="auto"/>
      </w:divBdr>
    </w:div>
    <w:div w:id="346366163">
      <w:bodyDiv w:val="1"/>
      <w:marLeft w:val="0"/>
      <w:marRight w:val="0"/>
      <w:marTop w:val="0"/>
      <w:marBottom w:val="0"/>
      <w:divBdr>
        <w:top w:val="none" w:sz="0" w:space="0" w:color="auto"/>
        <w:left w:val="none" w:sz="0" w:space="0" w:color="auto"/>
        <w:bottom w:val="none" w:sz="0" w:space="0" w:color="auto"/>
        <w:right w:val="none" w:sz="0" w:space="0" w:color="auto"/>
      </w:divBdr>
    </w:div>
    <w:div w:id="367219754">
      <w:bodyDiv w:val="1"/>
      <w:marLeft w:val="0"/>
      <w:marRight w:val="0"/>
      <w:marTop w:val="0"/>
      <w:marBottom w:val="0"/>
      <w:divBdr>
        <w:top w:val="none" w:sz="0" w:space="0" w:color="auto"/>
        <w:left w:val="none" w:sz="0" w:space="0" w:color="auto"/>
        <w:bottom w:val="none" w:sz="0" w:space="0" w:color="auto"/>
        <w:right w:val="none" w:sz="0" w:space="0" w:color="auto"/>
      </w:divBdr>
    </w:div>
    <w:div w:id="396436306">
      <w:bodyDiv w:val="1"/>
      <w:marLeft w:val="0"/>
      <w:marRight w:val="0"/>
      <w:marTop w:val="0"/>
      <w:marBottom w:val="0"/>
      <w:divBdr>
        <w:top w:val="none" w:sz="0" w:space="0" w:color="auto"/>
        <w:left w:val="none" w:sz="0" w:space="0" w:color="auto"/>
        <w:bottom w:val="none" w:sz="0" w:space="0" w:color="auto"/>
        <w:right w:val="none" w:sz="0" w:space="0" w:color="auto"/>
      </w:divBdr>
    </w:div>
    <w:div w:id="409153687">
      <w:bodyDiv w:val="1"/>
      <w:marLeft w:val="0"/>
      <w:marRight w:val="0"/>
      <w:marTop w:val="0"/>
      <w:marBottom w:val="0"/>
      <w:divBdr>
        <w:top w:val="none" w:sz="0" w:space="0" w:color="auto"/>
        <w:left w:val="none" w:sz="0" w:space="0" w:color="auto"/>
        <w:bottom w:val="none" w:sz="0" w:space="0" w:color="auto"/>
        <w:right w:val="none" w:sz="0" w:space="0" w:color="auto"/>
      </w:divBdr>
    </w:div>
    <w:div w:id="445657735">
      <w:bodyDiv w:val="1"/>
      <w:marLeft w:val="0"/>
      <w:marRight w:val="0"/>
      <w:marTop w:val="0"/>
      <w:marBottom w:val="0"/>
      <w:divBdr>
        <w:top w:val="none" w:sz="0" w:space="0" w:color="auto"/>
        <w:left w:val="none" w:sz="0" w:space="0" w:color="auto"/>
        <w:bottom w:val="none" w:sz="0" w:space="0" w:color="auto"/>
        <w:right w:val="none" w:sz="0" w:space="0" w:color="auto"/>
      </w:divBdr>
    </w:div>
    <w:div w:id="461970808">
      <w:bodyDiv w:val="1"/>
      <w:marLeft w:val="0"/>
      <w:marRight w:val="0"/>
      <w:marTop w:val="0"/>
      <w:marBottom w:val="0"/>
      <w:divBdr>
        <w:top w:val="none" w:sz="0" w:space="0" w:color="auto"/>
        <w:left w:val="none" w:sz="0" w:space="0" w:color="auto"/>
        <w:bottom w:val="none" w:sz="0" w:space="0" w:color="auto"/>
        <w:right w:val="none" w:sz="0" w:space="0" w:color="auto"/>
      </w:divBdr>
    </w:div>
    <w:div w:id="530150630">
      <w:bodyDiv w:val="1"/>
      <w:marLeft w:val="0"/>
      <w:marRight w:val="0"/>
      <w:marTop w:val="0"/>
      <w:marBottom w:val="0"/>
      <w:divBdr>
        <w:top w:val="none" w:sz="0" w:space="0" w:color="auto"/>
        <w:left w:val="none" w:sz="0" w:space="0" w:color="auto"/>
        <w:bottom w:val="none" w:sz="0" w:space="0" w:color="auto"/>
        <w:right w:val="none" w:sz="0" w:space="0" w:color="auto"/>
      </w:divBdr>
    </w:div>
    <w:div w:id="562370249">
      <w:bodyDiv w:val="1"/>
      <w:marLeft w:val="0"/>
      <w:marRight w:val="0"/>
      <w:marTop w:val="0"/>
      <w:marBottom w:val="0"/>
      <w:divBdr>
        <w:top w:val="none" w:sz="0" w:space="0" w:color="auto"/>
        <w:left w:val="none" w:sz="0" w:space="0" w:color="auto"/>
        <w:bottom w:val="none" w:sz="0" w:space="0" w:color="auto"/>
        <w:right w:val="none" w:sz="0" w:space="0" w:color="auto"/>
      </w:divBdr>
    </w:div>
    <w:div w:id="647630972">
      <w:bodyDiv w:val="1"/>
      <w:marLeft w:val="0"/>
      <w:marRight w:val="0"/>
      <w:marTop w:val="0"/>
      <w:marBottom w:val="0"/>
      <w:divBdr>
        <w:top w:val="none" w:sz="0" w:space="0" w:color="auto"/>
        <w:left w:val="none" w:sz="0" w:space="0" w:color="auto"/>
        <w:bottom w:val="none" w:sz="0" w:space="0" w:color="auto"/>
        <w:right w:val="none" w:sz="0" w:space="0" w:color="auto"/>
      </w:divBdr>
    </w:div>
    <w:div w:id="673142150">
      <w:bodyDiv w:val="1"/>
      <w:marLeft w:val="0"/>
      <w:marRight w:val="0"/>
      <w:marTop w:val="0"/>
      <w:marBottom w:val="0"/>
      <w:divBdr>
        <w:top w:val="none" w:sz="0" w:space="0" w:color="auto"/>
        <w:left w:val="none" w:sz="0" w:space="0" w:color="auto"/>
        <w:bottom w:val="none" w:sz="0" w:space="0" w:color="auto"/>
        <w:right w:val="none" w:sz="0" w:space="0" w:color="auto"/>
      </w:divBdr>
    </w:div>
    <w:div w:id="708457594">
      <w:bodyDiv w:val="1"/>
      <w:marLeft w:val="0"/>
      <w:marRight w:val="0"/>
      <w:marTop w:val="0"/>
      <w:marBottom w:val="0"/>
      <w:divBdr>
        <w:top w:val="none" w:sz="0" w:space="0" w:color="auto"/>
        <w:left w:val="none" w:sz="0" w:space="0" w:color="auto"/>
        <w:bottom w:val="none" w:sz="0" w:space="0" w:color="auto"/>
        <w:right w:val="none" w:sz="0" w:space="0" w:color="auto"/>
      </w:divBdr>
    </w:div>
    <w:div w:id="716902393">
      <w:bodyDiv w:val="1"/>
      <w:marLeft w:val="0"/>
      <w:marRight w:val="0"/>
      <w:marTop w:val="0"/>
      <w:marBottom w:val="0"/>
      <w:divBdr>
        <w:top w:val="none" w:sz="0" w:space="0" w:color="auto"/>
        <w:left w:val="none" w:sz="0" w:space="0" w:color="auto"/>
        <w:bottom w:val="none" w:sz="0" w:space="0" w:color="auto"/>
        <w:right w:val="none" w:sz="0" w:space="0" w:color="auto"/>
      </w:divBdr>
    </w:div>
    <w:div w:id="744955525">
      <w:bodyDiv w:val="1"/>
      <w:marLeft w:val="0"/>
      <w:marRight w:val="0"/>
      <w:marTop w:val="0"/>
      <w:marBottom w:val="0"/>
      <w:divBdr>
        <w:top w:val="none" w:sz="0" w:space="0" w:color="auto"/>
        <w:left w:val="none" w:sz="0" w:space="0" w:color="auto"/>
        <w:bottom w:val="none" w:sz="0" w:space="0" w:color="auto"/>
        <w:right w:val="none" w:sz="0" w:space="0" w:color="auto"/>
      </w:divBdr>
      <w:divsChild>
        <w:div w:id="411854146">
          <w:marLeft w:val="0"/>
          <w:marRight w:val="0"/>
          <w:marTop w:val="0"/>
          <w:marBottom w:val="0"/>
          <w:divBdr>
            <w:top w:val="none" w:sz="0" w:space="0" w:color="auto"/>
            <w:left w:val="none" w:sz="0" w:space="0" w:color="auto"/>
            <w:bottom w:val="none" w:sz="0" w:space="0" w:color="auto"/>
            <w:right w:val="none" w:sz="0" w:space="0" w:color="auto"/>
          </w:divBdr>
          <w:divsChild>
            <w:div w:id="65998089">
              <w:marLeft w:val="0"/>
              <w:marRight w:val="0"/>
              <w:marTop w:val="0"/>
              <w:marBottom w:val="0"/>
              <w:divBdr>
                <w:top w:val="none" w:sz="0" w:space="0" w:color="auto"/>
                <w:left w:val="none" w:sz="0" w:space="0" w:color="auto"/>
                <w:bottom w:val="none" w:sz="0" w:space="0" w:color="auto"/>
                <w:right w:val="none" w:sz="0" w:space="0" w:color="auto"/>
              </w:divBdr>
              <w:divsChild>
                <w:div w:id="486749128">
                  <w:marLeft w:val="0"/>
                  <w:marRight w:val="0"/>
                  <w:marTop w:val="0"/>
                  <w:marBottom w:val="0"/>
                  <w:divBdr>
                    <w:top w:val="none" w:sz="0" w:space="0" w:color="auto"/>
                    <w:left w:val="none" w:sz="0" w:space="0" w:color="auto"/>
                    <w:bottom w:val="none" w:sz="0" w:space="0" w:color="auto"/>
                    <w:right w:val="none" w:sz="0" w:space="0" w:color="auto"/>
                  </w:divBdr>
                  <w:divsChild>
                    <w:div w:id="1305548922">
                      <w:marLeft w:val="0"/>
                      <w:marRight w:val="0"/>
                      <w:marTop w:val="0"/>
                      <w:marBottom w:val="567"/>
                      <w:divBdr>
                        <w:top w:val="none" w:sz="0" w:space="0" w:color="auto"/>
                        <w:left w:val="none" w:sz="0" w:space="0" w:color="auto"/>
                        <w:bottom w:val="none" w:sz="0" w:space="0" w:color="auto"/>
                        <w:right w:val="none" w:sz="0" w:space="0" w:color="auto"/>
                      </w:divBdr>
                    </w:div>
                    <w:div w:id="1969507799">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 w:id="757750459">
      <w:bodyDiv w:val="1"/>
      <w:marLeft w:val="0"/>
      <w:marRight w:val="0"/>
      <w:marTop w:val="0"/>
      <w:marBottom w:val="0"/>
      <w:divBdr>
        <w:top w:val="none" w:sz="0" w:space="0" w:color="auto"/>
        <w:left w:val="none" w:sz="0" w:space="0" w:color="auto"/>
        <w:bottom w:val="none" w:sz="0" w:space="0" w:color="auto"/>
        <w:right w:val="none" w:sz="0" w:space="0" w:color="auto"/>
      </w:divBdr>
    </w:div>
    <w:div w:id="759907900">
      <w:bodyDiv w:val="1"/>
      <w:marLeft w:val="0"/>
      <w:marRight w:val="0"/>
      <w:marTop w:val="0"/>
      <w:marBottom w:val="0"/>
      <w:divBdr>
        <w:top w:val="none" w:sz="0" w:space="0" w:color="auto"/>
        <w:left w:val="none" w:sz="0" w:space="0" w:color="auto"/>
        <w:bottom w:val="none" w:sz="0" w:space="0" w:color="auto"/>
        <w:right w:val="none" w:sz="0" w:space="0" w:color="auto"/>
      </w:divBdr>
    </w:div>
    <w:div w:id="787507025">
      <w:bodyDiv w:val="1"/>
      <w:marLeft w:val="0"/>
      <w:marRight w:val="0"/>
      <w:marTop w:val="0"/>
      <w:marBottom w:val="0"/>
      <w:divBdr>
        <w:top w:val="none" w:sz="0" w:space="0" w:color="auto"/>
        <w:left w:val="none" w:sz="0" w:space="0" w:color="auto"/>
        <w:bottom w:val="none" w:sz="0" w:space="0" w:color="auto"/>
        <w:right w:val="none" w:sz="0" w:space="0" w:color="auto"/>
      </w:divBdr>
      <w:divsChild>
        <w:div w:id="1481386204">
          <w:marLeft w:val="0"/>
          <w:marRight w:val="0"/>
          <w:marTop w:val="0"/>
          <w:marBottom w:val="0"/>
          <w:divBdr>
            <w:top w:val="none" w:sz="0" w:space="0" w:color="auto"/>
            <w:left w:val="none" w:sz="0" w:space="0" w:color="auto"/>
            <w:bottom w:val="none" w:sz="0" w:space="0" w:color="auto"/>
            <w:right w:val="none" w:sz="0" w:space="0" w:color="auto"/>
          </w:divBdr>
        </w:div>
      </w:divsChild>
    </w:div>
    <w:div w:id="834959283">
      <w:bodyDiv w:val="1"/>
      <w:marLeft w:val="0"/>
      <w:marRight w:val="0"/>
      <w:marTop w:val="0"/>
      <w:marBottom w:val="0"/>
      <w:divBdr>
        <w:top w:val="none" w:sz="0" w:space="0" w:color="auto"/>
        <w:left w:val="none" w:sz="0" w:space="0" w:color="auto"/>
        <w:bottom w:val="none" w:sz="0" w:space="0" w:color="auto"/>
        <w:right w:val="none" w:sz="0" w:space="0" w:color="auto"/>
      </w:divBdr>
      <w:divsChild>
        <w:div w:id="211113371">
          <w:marLeft w:val="0"/>
          <w:marRight w:val="0"/>
          <w:marTop w:val="0"/>
          <w:marBottom w:val="0"/>
          <w:divBdr>
            <w:top w:val="none" w:sz="0" w:space="0" w:color="auto"/>
            <w:left w:val="none" w:sz="0" w:space="0" w:color="auto"/>
            <w:bottom w:val="none" w:sz="0" w:space="0" w:color="auto"/>
            <w:right w:val="none" w:sz="0" w:space="0" w:color="auto"/>
          </w:divBdr>
          <w:divsChild>
            <w:div w:id="1196499403">
              <w:marLeft w:val="0"/>
              <w:marRight w:val="0"/>
              <w:marTop w:val="0"/>
              <w:marBottom w:val="0"/>
              <w:divBdr>
                <w:top w:val="none" w:sz="0" w:space="0" w:color="auto"/>
                <w:left w:val="none" w:sz="0" w:space="0" w:color="auto"/>
                <w:bottom w:val="none" w:sz="0" w:space="0" w:color="auto"/>
                <w:right w:val="none" w:sz="0" w:space="0" w:color="auto"/>
              </w:divBdr>
              <w:divsChild>
                <w:div w:id="1944914369">
                  <w:marLeft w:val="0"/>
                  <w:marRight w:val="0"/>
                  <w:marTop w:val="0"/>
                  <w:marBottom w:val="0"/>
                  <w:divBdr>
                    <w:top w:val="none" w:sz="0" w:space="0" w:color="auto"/>
                    <w:left w:val="none" w:sz="0" w:space="0" w:color="auto"/>
                    <w:bottom w:val="none" w:sz="0" w:space="0" w:color="auto"/>
                    <w:right w:val="none" w:sz="0" w:space="0" w:color="auto"/>
                  </w:divBdr>
                  <w:divsChild>
                    <w:div w:id="290863665">
                      <w:marLeft w:val="0"/>
                      <w:marRight w:val="0"/>
                      <w:marTop w:val="0"/>
                      <w:marBottom w:val="0"/>
                      <w:divBdr>
                        <w:top w:val="none" w:sz="0" w:space="0" w:color="auto"/>
                        <w:left w:val="none" w:sz="0" w:space="0" w:color="auto"/>
                        <w:bottom w:val="none" w:sz="0" w:space="0" w:color="auto"/>
                        <w:right w:val="none" w:sz="0" w:space="0" w:color="auto"/>
                      </w:divBdr>
                      <w:divsChild>
                        <w:div w:id="17145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602497">
      <w:bodyDiv w:val="1"/>
      <w:marLeft w:val="0"/>
      <w:marRight w:val="0"/>
      <w:marTop w:val="0"/>
      <w:marBottom w:val="0"/>
      <w:divBdr>
        <w:top w:val="none" w:sz="0" w:space="0" w:color="auto"/>
        <w:left w:val="none" w:sz="0" w:space="0" w:color="auto"/>
        <w:bottom w:val="none" w:sz="0" w:space="0" w:color="auto"/>
        <w:right w:val="none" w:sz="0" w:space="0" w:color="auto"/>
      </w:divBdr>
    </w:div>
    <w:div w:id="883717520">
      <w:bodyDiv w:val="1"/>
      <w:marLeft w:val="0"/>
      <w:marRight w:val="0"/>
      <w:marTop w:val="0"/>
      <w:marBottom w:val="0"/>
      <w:divBdr>
        <w:top w:val="none" w:sz="0" w:space="0" w:color="auto"/>
        <w:left w:val="none" w:sz="0" w:space="0" w:color="auto"/>
        <w:bottom w:val="none" w:sz="0" w:space="0" w:color="auto"/>
        <w:right w:val="none" w:sz="0" w:space="0" w:color="auto"/>
      </w:divBdr>
    </w:div>
    <w:div w:id="886837828">
      <w:bodyDiv w:val="1"/>
      <w:marLeft w:val="0"/>
      <w:marRight w:val="0"/>
      <w:marTop w:val="0"/>
      <w:marBottom w:val="0"/>
      <w:divBdr>
        <w:top w:val="none" w:sz="0" w:space="0" w:color="auto"/>
        <w:left w:val="none" w:sz="0" w:space="0" w:color="auto"/>
        <w:bottom w:val="none" w:sz="0" w:space="0" w:color="auto"/>
        <w:right w:val="none" w:sz="0" w:space="0" w:color="auto"/>
      </w:divBdr>
    </w:div>
    <w:div w:id="890769345">
      <w:bodyDiv w:val="1"/>
      <w:marLeft w:val="0"/>
      <w:marRight w:val="0"/>
      <w:marTop w:val="0"/>
      <w:marBottom w:val="0"/>
      <w:divBdr>
        <w:top w:val="none" w:sz="0" w:space="0" w:color="auto"/>
        <w:left w:val="none" w:sz="0" w:space="0" w:color="auto"/>
        <w:bottom w:val="none" w:sz="0" w:space="0" w:color="auto"/>
        <w:right w:val="none" w:sz="0" w:space="0" w:color="auto"/>
      </w:divBdr>
    </w:div>
    <w:div w:id="942808543">
      <w:bodyDiv w:val="1"/>
      <w:marLeft w:val="0"/>
      <w:marRight w:val="0"/>
      <w:marTop w:val="0"/>
      <w:marBottom w:val="0"/>
      <w:divBdr>
        <w:top w:val="none" w:sz="0" w:space="0" w:color="auto"/>
        <w:left w:val="none" w:sz="0" w:space="0" w:color="auto"/>
        <w:bottom w:val="none" w:sz="0" w:space="0" w:color="auto"/>
        <w:right w:val="none" w:sz="0" w:space="0" w:color="auto"/>
      </w:divBdr>
    </w:div>
    <w:div w:id="971717319">
      <w:bodyDiv w:val="1"/>
      <w:marLeft w:val="0"/>
      <w:marRight w:val="0"/>
      <w:marTop w:val="0"/>
      <w:marBottom w:val="0"/>
      <w:divBdr>
        <w:top w:val="none" w:sz="0" w:space="0" w:color="auto"/>
        <w:left w:val="none" w:sz="0" w:space="0" w:color="auto"/>
        <w:bottom w:val="none" w:sz="0" w:space="0" w:color="auto"/>
        <w:right w:val="none" w:sz="0" w:space="0" w:color="auto"/>
      </w:divBdr>
    </w:div>
    <w:div w:id="972977133">
      <w:bodyDiv w:val="1"/>
      <w:marLeft w:val="0"/>
      <w:marRight w:val="0"/>
      <w:marTop w:val="0"/>
      <w:marBottom w:val="0"/>
      <w:divBdr>
        <w:top w:val="none" w:sz="0" w:space="0" w:color="auto"/>
        <w:left w:val="none" w:sz="0" w:space="0" w:color="auto"/>
        <w:bottom w:val="none" w:sz="0" w:space="0" w:color="auto"/>
        <w:right w:val="none" w:sz="0" w:space="0" w:color="auto"/>
      </w:divBdr>
      <w:divsChild>
        <w:div w:id="148518006">
          <w:marLeft w:val="0"/>
          <w:marRight w:val="0"/>
          <w:marTop w:val="0"/>
          <w:marBottom w:val="0"/>
          <w:divBdr>
            <w:top w:val="none" w:sz="0" w:space="0" w:color="auto"/>
            <w:left w:val="none" w:sz="0" w:space="0" w:color="auto"/>
            <w:bottom w:val="none" w:sz="0" w:space="0" w:color="auto"/>
            <w:right w:val="none" w:sz="0" w:space="0" w:color="auto"/>
          </w:divBdr>
          <w:divsChild>
            <w:div w:id="1480685974">
              <w:marLeft w:val="0"/>
              <w:marRight w:val="0"/>
              <w:marTop w:val="0"/>
              <w:marBottom w:val="0"/>
              <w:divBdr>
                <w:top w:val="none" w:sz="0" w:space="0" w:color="auto"/>
                <w:left w:val="none" w:sz="0" w:space="0" w:color="auto"/>
                <w:bottom w:val="none" w:sz="0" w:space="0" w:color="auto"/>
                <w:right w:val="none" w:sz="0" w:space="0" w:color="auto"/>
              </w:divBdr>
              <w:divsChild>
                <w:div w:id="519664403">
                  <w:marLeft w:val="0"/>
                  <w:marRight w:val="0"/>
                  <w:marTop w:val="0"/>
                  <w:marBottom w:val="0"/>
                  <w:divBdr>
                    <w:top w:val="none" w:sz="0" w:space="0" w:color="auto"/>
                    <w:left w:val="none" w:sz="0" w:space="0" w:color="auto"/>
                    <w:bottom w:val="none" w:sz="0" w:space="0" w:color="auto"/>
                    <w:right w:val="none" w:sz="0" w:space="0" w:color="auto"/>
                  </w:divBdr>
                  <w:divsChild>
                    <w:div w:id="730662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2950141">
      <w:bodyDiv w:val="1"/>
      <w:marLeft w:val="0"/>
      <w:marRight w:val="0"/>
      <w:marTop w:val="0"/>
      <w:marBottom w:val="0"/>
      <w:divBdr>
        <w:top w:val="none" w:sz="0" w:space="0" w:color="auto"/>
        <w:left w:val="none" w:sz="0" w:space="0" w:color="auto"/>
        <w:bottom w:val="none" w:sz="0" w:space="0" w:color="auto"/>
        <w:right w:val="none" w:sz="0" w:space="0" w:color="auto"/>
      </w:divBdr>
    </w:div>
    <w:div w:id="999700871">
      <w:bodyDiv w:val="1"/>
      <w:marLeft w:val="0"/>
      <w:marRight w:val="0"/>
      <w:marTop w:val="0"/>
      <w:marBottom w:val="0"/>
      <w:divBdr>
        <w:top w:val="none" w:sz="0" w:space="0" w:color="auto"/>
        <w:left w:val="none" w:sz="0" w:space="0" w:color="auto"/>
        <w:bottom w:val="none" w:sz="0" w:space="0" w:color="auto"/>
        <w:right w:val="none" w:sz="0" w:space="0" w:color="auto"/>
      </w:divBdr>
    </w:div>
    <w:div w:id="1021279714">
      <w:bodyDiv w:val="1"/>
      <w:marLeft w:val="0"/>
      <w:marRight w:val="0"/>
      <w:marTop w:val="0"/>
      <w:marBottom w:val="0"/>
      <w:divBdr>
        <w:top w:val="none" w:sz="0" w:space="0" w:color="auto"/>
        <w:left w:val="none" w:sz="0" w:space="0" w:color="auto"/>
        <w:bottom w:val="none" w:sz="0" w:space="0" w:color="auto"/>
        <w:right w:val="none" w:sz="0" w:space="0" w:color="auto"/>
      </w:divBdr>
    </w:div>
    <w:div w:id="1031491298">
      <w:bodyDiv w:val="1"/>
      <w:marLeft w:val="0"/>
      <w:marRight w:val="0"/>
      <w:marTop w:val="0"/>
      <w:marBottom w:val="0"/>
      <w:divBdr>
        <w:top w:val="none" w:sz="0" w:space="0" w:color="auto"/>
        <w:left w:val="none" w:sz="0" w:space="0" w:color="auto"/>
        <w:bottom w:val="none" w:sz="0" w:space="0" w:color="auto"/>
        <w:right w:val="none" w:sz="0" w:space="0" w:color="auto"/>
      </w:divBdr>
    </w:div>
    <w:div w:id="1040665678">
      <w:bodyDiv w:val="1"/>
      <w:marLeft w:val="0"/>
      <w:marRight w:val="0"/>
      <w:marTop w:val="0"/>
      <w:marBottom w:val="0"/>
      <w:divBdr>
        <w:top w:val="none" w:sz="0" w:space="0" w:color="auto"/>
        <w:left w:val="none" w:sz="0" w:space="0" w:color="auto"/>
        <w:bottom w:val="none" w:sz="0" w:space="0" w:color="auto"/>
        <w:right w:val="none" w:sz="0" w:space="0" w:color="auto"/>
      </w:divBdr>
    </w:div>
    <w:div w:id="1066418195">
      <w:bodyDiv w:val="1"/>
      <w:marLeft w:val="0"/>
      <w:marRight w:val="0"/>
      <w:marTop w:val="0"/>
      <w:marBottom w:val="0"/>
      <w:divBdr>
        <w:top w:val="none" w:sz="0" w:space="0" w:color="auto"/>
        <w:left w:val="none" w:sz="0" w:space="0" w:color="auto"/>
        <w:bottom w:val="none" w:sz="0" w:space="0" w:color="auto"/>
        <w:right w:val="none" w:sz="0" w:space="0" w:color="auto"/>
      </w:divBdr>
    </w:div>
    <w:div w:id="1066951275">
      <w:bodyDiv w:val="1"/>
      <w:marLeft w:val="0"/>
      <w:marRight w:val="0"/>
      <w:marTop w:val="0"/>
      <w:marBottom w:val="0"/>
      <w:divBdr>
        <w:top w:val="none" w:sz="0" w:space="0" w:color="auto"/>
        <w:left w:val="none" w:sz="0" w:space="0" w:color="auto"/>
        <w:bottom w:val="none" w:sz="0" w:space="0" w:color="auto"/>
        <w:right w:val="none" w:sz="0" w:space="0" w:color="auto"/>
      </w:divBdr>
    </w:div>
    <w:div w:id="1069841830">
      <w:bodyDiv w:val="1"/>
      <w:marLeft w:val="0"/>
      <w:marRight w:val="0"/>
      <w:marTop w:val="0"/>
      <w:marBottom w:val="0"/>
      <w:divBdr>
        <w:top w:val="none" w:sz="0" w:space="0" w:color="auto"/>
        <w:left w:val="none" w:sz="0" w:space="0" w:color="auto"/>
        <w:bottom w:val="none" w:sz="0" w:space="0" w:color="auto"/>
        <w:right w:val="none" w:sz="0" w:space="0" w:color="auto"/>
      </w:divBdr>
    </w:div>
    <w:div w:id="1083377251">
      <w:bodyDiv w:val="1"/>
      <w:marLeft w:val="0"/>
      <w:marRight w:val="0"/>
      <w:marTop w:val="0"/>
      <w:marBottom w:val="0"/>
      <w:divBdr>
        <w:top w:val="none" w:sz="0" w:space="0" w:color="auto"/>
        <w:left w:val="none" w:sz="0" w:space="0" w:color="auto"/>
        <w:bottom w:val="none" w:sz="0" w:space="0" w:color="auto"/>
        <w:right w:val="none" w:sz="0" w:space="0" w:color="auto"/>
      </w:divBdr>
    </w:div>
    <w:div w:id="1106534406">
      <w:bodyDiv w:val="1"/>
      <w:marLeft w:val="0"/>
      <w:marRight w:val="0"/>
      <w:marTop w:val="0"/>
      <w:marBottom w:val="0"/>
      <w:divBdr>
        <w:top w:val="none" w:sz="0" w:space="0" w:color="auto"/>
        <w:left w:val="none" w:sz="0" w:space="0" w:color="auto"/>
        <w:bottom w:val="none" w:sz="0" w:space="0" w:color="auto"/>
        <w:right w:val="none" w:sz="0" w:space="0" w:color="auto"/>
      </w:divBdr>
    </w:div>
    <w:div w:id="1125268405">
      <w:bodyDiv w:val="1"/>
      <w:marLeft w:val="0"/>
      <w:marRight w:val="0"/>
      <w:marTop w:val="0"/>
      <w:marBottom w:val="0"/>
      <w:divBdr>
        <w:top w:val="none" w:sz="0" w:space="0" w:color="auto"/>
        <w:left w:val="none" w:sz="0" w:space="0" w:color="auto"/>
        <w:bottom w:val="none" w:sz="0" w:space="0" w:color="auto"/>
        <w:right w:val="none" w:sz="0" w:space="0" w:color="auto"/>
      </w:divBdr>
    </w:div>
    <w:div w:id="1127235879">
      <w:bodyDiv w:val="1"/>
      <w:marLeft w:val="0"/>
      <w:marRight w:val="0"/>
      <w:marTop w:val="0"/>
      <w:marBottom w:val="0"/>
      <w:divBdr>
        <w:top w:val="none" w:sz="0" w:space="0" w:color="auto"/>
        <w:left w:val="none" w:sz="0" w:space="0" w:color="auto"/>
        <w:bottom w:val="none" w:sz="0" w:space="0" w:color="auto"/>
        <w:right w:val="none" w:sz="0" w:space="0" w:color="auto"/>
      </w:divBdr>
    </w:div>
    <w:div w:id="1148012012">
      <w:bodyDiv w:val="1"/>
      <w:marLeft w:val="0"/>
      <w:marRight w:val="0"/>
      <w:marTop w:val="0"/>
      <w:marBottom w:val="0"/>
      <w:divBdr>
        <w:top w:val="none" w:sz="0" w:space="0" w:color="auto"/>
        <w:left w:val="none" w:sz="0" w:space="0" w:color="auto"/>
        <w:bottom w:val="none" w:sz="0" w:space="0" w:color="auto"/>
        <w:right w:val="none" w:sz="0" w:space="0" w:color="auto"/>
      </w:divBdr>
    </w:div>
    <w:div w:id="1223567203">
      <w:bodyDiv w:val="1"/>
      <w:marLeft w:val="0"/>
      <w:marRight w:val="0"/>
      <w:marTop w:val="0"/>
      <w:marBottom w:val="0"/>
      <w:divBdr>
        <w:top w:val="none" w:sz="0" w:space="0" w:color="auto"/>
        <w:left w:val="none" w:sz="0" w:space="0" w:color="auto"/>
        <w:bottom w:val="none" w:sz="0" w:space="0" w:color="auto"/>
        <w:right w:val="none" w:sz="0" w:space="0" w:color="auto"/>
      </w:divBdr>
    </w:div>
    <w:div w:id="1223833173">
      <w:bodyDiv w:val="1"/>
      <w:marLeft w:val="0"/>
      <w:marRight w:val="0"/>
      <w:marTop w:val="0"/>
      <w:marBottom w:val="0"/>
      <w:divBdr>
        <w:top w:val="none" w:sz="0" w:space="0" w:color="auto"/>
        <w:left w:val="none" w:sz="0" w:space="0" w:color="auto"/>
        <w:bottom w:val="none" w:sz="0" w:space="0" w:color="auto"/>
        <w:right w:val="none" w:sz="0" w:space="0" w:color="auto"/>
      </w:divBdr>
    </w:div>
    <w:div w:id="1258902260">
      <w:bodyDiv w:val="1"/>
      <w:marLeft w:val="0"/>
      <w:marRight w:val="0"/>
      <w:marTop w:val="0"/>
      <w:marBottom w:val="0"/>
      <w:divBdr>
        <w:top w:val="none" w:sz="0" w:space="0" w:color="auto"/>
        <w:left w:val="none" w:sz="0" w:space="0" w:color="auto"/>
        <w:bottom w:val="none" w:sz="0" w:space="0" w:color="auto"/>
        <w:right w:val="none" w:sz="0" w:space="0" w:color="auto"/>
      </w:divBdr>
    </w:div>
    <w:div w:id="1267880422">
      <w:bodyDiv w:val="1"/>
      <w:marLeft w:val="0"/>
      <w:marRight w:val="0"/>
      <w:marTop w:val="0"/>
      <w:marBottom w:val="0"/>
      <w:divBdr>
        <w:top w:val="none" w:sz="0" w:space="0" w:color="auto"/>
        <w:left w:val="none" w:sz="0" w:space="0" w:color="auto"/>
        <w:bottom w:val="none" w:sz="0" w:space="0" w:color="auto"/>
        <w:right w:val="none" w:sz="0" w:space="0" w:color="auto"/>
      </w:divBdr>
      <w:divsChild>
        <w:div w:id="2020935078">
          <w:marLeft w:val="1195"/>
          <w:marRight w:val="0"/>
          <w:marTop w:val="0"/>
          <w:marBottom w:val="0"/>
          <w:divBdr>
            <w:top w:val="none" w:sz="0" w:space="0" w:color="auto"/>
            <w:left w:val="none" w:sz="0" w:space="0" w:color="auto"/>
            <w:bottom w:val="none" w:sz="0" w:space="0" w:color="auto"/>
            <w:right w:val="none" w:sz="0" w:space="0" w:color="auto"/>
          </w:divBdr>
        </w:div>
      </w:divsChild>
    </w:div>
    <w:div w:id="1309480403">
      <w:bodyDiv w:val="1"/>
      <w:marLeft w:val="0"/>
      <w:marRight w:val="0"/>
      <w:marTop w:val="0"/>
      <w:marBottom w:val="0"/>
      <w:divBdr>
        <w:top w:val="none" w:sz="0" w:space="0" w:color="auto"/>
        <w:left w:val="none" w:sz="0" w:space="0" w:color="auto"/>
        <w:bottom w:val="none" w:sz="0" w:space="0" w:color="auto"/>
        <w:right w:val="none" w:sz="0" w:space="0" w:color="auto"/>
      </w:divBdr>
    </w:div>
    <w:div w:id="1369335060">
      <w:bodyDiv w:val="1"/>
      <w:marLeft w:val="0"/>
      <w:marRight w:val="0"/>
      <w:marTop w:val="0"/>
      <w:marBottom w:val="0"/>
      <w:divBdr>
        <w:top w:val="none" w:sz="0" w:space="0" w:color="auto"/>
        <w:left w:val="none" w:sz="0" w:space="0" w:color="auto"/>
        <w:bottom w:val="none" w:sz="0" w:space="0" w:color="auto"/>
        <w:right w:val="none" w:sz="0" w:space="0" w:color="auto"/>
      </w:divBdr>
    </w:div>
    <w:div w:id="1378159499">
      <w:bodyDiv w:val="1"/>
      <w:marLeft w:val="0"/>
      <w:marRight w:val="0"/>
      <w:marTop w:val="0"/>
      <w:marBottom w:val="0"/>
      <w:divBdr>
        <w:top w:val="none" w:sz="0" w:space="0" w:color="auto"/>
        <w:left w:val="none" w:sz="0" w:space="0" w:color="auto"/>
        <w:bottom w:val="none" w:sz="0" w:space="0" w:color="auto"/>
        <w:right w:val="none" w:sz="0" w:space="0" w:color="auto"/>
      </w:divBdr>
    </w:div>
    <w:div w:id="1396734248">
      <w:bodyDiv w:val="1"/>
      <w:marLeft w:val="0"/>
      <w:marRight w:val="0"/>
      <w:marTop w:val="0"/>
      <w:marBottom w:val="0"/>
      <w:divBdr>
        <w:top w:val="none" w:sz="0" w:space="0" w:color="auto"/>
        <w:left w:val="none" w:sz="0" w:space="0" w:color="auto"/>
        <w:bottom w:val="none" w:sz="0" w:space="0" w:color="auto"/>
        <w:right w:val="none" w:sz="0" w:space="0" w:color="auto"/>
      </w:divBdr>
    </w:div>
    <w:div w:id="1411780642">
      <w:bodyDiv w:val="1"/>
      <w:marLeft w:val="0"/>
      <w:marRight w:val="0"/>
      <w:marTop w:val="0"/>
      <w:marBottom w:val="0"/>
      <w:divBdr>
        <w:top w:val="none" w:sz="0" w:space="0" w:color="auto"/>
        <w:left w:val="none" w:sz="0" w:space="0" w:color="auto"/>
        <w:bottom w:val="none" w:sz="0" w:space="0" w:color="auto"/>
        <w:right w:val="none" w:sz="0" w:space="0" w:color="auto"/>
      </w:divBdr>
    </w:div>
    <w:div w:id="1412122454">
      <w:bodyDiv w:val="1"/>
      <w:marLeft w:val="0"/>
      <w:marRight w:val="0"/>
      <w:marTop w:val="0"/>
      <w:marBottom w:val="0"/>
      <w:divBdr>
        <w:top w:val="none" w:sz="0" w:space="0" w:color="auto"/>
        <w:left w:val="none" w:sz="0" w:space="0" w:color="auto"/>
        <w:bottom w:val="none" w:sz="0" w:space="0" w:color="auto"/>
        <w:right w:val="none" w:sz="0" w:space="0" w:color="auto"/>
      </w:divBdr>
      <w:divsChild>
        <w:div w:id="1080634448">
          <w:marLeft w:val="0"/>
          <w:marRight w:val="0"/>
          <w:marTop w:val="480"/>
          <w:marBottom w:val="240"/>
          <w:divBdr>
            <w:top w:val="none" w:sz="0" w:space="0" w:color="auto"/>
            <w:left w:val="none" w:sz="0" w:space="0" w:color="auto"/>
            <w:bottom w:val="none" w:sz="0" w:space="0" w:color="auto"/>
            <w:right w:val="none" w:sz="0" w:space="0" w:color="auto"/>
          </w:divBdr>
        </w:div>
        <w:div w:id="318968854">
          <w:marLeft w:val="0"/>
          <w:marRight w:val="0"/>
          <w:marTop w:val="0"/>
          <w:marBottom w:val="567"/>
          <w:divBdr>
            <w:top w:val="none" w:sz="0" w:space="0" w:color="auto"/>
            <w:left w:val="none" w:sz="0" w:space="0" w:color="auto"/>
            <w:bottom w:val="none" w:sz="0" w:space="0" w:color="auto"/>
            <w:right w:val="none" w:sz="0" w:space="0" w:color="auto"/>
          </w:divBdr>
        </w:div>
        <w:div w:id="690765286">
          <w:marLeft w:val="0"/>
          <w:marRight w:val="0"/>
          <w:marTop w:val="0"/>
          <w:marBottom w:val="0"/>
          <w:divBdr>
            <w:top w:val="none" w:sz="0" w:space="0" w:color="auto"/>
            <w:left w:val="none" w:sz="0" w:space="0" w:color="auto"/>
            <w:bottom w:val="none" w:sz="0" w:space="0" w:color="auto"/>
            <w:right w:val="none" w:sz="0" w:space="0" w:color="auto"/>
          </w:divBdr>
        </w:div>
        <w:div w:id="1264534738">
          <w:marLeft w:val="0"/>
          <w:marRight w:val="0"/>
          <w:marTop w:val="0"/>
          <w:marBottom w:val="0"/>
          <w:divBdr>
            <w:top w:val="none" w:sz="0" w:space="0" w:color="auto"/>
            <w:left w:val="none" w:sz="0" w:space="0" w:color="auto"/>
            <w:bottom w:val="none" w:sz="0" w:space="0" w:color="auto"/>
            <w:right w:val="none" w:sz="0" w:space="0" w:color="auto"/>
          </w:divBdr>
        </w:div>
        <w:div w:id="1141919168">
          <w:marLeft w:val="0"/>
          <w:marRight w:val="0"/>
          <w:marTop w:val="0"/>
          <w:marBottom w:val="0"/>
          <w:divBdr>
            <w:top w:val="none" w:sz="0" w:space="0" w:color="auto"/>
            <w:left w:val="none" w:sz="0" w:space="0" w:color="auto"/>
            <w:bottom w:val="none" w:sz="0" w:space="0" w:color="auto"/>
            <w:right w:val="none" w:sz="0" w:space="0" w:color="auto"/>
          </w:divBdr>
        </w:div>
      </w:divsChild>
    </w:div>
    <w:div w:id="1420717319">
      <w:bodyDiv w:val="1"/>
      <w:marLeft w:val="0"/>
      <w:marRight w:val="0"/>
      <w:marTop w:val="0"/>
      <w:marBottom w:val="0"/>
      <w:divBdr>
        <w:top w:val="none" w:sz="0" w:space="0" w:color="auto"/>
        <w:left w:val="none" w:sz="0" w:space="0" w:color="auto"/>
        <w:bottom w:val="none" w:sz="0" w:space="0" w:color="auto"/>
        <w:right w:val="none" w:sz="0" w:space="0" w:color="auto"/>
      </w:divBdr>
    </w:div>
    <w:div w:id="1428505538">
      <w:bodyDiv w:val="1"/>
      <w:marLeft w:val="0"/>
      <w:marRight w:val="0"/>
      <w:marTop w:val="0"/>
      <w:marBottom w:val="0"/>
      <w:divBdr>
        <w:top w:val="none" w:sz="0" w:space="0" w:color="auto"/>
        <w:left w:val="none" w:sz="0" w:space="0" w:color="auto"/>
        <w:bottom w:val="none" w:sz="0" w:space="0" w:color="auto"/>
        <w:right w:val="none" w:sz="0" w:space="0" w:color="auto"/>
      </w:divBdr>
      <w:divsChild>
        <w:div w:id="1134132949">
          <w:marLeft w:val="0"/>
          <w:marRight w:val="0"/>
          <w:marTop w:val="0"/>
          <w:marBottom w:val="0"/>
          <w:divBdr>
            <w:top w:val="none" w:sz="0" w:space="0" w:color="auto"/>
            <w:left w:val="none" w:sz="0" w:space="0" w:color="auto"/>
            <w:bottom w:val="none" w:sz="0" w:space="0" w:color="auto"/>
            <w:right w:val="none" w:sz="0" w:space="0" w:color="auto"/>
          </w:divBdr>
          <w:divsChild>
            <w:div w:id="394276388">
              <w:marLeft w:val="0"/>
              <w:marRight w:val="0"/>
              <w:marTop w:val="0"/>
              <w:marBottom w:val="0"/>
              <w:divBdr>
                <w:top w:val="none" w:sz="0" w:space="0" w:color="auto"/>
                <w:left w:val="none" w:sz="0" w:space="0" w:color="auto"/>
                <w:bottom w:val="none" w:sz="0" w:space="0" w:color="auto"/>
                <w:right w:val="none" w:sz="0" w:space="0" w:color="auto"/>
              </w:divBdr>
              <w:divsChild>
                <w:div w:id="491600026">
                  <w:marLeft w:val="0"/>
                  <w:marRight w:val="0"/>
                  <w:marTop w:val="0"/>
                  <w:marBottom w:val="0"/>
                  <w:divBdr>
                    <w:top w:val="none" w:sz="0" w:space="0" w:color="auto"/>
                    <w:left w:val="none" w:sz="0" w:space="0" w:color="auto"/>
                    <w:bottom w:val="none" w:sz="0" w:space="0" w:color="auto"/>
                    <w:right w:val="none" w:sz="0" w:space="0" w:color="auto"/>
                  </w:divBdr>
                  <w:divsChild>
                    <w:div w:id="1119301495">
                      <w:marLeft w:val="0"/>
                      <w:marRight w:val="0"/>
                      <w:marTop w:val="480"/>
                      <w:marBottom w:val="240"/>
                      <w:divBdr>
                        <w:top w:val="none" w:sz="0" w:space="0" w:color="auto"/>
                        <w:left w:val="none" w:sz="0" w:space="0" w:color="auto"/>
                        <w:bottom w:val="none" w:sz="0" w:space="0" w:color="auto"/>
                        <w:right w:val="none" w:sz="0" w:space="0" w:color="auto"/>
                      </w:divBdr>
                    </w:div>
                    <w:div w:id="2123183599">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 w:id="1436055121">
      <w:bodyDiv w:val="1"/>
      <w:marLeft w:val="0"/>
      <w:marRight w:val="0"/>
      <w:marTop w:val="0"/>
      <w:marBottom w:val="0"/>
      <w:divBdr>
        <w:top w:val="none" w:sz="0" w:space="0" w:color="auto"/>
        <w:left w:val="none" w:sz="0" w:space="0" w:color="auto"/>
        <w:bottom w:val="none" w:sz="0" w:space="0" w:color="auto"/>
        <w:right w:val="none" w:sz="0" w:space="0" w:color="auto"/>
      </w:divBdr>
    </w:div>
    <w:div w:id="1460605700">
      <w:bodyDiv w:val="1"/>
      <w:marLeft w:val="0"/>
      <w:marRight w:val="0"/>
      <w:marTop w:val="0"/>
      <w:marBottom w:val="0"/>
      <w:divBdr>
        <w:top w:val="none" w:sz="0" w:space="0" w:color="auto"/>
        <w:left w:val="none" w:sz="0" w:space="0" w:color="auto"/>
        <w:bottom w:val="none" w:sz="0" w:space="0" w:color="auto"/>
        <w:right w:val="none" w:sz="0" w:space="0" w:color="auto"/>
      </w:divBdr>
    </w:div>
    <w:div w:id="1540583737">
      <w:bodyDiv w:val="1"/>
      <w:marLeft w:val="0"/>
      <w:marRight w:val="0"/>
      <w:marTop w:val="0"/>
      <w:marBottom w:val="0"/>
      <w:divBdr>
        <w:top w:val="none" w:sz="0" w:space="0" w:color="auto"/>
        <w:left w:val="none" w:sz="0" w:space="0" w:color="auto"/>
        <w:bottom w:val="none" w:sz="0" w:space="0" w:color="auto"/>
        <w:right w:val="none" w:sz="0" w:space="0" w:color="auto"/>
      </w:divBdr>
    </w:div>
    <w:div w:id="1566454412">
      <w:bodyDiv w:val="1"/>
      <w:marLeft w:val="0"/>
      <w:marRight w:val="0"/>
      <w:marTop w:val="0"/>
      <w:marBottom w:val="0"/>
      <w:divBdr>
        <w:top w:val="none" w:sz="0" w:space="0" w:color="auto"/>
        <w:left w:val="none" w:sz="0" w:space="0" w:color="auto"/>
        <w:bottom w:val="none" w:sz="0" w:space="0" w:color="auto"/>
        <w:right w:val="none" w:sz="0" w:space="0" w:color="auto"/>
      </w:divBdr>
    </w:div>
    <w:div w:id="1607034283">
      <w:bodyDiv w:val="1"/>
      <w:marLeft w:val="0"/>
      <w:marRight w:val="0"/>
      <w:marTop w:val="0"/>
      <w:marBottom w:val="0"/>
      <w:divBdr>
        <w:top w:val="none" w:sz="0" w:space="0" w:color="auto"/>
        <w:left w:val="none" w:sz="0" w:space="0" w:color="auto"/>
        <w:bottom w:val="none" w:sz="0" w:space="0" w:color="auto"/>
        <w:right w:val="none" w:sz="0" w:space="0" w:color="auto"/>
      </w:divBdr>
    </w:div>
    <w:div w:id="1663387977">
      <w:bodyDiv w:val="1"/>
      <w:marLeft w:val="0"/>
      <w:marRight w:val="0"/>
      <w:marTop w:val="0"/>
      <w:marBottom w:val="0"/>
      <w:divBdr>
        <w:top w:val="none" w:sz="0" w:space="0" w:color="auto"/>
        <w:left w:val="none" w:sz="0" w:space="0" w:color="auto"/>
        <w:bottom w:val="none" w:sz="0" w:space="0" w:color="auto"/>
        <w:right w:val="none" w:sz="0" w:space="0" w:color="auto"/>
      </w:divBdr>
    </w:div>
    <w:div w:id="1697653696">
      <w:bodyDiv w:val="1"/>
      <w:marLeft w:val="0"/>
      <w:marRight w:val="0"/>
      <w:marTop w:val="0"/>
      <w:marBottom w:val="0"/>
      <w:divBdr>
        <w:top w:val="none" w:sz="0" w:space="0" w:color="auto"/>
        <w:left w:val="none" w:sz="0" w:space="0" w:color="auto"/>
        <w:bottom w:val="none" w:sz="0" w:space="0" w:color="auto"/>
        <w:right w:val="none" w:sz="0" w:space="0" w:color="auto"/>
      </w:divBdr>
    </w:div>
    <w:div w:id="1702317676">
      <w:bodyDiv w:val="1"/>
      <w:marLeft w:val="0"/>
      <w:marRight w:val="0"/>
      <w:marTop w:val="0"/>
      <w:marBottom w:val="0"/>
      <w:divBdr>
        <w:top w:val="none" w:sz="0" w:space="0" w:color="auto"/>
        <w:left w:val="none" w:sz="0" w:space="0" w:color="auto"/>
        <w:bottom w:val="none" w:sz="0" w:space="0" w:color="auto"/>
        <w:right w:val="none" w:sz="0" w:space="0" w:color="auto"/>
      </w:divBdr>
    </w:div>
    <w:div w:id="1736707465">
      <w:bodyDiv w:val="1"/>
      <w:marLeft w:val="0"/>
      <w:marRight w:val="0"/>
      <w:marTop w:val="0"/>
      <w:marBottom w:val="0"/>
      <w:divBdr>
        <w:top w:val="none" w:sz="0" w:space="0" w:color="auto"/>
        <w:left w:val="none" w:sz="0" w:space="0" w:color="auto"/>
        <w:bottom w:val="none" w:sz="0" w:space="0" w:color="auto"/>
        <w:right w:val="none" w:sz="0" w:space="0" w:color="auto"/>
      </w:divBdr>
    </w:div>
    <w:div w:id="1773162780">
      <w:bodyDiv w:val="1"/>
      <w:marLeft w:val="0"/>
      <w:marRight w:val="0"/>
      <w:marTop w:val="0"/>
      <w:marBottom w:val="0"/>
      <w:divBdr>
        <w:top w:val="none" w:sz="0" w:space="0" w:color="auto"/>
        <w:left w:val="none" w:sz="0" w:space="0" w:color="auto"/>
        <w:bottom w:val="none" w:sz="0" w:space="0" w:color="auto"/>
        <w:right w:val="none" w:sz="0" w:space="0" w:color="auto"/>
      </w:divBdr>
    </w:div>
    <w:div w:id="1801263430">
      <w:bodyDiv w:val="1"/>
      <w:marLeft w:val="0"/>
      <w:marRight w:val="0"/>
      <w:marTop w:val="0"/>
      <w:marBottom w:val="0"/>
      <w:divBdr>
        <w:top w:val="none" w:sz="0" w:space="0" w:color="auto"/>
        <w:left w:val="none" w:sz="0" w:space="0" w:color="auto"/>
        <w:bottom w:val="none" w:sz="0" w:space="0" w:color="auto"/>
        <w:right w:val="none" w:sz="0" w:space="0" w:color="auto"/>
      </w:divBdr>
    </w:div>
    <w:div w:id="1808812339">
      <w:bodyDiv w:val="1"/>
      <w:marLeft w:val="0"/>
      <w:marRight w:val="0"/>
      <w:marTop w:val="0"/>
      <w:marBottom w:val="0"/>
      <w:divBdr>
        <w:top w:val="none" w:sz="0" w:space="0" w:color="auto"/>
        <w:left w:val="none" w:sz="0" w:space="0" w:color="auto"/>
        <w:bottom w:val="none" w:sz="0" w:space="0" w:color="auto"/>
        <w:right w:val="none" w:sz="0" w:space="0" w:color="auto"/>
      </w:divBdr>
    </w:div>
    <w:div w:id="1843625558">
      <w:bodyDiv w:val="1"/>
      <w:marLeft w:val="0"/>
      <w:marRight w:val="0"/>
      <w:marTop w:val="0"/>
      <w:marBottom w:val="0"/>
      <w:divBdr>
        <w:top w:val="none" w:sz="0" w:space="0" w:color="auto"/>
        <w:left w:val="none" w:sz="0" w:space="0" w:color="auto"/>
        <w:bottom w:val="none" w:sz="0" w:space="0" w:color="auto"/>
        <w:right w:val="none" w:sz="0" w:space="0" w:color="auto"/>
      </w:divBdr>
    </w:div>
    <w:div w:id="1845435174">
      <w:bodyDiv w:val="1"/>
      <w:marLeft w:val="0"/>
      <w:marRight w:val="0"/>
      <w:marTop w:val="0"/>
      <w:marBottom w:val="0"/>
      <w:divBdr>
        <w:top w:val="none" w:sz="0" w:space="0" w:color="auto"/>
        <w:left w:val="none" w:sz="0" w:space="0" w:color="auto"/>
        <w:bottom w:val="none" w:sz="0" w:space="0" w:color="auto"/>
        <w:right w:val="none" w:sz="0" w:space="0" w:color="auto"/>
      </w:divBdr>
    </w:div>
    <w:div w:id="1848711647">
      <w:bodyDiv w:val="1"/>
      <w:marLeft w:val="0"/>
      <w:marRight w:val="0"/>
      <w:marTop w:val="0"/>
      <w:marBottom w:val="0"/>
      <w:divBdr>
        <w:top w:val="none" w:sz="0" w:space="0" w:color="auto"/>
        <w:left w:val="none" w:sz="0" w:space="0" w:color="auto"/>
        <w:bottom w:val="none" w:sz="0" w:space="0" w:color="auto"/>
        <w:right w:val="none" w:sz="0" w:space="0" w:color="auto"/>
      </w:divBdr>
    </w:div>
    <w:div w:id="1856530002">
      <w:bodyDiv w:val="1"/>
      <w:marLeft w:val="0"/>
      <w:marRight w:val="0"/>
      <w:marTop w:val="0"/>
      <w:marBottom w:val="0"/>
      <w:divBdr>
        <w:top w:val="none" w:sz="0" w:space="0" w:color="auto"/>
        <w:left w:val="none" w:sz="0" w:space="0" w:color="auto"/>
        <w:bottom w:val="none" w:sz="0" w:space="0" w:color="auto"/>
        <w:right w:val="none" w:sz="0" w:space="0" w:color="auto"/>
      </w:divBdr>
    </w:div>
    <w:div w:id="1877809515">
      <w:bodyDiv w:val="1"/>
      <w:marLeft w:val="0"/>
      <w:marRight w:val="0"/>
      <w:marTop w:val="0"/>
      <w:marBottom w:val="0"/>
      <w:divBdr>
        <w:top w:val="none" w:sz="0" w:space="0" w:color="auto"/>
        <w:left w:val="none" w:sz="0" w:space="0" w:color="auto"/>
        <w:bottom w:val="none" w:sz="0" w:space="0" w:color="auto"/>
        <w:right w:val="none" w:sz="0" w:space="0" w:color="auto"/>
      </w:divBdr>
    </w:div>
    <w:div w:id="1894736880">
      <w:bodyDiv w:val="1"/>
      <w:marLeft w:val="0"/>
      <w:marRight w:val="0"/>
      <w:marTop w:val="0"/>
      <w:marBottom w:val="0"/>
      <w:divBdr>
        <w:top w:val="none" w:sz="0" w:space="0" w:color="auto"/>
        <w:left w:val="none" w:sz="0" w:space="0" w:color="auto"/>
        <w:bottom w:val="none" w:sz="0" w:space="0" w:color="auto"/>
        <w:right w:val="none" w:sz="0" w:space="0" w:color="auto"/>
      </w:divBdr>
    </w:div>
    <w:div w:id="1905948328">
      <w:bodyDiv w:val="1"/>
      <w:marLeft w:val="0"/>
      <w:marRight w:val="0"/>
      <w:marTop w:val="0"/>
      <w:marBottom w:val="0"/>
      <w:divBdr>
        <w:top w:val="none" w:sz="0" w:space="0" w:color="auto"/>
        <w:left w:val="none" w:sz="0" w:space="0" w:color="auto"/>
        <w:bottom w:val="none" w:sz="0" w:space="0" w:color="auto"/>
        <w:right w:val="none" w:sz="0" w:space="0" w:color="auto"/>
      </w:divBdr>
    </w:div>
    <w:div w:id="1945838854">
      <w:bodyDiv w:val="1"/>
      <w:marLeft w:val="0"/>
      <w:marRight w:val="0"/>
      <w:marTop w:val="0"/>
      <w:marBottom w:val="0"/>
      <w:divBdr>
        <w:top w:val="none" w:sz="0" w:space="0" w:color="auto"/>
        <w:left w:val="none" w:sz="0" w:space="0" w:color="auto"/>
        <w:bottom w:val="none" w:sz="0" w:space="0" w:color="auto"/>
        <w:right w:val="none" w:sz="0" w:space="0" w:color="auto"/>
      </w:divBdr>
    </w:div>
    <w:div w:id="1980651344">
      <w:bodyDiv w:val="1"/>
      <w:marLeft w:val="0"/>
      <w:marRight w:val="0"/>
      <w:marTop w:val="0"/>
      <w:marBottom w:val="0"/>
      <w:divBdr>
        <w:top w:val="none" w:sz="0" w:space="0" w:color="auto"/>
        <w:left w:val="none" w:sz="0" w:space="0" w:color="auto"/>
        <w:bottom w:val="none" w:sz="0" w:space="0" w:color="auto"/>
        <w:right w:val="none" w:sz="0" w:space="0" w:color="auto"/>
      </w:divBdr>
    </w:div>
    <w:div w:id="2009550019">
      <w:bodyDiv w:val="1"/>
      <w:marLeft w:val="0"/>
      <w:marRight w:val="0"/>
      <w:marTop w:val="0"/>
      <w:marBottom w:val="0"/>
      <w:divBdr>
        <w:top w:val="none" w:sz="0" w:space="0" w:color="auto"/>
        <w:left w:val="none" w:sz="0" w:space="0" w:color="auto"/>
        <w:bottom w:val="none" w:sz="0" w:space="0" w:color="auto"/>
        <w:right w:val="none" w:sz="0" w:space="0" w:color="auto"/>
      </w:divBdr>
    </w:div>
    <w:div w:id="2013755668">
      <w:bodyDiv w:val="1"/>
      <w:marLeft w:val="0"/>
      <w:marRight w:val="0"/>
      <w:marTop w:val="0"/>
      <w:marBottom w:val="0"/>
      <w:divBdr>
        <w:top w:val="none" w:sz="0" w:space="0" w:color="auto"/>
        <w:left w:val="none" w:sz="0" w:space="0" w:color="auto"/>
        <w:bottom w:val="none" w:sz="0" w:space="0" w:color="auto"/>
        <w:right w:val="none" w:sz="0" w:space="0" w:color="auto"/>
      </w:divBdr>
    </w:div>
    <w:div w:id="2063404693">
      <w:bodyDiv w:val="1"/>
      <w:marLeft w:val="0"/>
      <w:marRight w:val="0"/>
      <w:marTop w:val="0"/>
      <w:marBottom w:val="0"/>
      <w:divBdr>
        <w:top w:val="none" w:sz="0" w:space="0" w:color="auto"/>
        <w:left w:val="none" w:sz="0" w:space="0" w:color="auto"/>
        <w:bottom w:val="none" w:sz="0" w:space="0" w:color="auto"/>
        <w:right w:val="none" w:sz="0" w:space="0" w:color="auto"/>
      </w:divBdr>
    </w:div>
    <w:div w:id="2063602302">
      <w:bodyDiv w:val="1"/>
      <w:marLeft w:val="0"/>
      <w:marRight w:val="0"/>
      <w:marTop w:val="0"/>
      <w:marBottom w:val="0"/>
      <w:divBdr>
        <w:top w:val="none" w:sz="0" w:space="0" w:color="auto"/>
        <w:left w:val="none" w:sz="0" w:space="0" w:color="auto"/>
        <w:bottom w:val="none" w:sz="0" w:space="0" w:color="auto"/>
        <w:right w:val="none" w:sz="0" w:space="0" w:color="auto"/>
      </w:divBdr>
      <w:divsChild>
        <w:div w:id="380448267">
          <w:marLeft w:val="0"/>
          <w:marRight w:val="0"/>
          <w:marTop w:val="0"/>
          <w:marBottom w:val="0"/>
          <w:divBdr>
            <w:top w:val="none" w:sz="0" w:space="0" w:color="auto"/>
            <w:left w:val="none" w:sz="0" w:space="0" w:color="auto"/>
            <w:bottom w:val="none" w:sz="0" w:space="0" w:color="auto"/>
            <w:right w:val="none" w:sz="0" w:space="0" w:color="auto"/>
          </w:divBdr>
        </w:div>
        <w:div w:id="403260722">
          <w:marLeft w:val="720"/>
          <w:marRight w:val="0"/>
          <w:marTop w:val="0"/>
          <w:marBottom w:val="0"/>
          <w:divBdr>
            <w:top w:val="none" w:sz="0" w:space="0" w:color="auto"/>
            <w:left w:val="none" w:sz="0" w:space="0" w:color="auto"/>
            <w:bottom w:val="none" w:sz="0" w:space="0" w:color="auto"/>
            <w:right w:val="none" w:sz="0" w:space="0" w:color="auto"/>
          </w:divBdr>
        </w:div>
        <w:div w:id="422411379">
          <w:marLeft w:val="720"/>
          <w:marRight w:val="0"/>
          <w:marTop w:val="0"/>
          <w:marBottom w:val="0"/>
          <w:divBdr>
            <w:top w:val="none" w:sz="0" w:space="0" w:color="auto"/>
            <w:left w:val="none" w:sz="0" w:space="0" w:color="auto"/>
            <w:bottom w:val="none" w:sz="0" w:space="0" w:color="auto"/>
            <w:right w:val="none" w:sz="0" w:space="0" w:color="auto"/>
          </w:divBdr>
        </w:div>
        <w:div w:id="979991650">
          <w:marLeft w:val="0"/>
          <w:marRight w:val="0"/>
          <w:marTop w:val="0"/>
          <w:marBottom w:val="0"/>
          <w:divBdr>
            <w:top w:val="none" w:sz="0" w:space="0" w:color="auto"/>
            <w:left w:val="none" w:sz="0" w:space="0" w:color="auto"/>
            <w:bottom w:val="none" w:sz="0" w:space="0" w:color="auto"/>
            <w:right w:val="none" w:sz="0" w:space="0" w:color="auto"/>
          </w:divBdr>
        </w:div>
        <w:div w:id="1672367442">
          <w:marLeft w:val="720"/>
          <w:marRight w:val="0"/>
          <w:marTop w:val="0"/>
          <w:marBottom w:val="0"/>
          <w:divBdr>
            <w:top w:val="none" w:sz="0" w:space="0" w:color="auto"/>
            <w:left w:val="none" w:sz="0" w:space="0" w:color="auto"/>
            <w:bottom w:val="none" w:sz="0" w:space="0" w:color="auto"/>
            <w:right w:val="none" w:sz="0" w:space="0" w:color="auto"/>
          </w:divBdr>
        </w:div>
        <w:div w:id="1781297798">
          <w:marLeft w:val="0"/>
          <w:marRight w:val="0"/>
          <w:marTop w:val="0"/>
          <w:marBottom w:val="0"/>
          <w:divBdr>
            <w:top w:val="none" w:sz="0" w:space="0" w:color="auto"/>
            <w:left w:val="none" w:sz="0" w:space="0" w:color="auto"/>
            <w:bottom w:val="none" w:sz="0" w:space="0" w:color="auto"/>
            <w:right w:val="none" w:sz="0" w:space="0" w:color="auto"/>
          </w:divBdr>
        </w:div>
        <w:div w:id="1924334076">
          <w:marLeft w:val="720"/>
          <w:marRight w:val="0"/>
          <w:marTop w:val="0"/>
          <w:marBottom w:val="0"/>
          <w:divBdr>
            <w:top w:val="none" w:sz="0" w:space="0" w:color="auto"/>
            <w:left w:val="none" w:sz="0" w:space="0" w:color="auto"/>
            <w:bottom w:val="none" w:sz="0" w:space="0" w:color="auto"/>
            <w:right w:val="none" w:sz="0" w:space="0" w:color="auto"/>
          </w:divBdr>
        </w:div>
        <w:div w:id="1956911970">
          <w:marLeft w:val="0"/>
          <w:marRight w:val="0"/>
          <w:marTop w:val="0"/>
          <w:marBottom w:val="0"/>
          <w:divBdr>
            <w:top w:val="none" w:sz="0" w:space="0" w:color="auto"/>
            <w:left w:val="none" w:sz="0" w:space="0" w:color="auto"/>
            <w:bottom w:val="none" w:sz="0" w:space="0" w:color="auto"/>
            <w:right w:val="none" w:sz="0" w:space="0" w:color="auto"/>
          </w:divBdr>
        </w:div>
      </w:divsChild>
    </w:div>
    <w:div w:id="2085293378">
      <w:bodyDiv w:val="1"/>
      <w:marLeft w:val="0"/>
      <w:marRight w:val="0"/>
      <w:marTop w:val="0"/>
      <w:marBottom w:val="0"/>
      <w:divBdr>
        <w:top w:val="none" w:sz="0" w:space="0" w:color="auto"/>
        <w:left w:val="none" w:sz="0" w:space="0" w:color="auto"/>
        <w:bottom w:val="none" w:sz="0" w:space="0" w:color="auto"/>
        <w:right w:val="none" w:sz="0" w:space="0" w:color="auto"/>
      </w:divBdr>
    </w:div>
    <w:div w:id="2104567182">
      <w:bodyDiv w:val="1"/>
      <w:marLeft w:val="0"/>
      <w:marRight w:val="0"/>
      <w:marTop w:val="0"/>
      <w:marBottom w:val="0"/>
      <w:divBdr>
        <w:top w:val="none" w:sz="0" w:space="0" w:color="auto"/>
        <w:left w:val="none" w:sz="0" w:space="0" w:color="auto"/>
        <w:bottom w:val="none" w:sz="0" w:space="0" w:color="auto"/>
        <w:right w:val="none" w:sz="0" w:space="0" w:color="auto"/>
      </w:divBdr>
    </w:div>
    <w:div w:id="2133937540">
      <w:bodyDiv w:val="1"/>
      <w:marLeft w:val="0"/>
      <w:marRight w:val="0"/>
      <w:marTop w:val="0"/>
      <w:marBottom w:val="0"/>
      <w:divBdr>
        <w:top w:val="none" w:sz="0" w:space="0" w:color="auto"/>
        <w:left w:val="none" w:sz="0" w:space="0" w:color="auto"/>
        <w:bottom w:val="none" w:sz="0" w:space="0" w:color="auto"/>
        <w:right w:val="none" w:sz="0" w:space="0" w:color="auto"/>
      </w:divBdr>
    </w:div>
    <w:div w:id="2140486711">
      <w:bodyDiv w:val="1"/>
      <w:marLeft w:val="0"/>
      <w:marRight w:val="0"/>
      <w:marTop w:val="0"/>
      <w:marBottom w:val="0"/>
      <w:divBdr>
        <w:top w:val="none" w:sz="0" w:space="0" w:color="auto"/>
        <w:left w:val="none" w:sz="0" w:space="0" w:color="auto"/>
        <w:bottom w:val="none" w:sz="0" w:space="0" w:color="auto"/>
        <w:right w:val="none" w:sz="0" w:space="0" w:color="auto"/>
      </w:divBdr>
    </w:div>
    <w:div w:id="2146317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ta.svirksta@izm.gov.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158923-9D11-48C0-A113-CD7B3DB4C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13</Pages>
  <Words>5006</Words>
  <Characters>35950</Characters>
  <Application>Microsoft Office Word</Application>
  <DocSecurity>0</DocSecurity>
  <Lines>1198</Lines>
  <Paragraphs>220</Paragraphs>
  <ScaleCrop>false</ScaleCrop>
  <HeadingPairs>
    <vt:vector size="2" baseType="variant">
      <vt:variant>
        <vt:lpstr>Title</vt:lpstr>
      </vt:variant>
      <vt:variant>
        <vt:i4>1</vt:i4>
      </vt:variant>
    </vt:vector>
  </HeadingPairs>
  <TitlesOfParts>
    <vt:vector size="1" baseType="lpstr">
      <vt:lpstr>Izziņa par atzinumos sniegtajiem iebildumiem par Ministru kabineta noteikumu projektu "Grozījumi Ministru kabineta 2009. gada 24. marta noteikumos Nr. 265 "Noteikumi par darbības programmas "Infrastruktūra un pakalpojumi" papildinājuma 3.1.2.1.1.apakšakti</vt:lpstr>
    </vt:vector>
  </TitlesOfParts>
  <Company>LabMin</Company>
  <LinksUpToDate>false</LinksUpToDate>
  <CharactersWithSpaces>40736</CharactersWithSpaces>
  <SharedDoc>false</SharedDoc>
  <HLinks>
    <vt:vector size="6" baseType="variant">
      <vt:variant>
        <vt:i4>3014753</vt:i4>
      </vt:variant>
      <vt:variant>
        <vt:i4>0</vt:i4>
      </vt:variant>
      <vt:variant>
        <vt:i4>0</vt:i4>
      </vt:variant>
      <vt:variant>
        <vt:i4>5</vt:i4>
      </vt:variant>
      <vt:variant>
        <vt:lpwstr>http://lv.linguee.com/latvie%C5%A1u-ang%C4%BCu/tulkojumi/m%C4%93r%C4%B7orient%C4%93tu.html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 par Ministru kabineta noteikumu projektu "Grozījumi Ministru kabineta 2009. gada 24. marta noteikumos Nr. 265 "Noteikumi par darbības programmas "Infrastruktūra un pakalpojumi" papildinājuma 3.1.2.1.1.apakšaktivitāti "Augstākās izglītības iestāžu telpu un iekārtu modernizēšana studiju programmu kvalitātes uzlabošanai, tajā skaitā nodrošinot izglītības programmu apgūšanas iespējas arī personām ar funkcionāliem traucējumiem""</dc:title>
  <dc:subject>Izziņa</dc:subject>
  <dc:creator>Inta Švirksta</dc:creator>
  <cp:keywords/>
  <dc:description>inta.svirksta@izm.gov.lv
26047878</dc:description>
  <cp:lastModifiedBy>Inta Švirksta</cp:lastModifiedBy>
  <cp:revision>8</cp:revision>
  <cp:lastPrinted>2017-09-08T06:42:00Z</cp:lastPrinted>
  <dcterms:created xsi:type="dcterms:W3CDTF">2019-05-07T06:11:00Z</dcterms:created>
  <dcterms:modified xsi:type="dcterms:W3CDTF">2019-05-24T08:24:00Z</dcterms:modified>
  <cp:category>Izglītības un zinātnes  ministrija</cp:category>
</cp:coreProperties>
</file>