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D2791" w14:textId="77777777" w:rsidR="00812882" w:rsidRPr="00513B1A" w:rsidRDefault="00812882" w:rsidP="00812882">
      <w:pPr>
        <w:spacing w:after="0" w:line="240" w:lineRule="auto"/>
        <w:ind w:firstLine="720"/>
        <w:jc w:val="center"/>
        <w:rPr>
          <w:rFonts w:ascii="Times New Roman" w:eastAsia="Times New Roman" w:hAnsi="Times New Roman" w:cs="Times New Roman"/>
          <w:b/>
          <w:bCs/>
          <w:sz w:val="28"/>
          <w:szCs w:val="28"/>
          <w:lang w:eastAsia="lv-LV"/>
        </w:rPr>
      </w:pPr>
      <w:r w:rsidRPr="00513B1A">
        <w:rPr>
          <w:rFonts w:ascii="Times New Roman" w:eastAsia="Times New Roman" w:hAnsi="Times New Roman" w:cs="Times New Roman"/>
          <w:b/>
          <w:bCs/>
          <w:sz w:val="28"/>
          <w:szCs w:val="28"/>
          <w:lang w:eastAsia="lv-LV"/>
        </w:rPr>
        <w:t>Izziņa par atzinumos sniegtajiem iebildumiem</w:t>
      </w:r>
    </w:p>
    <w:tbl>
      <w:tblPr>
        <w:tblW w:w="5000" w:type="pct"/>
        <w:jc w:val="center"/>
        <w:tblLook w:val="00A0" w:firstRow="1" w:lastRow="0" w:firstColumn="1" w:lastColumn="0" w:noHBand="0" w:noVBand="0"/>
      </w:tblPr>
      <w:tblGrid>
        <w:gridCol w:w="14003"/>
      </w:tblGrid>
      <w:tr w:rsidR="00812882" w:rsidRPr="00513B1A" w14:paraId="7EF18F22" w14:textId="77777777" w:rsidTr="000F0539">
        <w:trPr>
          <w:jc w:val="center"/>
        </w:trPr>
        <w:tc>
          <w:tcPr>
            <w:tcW w:w="5000" w:type="pct"/>
            <w:tcBorders>
              <w:bottom w:val="single" w:sz="6" w:space="0" w:color="000000"/>
            </w:tcBorders>
          </w:tcPr>
          <w:p w14:paraId="59C3D9D0" w14:textId="77777777" w:rsidR="00812882" w:rsidRDefault="00812882" w:rsidP="000F0539">
            <w:pPr>
              <w:spacing w:after="0" w:line="240" w:lineRule="auto"/>
              <w:jc w:val="center"/>
              <w:rPr>
                <w:rFonts w:ascii="Times New Roman" w:eastAsia="Times New Roman" w:hAnsi="Times New Roman" w:cs="Times New Roman"/>
                <w:b/>
                <w:bCs/>
                <w:sz w:val="28"/>
                <w:szCs w:val="28"/>
                <w:lang w:eastAsia="lv-LV"/>
              </w:rPr>
            </w:pPr>
            <w:r w:rsidRPr="00513B1A">
              <w:rPr>
                <w:rFonts w:ascii="Times New Roman" w:eastAsia="Times New Roman" w:hAnsi="Times New Roman" w:cs="Times New Roman"/>
                <w:b/>
                <w:bCs/>
                <w:sz w:val="28"/>
                <w:szCs w:val="28"/>
                <w:lang w:eastAsia="lv-LV"/>
              </w:rPr>
              <w:t>„</w:t>
            </w:r>
            <w:r w:rsidRPr="00812882">
              <w:rPr>
                <w:rFonts w:ascii="Times New Roman" w:eastAsia="Times New Roman" w:hAnsi="Times New Roman" w:cs="Times New Roman"/>
                <w:b/>
                <w:bCs/>
                <w:sz w:val="28"/>
                <w:szCs w:val="28"/>
                <w:lang w:eastAsia="lv-LV"/>
              </w:rPr>
              <w:t>Ministru kabineta rīkojuma projekt</w:t>
            </w:r>
            <w:r w:rsidR="00E73FAA">
              <w:rPr>
                <w:rFonts w:ascii="Times New Roman" w:eastAsia="Times New Roman" w:hAnsi="Times New Roman" w:cs="Times New Roman"/>
                <w:b/>
                <w:bCs/>
                <w:sz w:val="28"/>
                <w:szCs w:val="28"/>
                <w:lang w:eastAsia="lv-LV"/>
              </w:rPr>
              <w:t>am</w:t>
            </w:r>
            <w:r w:rsidRPr="00812882">
              <w:rPr>
                <w:rFonts w:ascii="Times New Roman" w:eastAsia="Times New Roman" w:hAnsi="Times New Roman" w:cs="Times New Roman"/>
                <w:b/>
                <w:bCs/>
                <w:sz w:val="28"/>
                <w:szCs w:val="28"/>
                <w:lang w:eastAsia="lv-LV"/>
              </w:rPr>
              <w:t xml:space="preserve"> “Par informācijas sabiedrības attīstības pamatnostādņu ieviešanu publiskās pārvaldes informācijas sistēmu jomā (</w:t>
            </w:r>
            <w:proofErr w:type="spellStart"/>
            <w:r w:rsidRPr="00812882">
              <w:rPr>
                <w:rFonts w:ascii="Times New Roman" w:eastAsia="Times New Roman" w:hAnsi="Times New Roman" w:cs="Times New Roman"/>
                <w:b/>
                <w:bCs/>
                <w:sz w:val="28"/>
                <w:szCs w:val="28"/>
                <w:lang w:eastAsia="lv-LV"/>
              </w:rPr>
              <w:t>mērķarhitektūra</w:t>
            </w:r>
            <w:proofErr w:type="spellEnd"/>
            <w:r w:rsidRPr="00812882">
              <w:rPr>
                <w:rFonts w:ascii="Times New Roman" w:eastAsia="Times New Roman" w:hAnsi="Times New Roman" w:cs="Times New Roman"/>
                <w:b/>
                <w:bCs/>
                <w:sz w:val="28"/>
                <w:szCs w:val="28"/>
                <w:lang w:eastAsia="lv-LV"/>
              </w:rPr>
              <w:t xml:space="preserve"> 47.0 versija)”</w:t>
            </w:r>
            <w:r w:rsidR="002A0AEE">
              <w:rPr>
                <w:rFonts w:ascii="Times New Roman" w:eastAsia="Times New Roman" w:hAnsi="Times New Roman" w:cs="Times New Roman"/>
                <w:b/>
                <w:bCs/>
                <w:sz w:val="28"/>
                <w:szCs w:val="28"/>
                <w:lang w:eastAsia="lv-LV"/>
              </w:rPr>
              <w:t>”</w:t>
            </w:r>
          </w:p>
          <w:p w14:paraId="4987EF3B" w14:textId="77777777" w:rsidR="00812882" w:rsidRPr="00513B1A" w:rsidRDefault="00812882" w:rsidP="000F0539">
            <w:pPr>
              <w:spacing w:after="0" w:line="240" w:lineRule="auto"/>
              <w:jc w:val="center"/>
              <w:rPr>
                <w:rFonts w:ascii="Times New Roman" w:eastAsia="Times New Roman" w:hAnsi="Times New Roman" w:cs="Times New Roman"/>
                <w:b/>
                <w:sz w:val="28"/>
                <w:szCs w:val="28"/>
                <w:lang w:eastAsia="lv-LV"/>
              </w:rPr>
            </w:pPr>
          </w:p>
        </w:tc>
      </w:tr>
    </w:tbl>
    <w:p w14:paraId="140D105A" w14:textId="77777777" w:rsidR="00812882" w:rsidRPr="00513B1A" w:rsidRDefault="00812882" w:rsidP="00812882">
      <w:pPr>
        <w:spacing w:after="0" w:line="240" w:lineRule="auto"/>
        <w:ind w:firstLine="720"/>
        <w:jc w:val="both"/>
        <w:rPr>
          <w:rFonts w:ascii="Times New Roman" w:eastAsia="Times New Roman" w:hAnsi="Times New Roman" w:cs="Times New Roman"/>
          <w:sz w:val="24"/>
          <w:szCs w:val="24"/>
          <w:lang w:eastAsia="lv-LV"/>
        </w:rPr>
      </w:pPr>
    </w:p>
    <w:p w14:paraId="5439100E" w14:textId="77777777" w:rsidR="00812882" w:rsidRPr="00513B1A" w:rsidRDefault="00812882" w:rsidP="00812882">
      <w:pPr>
        <w:spacing w:after="0" w:line="240" w:lineRule="auto"/>
        <w:jc w:val="center"/>
        <w:rPr>
          <w:rFonts w:ascii="Times New Roman" w:eastAsia="Times New Roman" w:hAnsi="Times New Roman" w:cs="Times New Roman"/>
          <w:sz w:val="24"/>
          <w:szCs w:val="24"/>
          <w:lang w:eastAsia="lv-LV"/>
        </w:rPr>
      </w:pPr>
      <w:r w:rsidRPr="00513B1A">
        <w:rPr>
          <w:rFonts w:ascii="Times New Roman" w:eastAsia="Times New Roman" w:hAnsi="Times New Roman" w:cs="Times New Roman"/>
          <w:b/>
          <w:sz w:val="24"/>
          <w:szCs w:val="24"/>
          <w:lang w:eastAsia="lv-LV"/>
        </w:rPr>
        <w:t>II. Jautājumi, par kuriem saskaņošanā vienošanās ir panākta</w:t>
      </w: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60"/>
        <w:gridCol w:w="2241"/>
        <w:gridCol w:w="638"/>
        <w:gridCol w:w="4099"/>
        <w:gridCol w:w="1030"/>
        <w:gridCol w:w="1480"/>
        <w:gridCol w:w="3842"/>
      </w:tblGrid>
      <w:tr w:rsidR="00161BF3" w:rsidRPr="00513B1A" w14:paraId="4995CD28" w14:textId="77777777" w:rsidTr="000F0539">
        <w:tc>
          <w:tcPr>
            <w:tcW w:w="236" w:type="pct"/>
            <w:tcBorders>
              <w:top w:val="single" w:sz="6" w:space="0" w:color="000000"/>
              <w:left w:val="single" w:sz="6" w:space="0" w:color="000000"/>
              <w:bottom w:val="single" w:sz="6" w:space="0" w:color="000000"/>
              <w:right w:val="single" w:sz="6" w:space="0" w:color="000000"/>
            </w:tcBorders>
            <w:vAlign w:val="center"/>
          </w:tcPr>
          <w:p w14:paraId="2C29CE3E" w14:textId="77777777" w:rsidR="00812882" w:rsidRPr="00513B1A" w:rsidRDefault="00812882" w:rsidP="000F0539">
            <w:pPr>
              <w:spacing w:after="0" w:line="240" w:lineRule="auto"/>
              <w:jc w:val="center"/>
              <w:rPr>
                <w:rFonts w:ascii="Times New Roman" w:eastAsia="Times New Roman" w:hAnsi="Times New Roman" w:cs="Times New Roman"/>
                <w:sz w:val="24"/>
                <w:szCs w:val="24"/>
                <w:lang w:eastAsia="lv-LV"/>
              </w:rPr>
            </w:pPr>
            <w:r w:rsidRPr="00513B1A">
              <w:rPr>
                <w:rFonts w:ascii="Times New Roman" w:eastAsia="Times New Roman" w:hAnsi="Times New Roman" w:cs="Times New Roman"/>
                <w:sz w:val="24"/>
                <w:szCs w:val="24"/>
                <w:lang w:eastAsia="lv-LV"/>
              </w:rPr>
              <w:t>Nr. p.k.</w:t>
            </w:r>
          </w:p>
        </w:tc>
        <w:tc>
          <w:tcPr>
            <w:tcW w:w="1029" w:type="pct"/>
            <w:gridSpan w:val="2"/>
            <w:tcBorders>
              <w:top w:val="single" w:sz="6" w:space="0" w:color="000000"/>
              <w:left w:val="single" w:sz="6" w:space="0" w:color="000000"/>
              <w:bottom w:val="single" w:sz="6" w:space="0" w:color="000000"/>
              <w:right w:val="single" w:sz="6" w:space="0" w:color="000000"/>
            </w:tcBorders>
            <w:vAlign w:val="center"/>
          </w:tcPr>
          <w:p w14:paraId="5AD9DC3D" w14:textId="77777777" w:rsidR="00812882" w:rsidRPr="00513B1A" w:rsidRDefault="00812882" w:rsidP="000F0539">
            <w:pPr>
              <w:spacing w:after="0" w:line="240" w:lineRule="auto"/>
              <w:ind w:firstLine="12"/>
              <w:jc w:val="center"/>
              <w:rPr>
                <w:rFonts w:ascii="Times New Roman" w:eastAsia="Times New Roman" w:hAnsi="Times New Roman" w:cs="Times New Roman"/>
                <w:sz w:val="24"/>
                <w:szCs w:val="24"/>
                <w:lang w:eastAsia="lv-LV"/>
              </w:rPr>
            </w:pPr>
            <w:r w:rsidRPr="00513B1A">
              <w:rPr>
                <w:rFonts w:ascii="Times New Roman" w:eastAsia="Times New Roman" w:hAnsi="Times New Roman" w:cs="Times New Roman"/>
                <w:sz w:val="24"/>
                <w:szCs w:val="24"/>
                <w:lang w:eastAsia="lv-LV"/>
              </w:rPr>
              <w:t>Saskaņošanai nosūtītā projekta redakcija (konkrēta punkta (panta) redakcija)</w:t>
            </w:r>
          </w:p>
        </w:tc>
        <w:tc>
          <w:tcPr>
            <w:tcW w:w="1465" w:type="pct"/>
            <w:tcBorders>
              <w:top w:val="single" w:sz="6" w:space="0" w:color="000000"/>
              <w:left w:val="single" w:sz="6" w:space="0" w:color="000000"/>
              <w:bottom w:val="single" w:sz="6" w:space="0" w:color="000000"/>
              <w:right w:val="single" w:sz="6" w:space="0" w:color="000000"/>
            </w:tcBorders>
            <w:vAlign w:val="center"/>
          </w:tcPr>
          <w:p w14:paraId="72E30771" w14:textId="77777777" w:rsidR="00812882" w:rsidRPr="00513B1A" w:rsidRDefault="00812882" w:rsidP="000F0539">
            <w:pPr>
              <w:spacing w:after="0" w:line="240" w:lineRule="auto"/>
              <w:ind w:right="3"/>
              <w:jc w:val="center"/>
              <w:rPr>
                <w:rFonts w:ascii="Times New Roman" w:eastAsia="Times New Roman" w:hAnsi="Times New Roman" w:cs="Times New Roman"/>
                <w:sz w:val="24"/>
                <w:szCs w:val="24"/>
                <w:lang w:eastAsia="lv-LV"/>
              </w:rPr>
            </w:pPr>
            <w:r w:rsidRPr="00513B1A">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897" w:type="pct"/>
            <w:gridSpan w:val="2"/>
            <w:tcBorders>
              <w:top w:val="single" w:sz="6" w:space="0" w:color="000000"/>
              <w:left w:val="single" w:sz="6" w:space="0" w:color="000000"/>
              <w:bottom w:val="single" w:sz="6" w:space="0" w:color="000000"/>
              <w:right w:val="single" w:sz="6" w:space="0" w:color="000000"/>
            </w:tcBorders>
            <w:vAlign w:val="center"/>
          </w:tcPr>
          <w:p w14:paraId="0AA180DA" w14:textId="77777777" w:rsidR="00812882" w:rsidRPr="00513B1A" w:rsidRDefault="00812882" w:rsidP="000F0539">
            <w:pPr>
              <w:spacing w:after="0" w:line="240" w:lineRule="auto"/>
              <w:ind w:firstLine="21"/>
              <w:jc w:val="center"/>
              <w:rPr>
                <w:rFonts w:ascii="Times New Roman" w:eastAsia="Times New Roman" w:hAnsi="Times New Roman" w:cs="Times New Roman"/>
                <w:sz w:val="24"/>
                <w:szCs w:val="24"/>
                <w:lang w:eastAsia="lv-LV"/>
              </w:rPr>
            </w:pPr>
            <w:r w:rsidRPr="00513B1A">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1373" w:type="pct"/>
            <w:tcBorders>
              <w:top w:val="single" w:sz="4" w:space="0" w:color="auto"/>
              <w:left w:val="single" w:sz="4" w:space="0" w:color="auto"/>
              <w:bottom w:val="single" w:sz="4" w:space="0" w:color="auto"/>
            </w:tcBorders>
            <w:vAlign w:val="center"/>
          </w:tcPr>
          <w:p w14:paraId="70D8D5FA" w14:textId="77777777" w:rsidR="00812882" w:rsidRPr="00513B1A" w:rsidRDefault="00812882" w:rsidP="000F0539">
            <w:pPr>
              <w:spacing w:after="0" w:line="240" w:lineRule="auto"/>
              <w:jc w:val="center"/>
              <w:rPr>
                <w:rFonts w:ascii="Times New Roman" w:eastAsia="Times New Roman" w:hAnsi="Times New Roman" w:cs="Times New Roman"/>
                <w:sz w:val="24"/>
                <w:szCs w:val="24"/>
                <w:lang w:eastAsia="lv-LV"/>
              </w:rPr>
            </w:pPr>
            <w:r w:rsidRPr="00513B1A">
              <w:rPr>
                <w:rFonts w:ascii="Times New Roman" w:eastAsia="Times New Roman" w:hAnsi="Times New Roman" w:cs="Times New Roman"/>
                <w:sz w:val="24"/>
                <w:szCs w:val="24"/>
                <w:lang w:eastAsia="lv-LV"/>
              </w:rPr>
              <w:t>Projekta attiecīgā punkta (panta) galīgā redakcija</w:t>
            </w:r>
          </w:p>
        </w:tc>
      </w:tr>
      <w:tr w:rsidR="00161BF3" w:rsidRPr="00513B1A" w14:paraId="7823B03F" w14:textId="77777777" w:rsidTr="000F0539">
        <w:tc>
          <w:tcPr>
            <w:tcW w:w="236" w:type="pct"/>
            <w:tcBorders>
              <w:top w:val="single" w:sz="6" w:space="0" w:color="000000"/>
              <w:left w:val="single" w:sz="6" w:space="0" w:color="000000"/>
              <w:bottom w:val="single" w:sz="6" w:space="0" w:color="000000"/>
              <w:right w:val="single" w:sz="6" w:space="0" w:color="000000"/>
            </w:tcBorders>
          </w:tcPr>
          <w:p w14:paraId="12EC62C2" w14:textId="77777777" w:rsidR="00812882" w:rsidRPr="00513B1A" w:rsidRDefault="00812882" w:rsidP="000F0539">
            <w:pPr>
              <w:spacing w:after="0" w:line="240" w:lineRule="auto"/>
              <w:jc w:val="center"/>
              <w:rPr>
                <w:rFonts w:ascii="Times New Roman" w:eastAsia="Times New Roman" w:hAnsi="Times New Roman" w:cs="Times New Roman"/>
                <w:sz w:val="20"/>
                <w:szCs w:val="20"/>
                <w:lang w:eastAsia="lv-LV"/>
              </w:rPr>
            </w:pPr>
            <w:r w:rsidRPr="00513B1A">
              <w:rPr>
                <w:rFonts w:ascii="Times New Roman" w:eastAsia="Times New Roman" w:hAnsi="Times New Roman" w:cs="Times New Roman"/>
                <w:sz w:val="20"/>
                <w:szCs w:val="20"/>
                <w:lang w:eastAsia="lv-LV"/>
              </w:rPr>
              <w:t>1</w:t>
            </w:r>
          </w:p>
        </w:tc>
        <w:tc>
          <w:tcPr>
            <w:tcW w:w="1029" w:type="pct"/>
            <w:gridSpan w:val="2"/>
            <w:tcBorders>
              <w:top w:val="single" w:sz="6" w:space="0" w:color="000000"/>
              <w:left w:val="single" w:sz="6" w:space="0" w:color="000000"/>
              <w:bottom w:val="single" w:sz="6" w:space="0" w:color="000000"/>
              <w:right w:val="single" w:sz="6" w:space="0" w:color="000000"/>
            </w:tcBorders>
          </w:tcPr>
          <w:p w14:paraId="11955D2F" w14:textId="77777777" w:rsidR="00812882" w:rsidRPr="00513B1A" w:rsidRDefault="00812882" w:rsidP="000F0539">
            <w:pPr>
              <w:spacing w:after="0" w:line="240" w:lineRule="auto"/>
              <w:ind w:firstLine="720"/>
              <w:jc w:val="center"/>
              <w:rPr>
                <w:rFonts w:ascii="Times New Roman" w:eastAsia="Times New Roman" w:hAnsi="Times New Roman" w:cs="Times New Roman"/>
                <w:sz w:val="20"/>
                <w:szCs w:val="20"/>
                <w:lang w:eastAsia="lv-LV"/>
              </w:rPr>
            </w:pPr>
            <w:r w:rsidRPr="00513B1A">
              <w:rPr>
                <w:rFonts w:ascii="Times New Roman" w:eastAsia="Times New Roman" w:hAnsi="Times New Roman" w:cs="Times New Roman"/>
                <w:sz w:val="20"/>
                <w:szCs w:val="20"/>
                <w:lang w:eastAsia="lv-LV"/>
              </w:rPr>
              <w:t>2</w:t>
            </w:r>
          </w:p>
        </w:tc>
        <w:tc>
          <w:tcPr>
            <w:tcW w:w="1465" w:type="pct"/>
            <w:tcBorders>
              <w:top w:val="single" w:sz="6" w:space="0" w:color="000000"/>
              <w:left w:val="single" w:sz="6" w:space="0" w:color="000000"/>
              <w:bottom w:val="single" w:sz="6" w:space="0" w:color="000000"/>
              <w:right w:val="single" w:sz="6" w:space="0" w:color="000000"/>
            </w:tcBorders>
          </w:tcPr>
          <w:p w14:paraId="2A248A19" w14:textId="77777777" w:rsidR="00812882" w:rsidRPr="00513B1A" w:rsidRDefault="00812882" w:rsidP="000F0539">
            <w:pPr>
              <w:spacing w:after="0" w:line="240" w:lineRule="auto"/>
              <w:ind w:firstLine="720"/>
              <w:jc w:val="center"/>
              <w:rPr>
                <w:rFonts w:ascii="Times New Roman" w:eastAsia="Times New Roman" w:hAnsi="Times New Roman" w:cs="Times New Roman"/>
                <w:sz w:val="20"/>
                <w:szCs w:val="20"/>
                <w:lang w:eastAsia="lv-LV"/>
              </w:rPr>
            </w:pPr>
            <w:r w:rsidRPr="00513B1A">
              <w:rPr>
                <w:rFonts w:ascii="Times New Roman" w:eastAsia="Times New Roman" w:hAnsi="Times New Roman" w:cs="Times New Roman"/>
                <w:sz w:val="20"/>
                <w:szCs w:val="20"/>
                <w:lang w:eastAsia="lv-LV"/>
              </w:rPr>
              <w:t>3</w:t>
            </w:r>
          </w:p>
        </w:tc>
        <w:tc>
          <w:tcPr>
            <w:tcW w:w="897" w:type="pct"/>
            <w:gridSpan w:val="2"/>
            <w:tcBorders>
              <w:top w:val="single" w:sz="6" w:space="0" w:color="000000"/>
              <w:left w:val="single" w:sz="6" w:space="0" w:color="000000"/>
              <w:bottom w:val="single" w:sz="6" w:space="0" w:color="000000"/>
              <w:right w:val="single" w:sz="6" w:space="0" w:color="000000"/>
            </w:tcBorders>
          </w:tcPr>
          <w:p w14:paraId="56D2B97F" w14:textId="77777777" w:rsidR="00812882" w:rsidRPr="00513B1A" w:rsidRDefault="00812882" w:rsidP="000F0539">
            <w:pPr>
              <w:spacing w:after="0" w:line="240" w:lineRule="auto"/>
              <w:ind w:firstLine="720"/>
              <w:jc w:val="center"/>
              <w:rPr>
                <w:rFonts w:ascii="Times New Roman" w:eastAsia="Times New Roman" w:hAnsi="Times New Roman" w:cs="Times New Roman"/>
                <w:sz w:val="20"/>
                <w:szCs w:val="20"/>
                <w:lang w:eastAsia="lv-LV"/>
              </w:rPr>
            </w:pPr>
            <w:r w:rsidRPr="00513B1A">
              <w:rPr>
                <w:rFonts w:ascii="Times New Roman" w:eastAsia="Times New Roman" w:hAnsi="Times New Roman" w:cs="Times New Roman"/>
                <w:sz w:val="20"/>
                <w:szCs w:val="20"/>
                <w:lang w:eastAsia="lv-LV"/>
              </w:rPr>
              <w:t>4</w:t>
            </w:r>
          </w:p>
        </w:tc>
        <w:tc>
          <w:tcPr>
            <w:tcW w:w="1373" w:type="pct"/>
            <w:tcBorders>
              <w:top w:val="single" w:sz="4" w:space="0" w:color="auto"/>
              <w:left w:val="single" w:sz="4" w:space="0" w:color="auto"/>
              <w:bottom w:val="single" w:sz="4" w:space="0" w:color="auto"/>
            </w:tcBorders>
          </w:tcPr>
          <w:p w14:paraId="6D2323DC" w14:textId="77777777" w:rsidR="00812882" w:rsidRPr="00513B1A" w:rsidRDefault="00812882" w:rsidP="000F0539">
            <w:pPr>
              <w:spacing w:after="0" w:line="240" w:lineRule="auto"/>
              <w:jc w:val="center"/>
              <w:rPr>
                <w:rFonts w:ascii="Times New Roman" w:eastAsia="Times New Roman" w:hAnsi="Times New Roman" w:cs="Times New Roman"/>
                <w:sz w:val="20"/>
                <w:szCs w:val="20"/>
                <w:lang w:eastAsia="lv-LV"/>
              </w:rPr>
            </w:pPr>
            <w:r w:rsidRPr="00513B1A">
              <w:rPr>
                <w:rFonts w:ascii="Times New Roman" w:eastAsia="Times New Roman" w:hAnsi="Times New Roman" w:cs="Times New Roman"/>
                <w:sz w:val="20"/>
                <w:szCs w:val="20"/>
                <w:lang w:eastAsia="lv-LV"/>
              </w:rPr>
              <w:t>5</w:t>
            </w:r>
          </w:p>
        </w:tc>
      </w:tr>
      <w:tr w:rsidR="00161BF3" w:rsidRPr="00513B1A" w14:paraId="201A1104" w14:textId="77777777" w:rsidTr="000F0539">
        <w:tc>
          <w:tcPr>
            <w:tcW w:w="236" w:type="pct"/>
            <w:tcBorders>
              <w:left w:val="single" w:sz="6" w:space="0" w:color="000000"/>
              <w:bottom w:val="single" w:sz="4" w:space="0" w:color="auto"/>
              <w:right w:val="single" w:sz="6" w:space="0" w:color="000000"/>
            </w:tcBorders>
          </w:tcPr>
          <w:p w14:paraId="0C2D4E83" w14:textId="77777777" w:rsidR="00812882" w:rsidRPr="00513B1A" w:rsidRDefault="00812882" w:rsidP="000F0539">
            <w:pPr>
              <w:spacing w:after="0" w:line="240" w:lineRule="auto"/>
              <w:ind w:firstLine="720"/>
              <w:jc w:val="center"/>
              <w:rPr>
                <w:rFonts w:ascii="Times New Roman" w:eastAsia="Times New Roman" w:hAnsi="Times New Roman" w:cs="Times New Roman"/>
                <w:sz w:val="24"/>
                <w:szCs w:val="24"/>
                <w:lang w:eastAsia="lv-LV"/>
              </w:rPr>
            </w:pPr>
          </w:p>
        </w:tc>
        <w:tc>
          <w:tcPr>
            <w:tcW w:w="1029" w:type="pct"/>
            <w:gridSpan w:val="2"/>
            <w:tcBorders>
              <w:left w:val="single" w:sz="6" w:space="0" w:color="000000"/>
              <w:bottom w:val="single" w:sz="4" w:space="0" w:color="auto"/>
              <w:right w:val="single" w:sz="6" w:space="0" w:color="000000"/>
            </w:tcBorders>
          </w:tcPr>
          <w:p w14:paraId="4129A12D" w14:textId="77777777" w:rsidR="00812882" w:rsidRPr="00513B1A" w:rsidRDefault="00812882" w:rsidP="000F0539">
            <w:pPr>
              <w:spacing w:after="0" w:line="240" w:lineRule="auto"/>
              <w:ind w:firstLine="720"/>
              <w:jc w:val="center"/>
              <w:rPr>
                <w:rFonts w:ascii="Times New Roman" w:eastAsia="Times New Roman" w:hAnsi="Times New Roman" w:cs="Times New Roman"/>
                <w:sz w:val="24"/>
                <w:szCs w:val="24"/>
                <w:lang w:eastAsia="lv-LV"/>
              </w:rPr>
            </w:pPr>
          </w:p>
        </w:tc>
        <w:tc>
          <w:tcPr>
            <w:tcW w:w="1465" w:type="pct"/>
            <w:tcBorders>
              <w:left w:val="single" w:sz="6" w:space="0" w:color="000000"/>
              <w:bottom w:val="single" w:sz="4" w:space="0" w:color="auto"/>
              <w:right w:val="single" w:sz="6" w:space="0" w:color="000000"/>
            </w:tcBorders>
          </w:tcPr>
          <w:p w14:paraId="75190DEA" w14:textId="77777777" w:rsidR="00812882" w:rsidRDefault="00812882" w:rsidP="000F0539">
            <w:pPr>
              <w:tabs>
                <w:tab w:val="left" w:pos="993"/>
              </w:tabs>
              <w:suppressAutoHyphens/>
              <w:spacing w:after="0" w:line="240" w:lineRule="auto"/>
              <w:ind w:right="-2" w:firstLine="709"/>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Finanšu</w:t>
            </w:r>
            <w:r w:rsidRPr="00513B1A">
              <w:rPr>
                <w:rFonts w:ascii="Times New Roman" w:eastAsia="Times New Roman" w:hAnsi="Times New Roman" w:cs="Times New Roman"/>
                <w:b/>
                <w:sz w:val="24"/>
                <w:szCs w:val="24"/>
                <w:lang w:eastAsia="lv-LV"/>
              </w:rPr>
              <w:t xml:space="preserve"> ministrija</w:t>
            </w:r>
          </w:p>
          <w:p w14:paraId="5D37D0A7" w14:textId="77777777" w:rsidR="002A0AEE" w:rsidRDefault="002A0AEE" w:rsidP="002A0AEE">
            <w:pPr>
              <w:pStyle w:val="ListParagraph"/>
              <w:numPr>
                <w:ilvl w:val="0"/>
                <w:numId w:val="2"/>
              </w:numPr>
              <w:ind w:left="0" w:firstLine="0"/>
              <w:contextualSpacing w:val="0"/>
              <w:rPr>
                <w:szCs w:val="24"/>
              </w:rPr>
            </w:pPr>
            <w:r>
              <w:rPr>
                <w:szCs w:val="24"/>
              </w:rPr>
              <w:t>Lūdzam precizēt r</w:t>
            </w:r>
            <w:r w:rsidRPr="003B5A89">
              <w:rPr>
                <w:szCs w:val="24"/>
              </w:rPr>
              <w:t>īkojuma projekta 1.punktā</w:t>
            </w:r>
            <w:r>
              <w:rPr>
                <w:szCs w:val="24"/>
              </w:rPr>
              <w:t>,</w:t>
            </w:r>
            <w:r w:rsidRPr="003B5A89">
              <w:rPr>
                <w:szCs w:val="24"/>
              </w:rPr>
              <w:t xml:space="preserve"> pielikumā</w:t>
            </w:r>
            <w:r>
              <w:rPr>
                <w:szCs w:val="24"/>
              </w:rPr>
              <w:t xml:space="preserve">, kā arī </w:t>
            </w:r>
            <w:r w:rsidRPr="003B5A89">
              <w:rPr>
                <w:szCs w:val="24"/>
              </w:rPr>
              <w:t xml:space="preserve">anotācijas I sadaļas “Tiesību akta izstrādes nepieciešamība” (turpmāk – I sadaļa) 2. punktā “Pašreizējā situācija un problēmas, kuru risināšanai tiesību akta projekts izstrādāts, tiesiskā regulējuma mērķis un būtība” </w:t>
            </w:r>
            <w:proofErr w:type="gramStart"/>
            <w:r w:rsidRPr="003B5A89">
              <w:rPr>
                <w:szCs w:val="24"/>
              </w:rPr>
              <w:t>(</w:t>
            </w:r>
            <w:proofErr w:type="gramEnd"/>
            <w:r w:rsidRPr="003B5A89">
              <w:rPr>
                <w:szCs w:val="24"/>
              </w:rPr>
              <w:t>turpmāk – 2.punkts) norādīt</w:t>
            </w:r>
            <w:r>
              <w:rPr>
                <w:szCs w:val="24"/>
              </w:rPr>
              <w:t>o</w:t>
            </w:r>
            <w:r w:rsidRPr="003B5A89">
              <w:rPr>
                <w:szCs w:val="24"/>
              </w:rPr>
              <w:t xml:space="preserve"> projekta nosaukum</w:t>
            </w:r>
            <w:r>
              <w:rPr>
                <w:szCs w:val="24"/>
              </w:rPr>
              <w:t>u</w:t>
            </w:r>
            <w:r w:rsidRPr="003B5A89">
              <w:rPr>
                <w:szCs w:val="24"/>
              </w:rPr>
              <w:t xml:space="preserve"> “</w:t>
            </w:r>
            <w:proofErr w:type="spellStart"/>
            <w:r w:rsidRPr="003B5A89">
              <w:rPr>
                <w:szCs w:val="24"/>
              </w:rPr>
              <w:t>Deinstitucionalizācijas</w:t>
            </w:r>
            <w:proofErr w:type="spellEnd"/>
            <w:r w:rsidRPr="003B5A89">
              <w:rPr>
                <w:szCs w:val="24"/>
              </w:rPr>
              <w:t xml:space="preserve"> procesu atbalsta sistēma (2.kārta)”</w:t>
            </w:r>
            <w:r>
              <w:rPr>
                <w:szCs w:val="24"/>
              </w:rPr>
              <w:t>, ņemot vērā, ka tas</w:t>
            </w:r>
            <w:r w:rsidRPr="003B5A89">
              <w:rPr>
                <w:szCs w:val="24"/>
              </w:rPr>
              <w:t xml:space="preserve"> neatbilst MK rīkojuma Nr.422</w:t>
            </w:r>
            <w:r w:rsidRPr="003B5A89">
              <w:rPr>
                <w:rStyle w:val="FootnoteReference"/>
                <w:szCs w:val="24"/>
              </w:rPr>
              <w:footnoteReference w:id="1"/>
            </w:r>
            <w:r w:rsidRPr="003B5A89">
              <w:rPr>
                <w:szCs w:val="24"/>
              </w:rPr>
              <w:t xml:space="preserve"> pielikumā norādītajam</w:t>
            </w:r>
            <w:r>
              <w:rPr>
                <w:szCs w:val="24"/>
              </w:rPr>
              <w:t xml:space="preserve"> projekta nosaukumam</w:t>
            </w:r>
            <w:r w:rsidRPr="003B5A89">
              <w:rPr>
                <w:szCs w:val="24"/>
              </w:rPr>
              <w:t xml:space="preserve"> “</w:t>
            </w:r>
            <w:proofErr w:type="spellStart"/>
            <w:r w:rsidRPr="003B5A89">
              <w:rPr>
                <w:szCs w:val="24"/>
              </w:rPr>
              <w:t>Deinstitucionalizācijas</w:t>
            </w:r>
            <w:proofErr w:type="spellEnd"/>
            <w:r w:rsidRPr="003B5A89">
              <w:rPr>
                <w:szCs w:val="24"/>
              </w:rPr>
              <w:t xml:space="preserve"> </w:t>
            </w:r>
            <w:r w:rsidRPr="003B5A89">
              <w:rPr>
                <w:szCs w:val="24"/>
              </w:rPr>
              <w:lastRenderedPageBreak/>
              <w:t xml:space="preserve">procesu atbalsta </w:t>
            </w:r>
            <w:r w:rsidRPr="003B5A89">
              <w:rPr>
                <w:bCs/>
                <w:szCs w:val="24"/>
                <w:u w:val="single"/>
              </w:rPr>
              <w:t>informācijas</w:t>
            </w:r>
            <w:r w:rsidRPr="003B5A89">
              <w:rPr>
                <w:szCs w:val="24"/>
              </w:rPr>
              <w:t xml:space="preserve"> s</w:t>
            </w:r>
            <w:r>
              <w:rPr>
                <w:szCs w:val="24"/>
              </w:rPr>
              <w:t xml:space="preserve">istēma (2. kārta)”. </w:t>
            </w:r>
          </w:p>
          <w:p w14:paraId="414C803E" w14:textId="77777777" w:rsidR="002A0AEE" w:rsidRPr="002027EF" w:rsidRDefault="002A0AEE" w:rsidP="002A0AEE">
            <w:pPr>
              <w:pStyle w:val="ListParagraph"/>
              <w:numPr>
                <w:ilvl w:val="0"/>
                <w:numId w:val="2"/>
              </w:numPr>
              <w:ind w:left="0" w:firstLine="27"/>
              <w:contextualSpacing w:val="0"/>
              <w:rPr>
                <w:szCs w:val="24"/>
              </w:rPr>
            </w:pPr>
            <w:r w:rsidRPr="002027EF">
              <w:rPr>
                <w:szCs w:val="24"/>
              </w:rPr>
              <w:t>Pielikumā</w:t>
            </w:r>
            <w:r>
              <w:rPr>
                <w:szCs w:val="24"/>
              </w:rPr>
              <w:t xml:space="preserve"> norādītais</w:t>
            </w:r>
            <w:r w:rsidRPr="002027EF">
              <w:rPr>
                <w:szCs w:val="24"/>
              </w:rPr>
              <w:t xml:space="preserve"> sociālekonomisko ieguvumu aprēķins ir vispārīgs un nesniedz pārliecību par projekta izdevīgumu sabiedrībai, t.i.:</w:t>
            </w:r>
          </w:p>
          <w:p w14:paraId="2EE0A1BE" w14:textId="77777777" w:rsidR="002A0AEE" w:rsidRPr="002027EF" w:rsidRDefault="002A0AEE" w:rsidP="002A0AEE">
            <w:pPr>
              <w:pStyle w:val="ListParagraph"/>
              <w:numPr>
                <w:ilvl w:val="1"/>
                <w:numId w:val="2"/>
              </w:numPr>
              <w:ind w:left="0" w:firstLine="0"/>
              <w:contextualSpacing w:val="0"/>
              <w:rPr>
                <w:szCs w:val="24"/>
              </w:rPr>
            </w:pPr>
            <w:r w:rsidRPr="002027EF">
              <w:rPr>
                <w:szCs w:val="24"/>
              </w:rPr>
              <w:t>divas no norādītajām sociālekonomisko ieguvumu kategorijām (Nr.2 “Ar pakalpojuma sniegšanu saistīto administratīvo izdevumu samazinājums” un Nr.3 “Ieguvumi optimizējot izsniegto TPL monitoringu”) ir projekta iesniedzēja darbības izmaksu samazinājums, nevis sociālekonomiskie ieguvumi (jo ieguvējs ir iesniedzējs</w:t>
            </w:r>
            <w:proofErr w:type="gramStart"/>
            <w:r w:rsidRPr="002027EF">
              <w:rPr>
                <w:szCs w:val="24"/>
              </w:rPr>
              <w:t xml:space="preserve"> nevis</w:t>
            </w:r>
            <w:proofErr w:type="gramEnd"/>
            <w:r w:rsidRPr="002027EF">
              <w:rPr>
                <w:szCs w:val="24"/>
              </w:rPr>
              <w:t xml:space="preserve"> trešās puses, piemēram, iedzīvotāji). Turklāt nav izsecināms, kas ir ietaupītie līdzekļi ieguvumu Nr.2 un Nr.3 gadījumā – konkrēti</w:t>
            </w:r>
            <w:r>
              <w:rPr>
                <w:szCs w:val="24"/>
              </w:rPr>
              <w:t>,</w:t>
            </w:r>
            <w:r w:rsidRPr="002027EF">
              <w:rPr>
                <w:szCs w:val="24"/>
              </w:rPr>
              <w:t xml:space="preserve"> no kā rodas samazinājums. Piemēram, pakalpojuma elektronizēšanas rezultātā iespējams samazināt ar to strādājošā personāla amata vietu skaitu, attiecīgi veidojas atalgojuma izmaksu ietaupījums;</w:t>
            </w:r>
          </w:p>
          <w:p w14:paraId="7AA9B9FB" w14:textId="77777777" w:rsidR="002A0AEE" w:rsidRPr="002027EF" w:rsidRDefault="002A0AEE" w:rsidP="002A0AEE">
            <w:pPr>
              <w:pStyle w:val="ListParagraph"/>
              <w:numPr>
                <w:ilvl w:val="1"/>
                <w:numId w:val="2"/>
              </w:numPr>
              <w:ind w:left="0" w:firstLine="27"/>
              <w:contextualSpacing w:val="0"/>
              <w:rPr>
                <w:szCs w:val="24"/>
              </w:rPr>
            </w:pPr>
            <w:r w:rsidRPr="002027EF">
              <w:rPr>
                <w:szCs w:val="24"/>
              </w:rPr>
              <w:t xml:space="preserve">nav norādīti pat aptuveni pieņēmumi, uz kā balstās aprēķinātais ieguvumu apjoms (piemēram, kāds ir paredzamais iedzīvotāju laika ietaupījums, cik iedzīvotāju saņem konkrēto pakalpojumu gadā, kāds ir </w:t>
            </w:r>
            <w:r w:rsidRPr="002027EF">
              <w:rPr>
                <w:szCs w:val="24"/>
              </w:rPr>
              <w:lastRenderedPageBreak/>
              <w:t>plānotais ieguvums atbilstoši vidējai darba algai valstī vai tml.)</w:t>
            </w:r>
            <w:r>
              <w:rPr>
                <w:szCs w:val="24"/>
              </w:rPr>
              <w:t>;</w:t>
            </w:r>
          </w:p>
          <w:p w14:paraId="5C50C8B8" w14:textId="77777777" w:rsidR="002A0AEE" w:rsidRPr="002027EF" w:rsidRDefault="002A0AEE" w:rsidP="002A0AEE">
            <w:pPr>
              <w:pStyle w:val="ListParagraph"/>
              <w:numPr>
                <w:ilvl w:val="1"/>
                <w:numId w:val="2"/>
              </w:numPr>
              <w:ind w:left="27" w:firstLine="0"/>
              <w:contextualSpacing w:val="0"/>
              <w:rPr>
                <w:szCs w:val="24"/>
              </w:rPr>
            </w:pPr>
            <w:r w:rsidRPr="002027EF">
              <w:rPr>
                <w:szCs w:val="24"/>
              </w:rPr>
              <w:t>zem tabulas sniegtajā aprakstā minēts tikai ieguvums Nr.2 – nav sniegta paskaidrojoša informācija par ieguvumiem Nr.1. un Nr.3.</w:t>
            </w:r>
          </w:p>
          <w:p w14:paraId="22312279" w14:textId="77777777" w:rsidR="002A0AEE" w:rsidRDefault="002A0AEE" w:rsidP="002A0AEE">
            <w:pPr>
              <w:pStyle w:val="ListParagraph"/>
              <w:ind w:left="27"/>
              <w:rPr>
                <w:szCs w:val="24"/>
              </w:rPr>
            </w:pPr>
            <w:r w:rsidRPr="002027EF">
              <w:rPr>
                <w:szCs w:val="24"/>
              </w:rPr>
              <w:t xml:space="preserve">Ņemot vērā iepriekšminēto un to, ka pašlaik aprēķinātais ieguvumu apjoms </w:t>
            </w:r>
            <w:r>
              <w:rPr>
                <w:szCs w:val="24"/>
              </w:rPr>
              <w:br/>
            </w:r>
            <w:r w:rsidRPr="002027EF">
              <w:rPr>
                <w:szCs w:val="24"/>
              </w:rPr>
              <w:t xml:space="preserve">(1 042 960 </w:t>
            </w:r>
            <w:proofErr w:type="spellStart"/>
            <w:r w:rsidRPr="00EB4BD5">
              <w:rPr>
                <w:i/>
                <w:szCs w:val="24"/>
              </w:rPr>
              <w:t>euro</w:t>
            </w:r>
            <w:proofErr w:type="spellEnd"/>
            <w:r w:rsidRPr="002027EF">
              <w:rPr>
                <w:szCs w:val="24"/>
              </w:rPr>
              <w:t xml:space="preserve">) samērā nedaudz pārsniedz projekta investīciju apmēru (700 000 </w:t>
            </w:r>
            <w:proofErr w:type="spellStart"/>
            <w:r w:rsidRPr="002F6B75">
              <w:rPr>
                <w:i/>
                <w:szCs w:val="24"/>
              </w:rPr>
              <w:t>euro</w:t>
            </w:r>
            <w:proofErr w:type="spellEnd"/>
            <w:r w:rsidRPr="002027EF">
              <w:rPr>
                <w:szCs w:val="24"/>
              </w:rPr>
              <w:t>), lūdzam novērst minētās nepilnības, pārskatot sociālekonomisko ieguvumu kategorijas un sniedzot papildu informāciju, tādējādi nodrošinot, ka projektam plānoti argumentēti, reālistiski sociālekonomiskie ieguvumi, un tie ir vismaz projek</w:t>
            </w:r>
            <w:r>
              <w:rPr>
                <w:szCs w:val="24"/>
              </w:rPr>
              <w:t xml:space="preserve">ta investīciju izmaksu apmērā. </w:t>
            </w:r>
          </w:p>
          <w:p w14:paraId="52043773" w14:textId="77777777" w:rsidR="002A0AEE" w:rsidRDefault="002A0AEE" w:rsidP="002A0AEE">
            <w:pPr>
              <w:pStyle w:val="ListParagraph"/>
              <w:numPr>
                <w:ilvl w:val="0"/>
                <w:numId w:val="2"/>
              </w:numPr>
              <w:ind w:left="27" w:hanging="27"/>
              <w:contextualSpacing w:val="0"/>
              <w:rPr>
                <w:szCs w:val="24"/>
              </w:rPr>
            </w:pPr>
            <w:r w:rsidRPr="00510575">
              <w:rPr>
                <w:szCs w:val="24"/>
              </w:rPr>
              <w:t xml:space="preserve">Pielikumā minētais mērķis Nr.1. “Modernizēt Audžuģimeņu informācijas sistēmu, attīstot uz atvērtā koda tehnoloģiju bāzētas platformas” liecina, ka </w:t>
            </w:r>
            <w:r>
              <w:rPr>
                <w:szCs w:val="24"/>
              </w:rPr>
              <w:t>Audžuģimeņu informācijas sistēmas</w:t>
            </w:r>
            <w:r w:rsidRPr="00510575">
              <w:rPr>
                <w:szCs w:val="24"/>
              </w:rPr>
              <w:t xml:space="preserve"> modernizācijas rezultātā tiks attīstītas platformas, taču pilnveidotas platformas nav paredzēts kā viens no projekta iznākuma rādītājiem. Lūdzam precizēt iznākuma rādītājus vai sniegt skaidrojumu par mērķi Nr.1. un tajā minētajām platformām projekta kontekstā. Ja nepieciešams, atbilstoši </w:t>
            </w:r>
            <w:r w:rsidRPr="00510575">
              <w:rPr>
                <w:szCs w:val="24"/>
              </w:rPr>
              <w:lastRenderedPageBreak/>
              <w:t>jāprecizē arī anotācijas I sadaļas 2.punktā ietvertā informācija</w:t>
            </w:r>
            <w:r>
              <w:rPr>
                <w:szCs w:val="24"/>
              </w:rPr>
              <w:t>:</w:t>
            </w:r>
            <w:r w:rsidRPr="00510575">
              <w:rPr>
                <w:szCs w:val="24"/>
              </w:rPr>
              <w:t xml:space="preserve"> “</w:t>
            </w:r>
            <w:r w:rsidRPr="00EB4BD5">
              <w:rPr>
                <w:i/>
                <w:szCs w:val="24"/>
              </w:rPr>
              <w:t>DI projektam nav ietekmes uz darbības programmas “Izaugsme un nodarbinātība</w:t>
            </w:r>
            <w:proofErr w:type="gramStart"/>
            <w:r w:rsidRPr="00EB4BD5">
              <w:rPr>
                <w:i/>
                <w:szCs w:val="24"/>
              </w:rPr>
              <w:t>” rādītāja “Centralizētas</w:t>
            </w:r>
            <w:proofErr w:type="gramEnd"/>
            <w:r w:rsidRPr="00EB4BD5">
              <w:rPr>
                <w:i/>
                <w:szCs w:val="24"/>
              </w:rPr>
              <w:t xml:space="preserve"> atvērtas informācijas sistēmu platformas, skaits” palielināšanu</w:t>
            </w:r>
            <w:r w:rsidRPr="00DB025C">
              <w:rPr>
                <w:szCs w:val="24"/>
              </w:rPr>
              <w:t>”.</w:t>
            </w:r>
          </w:p>
          <w:p w14:paraId="06D01929" w14:textId="77777777" w:rsidR="002A0AEE" w:rsidRPr="00EB4BD5" w:rsidRDefault="002A0AEE" w:rsidP="002A0AEE">
            <w:pPr>
              <w:pStyle w:val="ListParagraph"/>
              <w:numPr>
                <w:ilvl w:val="0"/>
                <w:numId w:val="2"/>
              </w:numPr>
              <w:ind w:left="27" w:firstLine="0"/>
              <w:rPr>
                <w:szCs w:val="24"/>
              </w:rPr>
            </w:pPr>
            <w:r w:rsidRPr="00EB4BD5">
              <w:rPr>
                <w:szCs w:val="24"/>
              </w:rPr>
              <w:t xml:space="preserve">Lūdzam precizēt anotācijas II sadaļas “Tiesību akta projekta ietekme uz sabiedrību, tautsaimniecības attīstību un administratīvo slogu” 1. punktā “Sabiedrības mērķgrupas, </w:t>
            </w:r>
            <w:proofErr w:type="gramStart"/>
            <w:r w:rsidRPr="00EB4BD5">
              <w:rPr>
                <w:szCs w:val="24"/>
              </w:rPr>
              <w:t>kuras tiesiskais regulējums ietekmē</w:t>
            </w:r>
            <w:proofErr w:type="gramEnd"/>
            <w:r w:rsidRPr="00EB4BD5">
              <w:rPr>
                <w:szCs w:val="24"/>
              </w:rPr>
              <w:t xml:space="preserve"> vai varētu ietekmēt” minēto informāciju par </w:t>
            </w:r>
            <w:proofErr w:type="spellStart"/>
            <w:r w:rsidRPr="00EB4BD5">
              <w:rPr>
                <w:szCs w:val="24"/>
              </w:rPr>
              <w:t>deinstitucionalizācijas</w:t>
            </w:r>
            <w:proofErr w:type="spellEnd"/>
            <w:r w:rsidRPr="00EB4BD5">
              <w:rPr>
                <w:szCs w:val="24"/>
              </w:rPr>
              <w:t xml:space="preserve"> mērķa grupu, ņemot vērā, ka šobrīd nav skaidri saprotams</w:t>
            </w:r>
            <w:r>
              <w:rPr>
                <w:szCs w:val="24"/>
              </w:rPr>
              <w:t>,</w:t>
            </w:r>
            <w:r w:rsidRPr="00EB4BD5">
              <w:rPr>
                <w:szCs w:val="24"/>
              </w:rPr>
              <w:t xml:space="preserve"> kāda mērķa grupa tiek ietekmēta  – </w:t>
            </w:r>
            <w:proofErr w:type="spellStart"/>
            <w:r w:rsidRPr="00EB4BD5">
              <w:rPr>
                <w:szCs w:val="24"/>
              </w:rPr>
              <w:t>deinstitucionalizācijas</w:t>
            </w:r>
            <w:proofErr w:type="spellEnd"/>
            <w:r w:rsidRPr="00EB4BD5">
              <w:rPr>
                <w:szCs w:val="24"/>
              </w:rPr>
              <w:t xml:space="preserve"> </w:t>
            </w:r>
            <w:r w:rsidRPr="00EB4BD5">
              <w:rPr>
                <w:szCs w:val="24"/>
                <w:u w:val="single"/>
              </w:rPr>
              <w:t>procesa</w:t>
            </w:r>
            <w:r w:rsidRPr="00EB4BD5">
              <w:rPr>
                <w:szCs w:val="24"/>
              </w:rPr>
              <w:t xml:space="preserve"> vai darbības programmas “Iz</w:t>
            </w:r>
            <w:r>
              <w:rPr>
                <w:szCs w:val="24"/>
              </w:rPr>
              <w:t>augsme un nodarbinātība” 9.2.2.</w:t>
            </w:r>
            <w:r w:rsidRPr="00EB4BD5">
              <w:rPr>
                <w:szCs w:val="24"/>
              </w:rPr>
              <w:t>specifiskā atbalsta mērķa “Palielināt kvalitatīvu institucionālai aprūpei alternatīvu sociālo pakalpojumu dzīvesvietā un ģimeniskai videi pietuvinātu pakalpojumu pieejamību personām ar in</w:t>
            </w:r>
            <w:r>
              <w:rPr>
                <w:szCs w:val="24"/>
              </w:rPr>
              <w:t>validitāti un bērniem” 9.2.2.1.</w:t>
            </w:r>
            <w:r w:rsidRPr="00EB4BD5">
              <w:rPr>
                <w:szCs w:val="24"/>
              </w:rPr>
              <w:t>pasākuma “</w:t>
            </w:r>
            <w:proofErr w:type="spellStart"/>
            <w:r w:rsidRPr="00EB4BD5">
              <w:rPr>
                <w:szCs w:val="24"/>
              </w:rPr>
              <w:t>Deinstitucionalizācija</w:t>
            </w:r>
            <w:proofErr w:type="spellEnd"/>
            <w:r w:rsidRPr="00EB4BD5">
              <w:rPr>
                <w:szCs w:val="24"/>
              </w:rPr>
              <w:t xml:space="preserve">” (turpmāk – 9.2.2.1. pasākums) mērķa grupa. </w:t>
            </w:r>
          </w:p>
          <w:p w14:paraId="78620053" w14:textId="77777777" w:rsidR="002A0AEE" w:rsidRPr="00EB4BD5" w:rsidRDefault="002A0AEE" w:rsidP="002A0AEE">
            <w:pPr>
              <w:pStyle w:val="ListParagraph"/>
              <w:ind w:left="27"/>
              <w:rPr>
                <w:szCs w:val="24"/>
              </w:rPr>
            </w:pPr>
            <w:r w:rsidRPr="00EB4BD5">
              <w:rPr>
                <w:szCs w:val="24"/>
              </w:rPr>
              <w:t xml:space="preserve">Vēršam uzmanību, ka attiecībā uz pieaugušajiem cilvēkiem </w:t>
            </w:r>
            <w:proofErr w:type="spellStart"/>
            <w:r w:rsidRPr="00EB4BD5">
              <w:rPr>
                <w:szCs w:val="24"/>
              </w:rPr>
              <w:t>deinstitucionalizācijas</w:t>
            </w:r>
            <w:proofErr w:type="spellEnd"/>
            <w:r w:rsidRPr="00EB4BD5">
              <w:rPr>
                <w:szCs w:val="24"/>
              </w:rPr>
              <w:t xml:space="preserve"> process paredz </w:t>
            </w:r>
            <w:r w:rsidRPr="00EB4BD5">
              <w:rPr>
                <w:szCs w:val="24"/>
              </w:rPr>
              <w:lastRenderedPageBreak/>
              <w:t>cilvēku ar garīga rakstura traucējumiem iekļaušanu sabiedrībā un iesaisti darba tirgū, tādējādi veicinot viņu neatkarību un patstāvību, kas neietver aizbildņus, audžuģimenes un adoptētājus kā</w:t>
            </w:r>
            <w:r>
              <w:rPr>
                <w:szCs w:val="24"/>
              </w:rPr>
              <w:t xml:space="preserve"> mērķa grupu. Savukārt 9.2.2.1.</w:t>
            </w:r>
            <w:r w:rsidRPr="00EB4BD5">
              <w:rPr>
                <w:szCs w:val="24"/>
              </w:rPr>
              <w:t>pasākuma mērķa grupā ir ietverti arī aizbildņi, adoptētāji un audžuģimenes.</w:t>
            </w:r>
            <w:r>
              <w:rPr>
                <w:szCs w:val="24"/>
              </w:rPr>
              <w:t xml:space="preserve"> </w:t>
            </w:r>
          </w:p>
          <w:p w14:paraId="62B36676" w14:textId="77777777" w:rsidR="002A0AEE" w:rsidRDefault="002A0AEE" w:rsidP="002A0AEE">
            <w:pPr>
              <w:pStyle w:val="ListParagraph"/>
              <w:numPr>
                <w:ilvl w:val="0"/>
                <w:numId w:val="2"/>
              </w:numPr>
              <w:ind w:left="27" w:firstLine="0"/>
              <w:contextualSpacing w:val="0"/>
              <w:rPr>
                <w:szCs w:val="24"/>
              </w:rPr>
            </w:pPr>
            <w:r w:rsidRPr="00DB025C">
              <w:rPr>
                <w:szCs w:val="24"/>
              </w:rPr>
              <w:t>Anotācijas III sadaļas “Tiesību akta projekta ietekme uz</w:t>
            </w:r>
            <w:proofErr w:type="gramStart"/>
            <w:r w:rsidRPr="00DB025C">
              <w:rPr>
                <w:szCs w:val="24"/>
              </w:rPr>
              <w:t xml:space="preserve">  </w:t>
            </w:r>
            <w:proofErr w:type="gramEnd"/>
            <w:r w:rsidRPr="00DB025C">
              <w:rPr>
                <w:szCs w:val="24"/>
              </w:rPr>
              <w:t xml:space="preserve">valsts budžetu un pašvaldību budžetiem” (turpmāk – III sadaļa) 6.2.punktā “Detalizētas izdevumu aprēķins” norādīts, ka projekta rezultātu uzturēšanas izmaksās paredzēta arī pašvaldību sociālo dienestu lietojumprogrammas – Sociālās sfēras procesu pārvaldības lietojumprogrammas </w:t>
            </w:r>
            <w:r>
              <w:rPr>
                <w:szCs w:val="24"/>
              </w:rPr>
              <w:br/>
            </w:r>
            <w:r w:rsidRPr="00DB025C">
              <w:rPr>
                <w:szCs w:val="24"/>
              </w:rPr>
              <w:t>(SOPA)</w:t>
            </w:r>
            <w:r>
              <w:rPr>
                <w:szCs w:val="24"/>
              </w:rPr>
              <w:t xml:space="preserve"> – </w:t>
            </w:r>
            <w:r w:rsidRPr="00DB025C">
              <w:rPr>
                <w:szCs w:val="24"/>
              </w:rPr>
              <w:t xml:space="preserve"> informācijas un komunikācijas tehnoloģiju risinājumu uzturēšana, taču saskaņā ar pārējo sniegto informāciju, t.sk. pielikumā, minētā lietojumprogramma neiekļaujas projekta tvērumā, līdz ar to arī nebūtu uzskatāms par projekta rezultātu, kam paredzēt uzturēšanas izmaksas. Attiecīgi lūdzam precizēt vai pamatot, kādēļ minētās izmaksas iekļautas projekta r</w:t>
            </w:r>
            <w:r>
              <w:rPr>
                <w:szCs w:val="24"/>
              </w:rPr>
              <w:t xml:space="preserve">ezultātu uzturēšanas izmaksās. </w:t>
            </w:r>
          </w:p>
          <w:p w14:paraId="176EB5E1" w14:textId="77777777" w:rsidR="002A0AEE" w:rsidRPr="008F6DD6" w:rsidRDefault="002A0AEE" w:rsidP="002A0AEE">
            <w:pPr>
              <w:pStyle w:val="ListParagraph"/>
              <w:numPr>
                <w:ilvl w:val="0"/>
                <w:numId w:val="2"/>
              </w:numPr>
              <w:ind w:left="27" w:firstLine="0"/>
              <w:contextualSpacing w:val="0"/>
              <w:rPr>
                <w:szCs w:val="24"/>
              </w:rPr>
            </w:pPr>
            <w:r w:rsidRPr="008F6DD6">
              <w:rPr>
                <w:szCs w:val="24"/>
              </w:rPr>
              <w:t xml:space="preserve">Anotācijas III sadaļas 7.punktā “Amatu vietu skaita izmaiņas” </w:t>
            </w:r>
            <w:r>
              <w:rPr>
                <w:szCs w:val="24"/>
              </w:rPr>
              <w:t xml:space="preserve">(turpmāk – 7.punkts) </w:t>
            </w:r>
            <w:r w:rsidRPr="008F6DD6">
              <w:rPr>
                <w:szCs w:val="24"/>
              </w:rPr>
              <w:t xml:space="preserve">norādīts, ka tiks izveidotas </w:t>
            </w:r>
            <w:r w:rsidRPr="008F6DD6">
              <w:rPr>
                <w:szCs w:val="24"/>
              </w:rPr>
              <w:lastRenderedPageBreak/>
              <w:t>divas amatu vietas, taču uzskaitīti trīs darbinieki: “</w:t>
            </w:r>
            <w:r w:rsidRPr="00EB4BD5">
              <w:rPr>
                <w:i/>
                <w:szCs w:val="24"/>
              </w:rPr>
              <w:t xml:space="preserve">Uz projekta īstenošanas laiku tiks izveidotas divas amatu vietas: projekta vadītājs (0,5 slodze), projekta koordinators (1 slodzes), vecākais </w:t>
            </w:r>
            <w:proofErr w:type="spellStart"/>
            <w:r w:rsidRPr="00EB4BD5">
              <w:rPr>
                <w:i/>
                <w:szCs w:val="24"/>
              </w:rPr>
              <w:t>sistēmanalītiķis</w:t>
            </w:r>
            <w:proofErr w:type="spellEnd"/>
            <w:r w:rsidRPr="00EB4BD5">
              <w:rPr>
                <w:i/>
                <w:szCs w:val="24"/>
              </w:rPr>
              <w:t xml:space="preserve"> (0,5 slodze)</w:t>
            </w:r>
            <w:r w:rsidRPr="008F6DD6">
              <w:rPr>
                <w:szCs w:val="24"/>
              </w:rPr>
              <w:t>”</w:t>
            </w:r>
            <w:r>
              <w:rPr>
                <w:szCs w:val="24"/>
              </w:rPr>
              <w:t>.</w:t>
            </w:r>
            <w:r w:rsidRPr="008F6DD6">
              <w:rPr>
                <w:szCs w:val="24"/>
              </w:rPr>
              <w:t xml:space="preserve"> </w:t>
            </w:r>
            <w:r>
              <w:rPr>
                <w:szCs w:val="24"/>
              </w:rPr>
              <w:t xml:space="preserve">Attiecīgi </w:t>
            </w:r>
            <w:r w:rsidRPr="008F6DD6">
              <w:rPr>
                <w:szCs w:val="24"/>
              </w:rPr>
              <w:t xml:space="preserve">lūdzam norādīt savstarpēji </w:t>
            </w:r>
            <w:r>
              <w:rPr>
                <w:szCs w:val="24"/>
              </w:rPr>
              <w:t>saskaņotu</w:t>
            </w:r>
            <w:r w:rsidRPr="008F6DD6">
              <w:rPr>
                <w:szCs w:val="24"/>
              </w:rPr>
              <w:t xml:space="preserve"> </w:t>
            </w:r>
            <w:r>
              <w:rPr>
                <w:szCs w:val="24"/>
              </w:rPr>
              <w:t xml:space="preserve">informāciju. </w:t>
            </w:r>
          </w:p>
          <w:p w14:paraId="0D4439A1" w14:textId="77777777" w:rsidR="002A0AEE" w:rsidRDefault="002A0AEE" w:rsidP="002A0AEE">
            <w:pPr>
              <w:pStyle w:val="ListParagraph"/>
              <w:numPr>
                <w:ilvl w:val="0"/>
                <w:numId w:val="2"/>
              </w:numPr>
              <w:ind w:left="27" w:firstLine="0"/>
              <w:contextualSpacing w:val="0"/>
              <w:rPr>
                <w:lang w:eastAsia="lv-LV"/>
              </w:rPr>
            </w:pPr>
            <w:r>
              <w:t>Anotācijas III sadaļas 6.punktā</w:t>
            </w:r>
            <w:proofErr w:type="gramStart"/>
            <w:r>
              <w:t xml:space="preserve">  </w:t>
            </w:r>
            <w:proofErr w:type="gramEnd"/>
            <w:r>
              <w:t xml:space="preserve">“Detalizēts ieņēmumu un izdevumu aprēķins” un 7.punktā ir norādīts, ka LM būs nepieciešama papildu viena amata vieta, kas tiks nodrošināta, pārdalot amatu vietas nozares amata vietu ietvaros. Vēršam uzmanību, ka, plānojot finansējumu atlīdzībai, nav ievērots MK </w:t>
            </w:r>
            <w:proofErr w:type="gramStart"/>
            <w:r>
              <w:t>2017.gada</w:t>
            </w:r>
            <w:proofErr w:type="gramEnd"/>
            <w:r>
              <w:t xml:space="preserve"> 28.augusta ārkārtas sēdē (protokols Nr.41 1.§ 42.punkts) nolemtais, ka turpmāk, virzot tiesību aktu projektus, politikas plānošanas dokumentus, papildu finansējumu restrukturizētām amata vietām jāplāno kā starpību starp finansējumu esošajai amata vietai (t.sk. vakancei) un amata vietai, kas būs nepieciešama konkrētā pasākuma īstenošanai. Attiecīgi precizējama anotācijas III sadaļā noradītā informācija, finansējumu atlīdzībai samazinot par finansējumu, kas paredzēts restrukturizētajai amata vietai. </w:t>
            </w:r>
          </w:p>
          <w:p w14:paraId="0D639482" w14:textId="77777777" w:rsidR="002A0AEE" w:rsidRDefault="002A0AEE" w:rsidP="002A0AEE">
            <w:pPr>
              <w:pStyle w:val="ListParagraph"/>
              <w:numPr>
                <w:ilvl w:val="0"/>
                <w:numId w:val="2"/>
              </w:numPr>
              <w:ind w:left="0" w:firstLine="0"/>
              <w:contextualSpacing w:val="0"/>
            </w:pPr>
            <w:r>
              <w:lastRenderedPageBreak/>
              <w:t xml:space="preserve">Lūdzam precizēt anotācijas III sadaļas 7.punktā norādītās personāla izmaksas, sniedzot plānoto izdevumu atlīdzībai detalizētus aprēķinus, t.sk. norādot personāla amata saimi, mēnešalgu grupu, līmeni un kategoriju. </w:t>
            </w:r>
            <w:r>
              <w:rPr>
                <w:szCs w:val="24"/>
              </w:rPr>
              <w:t>Vienlaikus vēršam uzmanību, ka</w:t>
            </w:r>
            <w:r w:rsidRPr="00647CF4">
              <w:rPr>
                <w:szCs w:val="24"/>
              </w:rPr>
              <w:t xml:space="preserve"> </w:t>
            </w:r>
            <w:r>
              <w:rPr>
                <w:szCs w:val="24"/>
              </w:rPr>
              <w:t xml:space="preserve">arī </w:t>
            </w:r>
            <w:r w:rsidRPr="00647CF4">
              <w:rPr>
                <w:szCs w:val="24"/>
              </w:rPr>
              <w:t>projekta iesnieguma vērtēšanas procesā tiks vērtēts plānotā atalgojuma pamatojums, atbilstība MK noteikumu Nr.653</w:t>
            </w:r>
            <w:r>
              <w:rPr>
                <w:szCs w:val="24"/>
                <w:vertAlign w:val="superscript"/>
              </w:rPr>
              <w:t>2</w:t>
            </w:r>
            <w:r w:rsidRPr="00647CF4">
              <w:rPr>
                <w:szCs w:val="24"/>
              </w:rPr>
              <w:t xml:space="preserve"> noteiktajiem i</w:t>
            </w:r>
            <w:r>
              <w:rPr>
                <w:szCs w:val="24"/>
              </w:rPr>
              <w:t>erobežojumiem un u.c. nosacījumiem. A</w:t>
            </w:r>
            <w:r w:rsidRPr="00647CF4">
              <w:rPr>
                <w:szCs w:val="24"/>
              </w:rPr>
              <w:t>ttiecīgi</w:t>
            </w:r>
            <w:r>
              <w:rPr>
                <w:szCs w:val="24"/>
              </w:rPr>
              <w:t xml:space="preserve"> atalgojuma</w:t>
            </w:r>
            <w:r w:rsidRPr="00647CF4">
              <w:rPr>
                <w:szCs w:val="24"/>
              </w:rPr>
              <w:t xml:space="preserve"> informācija</w:t>
            </w:r>
            <w:r>
              <w:rPr>
                <w:szCs w:val="24"/>
              </w:rPr>
              <w:t>i</w:t>
            </w:r>
            <w:r w:rsidRPr="00647CF4">
              <w:rPr>
                <w:szCs w:val="24"/>
              </w:rPr>
              <w:t xml:space="preserve"> projekta iesniegumā </w:t>
            </w:r>
            <w:r>
              <w:rPr>
                <w:szCs w:val="24"/>
              </w:rPr>
              <w:t>jābūt</w:t>
            </w:r>
            <w:r w:rsidRPr="00647CF4">
              <w:rPr>
                <w:szCs w:val="24"/>
              </w:rPr>
              <w:t xml:space="preserve"> </w:t>
            </w:r>
            <w:r>
              <w:rPr>
                <w:szCs w:val="24"/>
              </w:rPr>
              <w:t xml:space="preserve">saskaņotai ar </w:t>
            </w:r>
            <w:r w:rsidRPr="00647CF4">
              <w:rPr>
                <w:szCs w:val="24"/>
              </w:rPr>
              <w:t>anotācijā norādīt</w:t>
            </w:r>
            <w:r>
              <w:rPr>
                <w:szCs w:val="24"/>
              </w:rPr>
              <w:t>o informāciju</w:t>
            </w:r>
            <w:r w:rsidRPr="00647CF4">
              <w:rPr>
                <w:szCs w:val="24"/>
              </w:rPr>
              <w:t>.</w:t>
            </w:r>
          </w:p>
          <w:p w14:paraId="4044E97D" w14:textId="77777777" w:rsidR="00812882" w:rsidRDefault="002A0AEE" w:rsidP="002A0AEE">
            <w:pPr>
              <w:pStyle w:val="ListParagraph"/>
              <w:numPr>
                <w:ilvl w:val="0"/>
                <w:numId w:val="2"/>
              </w:numPr>
              <w:ind w:left="0" w:firstLine="27"/>
              <w:rPr>
                <w:szCs w:val="24"/>
                <w:lang w:eastAsia="lv-LV"/>
              </w:rPr>
            </w:pPr>
            <w:r w:rsidRPr="008F6DD6">
              <w:rPr>
                <w:szCs w:val="24"/>
              </w:rPr>
              <w:t>Lūdzam papildināt pielikumu</w:t>
            </w:r>
            <w:r w:rsidRPr="00DB025C">
              <w:rPr>
                <w:szCs w:val="24"/>
              </w:rPr>
              <w:t xml:space="preserve"> </w:t>
            </w:r>
            <w:r w:rsidRPr="00F511CA">
              <w:rPr>
                <w:szCs w:val="24"/>
              </w:rPr>
              <w:t xml:space="preserve">ar informāciju, norādot, kādi darbības procesi tiks pilnveidoti </w:t>
            </w:r>
            <w:r>
              <w:rPr>
                <w:szCs w:val="24"/>
              </w:rPr>
              <w:t>un kādi e-pakalpojumi tiks izveidoti no jauna.</w:t>
            </w:r>
          </w:p>
          <w:p w14:paraId="2EBE24F9" w14:textId="77777777" w:rsidR="002A0AEE" w:rsidRDefault="002A0AEE" w:rsidP="002A0AEE">
            <w:pPr>
              <w:rPr>
                <w:szCs w:val="24"/>
                <w:lang w:eastAsia="lv-LV"/>
              </w:rPr>
            </w:pPr>
          </w:p>
          <w:p w14:paraId="4F9D1FA6" w14:textId="77777777" w:rsidR="002A0AEE" w:rsidRDefault="002A0AEE" w:rsidP="002A0AEE">
            <w:pPr>
              <w:jc w:val="center"/>
              <w:rPr>
                <w:rFonts w:ascii="Times New Roman" w:hAnsi="Times New Roman" w:cs="Times New Roman"/>
                <w:b/>
                <w:szCs w:val="24"/>
                <w:lang w:eastAsia="lv-LV"/>
              </w:rPr>
            </w:pPr>
            <w:r w:rsidRPr="002A0AEE">
              <w:rPr>
                <w:rFonts w:ascii="Times New Roman" w:hAnsi="Times New Roman" w:cs="Times New Roman"/>
                <w:b/>
                <w:szCs w:val="24"/>
                <w:lang w:eastAsia="lv-LV"/>
              </w:rPr>
              <w:t>Vi</w:t>
            </w:r>
            <w:r>
              <w:rPr>
                <w:rFonts w:ascii="Times New Roman" w:hAnsi="Times New Roman" w:cs="Times New Roman"/>
                <w:b/>
                <w:szCs w:val="24"/>
                <w:lang w:eastAsia="lv-LV"/>
              </w:rPr>
              <w:t>des aizsardzības un reģionālās attīstības mini</w:t>
            </w:r>
            <w:r w:rsidRPr="002A0AEE">
              <w:rPr>
                <w:rFonts w:ascii="Times New Roman" w:hAnsi="Times New Roman" w:cs="Times New Roman"/>
                <w:b/>
                <w:szCs w:val="24"/>
                <w:lang w:eastAsia="lv-LV"/>
              </w:rPr>
              <w:t>s</w:t>
            </w:r>
            <w:r>
              <w:rPr>
                <w:rFonts w:ascii="Times New Roman" w:hAnsi="Times New Roman" w:cs="Times New Roman"/>
                <w:b/>
                <w:szCs w:val="24"/>
                <w:lang w:eastAsia="lv-LV"/>
              </w:rPr>
              <w:t>trija</w:t>
            </w:r>
          </w:p>
          <w:p w14:paraId="59D4102D" w14:textId="77777777" w:rsidR="009E1FAB" w:rsidRPr="00161BF3" w:rsidRDefault="009E1FAB" w:rsidP="00161BF3">
            <w:pPr>
              <w:pStyle w:val="ListParagraph"/>
              <w:widowControl w:val="0"/>
              <w:numPr>
                <w:ilvl w:val="0"/>
                <w:numId w:val="5"/>
              </w:numPr>
              <w:tabs>
                <w:tab w:val="center" w:pos="4320"/>
                <w:tab w:val="right" w:pos="8640"/>
              </w:tabs>
              <w:rPr>
                <w:rFonts w:eastAsia="Calibri"/>
                <w:szCs w:val="24"/>
              </w:rPr>
            </w:pPr>
            <w:r w:rsidRPr="00161BF3">
              <w:rPr>
                <w:rFonts w:eastAsia="Calibri"/>
                <w:szCs w:val="24"/>
              </w:rPr>
              <w:t xml:space="preserve">Lūdzam rīkojuma projektu saskaņot ar Latvijas Lielo pilsētu asociāciju un </w:t>
            </w:r>
            <w:proofErr w:type="gramStart"/>
            <w:r w:rsidRPr="00161BF3">
              <w:rPr>
                <w:rFonts w:eastAsia="Calibri"/>
                <w:szCs w:val="24"/>
              </w:rPr>
              <w:t>Latvijas pašvaldību savienību</w:t>
            </w:r>
            <w:proofErr w:type="gramEnd"/>
            <w:r w:rsidRPr="00161BF3">
              <w:rPr>
                <w:rFonts w:eastAsia="Calibri"/>
                <w:szCs w:val="24"/>
              </w:rPr>
              <w:t xml:space="preserve">. </w:t>
            </w:r>
          </w:p>
          <w:p w14:paraId="377D6544" w14:textId="77777777" w:rsidR="00161BF3" w:rsidRDefault="00161BF3" w:rsidP="00161BF3">
            <w:pPr>
              <w:widowControl w:val="0"/>
              <w:tabs>
                <w:tab w:val="center" w:pos="4320"/>
                <w:tab w:val="right" w:pos="8640"/>
              </w:tabs>
              <w:rPr>
                <w:rFonts w:eastAsia="Calibri"/>
                <w:szCs w:val="24"/>
              </w:rPr>
            </w:pPr>
          </w:p>
          <w:p w14:paraId="60A2B027" w14:textId="4836812D" w:rsidR="00161BF3" w:rsidRDefault="00161BF3" w:rsidP="00161BF3">
            <w:pPr>
              <w:widowControl w:val="0"/>
              <w:tabs>
                <w:tab w:val="center" w:pos="4320"/>
                <w:tab w:val="right" w:pos="8640"/>
              </w:tabs>
              <w:rPr>
                <w:rFonts w:eastAsia="Calibri"/>
                <w:szCs w:val="24"/>
              </w:rPr>
            </w:pPr>
          </w:p>
          <w:p w14:paraId="5C4CA8D3" w14:textId="77777777" w:rsidR="009E1FAB" w:rsidRPr="009E1FAB" w:rsidRDefault="009E1FAB" w:rsidP="009E1FAB">
            <w:pPr>
              <w:widowControl w:val="0"/>
              <w:spacing w:after="0" w:line="240" w:lineRule="auto"/>
              <w:ind w:firstLine="27"/>
              <w:contextualSpacing/>
              <w:jc w:val="both"/>
              <w:rPr>
                <w:rFonts w:ascii="Times New Roman" w:eastAsia="Calibri" w:hAnsi="Times New Roman" w:cs="Times New Roman"/>
                <w:sz w:val="24"/>
              </w:rPr>
            </w:pPr>
            <w:r>
              <w:rPr>
                <w:rFonts w:ascii="Times New Roman" w:eastAsia="Calibri" w:hAnsi="Times New Roman" w:cs="Times New Roman"/>
                <w:sz w:val="24"/>
              </w:rPr>
              <w:t>2. R</w:t>
            </w:r>
            <w:r w:rsidRPr="009E1FAB">
              <w:rPr>
                <w:rFonts w:ascii="Times New Roman" w:eastAsia="Calibri" w:hAnsi="Times New Roman" w:cs="Times New Roman"/>
                <w:sz w:val="24"/>
              </w:rPr>
              <w:t xml:space="preserve">īkojuma projekta anotācijas sadaļā “Tiesību akta izstrādes nepieciešamība” 1. punktā “Pamatojums” 1. apakšpunktā </w:t>
            </w:r>
            <w:r w:rsidRPr="009E1FAB">
              <w:rPr>
                <w:rFonts w:ascii="Times New Roman" w:eastAsia="Calibri" w:hAnsi="Times New Roman" w:cs="Times New Roman"/>
                <w:sz w:val="24"/>
              </w:rPr>
              <w:lastRenderedPageBreak/>
              <w:t>norādīta atsauce uz aktualitāti zaudējušo deklarāciju par Māra Kučinska vadītā Ministru kabineta iecerēto darbību. Lūdzam svītrot.</w:t>
            </w:r>
          </w:p>
          <w:p w14:paraId="03F58CA2" w14:textId="77777777" w:rsidR="002A0AEE" w:rsidRPr="002A0AEE" w:rsidRDefault="009E1FAB" w:rsidP="009E1FAB">
            <w:pPr>
              <w:widowControl w:val="0"/>
              <w:tabs>
                <w:tab w:val="center" w:pos="4320"/>
                <w:tab w:val="right" w:pos="8640"/>
              </w:tabs>
              <w:spacing w:after="0" w:line="240" w:lineRule="auto"/>
              <w:ind w:firstLine="27"/>
              <w:contextualSpacing/>
              <w:jc w:val="both"/>
              <w:rPr>
                <w:rFonts w:ascii="Times New Roman" w:hAnsi="Times New Roman" w:cs="Times New Roman"/>
                <w:b/>
                <w:szCs w:val="24"/>
                <w:lang w:eastAsia="lv-LV"/>
              </w:rPr>
            </w:pPr>
            <w:r>
              <w:rPr>
                <w:rFonts w:ascii="Times New Roman" w:eastAsia="Calibri" w:hAnsi="Times New Roman" w:cs="Times New Roman"/>
                <w:sz w:val="24"/>
              </w:rPr>
              <w:t>3. R</w:t>
            </w:r>
            <w:r w:rsidRPr="009E1FAB">
              <w:rPr>
                <w:rFonts w:ascii="Times New Roman" w:eastAsia="Calibri" w:hAnsi="Times New Roman" w:cs="Times New Roman"/>
                <w:sz w:val="24"/>
              </w:rPr>
              <w:t xml:space="preserve">īkojuma projekta anotācijas sadaļā “Tiesību akta izstrādes nepieciešamība” 1. punktā “Pamatojums” 3. apakšpunktā norādīta nekorekta atsauce uz Ministru kabineta </w:t>
            </w:r>
            <w:proofErr w:type="gramStart"/>
            <w:r w:rsidRPr="009E1FAB">
              <w:rPr>
                <w:rFonts w:ascii="Times New Roman" w:eastAsia="Calibri" w:hAnsi="Times New Roman" w:cs="Times New Roman"/>
                <w:sz w:val="24"/>
              </w:rPr>
              <w:t>2016.gada</w:t>
            </w:r>
            <w:proofErr w:type="gramEnd"/>
            <w:r w:rsidRPr="009E1FAB">
              <w:rPr>
                <w:rFonts w:ascii="Times New Roman" w:eastAsia="Calibri" w:hAnsi="Times New Roman" w:cs="Times New Roman"/>
                <w:sz w:val="24"/>
              </w:rPr>
              <w:t xml:space="preserve"> 10.februāra rīkojuma Nr.136 “Par informācijas sabiedrības attīstības pamatnostādņu ieviešanu publiskās pārvaldes informācijas sistēmu jomā” 4. un 7. punktu. Atbilstoši 04.07.2017. veiktajiem grozījumiem, lūdzam norādīt atsauci uz minētā rīkojuma 4.</w:t>
            </w:r>
            <w:r w:rsidRPr="009E1FAB">
              <w:rPr>
                <w:rFonts w:ascii="Times New Roman" w:eastAsia="Calibri" w:hAnsi="Times New Roman" w:cs="Times New Roman"/>
                <w:sz w:val="24"/>
                <w:vertAlign w:val="superscript"/>
              </w:rPr>
              <w:t xml:space="preserve">1 </w:t>
            </w:r>
            <w:r w:rsidRPr="009E1FAB">
              <w:rPr>
                <w:rFonts w:ascii="Times New Roman" w:eastAsia="Calibri" w:hAnsi="Times New Roman" w:cs="Times New Roman"/>
                <w:sz w:val="24"/>
              </w:rPr>
              <w:t>punktu.</w:t>
            </w:r>
          </w:p>
        </w:tc>
        <w:tc>
          <w:tcPr>
            <w:tcW w:w="897" w:type="pct"/>
            <w:gridSpan w:val="2"/>
            <w:tcBorders>
              <w:left w:val="single" w:sz="6" w:space="0" w:color="000000"/>
              <w:bottom w:val="single" w:sz="4" w:space="0" w:color="auto"/>
              <w:right w:val="single" w:sz="6" w:space="0" w:color="000000"/>
            </w:tcBorders>
          </w:tcPr>
          <w:p w14:paraId="7E20DE7E" w14:textId="77777777" w:rsidR="00812882" w:rsidRDefault="00812882" w:rsidP="000F0539">
            <w:pPr>
              <w:spacing w:after="0" w:line="240" w:lineRule="auto"/>
              <w:ind w:firstLine="720"/>
              <w:rPr>
                <w:rFonts w:ascii="Times New Roman" w:eastAsia="Times New Roman" w:hAnsi="Times New Roman" w:cs="Times New Roman"/>
                <w:sz w:val="24"/>
                <w:szCs w:val="24"/>
                <w:lang w:eastAsia="lv-LV"/>
              </w:rPr>
            </w:pPr>
          </w:p>
          <w:p w14:paraId="4E047817" w14:textId="77777777" w:rsidR="00812882" w:rsidRPr="00513B1A" w:rsidRDefault="00812882" w:rsidP="000F0539">
            <w:pPr>
              <w:spacing w:after="0" w:line="240" w:lineRule="auto"/>
              <w:ind w:firstLine="720"/>
              <w:rPr>
                <w:rFonts w:ascii="Times New Roman" w:eastAsia="Times New Roman" w:hAnsi="Times New Roman" w:cs="Times New Roman"/>
                <w:sz w:val="24"/>
                <w:szCs w:val="24"/>
                <w:lang w:eastAsia="lv-LV"/>
              </w:rPr>
            </w:pPr>
            <w:r w:rsidRPr="00513B1A">
              <w:rPr>
                <w:rFonts w:ascii="Times New Roman" w:eastAsia="Times New Roman" w:hAnsi="Times New Roman" w:cs="Times New Roman"/>
                <w:sz w:val="24"/>
                <w:szCs w:val="24"/>
                <w:lang w:eastAsia="lv-LV"/>
              </w:rPr>
              <w:t>Ņemts vērā.</w:t>
            </w:r>
          </w:p>
          <w:p w14:paraId="1C7FEEFD" w14:textId="77777777" w:rsidR="00812882" w:rsidRDefault="00812882" w:rsidP="00EA17CA">
            <w:pPr>
              <w:spacing w:after="0" w:line="240" w:lineRule="auto"/>
              <w:ind w:firstLine="720"/>
              <w:jc w:val="both"/>
              <w:rPr>
                <w:rFonts w:ascii="Times New Roman" w:eastAsia="Times New Roman" w:hAnsi="Times New Roman" w:cs="Times New Roman"/>
                <w:sz w:val="24"/>
                <w:szCs w:val="24"/>
                <w:lang w:eastAsia="lv-LV"/>
              </w:rPr>
            </w:pPr>
            <w:r w:rsidRPr="00513B1A">
              <w:rPr>
                <w:rFonts w:ascii="Times New Roman" w:eastAsia="Times New Roman" w:hAnsi="Times New Roman" w:cs="Times New Roman"/>
                <w:sz w:val="24"/>
                <w:szCs w:val="24"/>
                <w:lang w:eastAsia="lv-LV"/>
              </w:rPr>
              <w:t xml:space="preserve">Attiecīgi precizēts projekta </w:t>
            </w:r>
            <w:r w:rsidR="00161BF3">
              <w:rPr>
                <w:rFonts w:ascii="Times New Roman" w:eastAsia="Times New Roman" w:hAnsi="Times New Roman" w:cs="Times New Roman"/>
                <w:sz w:val="24"/>
                <w:szCs w:val="24"/>
                <w:lang w:eastAsia="lv-LV"/>
              </w:rPr>
              <w:t>pielikums</w:t>
            </w:r>
            <w:r w:rsidRPr="00513B1A">
              <w:rPr>
                <w:rFonts w:ascii="Times New Roman" w:eastAsia="Times New Roman" w:hAnsi="Times New Roman" w:cs="Times New Roman"/>
                <w:sz w:val="24"/>
                <w:szCs w:val="24"/>
                <w:lang w:eastAsia="lv-LV"/>
              </w:rPr>
              <w:t>.</w:t>
            </w:r>
          </w:p>
          <w:p w14:paraId="73001136" w14:textId="77777777" w:rsidR="00812882" w:rsidRDefault="00812882" w:rsidP="000F0539">
            <w:pPr>
              <w:spacing w:after="0" w:line="240" w:lineRule="auto"/>
              <w:ind w:firstLine="720"/>
              <w:rPr>
                <w:rFonts w:ascii="Times New Roman" w:eastAsia="Times New Roman" w:hAnsi="Times New Roman" w:cs="Times New Roman"/>
                <w:sz w:val="24"/>
                <w:szCs w:val="24"/>
                <w:lang w:eastAsia="lv-LV"/>
              </w:rPr>
            </w:pPr>
          </w:p>
          <w:p w14:paraId="64A13263" w14:textId="77777777" w:rsidR="00812882" w:rsidRDefault="00812882" w:rsidP="000F0539">
            <w:pPr>
              <w:spacing w:after="0" w:line="240" w:lineRule="auto"/>
              <w:ind w:firstLine="720"/>
              <w:rPr>
                <w:rFonts w:ascii="Times New Roman" w:eastAsia="Times New Roman" w:hAnsi="Times New Roman" w:cs="Times New Roman"/>
                <w:sz w:val="24"/>
                <w:szCs w:val="24"/>
                <w:lang w:eastAsia="lv-LV"/>
              </w:rPr>
            </w:pPr>
          </w:p>
          <w:p w14:paraId="1716DDDA" w14:textId="77777777" w:rsidR="00812882" w:rsidRDefault="00812882" w:rsidP="000F0539">
            <w:pPr>
              <w:spacing w:after="0" w:line="240" w:lineRule="auto"/>
              <w:ind w:firstLine="720"/>
              <w:rPr>
                <w:rFonts w:ascii="Times New Roman" w:eastAsia="Times New Roman" w:hAnsi="Times New Roman" w:cs="Times New Roman"/>
                <w:sz w:val="24"/>
                <w:szCs w:val="24"/>
                <w:lang w:eastAsia="lv-LV"/>
              </w:rPr>
            </w:pPr>
          </w:p>
          <w:p w14:paraId="6349BE86" w14:textId="77777777" w:rsidR="00812882" w:rsidRDefault="00812882" w:rsidP="000F0539">
            <w:pPr>
              <w:spacing w:after="0" w:line="240" w:lineRule="auto"/>
              <w:ind w:firstLine="720"/>
              <w:rPr>
                <w:rFonts w:ascii="Times New Roman" w:eastAsia="Times New Roman" w:hAnsi="Times New Roman" w:cs="Times New Roman"/>
                <w:sz w:val="24"/>
                <w:szCs w:val="24"/>
                <w:lang w:eastAsia="lv-LV"/>
              </w:rPr>
            </w:pPr>
          </w:p>
          <w:p w14:paraId="1F1EFBB7" w14:textId="77777777" w:rsidR="00812882" w:rsidRDefault="00812882" w:rsidP="000F0539">
            <w:pPr>
              <w:spacing w:after="0" w:line="240" w:lineRule="auto"/>
              <w:ind w:firstLine="720"/>
              <w:rPr>
                <w:rFonts w:ascii="Times New Roman" w:eastAsia="Times New Roman" w:hAnsi="Times New Roman" w:cs="Times New Roman"/>
                <w:sz w:val="24"/>
                <w:szCs w:val="24"/>
                <w:lang w:eastAsia="lv-LV"/>
              </w:rPr>
            </w:pPr>
          </w:p>
          <w:p w14:paraId="02AB5794" w14:textId="77777777" w:rsidR="00812882" w:rsidRDefault="00812882" w:rsidP="000F0539">
            <w:pPr>
              <w:spacing w:after="0" w:line="240" w:lineRule="auto"/>
              <w:ind w:firstLine="720"/>
              <w:rPr>
                <w:rFonts w:ascii="Times New Roman" w:eastAsia="Times New Roman" w:hAnsi="Times New Roman" w:cs="Times New Roman"/>
                <w:sz w:val="24"/>
                <w:szCs w:val="24"/>
                <w:lang w:eastAsia="lv-LV"/>
              </w:rPr>
            </w:pPr>
          </w:p>
          <w:p w14:paraId="024B6FCF" w14:textId="77777777" w:rsidR="00812882" w:rsidRDefault="00812882" w:rsidP="000F0539">
            <w:pPr>
              <w:spacing w:after="0" w:line="240" w:lineRule="auto"/>
              <w:ind w:firstLine="720"/>
              <w:rPr>
                <w:rFonts w:ascii="Times New Roman" w:eastAsia="Times New Roman" w:hAnsi="Times New Roman" w:cs="Times New Roman"/>
                <w:sz w:val="24"/>
                <w:szCs w:val="24"/>
                <w:lang w:eastAsia="lv-LV"/>
              </w:rPr>
            </w:pPr>
          </w:p>
          <w:p w14:paraId="230CFDAB" w14:textId="77777777" w:rsidR="00812882" w:rsidRDefault="00812882" w:rsidP="000F0539">
            <w:pPr>
              <w:spacing w:after="0" w:line="240" w:lineRule="auto"/>
              <w:ind w:firstLine="720"/>
              <w:rPr>
                <w:rFonts w:ascii="Times New Roman" w:eastAsia="Times New Roman" w:hAnsi="Times New Roman" w:cs="Times New Roman"/>
                <w:sz w:val="24"/>
                <w:szCs w:val="24"/>
                <w:lang w:eastAsia="lv-LV"/>
              </w:rPr>
            </w:pPr>
          </w:p>
          <w:p w14:paraId="446C4CB4" w14:textId="77777777" w:rsidR="00812882" w:rsidRDefault="00812882" w:rsidP="000F0539">
            <w:pPr>
              <w:spacing w:after="0" w:line="240" w:lineRule="auto"/>
              <w:ind w:firstLine="720"/>
              <w:rPr>
                <w:rFonts w:ascii="Times New Roman" w:eastAsia="Times New Roman" w:hAnsi="Times New Roman" w:cs="Times New Roman"/>
                <w:sz w:val="24"/>
                <w:szCs w:val="24"/>
                <w:lang w:eastAsia="lv-LV"/>
              </w:rPr>
            </w:pPr>
          </w:p>
          <w:p w14:paraId="09C76172" w14:textId="77777777" w:rsidR="00812882" w:rsidRDefault="00812882" w:rsidP="000F0539">
            <w:pPr>
              <w:spacing w:after="0" w:line="240" w:lineRule="auto"/>
              <w:ind w:firstLine="720"/>
              <w:rPr>
                <w:rFonts w:ascii="Times New Roman" w:eastAsia="Times New Roman" w:hAnsi="Times New Roman" w:cs="Times New Roman"/>
                <w:sz w:val="24"/>
                <w:szCs w:val="24"/>
                <w:lang w:eastAsia="lv-LV"/>
              </w:rPr>
            </w:pPr>
          </w:p>
          <w:p w14:paraId="40F213E7" w14:textId="77777777" w:rsidR="00812882" w:rsidRDefault="00812882" w:rsidP="000F0539">
            <w:pPr>
              <w:spacing w:after="0" w:line="240" w:lineRule="auto"/>
              <w:ind w:firstLine="720"/>
              <w:rPr>
                <w:rFonts w:ascii="Times New Roman" w:eastAsia="Times New Roman" w:hAnsi="Times New Roman" w:cs="Times New Roman"/>
                <w:sz w:val="24"/>
                <w:szCs w:val="24"/>
                <w:lang w:eastAsia="lv-LV"/>
              </w:rPr>
            </w:pPr>
          </w:p>
          <w:p w14:paraId="21F25551" w14:textId="77777777" w:rsidR="00812882" w:rsidRDefault="00812882" w:rsidP="000F0539">
            <w:pPr>
              <w:spacing w:after="0" w:line="240" w:lineRule="auto"/>
              <w:ind w:firstLine="720"/>
              <w:rPr>
                <w:rFonts w:ascii="Times New Roman" w:eastAsia="Times New Roman" w:hAnsi="Times New Roman" w:cs="Times New Roman"/>
                <w:sz w:val="24"/>
                <w:szCs w:val="24"/>
                <w:lang w:eastAsia="lv-LV"/>
              </w:rPr>
            </w:pPr>
          </w:p>
          <w:p w14:paraId="68BFDA71" w14:textId="77777777" w:rsidR="00B758FF" w:rsidRPr="00B758FF" w:rsidRDefault="00B758FF" w:rsidP="00B758FF">
            <w:pPr>
              <w:spacing w:after="0" w:line="240" w:lineRule="auto"/>
              <w:ind w:firstLine="720"/>
              <w:rPr>
                <w:rFonts w:ascii="Times New Roman" w:eastAsia="Times New Roman" w:hAnsi="Times New Roman" w:cs="Times New Roman"/>
                <w:sz w:val="24"/>
                <w:szCs w:val="24"/>
                <w:lang w:eastAsia="lv-LV"/>
              </w:rPr>
            </w:pPr>
            <w:r w:rsidRPr="00B758FF">
              <w:rPr>
                <w:rFonts w:ascii="Times New Roman" w:eastAsia="Times New Roman" w:hAnsi="Times New Roman" w:cs="Times New Roman"/>
                <w:sz w:val="24"/>
                <w:szCs w:val="24"/>
                <w:lang w:eastAsia="lv-LV"/>
              </w:rPr>
              <w:t>Ņemts vērā.</w:t>
            </w:r>
          </w:p>
          <w:p w14:paraId="232C0EF9" w14:textId="77777777" w:rsidR="00B758FF" w:rsidRPr="00B758FF" w:rsidRDefault="00B758FF" w:rsidP="00EA17CA">
            <w:pPr>
              <w:spacing w:after="0" w:line="240" w:lineRule="auto"/>
              <w:ind w:firstLine="720"/>
              <w:jc w:val="both"/>
              <w:rPr>
                <w:rFonts w:ascii="Times New Roman" w:eastAsia="Times New Roman" w:hAnsi="Times New Roman" w:cs="Times New Roman"/>
                <w:sz w:val="24"/>
                <w:szCs w:val="24"/>
                <w:lang w:eastAsia="lv-LV"/>
              </w:rPr>
            </w:pPr>
            <w:r w:rsidRPr="00B758FF">
              <w:rPr>
                <w:rFonts w:ascii="Times New Roman" w:eastAsia="Times New Roman" w:hAnsi="Times New Roman" w:cs="Times New Roman"/>
                <w:sz w:val="24"/>
                <w:szCs w:val="24"/>
                <w:lang w:eastAsia="lv-LV"/>
              </w:rPr>
              <w:t>Attiecīgi precizēt</w:t>
            </w:r>
            <w:r w:rsidR="00161BF3">
              <w:rPr>
                <w:rFonts w:ascii="Times New Roman" w:eastAsia="Times New Roman" w:hAnsi="Times New Roman" w:cs="Times New Roman"/>
                <w:sz w:val="24"/>
                <w:szCs w:val="24"/>
                <w:lang w:eastAsia="lv-LV"/>
              </w:rPr>
              <w:t>s</w:t>
            </w:r>
            <w:r w:rsidRPr="00B758FF">
              <w:rPr>
                <w:rFonts w:ascii="Times New Roman" w:eastAsia="Times New Roman" w:hAnsi="Times New Roman" w:cs="Times New Roman"/>
                <w:sz w:val="24"/>
                <w:szCs w:val="24"/>
                <w:lang w:eastAsia="lv-LV"/>
              </w:rPr>
              <w:t xml:space="preserve"> projekta </w:t>
            </w:r>
            <w:r w:rsidR="00161BF3">
              <w:rPr>
                <w:rFonts w:ascii="Times New Roman" w:eastAsia="Times New Roman" w:hAnsi="Times New Roman" w:cs="Times New Roman"/>
                <w:sz w:val="24"/>
                <w:szCs w:val="24"/>
                <w:lang w:eastAsia="lv-LV"/>
              </w:rPr>
              <w:t>pielikums</w:t>
            </w:r>
            <w:r w:rsidRPr="00B758FF">
              <w:rPr>
                <w:rFonts w:ascii="Times New Roman" w:eastAsia="Times New Roman" w:hAnsi="Times New Roman" w:cs="Times New Roman"/>
                <w:sz w:val="24"/>
                <w:szCs w:val="24"/>
                <w:lang w:eastAsia="lv-LV"/>
              </w:rPr>
              <w:t>.</w:t>
            </w:r>
          </w:p>
          <w:p w14:paraId="6C472BD7" w14:textId="77777777" w:rsidR="00812882" w:rsidRDefault="00812882" w:rsidP="000F0539">
            <w:pPr>
              <w:spacing w:after="0" w:line="240" w:lineRule="auto"/>
              <w:ind w:firstLine="720"/>
              <w:rPr>
                <w:rFonts w:ascii="Times New Roman" w:eastAsia="Times New Roman" w:hAnsi="Times New Roman" w:cs="Times New Roman"/>
                <w:sz w:val="24"/>
                <w:szCs w:val="24"/>
                <w:lang w:eastAsia="lv-LV"/>
              </w:rPr>
            </w:pPr>
          </w:p>
          <w:p w14:paraId="0169B897" w14:textId="77777777" w:rsidR="00812882" w:rsidRDefault="00812882" w:rsidP="000F0539">
            <w:pPr>
              <w:spacing w:after="0" w:line="240" w:lineRule="auto"/>
              <w:ind w:firstLine="720"/>
              <w:rPr>
                <w:rFonts w:ascii="Times New Roman" w:eastAsia="Times New Roman" w:hAnsi="Times New Roman" w:cs="Times New Roman"/>
                <w:sz w:val="24"/>
                <w:szCs w:val="24"/>
                <w:lang w:eastAsia="lv-LV"/>
              </w:rPr>
            </w:pPr>
          </w:p>
          <w:p w14:paraId="4FDB3878" w14:textId="77777777" w:rsidR="00812882" w:rsidRDefault="00812882" w:rsidP="000F0539">
            <w:pPr>
              <w:spacing w:after="0" w:line="240" w:lineRule="auto"/>
              <w:ind w:firstLine="720"/>
              <w:rPr>
                <w:rFonts w:ascii="Times New Roman" w:eastAsia="Times New Roman" w:hAnsi="Times New Roman" w:cs="Times New Roman"/>
                <w:sz w:val="24"/>
                <w:szCs w:val="24"/>
                <w:lang w:eastAsia="lv-LV"/>
              </w:rPr>
            </w:pPr>
          </w:p>
          <w:p w14:paraId="2812359A" w14:textId="77777777" w:rsidR="00812882" w:rsidRDefault="00812882" w:rsidP="000F0539">
            <w:pPr>
              <w:spacing w:after="0" w:line="240" w:lineRule="auto"/>
              <w:ind w:firstLine="720"/>
              <w:rPr>
                <w:rFonts w:ascii="Times New Roman" w:eastAsia="Times New Roman" w:hAnsi="Times New Roman" w:cs="Times New Roman"/>
                <w:sz w:val="24"/>
                <w:szCs w:val="24"/>
                <w:lang w:eastAsia="lv-LV"/>
              </w:rPr>
            </w:pPr>
          </w:p>
          <w:p w14:paraId="5D9F2A5D" w14:textId="77777777" w:rsidR="00812882" w:rsidRDefault="00812882" w:rsidP="000F0539">
            <w:pPr>
              <w:spacing w:after="0" w:line="240" w:lineRule="auto"/>
              <w:ind w:firstLine="720"/>
              <w:rPr>
                <w:rFonts w:ascii="Times New Roman" w:eastAsia="Times New Roman" w:hAnsi="Times New Roman" w:cs="Times New Roman"/>
                <w:sz w:val="24"/>
                <w:szCs w:val="24"/>
                <w:lang w:eastAsia="lv-LV"/>
              </w:rPr>
            </w:pPr>
          </w:p>
          <w:p w14:paraId="3E290E52" w14:textId="77777777" w:rsidR="00812882" w:rsidRDefault="00812882" w:rsidP="000F0539">
            <w:pPr>
              <w:spacing w:after="0" w:line="240" w:lineRule="auto"/>
              <w:ind w:firstLine="720"/>
              <w:rPr>
                <w:rFonts w:ascii="Times New Roman" w:eastAsia="Times New Roman" w:hAnsi="Times New Roman" w:cs="Times New Roman"/>
                <w:sz w:val="24"/>
                <w:szCs w:val="24"/>
                <w:lang w:eastAsia="lv-LV"/>
              </w:rPr>
            </w:pPr>
          </w:p>
          <w:p w14:paraId="48174624" w14:textId="77777777" w:rsidR="00812882" w:rsidRDefault="00812882" w:rsidP="000F0539">
            <w:pPr>
              <w:spacing w:after="0" w:line="240" w:lineRule="auto"/>
              <w:ind w:firstLine="720"/>
              <w:rPr>
                <w:rFonts w:ascii="Times New Roman" w:eastAsia="Times New Roman" w:hAnsi="Times New Roman" w:cs="Times New Roman"/>
                <w:sz w:val="24"/>
                <w:szCs w:val="24"/>
                <w:lang w:eastAsia="lv-LV"/>
              </w:rPr>
            </w:pPr>
          </w:p>
          <w:p w14:paraId="3FEAB190" w14:textId="77777777" w:rsidR="00812882" w:rsidRDefault="00812882" w:rsidP="000F0539">
            <w:pPr>
              <w:spacing w:after="0" w:line="240" w:lineRule="auto"/>
              <w:ind w:firstLine="720"/>
              <w:rPr>
                <w:rFonts w:ascii="Times New Roman" w:eastAsia="Times New Roman" w:hAnsi="Times New Roman" w:cs="Times New Roman"/>
                <w:sz w:val="24"/>
                <w:szCs w:val="24"/>
                <w:lang w:eastAsia="lv-LV"/>
              </w:rPr>
            </w:pPr>
          </w:p>
          <w:p w14:paraId="29AABD07" w14:textId="77777777" w:rsidR="00812882" w:rsidRDefault="00812882" w:rsidP="000F0539">
            <w:pPr>
              <w:spacing w:after="0" w:line="240" w:lineRule="auto"/>
              <w:ind w:firstLine="720"/>
              <w:rPr>
                <w:rFonts w:ascii="Times New Roman" w:eastAsia="Times New Roman" w:hAnsi="Times New Roman" w:cs="Times New Roman"/>
                <w:sz w:val="24"/>
                <w:szCs w:val="24"/>
                <w:lang w:eastAsia="lv-LV"/>
              </w:rPr>
            </w:pPr>
          </w:p>
          <w:p w14:paraId="1622759C" w14:textId="77777777" w:rsidR="00812882" w:rsidRDefault="00812882" w:rsidP="000F0539">
            <w:pPr>
              <w:spacing w:after="0" w:line="240" w:lineRule="auto"/>
              <w:ind w:firstLine="720"/>
              <w:rPr>
                <w:rFonts w:ascii="Times New Roman" w:eastAsia="Times New Roman" w:hAnsi="Times New Roman" w:cs="Times New Roman"/>
                <w:sz w:val="24"/>
                <w:szCs w:val="24"/>
                <w:lang w:eastAsia="lv-LV"/>
              </w:rPr>
            </w:pPr>
          </w:p>
          <w:p w14:paraId="4306A0C3" w14:textId="77777777" w:rsidR="00812882" w:rsidRDefault="00812882" w:rsidP="000F0539">
            <w:pPr>
              <w:spacing w:after="0" w:line="240" w:lineRule="auto"/>
              <w:ind w:firstLine="720"/>
              <w:rPr>
                <w:rFonts w:ascii="Times New Roman" w:eastAsia="Times New Roman" w:hAnsi="Times New Roman" w:cs="Times New Roman"/>
                <w:sz w:val="24"/>
                <w:szCs w:val="24"/>
                <w:lang w:eastAsia="lv-LV"/>
              </w:rPr>
            </w:pPr>
          </w:p>
          <w:p w14:paraId="7052306E" w14:textId="77777777" w:rsidR="00812882" w:rsidRDefault="00812882" w:rsidP="000F0539">
            <w:pPr>
              <w:spacing w:after="0" w:line="240" w:lineRule="auto"/>
              <w:ind w:firstLine="720"/>
              <w:rPr>
                <w:rFonts w:ascii="Times New Roman" w:eastAsia="Times New Roman" w:hAnsi="Times New Roman" w:cs="Times New Roman"/>
                <w:sz w:val="24"/>
                <w:szCs w:val="24"/>
                <w:lang w:eastAsia="lv-LV"/>
              </w:rPr>
            </w:pPr>
          </w:p>
          <w:p w14:paraId="1C18D2C4" w14:textId="77777777" w:rsidR="00812882" w:rsidRDefault="00812882" w:rsidP="000F0539">
            <w:pPr>
              <w:spacing w:after="0" w:line="240" w:lineRule="auto"/>
              <w:ind w:firstLine="720"/>
              <w:rPr>
                <w:rFonts w:ascii="Times New Roman" w:eastAsia="Times New Roman" w:hAnsi="Times New Roman" w:cs="Times New Roman"/>
                <w:sz w:val="24"/>
                <w:szCs w:val="24"/>
                <w:lang w:eastAsia="lv-LV"/>
              </w:rPr>
            </w:pPr>
          </w:p>
          <w:p w14:paraId="7F5A64C5" w14:textId="77777777" w:rsidR="00812882" w:rsidRDefault="00812882" w:rsidP="000F0539">
            <w:pPr>
              <w:spacing w:after="0" w:line="240" w:lineRule="auto"/>
              <w:ind w:firstLine="720"/>
              <w:rPr>
                <w:rFonts w:ascii="Times New Roman" w:eastAsia="Times New Roman" w:hAnsi="Times New Roman" w:cs="Times New Roman"/>
                <w:sz w:val="24"/>
                <w:szCs w:val="24"/>
                <w:lang w:eastAsia="lv-LV"/>
              </w:rPr>
            </w:pPr>
          </w:p>
          <w:p w14:paraId="49D8C2EA"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1BBA73D6"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5AFA90A3"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598BAA62"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5E146464"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4F5C34A8"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1F5CF331"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4BEA5054"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771882D3"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025FD077"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30CD29CB"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49C90BF1"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40DBFA10"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521505AA"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0B871A09"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58FE857D"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3753EB6C"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297B4E00"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7A6C1F94"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210458D8"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3ED1157C"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763206AB"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7836B90A"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6665BCA0"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68023A09"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38796B66"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2519F2C3"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6F82D9FC"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09F18CC4"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12B1E431"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4D8BECFD"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0C0F80CD" w14:textId="77777777" w:rsidR="00161BF3" w:rsidRPr="00161BF3" w:rsidRDefault="00161BF3" w:rsidP="00161BF3">
            <w:pPr>
              <w:spacing w:after="0" w:line="240" w:lineRule="auto"/>
              <w:ind w:firstLine="720"/>
              <w:rPr>
                <w:rFonts w:ascii="Times New Roman" w:eastAsia="Times New Roman" w:hAnsi="Times New Roman" w:cs="Times New Roman"/>
                <w:sz w:val="24"/>
                <w:szCs w:val="24"/>
                <w:lang w:eastAsia="lv-LV"/>
              </w:rPr>
            </w:pPr>
            <w:r w:rsidRPr="00161BF3">
              <w:rPr>
                <w:rFonts w:ascii="Times New Roman" w:eastAsia="Times New Roman" w:hAnsi="Times New Roman" w:cs="Times New Roman"/>
                <w:sz w:val="24"/>
                <w:szCs w:val="24"/>
                <w:lang w:eastAsia="lv-LV"/>
              </w:rPr>
              <w:t>Ņemts vērā.</w:t>
            </w:r>
          </w:p>
          <w:p w14:paraId="49CCF89C" w14:textId="77777777" w:rsidR="00161BF3" w:rsidRPr="00161BF3" w:rsidRDefault="00161BF3" w:rsidP="00EA17CA">
            <w:pPr>
              <w:spacing w:after="0" w:line="240" w:lineRule="auto"/>
              <w:ind w:firstLine="720"/>
              <w:jc w:val="both"/>
              <w:rPr>
                <w:rFonts w:ascii="Times New Roman" w:eastAsia="Times New Roman" w:hAnsi="Times New Roman" w:cs="Times New Roman"/>
                <w:sz w:val="24"/>
                <w:szCs w:val="24"/>
                <w:lang w:eastAsia="lv-LV"/>
              </w:rPr>
            </w:pPr>
            <w:r w:rsidRPr="00161BF3">
              <w:rPr>
                <w:rFonts w:ascii="Times New Roman" w:eastAsia="Times New Roman" w:hAnsi="Times New Roman" w:cs="Times New Roman"/>
                <w:sz w:val="24"/>
                <w:szCs w:val="24"/>
                <w:lang w:eastAsia="lv-LV"/>
              </w:rPr>
              <w:t xml:space="preserve">Attiecīgi precizēts projekta </w:t>
            </w:r>
            <w:r>
              <w:rPr>
                <w:rFonts w:ascii="Times New Roman" w:eastAsia="Times New Roman" w:hAnsi="Times New Roman" w:cs="Times New Roman"/>
                <w:sz w:val="24"/>
                <w:szCs w:val="24"/>
                <w:lang w:eastAsia="lv-LV"/>
              </w:rPr>
              <w:t>pielikums</w:t>
            </w:r>
            <w:r w:rsidRPr="00161BF3">
              <w:rPr>
                <w:rFonts w:ascii="Times New Roman" w:eastAsia="Times New Roman" w:hAnsi="Times New Roman" w:cs="Times New Roman"/>
                <w:sz w:val="24"/>
                <w:szCs w:val="24"/>
                <w:lang w:eastAsia="lv-LV"/>
              </w:rPr>
              <w:t>.</w:t>
            </w:r>
          </w:p>
          <w:p w14:paraId="576A6518" w14:textId="77777777" w:rsidR="00812882" w:rsidRDefault="00812882" w:rsidP="000F0539">
            <w:pPr>
              <w:spacing w:after="0" w:line="240" w:lineRule="auto"/>
              <w:ind w:firstLine="720"/>
              <w:rPr>
                <w:rFonts w:ascii="Times New Roman" w:eastAsia="Times New Roman" w:hAnsi="Times New Roman" w:cs="Times New Roman"/>
                <w:sz w:val="24"/>
                <w:szCs w:val="24"/>
                <w:lang w:eastAsia="lv-LV"/>
              </w:rPr>
            </w:pPr>
          </w:p>
          <w:p w14:paraId="27B51D31" w14:textId="77777777" w:rsidR="00812882" w:rsidRDefault="00812882" w:rsidP="000F0539">
            <w:pPr>
              <w:spacing w:after="0" w:line="240" w:lineRule="auto"/>
              <w:ind w:firstLine="720"/>
              <w:rPr>
                <w:rFonts w:ascii="Times New Roman" w:eastAsia="Times New Roman" w:hAnsi="Times New Roman" w:cs="Times New Roman"/>
                <w:sz w:val="24"/>
                <w:szCs w:val="24"/>
                <w:lang w:eastAsia="lv-LV"/>
              </w:rPr>
            </w:pPr>
          </w:p>
          <w:p w14:paraId="6A2DA19D" w14:textId="77777777" w:rsidR="00812882" w:rsidRDefault="00812882" w:rsidP="000F0539">
            <w:pPr>
              <w:spacing w:after="0" w:line="240" w:lineRule="auto"/>
              <w:ind w:firstLine="720"/>
              <w:rPr>
                <w:rFonts w:ascii="Times New Roman" w:eastAsia="Times New Roman" w:hAnsi="Times New Roman" w:cs="Times New Roman"/>
                <w:sz w:val="24"/>
                <w:szCs w:val="24"/>
                <w:lang w:eastAsia="lv-LV"/>
              </w:rPr>
            </w:pPr>
          </w:p>
          <w:p w14:paraId="739DE271" w14:textId="77777777" w:rsidR="00812882" w:rsidRDefault="00812882" w:rsidP="000F0539">
            <w:pPr>
              <w:spacing w:after="0" w:line="240" w:lineRule="auto"/>
              <w:ind w:firstLine="720"/>
              <w:rPr>
                <w:rFonts w:ascii="Times New Roman" w:eastAsia="Times New Roman" w:hAnsi="Times New Roman" w:cs="Times New Roman"/>
                <w:sz w:val="24"/>
                <w:szCs w:val="24"/>
                <w:lang w:eastAsia="lv-LV"/>
              </w:rPr>
            </w:pPr>
          </w:p>
          <w:p w14:paraId="0B050429" w14:textId="77777777" w:rsidR="00812882" w:rsidRDefault="00812882" w:rsidP="000F0539">
            <w:pPr>
              <w:spacing w:after="0" w:line="240" w:lineRule="auto"/>
              <w:ind w:firstLine="720"/>
              <w:rPr>
                <w:rFonts w:ascii="Times New Roman" w:eastAsia="Times New Roman" w:hAnsi="Times New Roman" w:cs="Times New Roman"/>
                <w:sz w:val="24"/>
                <w:szCs w:val="24"/>
                <w:lang w:eastAsia="lv-LV"/>
              </w:rPr>
            </w:pPr>
          </w:p>
          <w:p w14:paraId="5A7D5D27" w14:textId="77777777" w:rsidR="00812882" w:rsidRDefault="00812882" w:rsidP="000F0539">
            <w:pPr>
              <w:spacing w:after="0" w:line="240" w:lineRule="auto"/>
              <w:ind w:firstLine="720"/>
              <w:rPr>
                <w:rFonts w:ascii="Times New Roman" w:eastAsia="Times New Roman" w:hAnsi="Times New Roman" w:cs="Times New Roman"/>
                <w:sz w:val="24"/>
                <w:szCs w:val="24"/>
                <w:lang w:eastAsia="lv-LV"/>
              </w:rPr>
            </w:pPr>
          </w:p>
          <w:p w14:paraId="166B8D38" w14:textId="77777777" w:rsidR="00812882" w:rsidRDefault="00812882" w:rsidP="000F0539">
            <w:pPr>
              <w:spacing w:after="0" w:line="240" w:lineRule="auto"/>
              <w:ind w:firstLine="720"/>
              <w:rPr>
                <w:rFonts w:ascii="Times New Roman" w:eastAsia="Times New Roman" w:hAnsi="Times New Roman" w:cs="Times New Roman"/>
                <w:sz w:val="24"/>
                <w:szCs w:val="24"/>
                <w:lang w:eastAsia="lv-LV"/>
              </w:rPr>
            </w:pPr>
          </w:p>
          <w:p w14:paraId="37154DF9" w14:textId="77777777" w:rsidR="00812882" w:rsidRDefault="00812882" w:rsidP="000F0539">
            <w:pPr>
              <w:spacing w:after="0" w:line="240" w:lineRule="auto"/>
              <w:ind w:firstLine="720"/>
              <w:rPr>
                <w:rFonts w:ascii="Times New Roman" w:eastAsia="Times New Roman" w:hAnsi="Times New Roman" w:cs="Times New Roman"/>
                <w:sz w:val="24"/>
                <w:szCs w:val="24"/>
                <w:lang w:eastAsia="lv-LV"/>
              </w:rPr>
            </w:pPr>
          </w:p>
          <w:p w14:paraId="475D1EE0" w14:textId="77777777" w:rsidR="00812882" w:rsidRDefault="00812882" w:rsidP="000F0539">
            <w:pPr>
              <w:spacing w:after="0" w:line="240" w:lineRule="auto"/>
              <w:ind w:firstLine="720"/>
              <w:rPr>
                <w:rFonts w:ascii="Times New Roman" w:eastAsia="Times New Roman" w:hAnsi="Times New Roman" w:cs="Times New Roman"/>
                <w:sz w:val="24"/>
                <w:szCs w:val="24"/>
                <w:lang w:eastAsia="lv-LV"/>
              </w:rPr>
            </w:pPr>
          </w:p>
          <w:p w14:paraId="5A7653E9" w14:textId="77777777" w:rsidR="00812882" w:rsidRDefault="00812882" w:rsidP="000F0539">
            <w:pPr>
              <w:spacing w:after="0" w:line="240" w:lineRule="auto"/>
              <w:ind w:firstLine="720"/>
              <w:rPr>
                <w:rFonts w:ascii="Times New Roman" w:eastAsia="Times New Roman" w:hAnsi="Times New Roman" w:cs="Times New Roman"/>
                <w:sz w:val="24"/>
                <w:szCs w:val="24"/>
                <w:lang w:eastAsia="lv-LV"/>
              </w:rPr>
            </w:pPr>
          </w:p>
          <w:p w14:paraId="087DF800" w14:textId="77777777" w:rsidR="00812882" w:rsidRDefault="00812882" w:rsidP="000F0539">
            <w:pPr>
              <w:spacing w:after="0" w:line="240" w:lineRule="auto"/>
              <w:ind w:firstLine="720"/>
              <w:rPr>
                <w:rFonts w:ascii="Times New Roman" w:eastAsia="Times New Roman" w:hAnsi="Times New Roman" w:cs="Times New Roman"/>
                <w:sz w:val="24"/>
                <w:szCs w:val="24"/>
                <w:lang w:eastAsia="lv-LV"/>
              </w:rPr>
            </w:pPr>
          </w:p>
          <w:p w14:paraId="639FD01F" w14:textId="77777777" w:rsidR="00812882" w:rsidRDefault="00812882" w:rsidP="000F0539">
            <w:pPr>
              <w:spacing w:after="0" w:line="240" w:lineRule="auto"/>
              <w:ind w:firstLine="720"/>
              <w:rPr>
                <w:rFonts w:ascii="Times New Roman" w:eastAsia="Times New Roman" w:hAnsi="Times New Roman" w:cs="Times New Roman"/>
                <w:sz w:val="24"/>
                <w:szCs w:val="24"/>
                <w:lang w:eastAsia="lv-LV"/>
              </w:rPr>
            </w:pPr>
          </w:p>
          <w:p w14:paraId="050010FA" w14:textId="77777777" w:rsidR="00812882" w:rsidRDefault="00812882" w:rsidP="000F0539">
            <w:pPr>
              <w:spacing w:after="0" w:line="240" w:lineRule="auto"/>
              <w:ind w:firstLine="720"/>
              <w:rPr>
                <w:rFonts w:ascii="Times New Roman" w:eastAsia="Times New Roman" w:hAnsi="Times New Roman" w:cs="Times New Roman"/>
                <w:sz w:val="24"/>
                <w:szCs w:val="24"/>
                <w:lang w:eastAsia="lv-LV"/>
              </w:rPr>
            </w:pPr>
          </w:p>
          <w:p w14:paraId="6E9806E2"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594CF18E" w14:textId="77777777" w:rsidR="00812882" w:rsidRDefault="00812882" w:rsidP="000F0539">
            <w:pPr>
              <w:spacing w:after="0" w:line="240" w:lineRule="auto"/>
              <w:ind w:firstLine="720"/>
              <w:rPr>
                <w:rFonts w:ascii="Times New Roman" w:eastAsia="Times New Roman" w:hAnsi="Times New Roman" w:cs="Times New Roman"/>
                <w:sz w:val="24"/>
                <w:szCs w:val="24"/>
                <w:lang w:eastAsia="lv-LV"/>
              </w:rPr>
            </w:pPr>
          </w:p>
          <w:p w14:paraId="77DBAC53" w14:textId="77777777" w:rsidR="00812882" w:rsidRDefault="00812882" w:rsidP="000F0539">
            <w:pPr>
              <w:spacing w:after="0" w:line="240" w:lineRule="auto"/>
              <w:ind w:firstLine="720"/>
              <w:rPr>
                <w:rFonts w:ascii="Times New Roman" w:eastAsia="Times New Roman" w:hAnsi="Times New Roman" w:cs="Times New Roman"/>
                <w:sz w:val="24"/>
                <w:szCs w:val="24"/>
                <w:lang w:eastAsia="lv-LV"/>
              </w:rPr>
            </w:pPr>
          </w:p>
          <w:p w14:paraId="416EE0E4" w14:textId="77777777" w:rsidR="00812882" w:rsidRPr="00513B1A" w:rsidRDefault="00812882" w:rsidP="000F0539">
            <w:pPr>
              <w:spacing w:after="0" w:line="240" w:lineRule="auto"/>
              <w:ind w:firstLine="720"/>
              <w:rPr>
                <w:rFonts w:ascii="Times New Roman" w:eastAsia="Times New Roman" w:hAnsi="Times New Roman" w:cs="Times New Roman"/>
                <w:sz w:val="24"/>
                <w:szCs w:val="24"/>
                <w:lang w:eastAsia="lv-LV"/>
              </w:rPr>
            </w:pPr>
            <w:r w:rsidRPr="00513B1A">
              <w:rPr>
                <w:rFonts w:ascii="Times New Roman" w:eastAsia="Times New Roman" w:hAnsi="Times New Roman" w:cs="Times New Roman"/>
                <w:sz w:val="24"/>
                <w:szCs w:val="24"/>
                <w:lang w:eastAsia="lv-LV"/>
              </w:rPr>
              <w:t>Ņemts vērā.</w:t>
            </w:r>
          </w:p>
          <w:p w14:paraId="55B664AB" w14:textId="77777777" w:rsidR="00812882" w:rsidRPr="00513B1A" w:rsidRDefault="00161BF3" w:rsidP="00EA17CA">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Attiecīgi precizēta projekta </w:t>
            </w:r>
            <w:r w:rsidR="00812882" w:rsidRPr="00513B1A">
              <w:rPr>
                <w:rFonts w:ascii="Times New Roman" w:eastAsia="Times New Roman" w:hAnsi="Times New Roman" w:cs="Times New Roman"/>
                <w:sz w:val="24"/>
                <w:szCs w:val="24"/>
                <w:lang w:eastAsia="lv-LV"/>
              </w:rPr>
              <w:t>anotācija</w:t>
            </w:r>
            <w:r>
              <w:rPr>
                <w:rFonts w:ascii="Times New Roman" w:eastAsia="Times New Roman" w:hAnsi="Times New Roman" w:cs="Times New Roman"/>
                <w:sz w:val="24"/>
                <w:szCs w:val="24"/>
                <w:lang w:eastAsia="lv-LV"/>
              </w:rPr>
              <w:t>.</w:t>
            </w:r>
          </w:p>
          <w:p w14:paraId="5140C5CB" w14:textId="77777777" w:rsidR="00812882" w:rsidRDefault="00812882" w:rsidP="000F0539">
            <w:pPr>
              <w:spacing w:after="0" w:line="240" w:lineRule="auto"/>
              <w:ind w:firstLine="720"/>
              <w:rPr>
                <w:rFonts w:ascii="Times New Roman" w:eastAsia="Times New Roman" w:hAnsi="Times New Roman" w:cs="Times New Roman"/>
                <w:sz w:val="24"/>
                <w:szCs w:val="24"/>
                <w:lang w:eastAsia="lv-LV"/>
              </w:rPr>
            </w:pPr>
          </w:p>
          <w:p w14:paraId="3CF0D623"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7E53CAF0"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6F9D4B4D"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005EBB64"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4D47ACE4"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51C07E32"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60B62472"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46A112EA"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2C5F6B42"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63A28B0E"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6DBD8E3F"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1C06F1E3"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517A53A0"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5CE709E0"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2672ADAB"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187D440D"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18A872C7"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1147FDC9"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11DFB20F"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4DBE991A"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2404685E"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5824A388"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10A279E4"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442ADF5E"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3BC7F430"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00EFA384"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0460BCC6"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0E36A5CA"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6182FBA6" w14:textId="77777777" w:rsidR="00161BF3" w:rsidRPr="00161BF3" w:rsidRDefault="00161BF3" w:rsidP="00161BF3">
            <w:pPr>
              <w:spacing w:after="0" w:line="240" w:lineRule="auto"/>
              <w:ind w:firstLine="720"/>
              <w:rPr>
                <w:rFonts w:ascii="Times New Roman" w:eastAsia="Times New Roman" w:hAnsi="Times New Roman" w:cs="Times New Roman"/>
                <w:sz w:val="24"/>
                <w:szCs w:val="24"/>
                <w:lang w:eastAsia="lv-LV"/>
              </w:rPr>
            </w:pPr>
            <w:r w:rsidRPr="00161BF3">
              <w:rPr>
                <w:rFonts w:ascii="Times New Roman" w:eastAsia="Times New Roman" w:hAnsi="Times New Roman" w:cs="Times New Roman"/>
                <w:sz w:val="24"/>
                <w:szCs w:val="24"/>
                <w:lang w:eastAsia="lv-LV"/>
              </w:rPr>
              <w:t>Ņemts vērā.</w:t>
            </w:r>
          </w:p>
          <w:p w14:paraId="78FCF1E3" w14:textId="77777777" w:rsidR="00161BF3" w:rsidRPr="00161BF3" w:rsidRDefault="00161BF3" w:rsidP="00EA17CA">
            <w:pPr>
              <w:spacing w:after="0" w:line="240" w:lineRule="auto"/>
              <w:ind w:firstLine="720"/>
              <w:jc w:val="both"/>
              <w:rPr>
                <w:rFonts w:ascii="Times New Roman" w:eastAsia="Times New Roman" w:hAnsi="Times New Roman" w:cs="Times New Roman"/>
                <w:sz w:val="24"/>
                <w:szCs w:val="24"/>
                <w:lang w:eastAsia="lv-LV"/>
              </w:rPr>
            </w:pPr>
            <w:r w:rsidRPr="00161BF3">
              <w:rPr>
                <w:rFonts w:ascii="Times New Roman" w:eastAsia="Times New Roman" w:hAnsi="Times New Roman" w:cs="Times New Roman"/>
                <w:sz w:val="24"/>
                <w:szCs w:val="24"/>
                <w:lang w:eastAsia="lv-LV"/>
              </w:rPr>
              <w:t>Attiecīgi precizēta projekta anotācija.</w:t>
            </w:r>
          </w:p>
          <w:p w14:paraId="1AD89B09" w14:textId="77777777" w:rsidR="00161BF3" w:rsidRPr="00161BF3" w:rsidRDefault="00161BF3" w:rsidP="00161BF3">
            <w:pPr>
              <w:spacing w:after="0" w:line="240" w:lineRule="auto"/>
              <w:ind w:firstLine="720"/>
              <w:rPr>
                <w:rFonts w:ascii="Times New Roman" w:eastAsia="Times New Roman" w:hAnsi="Times New Roman" w:cs="Times New Roman"/>
                <w:sz w:val="24"/>
                <w:szCs w:val="24"/>
                <w:lang w:eastAsia="lv-LV"/>
              </w:rPr>
            </w:pPr>
          </w:p>
          <w:p w14:paraId="02C06EA2"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2B60DF78"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3E69D54A"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7D28486D"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0D6F87EB"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0ABE01D7"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365942D0"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1964F7C3"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5181B148"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777AEEE5"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422BBBEE"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22D5734D"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71B522A4"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4CFEED55"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6AE3A42D"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3A1E4B6F"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3740A92E" w14:textId="77777777" w:rsidR="00161BF3" w:rsidRPr="00161BF3" w:rsidRDefault="00161BF3" w:rsidP="00161BF3">
            <w:pPr>
              <w:spacing w:after="0" w:line="240" w:lineRule="auto"/>
              <w:ind w:firstLine="720"/>
              <w:rPr>
                <w:rFonts w:ascii="Times New Roman" w:eastAsia="Times New Roman" w:hAnsi="Times New Roman" w:cs="Times New Roman"/>
                <w:sz w:val="24"/>
                <w:szCs w:val="24"/>
                <w:lang w:eastAsia="lv-LV"/>
              </w:rPr>
            </w:pPr>
            <w:r w:rsidRPr="00161BF3">
              <w:rPr>
                <w:rFonts w:ascii="Times New Roman" w:eastAsia="Times New Roman" w:hAnsi="Times New Roman" w:cs="Times New Roman"/>
                <w:sz w:val="24"/>
                <w:szCs w:val="24"/>
                <w:lang w:eastAsia="lv-LV"/>
              </w:rPr>
              <w:t>Ņemts vērā.</w:t>
            </w:r>
          </w:p>
          <w:p w14:paraId="46A72AF8" w14:textId="77777777" w:rsidR="00161BF3" w:rsidRPr="00161BF3" w:rsidRDefault="00161BF3" w:rsidP="00EA17CA">
            <w:pPr>
              <w:spacing w:after="0" w:line="240" w:lineRule="auto"/>
              <w:ind w:firstLine="720"/>
              <w:jc w:val="both"/>
              <w:rPr>
                <w:rFonts w:ascii="Times New Roman" w:eastAsia="Times New Roman" w:hAnsi="Times New Roman" w:cs="Times New Roman"/>
                <w:sz w:val="24"/>
                <w:szCs w:val="24"/>
                <w:lang w:eastAsia="lv-LV"/>
              </w:rPr>
            </w:pPr>
            <w:r w:rsidRPr="00161BF3">
              <w:rPr>
                <w:rFonts w:ascii="Times New Roman" w:eastAsia="Times New Roman" w:hAnsi="Times New Roman" w:cs="Times New Roman"/>
                <w:sz w:val="24"/>
                <w:szCs w:val="24"/>
                <w:lang w:eastAsia="lv-LV"/>
              </w:rPr>
              <w:lastRenderedPageBreak/>
              <w:t>Attiecīgi precizēta projekta anotācija.</w:t>
            </w:r>
          </w:p>
          <w:p w14:paraId="16283D18" w14:textId="77777777" w:rsidR="00161BF3" w:rsidRPr="00161BF3" w:rsidRDefault="00161BF3" w:rsidP="00161BF3">
            <w:pPr>
              <w:spacing w:after="0" w:line="240" w:lineRule="auto"/>
              <w:ind w:firstLine="720"/>
              <w:rPr>
                <w:rFonts w:ascii="Times New Roman" w:eastAsia="Times New Roman" w:hAnsi="Times New Roman" w:cs="Times New Roman"/>
                <w:sz w:val="24"/>
                <w:szCs w:val="24"/>
                <w:lang w:eastAsia="lv-LV"/>
              </w:rPr>
            </w:pPr>
          </w:p>
          <w:p w14:paraId="20BC82C2"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7AF1196D"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0E695958"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7A954A6D"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4C55200C" w14:textId="77777777" w:rsidR="00161BF3" w:rsidRPr="00161BF3" w:rsidRDefault="00161BF3" w:rsidP="00161BF3">
            <w:pPr>
              <w:spacing w:after="0" w:line="240" w:lineRule="auto"/>
              <w:ind w:firstLine="720"/>
              <w:rPr>
                <w:rFonts w:ascii="Times New Roman" w:eastAsia="Times New Roman" w:hAnsi="Times New Roman" w:cs="Times New Roman"/>
                <w:sz w:val="24"/>
                <w:szCs w:val="24"/>
                <w:lang w:eastAsia="lv-LV"/>
              </w:rPr>
            </w:pPr>
            <w:r w:rsidRPr="00161BF3">
              <w:rPr>
                <w:rFonts w:ascii="Times New Roman" w:eastAsia="Times New Roman" w:hAnsi="Times New Roman" w:cs="Times New Roman"/>
                <w:sz w:val="24"/>
                <w:szCs w:val="24"/>
                <w:lang w:eastAsia="lv-LV"/>
              </w:rPr>
              <w:t>Ņemts vērā.</w:t>
            </w:r>
          </w:p>
          <w:p w14:paraId="78BB4E4A" w14:textId="77777777" w:rsidR="00161BF3" w:rsidRPr="00161BF3" w:rsidRDefault="00161BF3" w:rsidP="00161BF3">
            <w:pPr>
              <w:spacing w:after="0" w:line="240" w:lineRule="auto"/>
              <w:ind w:firstLine="720"/>
              <w:rPr>
                <w:rFonts w:ascii="Times New Roman" w:eastAsia="Times New Roman" w:hAnsi="Times New Roman" w:cs="Times New Roman"/>
                <w:sz w:val="24"/>
                <w:szCs w:val="24"/>
                <w:lang w:eastAsia="lv-LV"/>
              </w:rPr>
            </w:pPr>
            <w:r w:rsidRPr="00161BF3">
              <w:rPr>
                <w:rFonts w:ascii="Times New Roman" w:eastAsia="Times New Roman" w:hAnsi="Times New Roman" w:cs="Times New Roman"/>
                <w:sz w:val="24"/>
                <w:szCs w:val="24"/>
                <w:lang w:eastAsia="lv-LV"/>
              </w:rPr>
              <w:t>Attiecīgi precizēta projekta anotācija.</w:t>
            </w:r>
          </w:p>
          <w:p w14:paraId="44B7563B" w14:textId="77777777" w:rsidR="00161BF3" w:rsidRPr="00161BF3" w:rsidRDefault="00161BF3" w:rsidP="00161BF3">
            <w:pPr>
              <w:spacing w:after="0" w:line="240" w:lineRule="auto"/>
              <w:ind w:firstLine="720"/>
              <w:rPr>
                <w:rFonts w:ascii="Times New Roman" w:eastAsia="Times New Roman" w:hAnsi="Times New Roman" w:cs="Times New Roman"/>
                <w:sz w:val="24"/>
                <w:szCs w:val="24"/>
                <w:lang w:eastAsia="lv-LV"/>
              </w:rPr>
            </w:pPr>
          </w:p>
          <w:p w14:paraId="4873FE42"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24EE083D"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5ABED2F7"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65B04085"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35A812A5"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0BE0261A"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312264F9"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0F8880C6"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02C0D704"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3B0578F0"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5BFD69C7"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23CFD8ED"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77C1C992"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605EDF32"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32A5766E"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10BD17B4"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414321A4"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476E74D5"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7384EA90"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4D2798B0" w14:textId="77777777" w:rsidR="00161BF3" w:rsidRPr="00161BF3" w:rsidRDefault="00161BF3" w:rsidP="00161BF3">
            <w:pPr>
              <w:spacing w:after="0" w:line="240" w:lineRule="auto"/>
              <w:ind w:firstLine="720"/>
              <w:rPr>
                <w:rFonts w:ascii="Times New Roman" w:eastAsia="Times New Roman" w:hAnsi="Times New Roman" w:cs="Times New Roman"/>
                <w:sz w:val="24"/>
                <w:szCs w:val="24"/>
                <w:lang w:eastAsia="lv-LV"/>
              </w:rPr>
            </w:pPr>
            <w:r w:rsidRPr="00161BF3">
              <w:rPr>
                <w:rFonts w:ascii="Times New Roman" w:eastAsia="Times New Roman" w:hAnsi="Times New Roman" w:cs="Times New Roman"/>
                <w:sz w:val="24"/>
                <w:szCs w:val="24"/>
                <w:lang w:eastAsia="lv-LV"/>
              </w:rPr>
              <w:lastRenderedPageBreak/>
              <w:t>Ņemts vērā.</w:t>
            </w:r>
          </w:p>
          <w:p w14:paraId="031973E1" w14:textId="77777777" w:rsidR="00161BF3" w:rsidRPr="00161BF3" w:rsidRDefault="00161BF3" w:rsidP="00EA17CA">
            <w:pPr>
              <w:spacing w:after="0" w:line="240" w:lineRule="auto"/>
              <w:ind w:firstLine="720"/>
              <w:jc w:val="both"/>
              <w:rPr>
                <w:rFonts w:ascii="Times New Roman" w:eastAsia="Times New Roman" w:hAnsi="Times New Roman" w:cs="Times New Roman"/>
                <w:sz w:val="24"/>
                <w:szCs w:val="24"/>
                <w:lang w:eastAsia="lv-LV"/>
              </w:rPr>
            </w:pPr>
            <w:r w:rsidRPr="00161BF3">
              <w:rPr>
                <w:rFonts w:ascii="Times New Roman" w:eastAsia="Times New Roman" w:hAnsi="Times New Roman" w:cs="Times New Roman"/>
                <w:sz w:val="24"/>
                <w:szCs w:val="24"/>
                <w:lang w:eastAsia="lv-LV"/>
              </w:rPr>
              <w:t>Attiecīgi precizēta projekta anotācija.</w:t>
            </w:r>
          </w:p>
          <w:p w14:paraId="027F2D59" w14:textId="77777777" w:rsidR="00161BF3" w:rsidRPr="00161BF3" w:rsidRDefault="00161BF3" w:rsidP="00161BF3">
            <w:pPr>
              <w:spacing w:after="0" w:line="240" w:lineRule="auto"/>
              <w:ind w:firstLine="720"/>
              <w:rPr>
                <w:rFonts w:ascii="Times New Roman" w:eastAsia="Times New Roman" w:hAnsi="Times New Roman" w:cs="Times New Roman"/>
                <w:sz w:val="24"/>
                <w:szCs w:val="24"/>
                <w:lang w:eastAsia="lv-LV"/>
              </w:rPr>
            </w:pPr>
          </w:p>
          <w:p w14:paraId="63FB620F"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3DEDC92A"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664B1BC9"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6A75CB74"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440B0E63"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7733BF5B"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17410CA2"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358E5F05"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31E01730"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7CE65424"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2B36E2C3" w14:textId="77777777" w:rsidR="00161BF3" w:rsidRPr="00161BF3" w:rsidRDefault="00161BF3" w:rsidP="00161BF3">
            <w:pPr>
              <w:spacing w:after="0" w:line="240" w:lineRule="auto"/>
              <w:ind w:firstLine="720"/>
              <w:rPr>
                <w:rFonts w:ascii="Times New Roman" w:eastAsia="Times New Roman" w:hAnsi="Times New Roman" w:cs="Times New Roman"/>
                <w:sz w:val="24"/>
                <w:szCs w:val="24"/>
                <w:lang w:eastAsia="lv-LV"/>
              </w:rPr>
            </w:pPr>
            <w:r w:rsidRPr="00161BF3">
              <w:rPr>
                <w:rFonts w:ascii="Times New Roman" w:eastAsia="Times New Roman" w:hAnsi="Times New Roman" w:cs="Times New Roman"/>
                <w:sz w:val="24"/>
                <w:szCs w:val="24"/>
                <w:lang w:eastAsia="lv-LV"/>
              </w:rPr>
              <w:t>Ņemts vērā.</w:t>
            </w:r>
          </w:p>
          <w:p w14:paraId="73A62C14" w14:textId="77777777" w:rsidR="00161BF3" w:rsidRPr="00161BF3" w:rsidRDefault="00161BF3" w:rsidP="00EA17CA">
            <w:pPr>
              <w:spacing w:after="0" w:line="240" w:lineRule="auto"/>
              <w:ind w:firstLine="720"/>
              <w:jc w:val="both"/>
              <w:rPr>
                <w:rFonts w:ascii="Times New Roman" w:eastAsia="Times New Roman" w:hAnsi="Times New Roman" w:cs="Times New Roman"/>
                <w:sz w:val="24"/>
                <w:szCs w:val="24"/>
                <w:lang w:eastAsia="lv-LV"/>
              </w:rPr>
            </w:pPr>
            <w:r w:rsidRPr="00161BF3">
              <w:rPr>
                <w:rFonts w:ascii="Times New Roman" w:eastAsia="Times New Roman" w:hAnsi="Times New Roman" w:cs="Times New Roman"/>
                <w:sz w:val="24"/>
                <w:szCs w:val="24"/>
                <w:lang w:eastAsia="lv-LV"/>
              </w:rPr>
              <w:t>Attiecīgi precizēt</w:t>
            </w:r>
            <w:r>
              <w:rPr>
                <w:rFonts w:ascii="Times New Roman" w:eastAsia="Times New Roman" w:hAnsi="Times New Roman" w:cs="Times New Roman"/>
                <w:sz w:val="24"/>
                <w:szCs w:val="24"/>
                <w:lang w:eastAsia="lv-LV"/>
              </w:rPr>
              <w:t>s</w:t>
            </w:r>
            <w:r w:rsidRPr="00161BF3">
              <w:rPr>
                <w:rFonts w:ascii="Times New Roman" w:eastAsia="Times New Roman" w:hAnsi="Times New Roman" w:cs="Times New Roman"/>
                <w:sz w:val="24"/>
                <w:szCs w:val="24"/>
                <w:lang w:eastAsia="lv-LV"/>
              </w:rPr>
              <w:t xml:space="preserve"> projekta </w:t>
            </w:r>
            <w:r>
              <w:rPr>
                <w:rFonts w:ascii="Times New Roman" w:eastAsia="Times New Roman" w:hAnsi="Times New Roman" w:cs="Times New Roman"/>
                <w:sz w:val="24"/>
                <w:szCs w:val="24"/>
                <w:lang w:eastAsia="lv-LV"/>
              </w:rPr>
              <w:t>pielikums</w:t>
            </w:r>
            <w:r w:rsidRPr="00161BF3">
              <w:rPr>
                <w:rFonts w:ascii="Times New Roman" w:eastAsia="Times New Roman" w:hAnsi="Times New Roman" w:cs="Times New Roman"/>
                <w:sz w:val="24"/>
                <w:szCs w:val="24"/>
                <w:lang w:eastAsia="lv-LV"/>
              </w:rPr>
              <w:t>.</w:t>
            </w:r>
          </w:p>
          <w:p w14:paraId="48F5E1EB" w14:textId="77777777" w:rsidR="00161BF3" w:rsidRPr="00161BF3" w:rsidRDefault="00161BF3" w:rsidP="00161BF3">
            <w:pPr>
              <w:spacing w:after="0" w:line="240" w:lineRule="auto"/>
              <w:ind w:firstLine="720"/>
              <w:rPr>
                <w:rFonts w:ascii="Times New Roman" w:eastAsia="Times New Roman" w:hAnsi="Times New Roman" w:cs="Times New Roman"/>
                <w:sz w:val="24"/>
                <w:szCs w:val="24"/>
                <w:lang w:eastAsia="lv-LV"/>
              </w:rPr>
            </w:pPr>
          </w:p>
          <w:p w14:paraId="1BE8C885"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4C61491E"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4B3EE395" w14:textId="77777777" w:rsidR="00161BF3" w:rsidRPr="00EA17CA" w:rsidRDefault="00161BF3" w:rsidP="000F0539">
            <w:pPr>
              <w:spacing w:after="0" w:line="240" w:lineRule="auto"/>
              <w:ind w:firstLine="720"/>
              <w:rPr>
                <w:rFonts w:ascii="Times New Roman" w:eastAsia="Times New Roman" w:hAnsi="Times New Roman" w:cs="Times New Roman"/>
                <w:sz w:val="24"/>
                <w:szCs w:val="24"/>
                <w:lang w:eastAsia="lv-LV"/>
              </w:rPr>
            </w:pPr>
          </w:p>
          <w:p w14:paraId="46ADA33F" w14:textId="77777777" w:rsidR="00161BF3" w:rsidRPr="00EA17CA" w:rsidRDefault="00161BF3" w:rsidP="00161BF3">
            <w:pPr>
              <w:spacing w:after="0" w:line="240" w:lineRule="auto"/>
              <w:ind w:firstLine="720"/>
              <w:rPr>
                <w:rFonts w:ascii="Times New Roman" w:eastAsia="Times New Roman" w:hAnsi="Times New Roman" w:cs="Times New Roman"/>
                <w:sz w:val="24"/>
                <w:szCs w:val="24"/>
                <w:lang w:eastAsia="lv-LV"/>
              </w:rPr>
            </w:pPr>
            <w:r w:rsidRPr="00EA17CA">
              <w:rPr>
                <w:rFonts w:ascii="Times New Roman" w:eastAsia="Times New Roman" w:hAnsi="Times New Roman" w:cs="Times New Roman"/>
                <w:sz w:val="24"/>
                <w:szCs w:val="24"/>
                <w:lang w:eastAsia="lv-LV"/>
              </w:rPr>
              <w:t>Ņemts vērā.</w:t>
            </w:r>
          </w:p>
          <w:p w14:paraId="0E5C72BE" w14:textId="78EF0670" w:rsidR="00161BF3" w:rsidRPr="00EA17CA" w:rsidRDefault="00EA17CA" w:rsidP="00EA17CA">
            <w:pPr>
              <w:spacing w:after="0" w:line="240" w:lineRule="auto"/>
              <w:ind w:firstLine="720"/>
              <w:jc w:val="both"/>
              <w:rPr>
                <w:rFonts w:ascii="Times New Roman" w:eastAsia="Times New Roman" w:hAnsi="Times New Roman" w:cs="Times New Roman"/>
                <w:sz w:val="24"/>
                <w:szCs w:val="24"/>
                <w:lang w:eastAsia="lv-LV"/>
              </w:rPr>
            </w:pPr>
            <w:r w:rsidRPr="00EA17CA">
              <w:rPr>
                <w:rFonts w:ascii="Times New Roman" w:eastAsia="Times New Roman" w:hAnsi="Times New Roman" w:cs="Times New Roman"/>
                <w:sz w:val="24"/>
                <w:szCs w:val="24"/>
                <w:lang w:eastAsia="lv-LV"/>
              </w:rPr>
              <w:t xml:space="preserve">Precizētais projekts tiek nosūtīts arī </w:t>
            </w:r>
            <w:r w:rsidR="00161BF3" w:rsidRPr="00EA17CA">
              <w:rPr>
                <w:rFonts w:ascii="Times New Roman" w:eastAsia="Times New Roman" w:hAnsi="Times New Roman" w:cs="Times New Roman"/>
                <w:sz w:val="24"/>
                <w:szCs w:val="24"/>
                <w:lang w:eastAsia="lv-LV"/>
              </w:rPr>
              <w:t>Latvijas Lielo pilsētu asociācija</w:t>
            </w:r>
            <w:r w:rsidRPr="00EA17CA">
              <w:rPr>
                <w:rFonts w:ascii="Times New Roman" w:eastAsia="Times New Roman" w:hAnsi="Times New Roman" w:cs="Times New Roman"/>
                <w:sz w:val="24"/>
                <w:szCs w:val="24"/>
                <w:lang w:eastAsia="lv-LV"/>
              </w:rPr>
              <w:t>i</w:t>
            </w:r>
            <w:r w:rsidR="00161BF3" w:rsidRPr="00EA17CA">
              <w:rPr>
                <w:rFonts w:ascii="Times New Roman" w:eastAsia="Times New Roman" w:hAnsi="Times New Roman" w:cs="Times New Roman"/>
                <w:sz w:val="24"/>
                <w:szCs w:val="24"/>
                <w:lang w:eastAsia="lv-LV"/>
              </w:rPr>
              <w:t xml:space="preserve"> un </w:t>
            </w:r>
            <w:proofErr w:type="gramStart"/>
            <w:r w:rsidR="00161BF3" w:rsidRPr="00EA17CA">
              <w:rPr>
                <w:rFonts w:ascii="Times New Roman" w:eastAsia="Times New Roman" w:hAnsi="Times New Roman" w:cs="Times New Roman"/>
                <w:sz w:val="24"/>
                <w:szCs w:val="24"/>
                <w:lang w:eastAsia="lv-LV"/>
              </w:rPr>
              <w:t>Latvijas pašvaldību savienība</w:t>
            </w:r>
            <w:r w:rsidRPr="00EA17CA">
              <w:rPr>
                <w:rFonts w:ascii="Times New Roman" w:eastAsia="Times New Roman" w:hAnsi="Times New Roman" w:cs="Times New Roman"/>
                <w:sz w:val="24"/>
                <w:szCs w:val="24"/>
                <w:lang w:eastAsia="lv-LV"/>
              </w:rPr>
              <w:t>i</w:t>
            </w:r>
            <w:proofErr w:type="gramEnd"/>
          </w:p>
          <w:p w14:paraId="0BAAA81C" w14:textId="77777777" w:rsidR="00161BF3" w:rsidRDefault="00161BF3" w:rsidP="00161BF3">
            <w:pPr>
              <w:spacing w:after="0" w:line="240" w:lineRule="auto"/>
              <w:ind w:firstLine="720"/>
              <w:rPr>
                <w:rFonts w:ascii="Times New Roman" w:eastAsia="Times New Roman" w:hAnsi="Times New Roman" w:cs="Times New Roman"/>
                <w:sz w:val="24"/>
                <w:szCs w:val="24"/>
                <w:lang w:eastAsia="lv-LV"/>
              </w:rPr>
            </w:pPr>
          </w:p>
          <w:p w14:paraId="2CFFFFC8" w14:textId="77777777" w:rsidR="00161BF3" w:rsidRDefault="00161BF3" w:rsidP="00161BF3">
            <w:pPr>
              <w:spacing w:after="0" w:line="240" w:lineRule="auto"/>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Ņemts vērā</w:t>
            </w:r>
          </w:p>
          <w:p w14:paraId="74046BAD" w14:textId="77777777" w:rsidR="00161BF3" w:rsidRPr="00161BF3" w:rsidRDefault="00161BF3" w:rsidP="00EA17CA">
            <w:pPr>
              <w:spacing w:after="0" w:line="240" w:lineRule="auto"/>
              <w:ind w:firstLine="720"/>
              <w:jc w:val="both"/>
              <w:rPr>
                <w:rFonts w:ascii="Times New Roman" w:eastAsia="Times New Roman" w:hAnsi="Times New Roman" w:cs="Times New Roman"/>
                <w:sz w:val="24"/>
                <w:szCs w:val="24"/>
                <w:lang w:eastAsia="lv-LV"/>
              </w:rPr>
            </w:pPr>
            <w:r w:rsidRPr="00161BF3">
              <w:rPr>
                <w:rFonts w:ascii="Times New Roman" w:eastAsia="Times New Roman" w:hAnsi="Times New Roman" w:cs="Times New Roman"/>
                <w:sz w:val="24"/>
                <w:szCs w:val="24"/>
                <w:lang w:eastAsia="lv-LV"/>
              </w:rPr>
              <w:lastRenderedPageBreak/>
              <w:t>Attiecīgi precizēta projekta anotācija.</w:t>
            </w:r>
          </w:p>
          <w:p w14:paraId="68A3CBC0" w14:textId="77777777" w:rsidR="00161BF3" w:rsidRPr="00161BF3" w:rsidRDefault="00161BF3" w:rsidP="00161BF3">
            <w:pPr>
              <w:spacing w:after="0" w:line="240" w:lineRule="auto"/>
              <w:ind w:firstLine="720"/>
              <w:rPr>
                <w:rFonts w:ascii="Times New Roman" w:eastAsia="Times New Roman" w:hAnsi="Times New Roman" w:cs="Times New Roman"/>
                <w:sz w:val="24"/>
                <w:szCs w:val="24"/>
                <w:lang w:eastAsia="lv-LV"/>
              </w:rPr>
            </w:pPr>
          </w:p>
          <w:p w14:paraId="04968916" w14:textId="77777777" w:rsidR="00161BF3" w:rsidRPr="00161BF3" w:rsidRDefault="00161BF3" w:rsidP="00161BF3">
            <w:pPr>
              <w:spacing w:after="0" w:line="240" w:lineRule="auto"/>
              <w:ind w:firstLine="720"/>
              <w:rPr>
                <w:rFonts w:ascii="Times New Roman" w:eastAsia="Times New Roman" w:hAnsi="Times New Roman" w:cs="Times New Roman"/>
                <w:sz w:val="24"/>
                <w:szCs w:val="24"/>
                <w:lang w:eastAsia="lv-LV"/>
              </w:rPr>
            </w:pPr>
            <w:r w:rsidRPr="00161BF3">
              <w:rPr>
                <w:rFonts w:ascii="Times New Roman" w:eastAsia="Times New Roman" w:hAnsi="Times New Roman" w:cs="Times New Roman"/>
                <w:sz w:val="24"/>
                <w:szCs w:val="24"/>
                <w:lang w:eastAsia="lv-LV"/>
              </w:rPr>
              <w:t>Ņemts vērā.</w:t>
            </w:r>
          </w:p>
          <w:p w14:paraId="1E15D2C8" w14:textId="77777777" w:rsidR="00161BF3" w:rsidRPr="00161BF3" w:rsidRDefault="00161BF3" w:rsidP="00EA17CA">
            <w:pPr>
              <w:spacing w:after="0" w:line="240" w:lineRule="auto"/>
              <w:ind w:firstLine="720"/>
              <w:jc w:val="both"/>
              <w:rPr>
                <w:rFonts w:ascii="Times New Roman" w:eastAsia="Times New Roman" w:hAnsi="Times New Roman" w:cs="Times New Roman"/>
                <w:sz w:val="24"/>
                <w:szCs w:val="24"/>
                <w:lang w:eastAsia="lv-LV"/>
              </w:rPr>
            </w:pPr>
            <w:r w:rsidRPr="00161BF3">
              <w:rPr>
                <w:rFonts w:ascii="Times New Roman" w:eastAsia="Times New Roman" w:hAnsi="Times New Roman" w:cs="Times New Roman"/>
                <w:sz w:val="24"/>
                <w:szCs w:val="24"/>
                <w:lang w:eastAsia="lv-LV"/>
              </w:rPr>
              <w:t>Attiecīgi precizēta projekta anotācija.</w:t>
            </w:r>
          </w:p>
          <w:p w14:paraId="46440890" w14:textId="77777777" w:rsidR="00161BF3" w:rsidRPr="00161BF3" w:rsidRDefault="00161BF3" w:rsidP="00161BF3">
            <w:pPr>
              <w:spacing w:after="0" w:line="240" w:lineRule="auto"/>
              <w:ind w:firstLine="720"/>
              <w:rPr>
                <w:rFonts w:ascii="Times New Roman" w:eastAsia="Times New Roman" w:hAnsi="Times New Roman" w:cs="Times New Roman"/>
                <w:sz w:val="24"/>
                <w:szCs w:val="24"/>
                <w:lang w:eastAsia="lv-LV"/>
              </w:rPr>
            </w:pPr>
          </w:p>
          <w:p w14:paraId="3B096836"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72EFA8AB"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6F26AC24"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39A6E361" w14:textId="77777777" w:rsidR="00161BF3" w:rsidRDefault="00161BF3" w:rsidP="000F0539">
            <w:pPr>
              <w:spacing w:after="0" w:line="240" w:lineRule="auto"/>
              <w:ind w:firstLine="720"/>
              <w:rPr>
                <w:rFonts w:ascii="Times New Roman" w:eastAsia="Times New Roman" w:hAnsi="Times New Roman" w:cs="Times New Roman"/>
                <w:sz w:val="24"/>
                <w:szCs w:val="24"/>
                <w:lang w:eastAsia="lv-LV"/>
              </w:rPr>
            </w:pPr>
          </w:p>
          <w:p w14:paraId="526DD548" w14:textId="77777777" w:rsidR="00161BF3" w:rsidRPr="00513B1A" w:rsidRDefault="00161BF3" w:rsidP="000F0539">
            <w:pPr>
              <w:spacing w:after="0" w:line="240" w:lineRule="auto"/>
              <w:ind w:firstLine="720"/>
              <w:rPr>
                <w:rFonts w:ascii="Times New Roman" w:eastAsia="Times New Roman" w:hAnsi="Times New Roman" w:cs="Times New Roman"/>
                <w:sz w:val="24"/>
                <w:szCs w:val="24"/>
                <w:lang w:eastAsia="lv-LV"/>
              </w:rPr>
            </w:pPr>
          </w:p>
          <w:p w14:paraId="5A9C0B37" w14:textId="77777777" w:rsidR="00812882" w:rsidRPr="00513B1A" w:rsidRDefault="00812882" w:rsidP="000F0539">
            <w:pPr>
              <w:spacing w:after="0" w:line="240" w:lineRule="auto"/>
              <w:ind w:firstLine="720"/>
              <w:jc w:val="center"/>
              <w:rPr>
                <w:rFonts w:ascii="Times New Roman" w:eastAsia="Times New Roman" w:hAnsi="Times New Roman" w:cs="Times New Roman"/>
                <w:sz w:val="24"/>
                <w:szCs w:val="24"/>
                <w:lang w:eastAsia="lv-LV"/>
              </w:rPr>
            </w:pPr>
          </w:p>
        </w:tc>
        <w:tc>
          <w:tcPr>
            <w:tcW w:w="1373" w:type="pct"/>
            <w:tcBorders>
              <w:top w:val="single" w:sz="4" w:space="0" w:color="auto"/>
              <w:left w:val="single" w:sz="4" w:space="0" w:color="auto"/>
              <w:bottom w:val="single" w:sz="4" w:space="0" w:color="auto"/>
            </w:tcBorders>
          </w:tcPr>
          <w:p w14:paraId="2F671193" w14:textId="77777777" w:rsidR="00812882" w:rsidRPr="00513B1A" w:rsidRDefault="00812882" w:rsidP="000F0539">
            <w:pPr>
              <w:spacing w:after="0" w:line="240" w:lineRule="auto"/>
              <w:jc w:val="both"/>
              <w:rPr>
                <w:rFonts w:ascii="Times New Roman" w:eastAsia="Times New Roman" w:hAnsi="Times New Roman" w:cs="Times New Roman"/>
                <w:sz w:val="24"/>
                <w:szCs w:val="24"/>
                <w:lang w:eastAsia="lv-LV"/>
              </w:rPr>
            </w:pPr>
          </w:p>
        </w:tc>
      </w:tr>
      <w:tr w:rsidR="00812882" w:rsidRPr="00513B1A" w14:paraId="12269218" w14:textId="77777777" w:rsidTr="000F0539">
        <w:tblPrEx>
          <w:tblBorders>
            <w:top w:val="none" w:sz="0" w:space="0" w:color="auto"/>
            <w:left w:val="none" w:sz="0" w:space="0" w:color="auto"/>
            <w:bottom w:val="none" w:sz="0" w:space="0" w:color="auto"/>
            <w:right w:val="none" w:sz="0" w:space="0" w:color="auto"/>
          </w:tblBorders>
        </w:tblPrEx>
        <w:trPr>
          <w:gridAfter w:val="2"/>
          <w:wAfter w:w="1902" w:type="pct"/>
        </w:trPr>
        <w:tc>
          <w:tcPr>
            <w:tcW w:w="1037" w:type="pct"/>
            <w:gridSpan w:val="2"/>
          </w:tcPr>
          <w:p w14:paraId="230B8D6A" w14:textId="77777777" w:rsidR="00812882" w:rsidRPr="00513B1A" w:rsidRDefault="00812882" w:rsidP="000F0539">
            <w:pPr>
              <w:spacing w:after="0" w:line="240" w:lineRule="auto"/>
              <w:rPr>
                <w:rFonts w:ascii="Times New Roman" w:eastAsia="Times New Roman" w:hAnsi="Times New Roman" w:cs="Times New Roman"/>
                <w:sz w:val="24"/>
                <w:szCs w:val="24"/>
                <w:lang w:eastAsia="lv-LV"/>
              </w:rPr>
            </w:pPr>
          </w:p>
          <w:p w14:paraId="0D3CCF83" w14:textId="77777777" w:rsidR="00812882" w:rsidRDefault="00812882" w:rsidP="000F0539">
            <w:pPr>
              <w:spacing w:after="0" w:line="240" w:lineRule="auto"/>
              <w:rPr>
                <w:rFonts w:ascii="Times New Roman" w:eastAsia="Times New Roman" w:hAnsi="Times New Roman" w:cs="Times New Roman"/>
                <w:sz w:val="24"/>
                <w:szCs w:val="24"/>
                <w:lang w:eastAsia="lv-LV"/>
              </w:rPr>
            </w:pPr>
          </w:p>
          <w:p w14:paraId="70F18A50" w14:textId="77777777" w:rsidR="00812882" w:rsidRDefault="00812882" w:rsidP="000F0539">
            <w:pPr>
              <w:spacing w:after="0" w:line="240" w:lineRule="auto"/>
              <w:rPr>
                <w:rFonts w:ascii="Times New Roman" w:eastAsia="Times New Roman" w:hAnsi="Times New Roman" w:cs="Times New Roman"/>
                <w:sz w:val="24"/>
                <w:szCs w:val="24"/>
                <w:lang w:eastAsia="lv-LV"/>
              </w:rPr>
            </w:pPr>
          </w:p>
          <w:p w14:paraId="7D5401F7" w14:textId="77777777" w:rsidR="00812882" w:rsidRPr="00513B1A" w:rsidRDefault="00812882" w:rsidP="000F0539">
            <w:pPr>
              <w:spacing w:after="0" w:line="240" w:lineRule="auto"/>
              <w:rPr>
                <w:rFonts w:ascii="Times New Roman" w:eastAsia="Times New Roman" w:hAnsi="Times New Roman" w:cs="Times New Roman"/>
                <w:sz w:val="24"/>
                <w:szCs w:val="24"/>
                <w:lang w:eastAsia="lv-LV"/>
              </w:rPr>
            </w:pPr>
            <w:r w:rsidRPr="00513B1A">
              <w:rPr>
                <w:rFonts w:ascii="Times New Roman" w:eastAsia="Times New Roman" w:hAnsi="Times New Roman" w:cs="Times New Roman"/>
                <w:sz w:val="24"/>
                <w:szCs w:val="24"/>
                <w:lang w:eastAsia="lv-LV"/>
              </w:rPr>
              <w:t>Atbildīgā amatpersona</w:t>
            </w:r>
          </w:p>
        </w:tc>
        <w:tc>
          <w:tcPr>
            <w:tcW w:w="2061" w:type="pct"/>
            <w:gridSpan w:val="3"/>
          </w:tcPr>
          <w:p w14:paraId="1ADC57F2" w14:textId="77777777" w:rsidR="00812882" w:rsidRPr="00513B1A" w:rsidRDefault="00812882" w:rsidP="000F0539">
            <w:pPr>
              <w:spacing w:after="0" w:line="240" w:lineRule="auto"/>
              <w:ind w:firstLine="720"/>
              <w:rPr>
                <w:rFonts w:ascii="Times New Roman" w:eastAsia="Times New Roman" w:hAnsi="Times New Roman" w:cs="Times New Roman"/>
                <w:sz w:val="24"/>
                <w:szCs w:val="24"/>
                <w:lang w:eastAsia="lv-LV"/>
              </w:rPr>
            </w:pPr>
          </w:p>
        </w:tc>
      </w:tr>
      <w:tr w:rsidR="00812882" w:rsidRPr="00513B1A" w14:paraId="1E86F6D2" w14:textId="77777777" w:rsidTr="000F0539">
        <w:tblPrEx>
          <w:tblBorders>
            <w:top w:val="none" w:sz="0" w:space="0" w:color="auto"/>
            <w:left w:val="none" w:sz="0" w:space="0" w:color="auto"/>
            <w:bottom w:val="none" w:sz="0" w:space="0" w:color="auto"/>
            <w:right w:val="none" w:sz="0" w:space="0" w:color="auto"/>
          </w:tblBorders>
        </w:tblPrEx>
        <w:trPr>
          <w:gridAfter w:val="2"/>
          <w:wAfter w:w="1902" w:type="pct"/>
        </w:trPr>
        <w:tc>
          <w:tcPr>
            <w:tcW w:w="1037" w:type="pct"/>
            <w:gridSpan w:val="2"/>
          </w:tcPr>
          <w:p w14:paraId="6CBF5884" w14:textId="77777777" w:rsidR="00812882" w:rsidRPr="00513B1A" w:rsidRDefault="00812882" w:rsidP="000F0539">
            <w:pPr>
              <w:spacing w:after="0" w:line="240" w:lineRule="auto"/>
              <w:ind w:firstLine="720"/>
              <w:rPr>
                <w:rFonts w:ascii="Times New Roman" w:eastAsia="Times New Roman" w:hAnsi="Times New Roman" w:cs="Times New Roman"/>
                <w:sz w:val="24"/>
                <w:szCs w:val="24"/>
                <w:lang w:eastAsia="lv-LV"/>
              </w:rPr>
            </w:pPr>
          </w:p>
        </w:tc>
        <w:tc>
          <w:tcPr>
            <w:tcW w:w="2061" w:type="pct"/>
            <w:gridSpan w:val="3"/>
            <w:tcBorders>
              <w:top w:val="single" w:sz="6" w:space="0" w:color="000000"/>
            </w:tcBorders>
          </w:tcPr>
          <w:p w14:paraId="03B3A9D5" w14:textId="77777777" w:rsidR="00812882" w:rsidRPr="00513B1A" w:rsidRDefault="00812882" w:rsidP="000F0539">
            <w:pPr>
              <w:spacing w:after="0" w:line="240" w:lineRule="auto"/>
              <w:ind w:firstLine="720"/>
              <w:rPr>
                <w:rFonts w:ascii="Times New Roman" w:eastAsia="Times New Roman" w:hAnsi="Times New Roman" w:cs="Times New Roman"/>
                <w:sz w:val="24"/>
                <w:szCs w:val="24"/>
                <w:lang w:eastAsia="lv-LV"/>
              </w:rPr>
            </w:pPr>
            <w:r w:rsidRPr="00513B1A">
              <w:rPr>
                <w:rFonts w:ascii="Times New Roman" w:eastAsia="Times New Roman" w:hAnsi="Times New Roman" w:cs="Times New Roman"/>
                <w:sz w:val="24"/>
                <w:szCs w:val="24"/>
                <w:lang w:eastAsia="lv-LV"/>
              </w:rPr>
              <w:t xml:space="preserve">                           Ineta </w:t>
            </w:r>
            <w:proofErr w:type="spellStart"/>
            <w:r w:rsidRPr="00513B1A">
              <w:rPr>
                <w:rFonts w:ascii="Times New Roman" w:eastAsia="Times New Roman" w:hAnsi="Times New Roman" w:cs="Times New Roman"/>
                <w:sz w:val="24"/>
                <w:szCs w:val="24"/>
                <w:lang w:eastAsia="lv-LV"/>
              </w:rPr>
              <w:t>Pikše</w:t>
            </w:r>
            <w:proofErr w:type="spellEnd"/>
          </w:p>
        </w:tc>
      </w:tr>
    </w:tbl>
    <w:p w14:paraId="3AB790BC" w14:textId="77777777" w:rsidR="00812882" w:rsidRDefault="00812882" w:rsidP="00812882">
      <w:pPr>
        <w:spacing w:after="0" w:line="240" w:lineRule="auto"/>
        <w:rPr>
          <w:rFonts w:ascii="Times New Roman" w:eastAsia="Times New Roman" w:hAnsi="Times New Roman" w:cs="Times New Roman"/>
          <w:sz w:val="24"/>
          <w:szCs w:val="24"/>
          <w:lang w:eastAsia="lv-LV"/>
        </w:rPr>
      </w:pPr>
    </w:p>
    <w:p w14:paraId="2F3849D9" w14:textId="77777777" w:rsidR="00812882" w:rsidRDefault="00812882" w:rsidP="00812882">
      <w:pPr>
        <w:spacing w:after="0" w:line="240" w:lineRule="auto"/>
        <w:rPr>
          <w:rFonts w:ascii="Times New Roman" w:eastAsia="Times New Roman" w:hAnsi="Times New Roman" w:cs="Times New Roman"/>
          <w:sz w:val="24"/>
          <w:szCs w:val="24"/>
          <w:lang w:eastAsia="lv-LV"/>
        </w:rPr>
      </w:pPr>
    </w:p>
    <w:p w14:paraId="1D75E399" w14:textId="77777777" w:rsidR="00812882" w:rsidRDefault="00812882" w:rsidP="00812882">
      <w:pPr>
        <w:spacing w:after="0" w:line="240" w:lineRule="auto"/>
        <w:rPr>
          <w:rFonts w:ascii="Times New Roman" w:eastAsia="Times New Roman" w:hAnsi="Times New Roman" w:cs="Times New Roman"/>
          <w:sz w:val="24"/>
          <w:szCs w:val="24"/>
          <w:lang w:eastAsia="lv-LV"/>
        </w:rPr>
      </w:pPr>
    </w:p>
    <w:p w14:paraId="4EA92F49" w14:textId="77777777" w:rsidR="00812882" w:rsidRPr="00513B1A" w:rsidRDefault="00812882" w:rsidP="00812882">
      <w:pPr>
        <w:spacing w:after="0" w:line="240" w:lineRule="auto"/>
        <w:rPr>
          <w:rFonts w:ascii="Times New Roman" w:eastAsia="Times New Roman" w:hAnsi="Times New Roman" w:cs="Times New Roman"/>
          <w:sz w:val="24"/>
          <w:szCs w:val="24"/>
          <w:lang w:eastAsia="lv-LV"/>
        </w:rPr>
      </w:pPr>
      <w:r w:rsidRPr="00513B1A">
        <w:rPr>
          <w:rFonts w:ascii="Times New Roman" w:eastAsia="Times New Roman" w:hAnsi="Times New Roman" w:cs="Times New Roman"/>
          <w:sz w:val="24"/>
          <w:szCs w:val="24"/>
          <w:lang w:eastAsia="lv-LV"/>
        </w:rPr>
        <w:t xml:space="preserve">Ineta </w:t>
      </w:r>
      <w:proofErr w:type="spellStart"/>
      <w:r w:rsidRPr="00513B1A">
        <w:rPr>
          <w:rFonts w:ascii="Times New Roman" w:eastAsia="Times New Roman" w:hAnsi="Times New Roman" w:cs="Times New Roman"/>
          <w:sz w:val="24"/>
          <w:szCs w:val="24"/>
          <w:lang w:eastAsia="lv-LV"/>
        </w:rPr>
        <w:t>Pikše</w:t>
      </w:r>
      <w:proofErr w:type="spellEnd"/>
    </w:p>
    <w:p w14:paraId="4B87E108" w14:textId="77777777" w:rsidR="00812882" w:rsidRPr="00513B1A" w:rsidRDefault="00812882" w:rsidP="00812882">
      <w:pPr>
        <w:spacing w:after="0" w:line="240" w:lineRule="auto"/>
        <w:rPr>
          <w:rFonts w:ascii="Times New Roman" w:eastAsia="Times New Roman" w:hAnsi="Times New Roman" w:cs="Times New Roman"/>
          <w:sz w:val="24"/>
          <w:szCs w:val="24"/>
          <w:lang w:eastAsia="lv-LV"/>
        </w:rPr>
      </w:pPr>
      <w:r w:rsidRPr="00513B1A">
        <w:rPr>
          <w:rFonts w:ascii="Times New Roman" w:eastAsia="Times New Roman" w:hAnsi="Times New Roman" w:cs="Times New Roman"/>
          <w:sz w:val="24"/>
          <w:szCs w:val="24"/>
          <w:lang w:eastAsia="lv-LV"/>
        </w:rPr>
        <w:t>Sociālo pakalpojumu departamenta vecākā eksperte</w:t>
      </w:r>
    </w:p>
    <w:p w14:paraId="36D0BDC2" w14:textId="77777777" w:rsidR="00812882" w:rsidRPr="00513B1A" w:rsidRDefault="00812882" w:rsidP="00812882">
      <w:pPr>
        <w:spacing w:after="0" w:line="240" w:lineRule="auto"/>
        <w:rPr>
          <w:rFonts w:ascii="Times New Roman" w:eastAsia="Times New Roman" w:hAnsi="Times New Roman" w:cs="Times New Roman"/>
          <w:sz w:val="24"/>
          <w:szCs w:val="24"/>
          <w:lang w:eastAsia="lv-LV"/>
        </w:rPr>
      </w:pPr>
      <w:r w:rsidRPr="00513B1A">
        <w:rPr>
          <w:rFonts w:ascii="Times New Roman" w:eastAsia="Times New Roman" w:hAnsi="Times New Roman" w:cs="Times New Roman"/>
          <w:sz w:val="24"/>
          <w:szCs w:val="24"/>
          <w:lang w:eastAsia="lv-LV"/>
        </w:rPr>
        <w:t xml:space="preserve">Tālr. 67021634, </w:t>
      </w:r>
    </w:p>
    <w:p w14:paraId="010C8AC1" w14:textId="6C6599B7" w:rsidR="00812882" w:rsidRPr="00513B1A" w:rsidRDefault="00812882" w:rsidP="00812882">
      <w:pPr>
        <w:spacing w:after="0" w:line="240" w:lineRule="auto"/>
        <w:rPr>
          <w:rFonts w:ascii="Calibri" w:eastAsia="Calibri" w:hAnsi="Calibri" w:cs="Times New Roman"/>
        </w:rPr>
      </w:pPr>
      <w:bookmarkStart w:id="0" w:name="_GoBack"/>
      <w:bookmarkEnd w:id="0"/>
      <w:r w:rsidRPr="00513B1A">
        <w:rPr>
          <w:rFonts w:ascii="Times New Roman" w:eastAsia="Times New Roman" w:hAnsi="Times New Roman" w:cs="Times New Roman"/>
          <w:sz w:val="24"/>
          <w:szCs w:val="24"/>
          <w:lang w:eastAsia="lv-LV"/>
        </w:rPr>
        <w:t>Ineta.Pikse@lm.gov.lv</w:t>
      </w:r>
    </w:p>
    <w:p w14:paraId="5933C855" w14:textId="77777777" w:rsidR="008755AA" w:rsidRDefault="008755AA"/>
    <w:sectPr w:rsidR="008755AA" w:rsidSect="00AF0FD5">
      <w:headerReference w:type="even" r:id="rId7"/>
      <w:headerReference w:type="default" r:id="rId8"/>
      <w:footerReference w:type="default" r:id="rId9"/>
      <w:footerReference w:type="first" r:id="rId10"/>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F679F" w14:textId="77777777" w:rsidR="00160FDB" w:rsidRDefault="00160FDB" w:rsidP="00812882">
      <w:pPr>
        <w:spacing w:after="0" w:line="240" w:lineRule="auto"/>
      </w:pPr>
      <w:r>
        <w:separator/>
      </w:r>
    </w:p>
  </w:endnote>
  <w:endnote w:type="continuationSeparator" w:id="0">
    <w:p w14:paraId="1D3FFB2B" w14:textId="77777777" w:rsidR="00160FDB" w:rsidRDefault="00160FDB" w:rsidP="00812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D3A26" w14:textId="0CE4A0ED" w:rsidR="00812882" w:rsidRPr="00812882" w:rsidRDefault="00812882" w:rsidP="00812882">
    <w:pPr>
      <w:pStyle w:val="Footer"/>
      <w:rPr>
        <w:rFonts w:ascii="Times New Roman" w:hAnsi="Times New Roman"/>
        <w:sz w:val="20"/>
        <w:szCs w:val="20"/>
      </w:rPr>
    </w:pPr>
    <w:r w:rsidRPr="00812882">
      <w:rPr>
        <w:rFonts w:ascii="Times New Roman" w:hAnsi="Times New Roman"/>
        <w:sz w:val="20"/>
        <w:szCs w:val="20"/>
      </w:rPr>
      <w:t>LMizz_</w:t>
    </w:r>
    <w:r w:rsidR="00EA17CA">
      <w:rPr>
        <w:rFonts w:ascii="Times New Roman" w:hAnsi="Times New Roman"/>
        <w:sz w:val="20"/>
        <w:szCs w:val="20"/>
      </w:rPr>
      <w:t>24</w:t>
    </w:r>
    <w:r w:rsidRPr="00812882">
      <w:rPr>
        <w:rFonts w:ascii="Times New Roman" w:hAnsi="Times New Roman"/>
        <w:sz w:val="20"/>
        <w:szCs w:val="20"/>
      </w:rPr>
      <w:t xml:space="preserve">0419_MK279; </w:t>
    </w:r>
    <w:r w:rsidRPr="00812882">
      <w:rPr>
        <w:rFonts w:ascii="Times New Roman" w:hAnsi="Times New Roman"/>
        <w:bCs/>
        <w:sz w:val="20"/>
        <w:szCs w:val="20"/>
      </w:rPr>
      <w:t>Ministru kabineta rīkojuma projekts “Par informācijas sabiedrības attīstības pamatnostādņu ieviešanu publiskās pārvaldes informācijas sistēmu jomā (</w:t>
    </w:r>
    <w:proofErr w:type="spellStart"/>
    <w:r w:rsidRPr="00812882">
      <w:rPr>
        <w:rFonts w:ascii="Times New Roman" w:hAnsi="Times New Roman"/>
        <w:bCs/>
        <w:sz w:val="20"/>
        <w:szCs w:val="20"/>
      </w:rPr>
      <w:t>mērķarhitektūra</w:t>
    </w:r>
    <w:proofErr w:type="spellEnd"/>
    <w:r w:rsidRPr="00812882">
      <w:rPr>
        <w:rFonts w:ascii="Times New Roman" w:hAnsi="Times New Roman"/>
        <w:bCs/>
        <w:sz w:val="20"/>
        <w:szCs w:val="20"/>
      </w:rPr>
      <w:t xml:space="preserve"> 47.0 versija)”</w:t>
    </w:r>
  </w:p>
  <w:p w14:paraId="7E5CAC54" w14:textId="77777777" w:rsidR="00AF0FD5" w:rsidRPr="00812882" w:rsidRDefault="00160FDB" w:rsidP="00812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33725" w14:textId="69A5037C" w:rsidR="00AF0FD5" w:rsidRPr="00812882" w:rsidRDefault="00FD328D" w:rsidP="00D4197E">
    <w:pPr>
      <w:pStyle w:val="Footer"/>
    </w:pPr>
    <w:r w:rsidRPr="00D4197E">
      <w:rPr>
        <w:rFonts w:ascii="Times New Roman" w:hAnsi="Times New Roman"/>
        <w:sz w:val="20"/>
        <w:szCs w:val="20"/>
      </w:rPr>
      <w:t>LMizz_</w:t>
    </w:r>
    <w:r w:rsidR="00EA17CA">
      <w:rPr>
        <w:rFonts w:ascii="Times New Roman" w:hAnsi="Times New Roman"/>
        <w:sz w:val="20"/>
        <w:szCs w:val="20"/>
      </w:rPr>
      <w:t>24</w:t>
    </w:r>
    <w:r>
      <w:rPr>
        <w:rFonts w:ascii="Times New Roman" w:hAnsi="Times New Roman"/>
        <w:sz w:val="20"/>
        <w:szCs w:val="20"/>
      </w:rPr>
      <w:t>0</w:t>
    </w:r>
    <w:r w:rsidR="00812882">
      <w:rPr>
        <w:rFonts w:ascii="Times New Roman" w:hAnsi="Times New Roman"/>
        <w:sz w:val="20"/>
        <w:szCs w:val="20"/>
      </w:rPr>
      <w:t>4</w:t>
    </w:r>
    <w:r w:rsidRPr="00D4197E">
      <w:rPr>
        <w:rFonts w:ascii="Times New Roman" w:hAnsi="Times New Roman"/>
        <w:sz w:val="20"/>
        <w:szCs w:val="20"/>
      </w:rPr>
      <w:t>1</w:t>
    </w:r>
    <w:r w:rsidR="00812882">
      <w:rPr>
        <w:rFonts w:ascii="Times New Roman" w:hAnsi="Times New Roman"/>
        <w:sz w:val="20"/>
        <w:szCs w:val="20"/>
      </w:rPr>
      <w:t>9</w:t>
    </w:r>
    <w:r w:rsidRPr="00D4197E">
      <w:rPr>
        <w:rFonts w:ascii="Times New Roman" w:hAnsi="Times New Roman"/>
        <w:sz w:val="20"/>
        <w:szCs w:val="20"/>
      </w:rPr>
      <w:t>_MK</w:t>
    </w:r>
    <w:r>
      <w:rPr>
        <w:rFonts w:ascii="Times New Roman" w:hAnsi="Times New Roman"/>
        <w:sz w:val="20"/>
        <w:szCs w:val="20"/>
      </w:rPr>
      <w:t>279</w:t>
    </w:r>
    <w:r w:rsidRPr="00D4197E">
      <w:rPr>
        <w:rFonts w:ascii="Times New Roman" w:hAnsi="Times New Roman"/>
        <w:sz w:val="20"/>
        <w:szCs w:val="20"/>
      </w:rPr>
      <w:t xml:space="preserve">; </w:t>
    </w:r>
    <w:r w:rsidR="00812882" w:rsidRPr="00812882">
      <w:rPr>
        <w:rFonts w:ascii="Times New Roman" w:hAnsi="Times New Roman"/>
        <w:bCs/>
        <w:sz w:val="20"/>
        <w:szCs w:val="20"/>
      </w:rPr>
      <w:t>Ministru kabineta rīkojuma projekt</w:t>
    </w:r>
    <w:r w:rsidR="00812882">
      <w:rPr>
        <w:rFonts w:ascii="Times New Roman" w:hAnsi="Times New Roman"/>
        <w:bCs/>
        <w:sz w:val="20"/>
        <w:szCs w:val="20"/>
      </w:rPr>
      <w:t>s</w:t>
    </w:r>
    <w:r w:rsidR="00812882" w:rsidRPr="00812882">
      <w:rPr>
        <w:rFonts w:ascii="Times New Roman" w:hAnsi="Times New Roman"/>
        <w:bCs/>
        <w:sz w:val="20"/>
        <w:szCs w:val="20"/>
      </w:rPr>
      <w:t xml:space="preserve"> “Par informācijas sabiedrības attīstības pamatnostādņu ieviešanu publiskās pārvaldes informācijas sistēmu jomā (</w:t>
    </w:r>
    <w:proofErr w:type="spellStart"/>
    <w:r w:rsidR="00812882" w:rsidRPr="00812882">
      <w:rPr>
        <w:rFonts w:ascii="Times New Roman" w:hAnsi="Times New Roman"/>
        <w:bCs/>
        <w:sz w:val="20"/>
        <w:szCs w:val="20"/>
      </w:rPr>
      <w:t>mērķarhitektūra</w:t>
    </w:r>
    <w:proofErr w:type="spellEnd"/>
    <w:r w:rsidR="00812882" w:rsidRPr="00812882">
      <w:rPr>
        <w:rFonts w:ascii="Times New Roman" w:hAnsi="Times New Roman"/>
        <w:bCs/>
        <w:sz w:val="20"/>
        <w:szCs w:val="20"/>
      </w:rPr>
      <w:t xml:space="preserve"> 47.0 versija)”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8D689" w14:textId="77777777" w:rsidR="00160FDB" w:rsidRDefault="00160FDB" w:rsidP="00812882">
      <w:pPr>
        <w:spacing w:after="0" w:line="240" w:lineRule="auto"/>
      </w:pPr>
      <w:r>
        <w:separator/>
      </w:r>
    </w:p>
  </w:footnote>
  <w:footnote w:type="continuationSeparator" w:id="0">
    <w:p w14:paraId="7947D1DA" w14:textId="77777777" w:rsidR="00160FDB" w:rsidRDefault="00160FDB" w:rsidP="00812882">
      <w:pPr>
        <w:spacing w:after="0" w:line="240" w:lineRule="auto"/>
      </w:pPr>
      <w:r>
        <w:continuationSeparator/>
      </w:r>
    </w:p>
  </w:footnote>
  <w:footnote w:id="1">
    <w:p w14:paraId="5CE8ECD3" w14:textId="77777777" w:rsidR="002A0AEE" w:rsidRPr="00565F2E" w:rsidRDefault="002A0AEE" w:rsidP="002A0AEE">
      <w:pPr>
        <w:pStyle w:val="FootnoteText"/>
        <w:rPr>
          <w:sz w:val="18"/>
          <w:szCs w:val="18"/>
        </w:rPr>
      </w:pPr>
      <w:r w:rsidRPr="00565F2E">
        <w:rPr>
          <w:rStyle w:val="FootnoteReference"/>
          <w:sz w:val="18"/>
          <w:szCs w:val="18"/>
        </w:rPr>
        <w:footnoteRef/>
      </w:r>
      <w:r w:rsidRPr="00565F2E">
        <w:rPr>
          <w:sz w:val="18"/>
          <w:szCs w:val="18"/>
        </w:rPr>
        <w:t xml:space="preserve"> Ministru kabineta </w:t>
      </w:r>
      <w:proofErr w:type="gramStart"/>
      <w:r w:rsidRPr="00565F2E">
        <w:rPr>
          <w:sz w:val="18"/>
          <w:szCs w:val="18"/>
        </w:rPr>
        <w:t>2017.gada</w:t>
      </w:r>
      <w:proofErr w:type="gramEnd"/>
      <w:r w:rsidRPr="00565F2E">
        <w:rPr>
          <w:sz w:val="18"/>
          <w:szCs w:val="18"/>
        </w:rPr>
        <w:t xml:space="preserve"> 10.augusta rīkojums Nr.22 “Par darbības programmas “Izaugsme un nodarbinātība” 2.2.1.specifiskā atbalsta mērķa “Nodrošināt publisko datu atkalizmantošanas pieaugumu un efektīvu publiskās pārvaldes un privātā sektora mijiedarbību” 2.2.1.1.pasākuma “Centralizētu publiskās pārvaldes IKT platformu izveide, publiskās pārvaldes procesu optimizēšana un attīstība” un 2.2.1.2.pasākuma “Kultūras mantojuma digitalizācija” projektu iesniegumu atlases 2.kārtas projektu sarakstu Eiropas Savienības fondu 2014.–2020.gada plānošanas periodam”, pielikuma 9.punkts.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6BF6E" w14:textId="77777777" w:rsidR="00AF0FD5" w:rsidRDefault="00FD328D" w:rsidP="00AF0F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DAA864" w14:textId="77777777" w:rsidR="00AF0FD5" w:rsidRDefault="00160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568C6" w14:textId="77777777" w:rsidR="00AF0FD5" w:rsidRDefault="00FD328D" w:rsidP="00AF0F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6816332" w14:textId="77777777" w:rsidR="00AF0FD5" w:rsidRDefault="00160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F2760"/>
    <w:multiLevelType w:val="hybridMultilevel"/>
    <w:tmpl w:val="37F2C234"/>
    <w:lvl w:ilvl="0" w:tplc="6580753E">
      <w:start w:val="1"/>
      <w:numFmt w:val="decimal"/>
      <w:lvlText w:val="%1."/>
      <w:lvlJc w:val="left"/>
      <w:pPr>
        <w:ind w:left="387" w:hanging="360"/>
      </w:pPr>
      <w:rPr>
        <w:rFonts w:hint="default"/>
      </w:rPr>
    </w:lvl>
    <w:lvl w:ilvl="1" w:tplc="04260019" w:tentative="1">
      <w:start w:val="1"/>
      <w:numFmt w:val="lowerLetter"/>
      <w:lvlText w:val="%2."/>
      <w:lvlJc w:val="left"/>
      <w:pPr>
        <w:ind w:left="1107" w:hanging="360"/>
      </w:pPr>
    </w:lvl>
    <w:lvl w:ilvl="2" w:tplc="0426001B" w:tentative="1">
      <w:start w:val="1"/>
      <w:numFmt w:val="lowerRoman"/>
      <w:lvlText w:val="%3."/>
      <w:lvlJc w:val="right"/>
      <w:pPr>
        <w:ind w:left="1827" w:hanging="180"/>
      </w:pPr>
    </w:lvl>
    <w:lvl w:ilvl="3" w:tplc="0426000F" w:tentative="1">
      <w:start w:val="1"/>
      <w:numFmt w:val="decimal"/>
      <w:lvlText w:val="%4."/>
      <w:lvlJc w:val="left"/>
      <w:pPr>
        <w:ind w:left="2547" w:hanging="360"/>
      </w:pPr>
    </w:lvl>
    <w:lvl w:ilvl="4" w:tplc="04260019" w:tentative="1">
      <w:start w:val="1"/>
      <w:numFmt w:val="lowerLetter"/>
      <w:lvlText w:val="%5."/>
      <w:lvlJc w:val="left"/>
      <w:pPr>
        <w:ind w:left="3267" w:hanging="360"/>
      </w:pPr>
    </w:lvl>
    <w:lvl w:ilvl="5" w:tplc="0426001B" w:tentative="1">
      <w:start w:val="1"/>
      <w:numFmt w:val="lowerRoman"/>
      <w:lvlText w:val="%6."/>
      <w:lvlJc w:val="right"/>
      <w:pPr>
        <w:ind w:left="3987" w:hanging="180"/>
      </w:pPr>
    </w:lvl>
    <w:lvl w:ilvl="6" w:tplc="0426000F" w:tentative="1">
      <w:start w:val="1"/>
      <w:numFmt w:val="decimal"/>
      <w:lvlText w:val="%7."/>
      <w:lvlJc w:val="left"/>
      <w:pPr>
        <w:ind w:left="4707" w:hanging="360"/>
      </w:pPr>
    </w:lvl>
    <w:lvl w:ilvl="7" w:tplc="04260019" w:tentative="1">
      <w:start w:val="1"/>
      <w:numFmt w:val="lowerLetter"/>
      <w:lvlText w:val="%8."/>
      <w:lvlJc w:val="left"/>
      <w:pPr>
        <w:ind w:left="5427" w:hanging="360"/>
      </w:pPr>
    </w:lvl>
    <w:lvl w:ilvl="8" w:tplc="0426001B" w:tentative="1">
      <w:start w:val="1"/>
      <w:numFmt w:val="lowerRoman"/>
      <w:lvlText w:val="%9."/>
      <w:lvlJc w:val="right"/>
      <w:pPr>
        <w:ind w:left="6147" w:hanging="180"/>
      </w:pPr>
    </w:lvl>
  </w:abstractNum>
  <w:abstractNum w:abstractNumId="1" w15:restartNumberingAfterBreak="1">
    <w:nsid w:val="2A455459"/>
    <w:multiLevelType w:val="hybridMultilevel"/>
    <w:tmpl w:val="A3487764"/>
    <w:lvl w:ilvl="0" w:tplc="A4CE12B2">
      <w:start w:val="1"/>
      <w:numFmt w:val="decimal"/>
      <w:lvlText w:val="%1)"/>
      <w:lvlJc w:val="left"/>
      <w:pPr>
        <w:ind w:left="720" w:hanging="360"/>
      </w:pPr>
      <w:rPr>
        <w:rFonts w:hint="default"/>
      </w:rPr>
    </w:lvl>
    <w:lvl w:ilvl="1" w:tplc="B3323662" w:tentative="1">
      <w:start w:val="1"/>
      <w:numFmt w:val="lowerLetter"/>
      <w:lvlText w:val="%2."/>
      <w:lvlJc w:val="left"/>
      <w:pPr>
        <w:ind w:left="1440" w:hanging="360"/>
      </w:pPr>
    </w:lvl>
    <w:lvl w:ilvl="2" w:tplc="A9B62800" w:tentative="1">
      <w:start w:val="1"/>
      <w:numFmt w:val="lowerRoman"/>
      <w:lvlText w:val="%3."/>
      <w:lvlJc w:val="right"/>
      <w:pPr>
        <w:ind w:left="2160" w:hanging="180"/>
      </w:pPr>
    </w:lvl>
    <w:lvl w:ilvl="3" w:tplc="D55E1C3E" w:tentative="1">
      <w:start w:val="1"/>
      <w:numFmt w:val="decimal"/>
      <w:lvlText w:val="%4."/>
      <w:lvlJc w:val="left"/>
      <w:pPr>
        <w:ind w:left="2880" w:hanging="360"/>
      </w:pPr>
    </w:lvl>
    <w:lvl w:ilvl="4" w:tplc="012AE79C" w:tentative="1">
      <w:start w:val="1"/>
      <w:numFmt w:val="lowerLetter"/>
      <w:lvlText w:val="%5."/>
      <w:lvlJc w:val="left"/>
      <w:pPr>
        <w:ind w:left="3600" w:hanging="360"/>
      </w:pPr>
    </w:lvl>
    <w:lvl w:ilvl="5" w:tplc="DAB61A48" w:tentative="1">
      <w:start w:val="1"/>
      <w:numFmt w:val="lowerRoman"/>
      <w:lvlText w:val="%6."/>
      <w:lvlJc w:val="right"/>
      <w:pPr>
        <w:ind w:left="4320" w:hanging="180"/>
      </w:pPr>
    </w:lvl>
    <w:lvl w:ilvl="6" w:tplc="BEB4B614" w:tentative="1">
      <w:start w:val="1"/>
      <w:numFmt w:val="decimal"/>
      <w:lvlText w:val="%7."/>
      <w:lvlJc w:val="left"/>
      <w:pPr>
        <w:ind w:left="5040" w:hanging="360"/>
      </w:pPr>
    </w:lvl>
    <w:lvl w:ilvl="7" w:tplc="A836C2D4" w:tentative="1">
      <w:start w:val="1"/>
      <w:numFmt w:val="lowerLetter"/>
      <w:lvlText w:val="%8."/>
      <w:lvlJc w:val="left"/>
      <w:pPr>
        <w:ind w:left="5760" w:hanging="360"/>
      </w:pPr>
    </w:lvl>
    <w:lvl w:ilvl="8" w:tplc="B642ACD2" w:tentative="1">
      <w:start w:val="1"/>
      <w:numFmt w:val="lowerRoman"/>
      <w:lvlText w:val="%9."/>
      <w:lvlJc w:val="right"/>
      <w:pPr>
        <w:ind w:left="6480" w:hanging="180"/>
      </w:pPr>
    </w:lvl>
  </w:abstractNum>
  <w:abstractNum w:abstractNumId="2" w15:restartNumberingAfterBreak="0">
    <w:nsid w:val="346009B0"/>
    <w:multiLevelType w:val="hybridMultilevel"/>
    <w:tmpl w:val="FC4EDCA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4C6388"/>
    <w:multiLevelType w:val="hybridMultilevel"/>
    <w:tmpl w:val="ECB6C81E"/>
    <w:lvl w:ilvl="0" w:tplc="B5261CC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499B7852"/>
    <w:multiLevelType w:val="hybridMultilevel"/>
    <w:tmpl w:val="0680C368"/>
    <w:lvl w:ilvl="0" w:tplc="F51493AE">
      <w:start w:val="1"/>
      <w:numFmt w:val="decimal"/>
      <w:lvlText w:val="%1."/>
      <w:lvlJc w:val="left"/>
      <w:pPr>
        <w:ind w:left="387" w:hanging="360"/>
      </w:pPr>
      <w:rPr>
        <w:rFonts w:hint="default"/>
      </w:rPr>
    </w:lvl>
    <w:lvl w:ilvl="1" w:tplc="04260019" w:tentative="1">
      <w:start w:val="1"/>
      <w:numFmt w:val="lowerLetter"/>
      <w:lvlText w:val="%2."/>
      <w:lvlJc w:val="left"/>
      <w:pPr>
        <w:ind w:left="1107" w:hanging="360"/>
      </w:pPr>
    </w:lvl>
    <w:lvl w:ilvl="2" w:tplc="0426001B" w:tentative="1">
      <w:start w:val="1"/>
      <w:numFmt w:val="lowerRoman"/>
      <w:lvlText w:val="%3."/>
      <w:lvlJc w:val="right"/>
      <w:pPr>
        <w:ind w:left="1827" w:hanging="180"/>
      </w:pPr>
    </w:lvl>
    <w:lvl w:ilvl="3" w:tplc="0426000F" w:tentative="1">
      <w:start w:val="1"/>
      <w:numFmt w:val="decimal"/>
      <w:lvlText w:val="%4."/>
      <w:lvlJc w:val="left"/>
      <w:pPr>
        <w:ind w:left="2547" w:hanging="360"/>
      </w:pPr>
    </w:lvl>
    <w:lvl w:ilvl="4" w:tplc="04260019" w:tentative="1">
      <w:start w:val="1"/>
      <w:numFmt w:val="lowerLetter"/>
      <w:lvlText w:val="%5."/>
      <w:lvlJc w:val="left"/>
      <w:pPr>
        <w:ind w:left="3267" w:hanging="360"/>
      </w:pPr>
    </w:lvl>
    <w:lvl w:ilvl="5" w:tplc="0426001B" w:tentative="1">
      <w:start w:val="1"/>
      <w:numFmt w:val="lowerRoman"/>
      <w:lvlText w:val="%6."/>
      <w:lvlJc w:val="right"/>
      <w:pPr>
        <w:ind w:left="3987" w:hanging="180"/>
      </w:pPr>
    </w:lvl>
    <w:lvl w:ilvl="6" w:tplc="0426000F" w:tentative="1">
      <w:start w:val="1"/>
      <w:numFmt w:val="decimal"/>
      <w:lvlText w:val="%7."/>
      <w:lvlJc w:val="left"/>
      <w:pPr>
        <w:ind w:left="4707" w:hanging="360"/>
      </w:pPr>
    </w:lvl>
    <w:lvl w:ilvl="7" w:tplc="04260019" w:tentative="1">
      <w:start w:val="1"/>
      <w:numFmt w:val="lowerLetter"/>
      <w:lvlText w:val="%8."/>
      <w:lvlJc w:val="left"/>
      <w:pPr>
        <w:ind w:left="5427" w:hanging="360"/>
      </w:pPr>
    </w:lvl>
    <w:lvl w:ilvl="8" w:tplc="0426001B" w:tentative="1">
      <w:start w:val="1"/>
      <w:numFmt w:val="lowerRoman"/>
      <w:lvlText w:val="%9."/>
      <w:lvlJc w:val="right"/>
      <w:pPr>
        <w:ind w:left="614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882"/>
    <w:rsid w:val="00160FDB"/>
    <w:rsid w:val="00161BF3"/>
    <w:rsid w:val="002A0AEE"/>
    <w:rsid w:val="00812882"/>
    <w:rsid w:val="008755AA"/>
    <w:rsid w:val="009E1FAB"/>
    <w:rsid w:val="00B758FF"/>
    <w:rsid w:val="00E73FAA"/>
    <w:rsid w:val="00EA17CA"/>
    <w:rsid w:val="00FD32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39206"/>
  <w15:chartTrackingRefBased/>
  <w15:docId w15:val="{9B11A96C-DBC7-45CC-9CEF-14B22EBA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8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2882"/>
  </w:style>
  <w:style w:type="paragraph" w:styleId="Footer">
    <w:name w:val="footer"/>
    <w:basedOn w:val="Normal"/>
    <w:link w:val="FooterChar"/>
    <w:uiPriority w:val="99"/>
    <w:unhideWhenUsed/>
    <w:rsid w:val="008128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2882"/>
  </w:style>
  <w:style w:type="character" w:styleId="PageNumber">
    <w:name w:val="page number"/>
    <w:uiPriority w:val="99"/>
    <w:rsid w:val="00812882"/>
    <w:rPr>
      <w:rFonts w:cs="Times New Roman"/>
    </w:rPr>
  </w:style>
  <w:style w:type="paragraph" w:styleId="ListParagraph">
    <w:name w:val="List Paragraph"/>
    <w:aliases w:val="2,H&amp;P List Paragraph,Strip"/>
    <w:basedOn w:val="Normal"/>
    <w:link w:val="ListParagraphChar"/>
    <w:uiPriority w:val="34"/>
    <w:qFormat/>
    <w:rsid w:val="00812882"/>
    <w:pPr>
      <w:spacing w:after="0" w:line="240" w:lineRule="auto"/>
      <w:ind w:left="720"/>
      <w:contextualSpacing/>
      <w:jc w:val="both"/>
    </w:pPr>
    <w:rPr>
      <w:rFonts w:ascii="Times New Roman" w:eastAsia="Times New Roman" w:hAnsi="Times New Roman" w:cs="Times New Roman"/>
      <w:sz w:val="24"/>
      <w:szCs w:val="20"/>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2A0AEE"/>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2A0AEE"/>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rsid w:val="002A0AEE"/>
    <w:rPr>
      <w:rFonts w:ascii="Times New Roman" w:hAnsi="Times New Roman"/>
      <w:vertAlign w:val="superscript"/>
    </w:rPr>
  </w:style>
  <w:style w:type="character" w:customStyle="1" w:styleId="ListParagraphChar">
    <w:name w:val="List Paragraph Char"/>
    <w:aliases w:val="2 Char,H&amp;P List Paragraph Char,Strip Char"/>
    <w:link w:val="ListParagraph"/>
    <w:uiPriority w:val="34"/>
    <w:rsid w:val="002A0AEE"/>
    <w:rPr>
      <w:rFonts w:ascii="Times New Roman" w:eastAsia="Times New Roman" w:hAnsi="Times New Roman" w:cs="Times New Roman"/>
      <w:sz w:val="24"/>
      <w:szCs w:val="20"/>
    </w:rPr>
  </w:style>
  <w:style w:type="paragraph" w:customStyle="1" w:styleId="CharCharCharChar">
    <w:name w:val="Char Char Char Char"/>
    <w:aliases w:val="Char2"/>
    <w:basedOn w:val="Normal"/>
    <w:next w:val="Normal"/>
    <w:link w:val="FootnoteReference"/>
    <w:uiPriority w:val="99"/>
    <w:rsid w:val="002A0AEE"/>
    <w:pPr>
      <w:spacing w:line="240" w:lineRule="exact"/>
      <w:jc w:val="both"/>
      <w:textAlignment w:val="baseline"/>
    </w:pPr>
    <w:rPr>
      <w:rFonts w:ascii="Times New Roman" w:hAnsi="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8</Pages>
  <Words>5878</Words>
  <Characters>3351</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Ineta Pikse</dc:creator>
  <cp:keywords/>
  <dc:description>LM, SPD vecākā eksperte Ineta Pikše, tel.67021634, ineta.pikse@lm.gov.lv</dc:description>
  <cp:lastModifiedBy>Ineta Pikse</cp:lastModifiedBy>
  <cp:revision>3</cp:revision>
  <dcterms:created xsi:type="dcterms:W3CDTF">2019-04-02T10:15:00Z</dcterms:created>
  <dcterms:modified xsi:type="dcterms:W3CDTF">2019-04-24T06:53:00Z</dcterms:modified>
</cp:coreProperties>
</file>