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7EC4" w:rsidR="00546252" w:rsidP="00B37045" w:rsidRDefault="007116C7" w14:paraId="76EC2900" w14:textId="7209E950">
      <w:pPr>
        <w:pStyle w:val="naisnod"/>
        <w:spacing w:before="0" w:after="0"/>
        <w:rPr>
          <w:sz w:val="28"/>
        </w:rPr>
      </w:pPr>
      <w:bookmarkStart w:name="_GoBack" w:id="0"/>
      <w:bookmarkEnd w:id="0"/>
      <w:r w:rsidRPr="00F17EC4">
        <w:rPr>
          <w:sz w:val="28"/>
        </w:rPr>
        <w:t>Izziņa par atzinumos sniegtajiem iebildumiem</w:t>
      </w:r>
      <w:r w:rsidRPr="00F17EC4" w:rsidR="0064229D">
        <w:rPr>
          <w:sz w:val="28"/>
        </w:rPr>
        <w:t xml:space="preserve"> </w:t>
      </w:r>
      <w:r w:rsidRPr="00F17EC4" w:rsidR="00A36B8E">
        <w:rPr>
          <w:sz w:val="28"/>
        </w:rPr>
        <w:t xml:space="preserve">par </w:t>
      </w:r>
      <w:r w:rsidRPr="00F17EC4" w:rsidR="003B2375">
        <w:rPr>
          <w:sz w:val="28"/>
        </w:rPr>
        <w:t>Ministru kabineta noteikumu projektu</w:t>
      </w:r>
    </w:p>
    <w:p w:rsidRPr="00F17EC4" w:rsidR="003130FD" w:rsidP="003130FD" w:rsidRDefault="00813411" w14:paraId="5CEDE606" w14:textId="0148954E">
      <w:pPr>
        <w:pStyle w:val="Parastais"/>
        <w:jc w:val="center"/>
        <w:rPr>
          <w:b/>
          <w:bCs/>
          <w:sz w:val="28"/>
          <w:szCs w:val="28"/>
        </w:rPr>
      </w:pPr>
      <w:r w:rsidRPr="00F17EC4">
        <w:rPr>
          <w:b/>
          <w:bCs/>
          <w:sz w:val="28"/>
        </w:rPr>
        <w:t>"</w:t>
      </w:r>
      <w:r w:rsidRPr="00F17EC4" w:rsidR="003130FD">
        <w:rPr>
          <w:b/>
          <w:bCs/>
          <w:sz w:val="28"/>
          <w:szCs w:val="28"/>
        </w:rPr>
        <w:t>Grozījumi Ministru kabineta 2013. gada 3. septembra noteikumos Nr. 737</w:t>
      </w:r>
    </w:p>
    <w:p w:rsidRPr="00F17EC4" w:rsidR="00A342E1" w:rsidP="003130FD" w:rsidRDefault="003130FD" w14:paraId="2D9E6C4B" w14:textId="77777777">
      <w:pPr>
        <w:pStyle w:val="Parastais"/>
        <w:jc w:val="center"/>
        <w:rPr>
          <w:rFonts w:eastAsia="Calibri"/>
          <w:b/>
          <w:sz w:val="28"/>
          <w:lang w:eastAsia="en-US"/>
        </w:rPr>
      </w:pPr>
      <w:r w:rsidRPr="00F17EC4">
        <w:rPr>
          <w:b/>
          <w:bCs/>
          <w:sz w:val="28"/>
          <w:szCs w:val="28"/>
        </w:rPr>
        <w:t>"Noteikumi par zvērinātu notāru atlīdzības taksēm un to noteikšanas kārtību"</w:t>
      </w:r>
      <w:r w:rsidRPr="00F17EC4" w:rsidR="00A342E1">
        <w:rPr>
          <w:b/>
          <w:bCs/>
          <w:sz w:val="28"/>
        </w:rPr>
        <w:t>"</w:t>
      </w:r>
    </w:p>
    <w:p w:rsidRPr="007B39C0" w:rsidR="00A342E1" w:rsidP="003B2375" w:rsidRDefault="00A342E1" w14:paraId="31AD333E" w14:textId="77777777">
      <w:pPr>
        <w:pStyle w:val="naisnod"/>
        <w:spacing w:before="0" w:after="0"/>
        <w:ind w:firstLine="720"/>
        <w:rPr>
          <w:bCs w:val="0"/>
        </w:rPr>
      </w:pPr>
    </w:p>
    <w:p w:rsidRPr="007B39C0" w:rsidR="00AC1FAD" w:rsidP="00AC1FAD" w:rsidRDefault="00AC1FAD" w14:paraId="5C939BA0" w14:textId="77777777">
      <w:pPr>
        <w:pStyle w:val="naisnod"/>
        <w:ind w:firstLine="720"/>
      </w:pPr>
      <w:r w:rsidRPr="007B39C0">
        <w:t>I. Jautājumi, par kuriem saskaņošanā vienošanās nav panākta</w:t>
      </w:r>
    </w:p>
    <w:p w:rsidRPr="007B39C0" w:rsidR="00AC1FAD" w:rsidP="00AC1FAD" w:rsidRDefault="00AC1FAD" w14:paraId="25C63B9E" w14:textId="77777777">
      <w:pPr>
        <w:pStyle w:val="naisnod"/>
        <w:ind w:firstLine="720"/>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709"/>
        <w:gridCol w:w="2977"/>
        <w:gridCol w:w="3118"/>
        <w:gridCol w:w="2977"/>
        <w:gridCol w:w="2459"/>
        <w:gridCol w:w="1920"/>
      </w:tblGrid>
      <w:tr w:rsidRPr="007B39C0" w:rsidR="00AC1FAD" w:rsidTr="00D45038" w14:paraId="1B584C96" w14:textId="77777777">
        <w:tc>
          <w:tcPr>
            <w:tcW w:w="709" w:type="dxa"/>
            <w:tcBorders>
              <w:top w:val="single" w:color="000000" w:sz="6" w:space="0"/>
              <w:left w:val="single" w:color="000000" w:sz="6" w:space="0"/>
              <w:bottom w:val="single" w:color="000000" w:sz="6" w:space="0"/>
              <w:right w:val="single" w:color="000000" w:sz="6" w:space="0"/>
            </w:tcBorders>
            <w:vAlign w:val="center"/>
          </w:tcPr>
          <w:p w:rsidRPr="007B39C0" w:rsidR="00AC1FAD" w:rsidP="00D45038" w:rsidRDefault="00AC1FAD" w14:paraId="40E9E4DB" w14:textId="77777777">
            <w:pPr>
              <w:pStyle w:val="naisc"/>
              <w:spacing w:before="0" w:after="0"/>
            </w:pPr>
            <w:r w:rsidRPr="007B39C0">
              <w:t>Nr. p.k.</w:t>
            </w:r>
          </w:p>
        </w:tc>
        <w:tc>
          <w:tcPr>
            <w:tcW w:w="2977" w:type="dxa"/>
            <w:tcBorders>
              <w:top w:val="single" w:color="000000" w:sz="6" w:space="0"/>
              <w:left w:val="single" w:color="000000" w:sz="6" w:space="0"/>
              <w:bottom w:val="single" w:color="000000" w:sz="6" w:space="0"/>
              <w:right w:val="single" w:color="000000" w:sz="6" w:space="0"/>
            </w:tcBorders>
            <w:vAlign w:val="center"/>
          </w:tcPr>
          <w:p w:rsidRPr="007B39C0" w:rsidR="00AC1FAD" w:rsidP="00D45038" w:rsidRDefault="00AC1FAD" w14:paraId="67FD71D5" w14:textId="77777777">
            <w:pPr>
              <w:pStyle w:val="naisc"/>
              <w:spacing w:before="0" w:after="0"/>
              <w:ind w:firstLine="12"/>
            </w:pPr>
            <w:r w:rsidRPr="007B39C0">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7B39C0" w:rsidR="00AC1FAD" w:rsidP="00D45038" w:rsidRDefault="00AC1FAD" w14:paraId="0104F524" w14:textId="77777777">
            <w:pPr>
              <w:pStyle w:val="naisc"/>
              <w:spacing w:before="0" w:after="0"/>
              <w:ind w:right="3"/>
            </w:pPr>
            <w:r w:rsidRPr="007B39C0">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7B39C0" w:rsidR="00AC1FAD" w:rsidP="00D45038" w:rsidRDefault="00AC1FAD" w14:paraId="363D03C0" w14:textId="77777777">
            <w:pPr>
              <w:pStyle w:val="naisc"/>
              <w:spacing w:before="0" w:after="0"/>
              <w:ind w:firstLine="21"/>
            </w:pPr>
            <w:r w:rsidRPr="007B39C0">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7B39C0" w:rsidR="00AC1FAD" w:rsidP="00D45038" w:rsidRDefault="00AC1FAD" w14:paraId="5DC5B3E4" w14:textId="77777777">
            <w:pPr>
              <w:pStyle w:val="Parastais"/>
              <w:jc w:val="center"/>
            </w:pPr>
            <w:r w:rsidRPr="007B39C0">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7B39C0" w:rsidR="00AC1FAD" w:rsidP="00D45038" w:rsidRDefault="00AC1FAD" w14:paraId="049320A7" w14:textId="77777777">
            <w:pPr>
              <w:pStyle w:val="Parastais"/>
              <w:jc w:val="center"/>
            </w:pPr>
            <w:r w:rsidRPr="007B39C0">
              <w:t>Projekta attiecīgā punkta (panta) galīgā redakcija</w:t>
            </w:r>
          </w:p>
        </w:tc>
      </w:tr>
      <w:tr w:rsidRPr="007B39C0" w:rsidR="00AC1FAD" w:rsidTr="00D45038" w14:paraId="496BBA5C" w14:textId="77777777">
        <w:tc>
          <w:tcPr>
            <w:tcW w:w="709" w:type="dxa"/>
            <w:tcBorders>
              <w:top w:val="single" w:color="000000" w:sz="6" w:space="0"/>
              <w:left w:val="single" w:color="000000" w:sz="6" w:space="0"/>
              <w:bottom w:val="single" w:color="000000" w:sz="6" w:space="0"/>
              <w:right w:val="single" w:color="000000" w:sz="6" w:space="0"/>
            </w:tcBorders>
          </w:tcPr>
          <w:p w:rsidRPr="007B39C0" w:rsidR="00AC1FAD" w:rsidP="00D45038" w:rsidRDefault="00AC1FAD" w14:paraId="257EC686" w14:textId="77777777">
            <w:pPr>
              <w:pStyle w:val="naisc"/>
              <w:spacing w:before="0" w:after="0"/>
            </w:pPr>
            <w:r w:rsidRPr="007B39C0">
              <w:t>1</w:t>
            </w:r>
          </w:p>
        </w:tc>
        <w:tc>
          <w:tcPr>
            <w:tcW w:w="2977" w:type="dxa"/>
            <w:tcBorders>
              <w:top w:val="single" w:color="000000" w:sz="6" w:space="0"/>
              <w:left w:val="single" w:color="000000" w:sz="6" w:space="0"/>
              <w:bottom w:val="single" w:color="000000" w:sz="6" w:space="0"/>
              <w:right w:val="single" w:color="000000" w:sz="6" w:space="0"/>
            </w:tcBorders>
          </w:tcPr>
          <w:p w:rsidRPr="007B39C0" w:rsidR="00AC1FAD" w:rsidP="00D45038" w:rsidRDefault="00AC1FAD" w14:paraId="0B92C6B8" w14:textId="77777777">
            <w:pPr>
              <w:pStyle w:val="naisc"/>
              <w:spacing w:before="0" w:after="0"/>
            </w:pPr>
            <w:r w:rsidRPr="007B39C0">
              <w:t>2</w:t>
            </w:r>
          </w:p>
        </w:tc>
        <w:tc>
          <w:tcPr>
            <w:tcW w:w="3118" w:type="dxa"/>
            <w:tcBorders>
              <w:top w:val="single" w:color="000000" w:sz="6" w:space="0"/>
              <w:left w:val="single" w:color="000000" w:sz="6" w:space="0"/>
              <w:bottom w:val="single" w:color="000000" w:sz="6" w:space="0"/>
              <w:right w:val="single" w:color="000000" w:sz="6" w:space="0"/>
            </w:tcBorders>
          </w:tcPr>
          <w:p w:rsidRPr="007B39C0" w:rsidR="00AC1FAD" w:rsidP="00D45038" w:rsidRDefault="00AC1FAD" w14:paraId="18DE31A0" w14:textId="77777777">
            <w:pPr>
              <w:pStyle w:val="naisc"/>
              <w:spacing w:before="0" w:after="0"/>
            </w:pPr>
            <w:r w:rsidRPr="007B39C0">
              <w:t>3</w:t>
            </w:r>
          </w:p>
        </w:tc>
        <w:tc>
          <w:tcPr>
            <w:tcW w:w="2977" w:type="dxa"/>
            <w:tcBorders>
              <w:top w:val="single" w:color="000000" w:sz="6" w:space="0"/>
              <w:left w:val="single" w:color="000000" w:sz="6" w:space="0"/>
              <w:bottom w:val="single" w:color="000000" w:sz="6" w:space="0"/>
              <w:right w:val="single" w:color="000000" w:sz="6" w:space="0"/>
            </w:tcBorders>
          </w:tcPr>
          <w:p w:rsidRPr="007B39C0" w:rsidR="00AC1FAD" w:rsidP="00D45038" w:rsidRDefault="00AC1FAD" w14:paraId="1F22841E" w14:textId="77777777">
            <w:pPr>
              <w:pStyle w:val="naisc"/>
              <w:spacing w:before="0" w:after="0"/>
            </w:pPr>
            <w:r w:rsidRPr="007B39C0">
              <w:t>4</w:t>
            </w:r>
          </w:p>
        </w:tc>
        <w:tc>
          <w:tcPr>
            <w:tcW w:w="2459" w:type="dxa"/>
            <w:tcBorders>
              <w:top w:val="single" w:color="auto" w:sz="4" w:space="0"/>
              <w:left w:val="single" w:color="auto" w:sz="4" w:space="0"/>
              <w:bottom w:val="single" w:color="auto" w:sz="4" w:space="0"/>
              <w:right w:val="single" w:color="auto" w:sz="4" w:space="0"/>
            </w:tcBorders>
          </w:tcPr>
          <w:p w:rsidRPr="007B39C0" w:rsidR="00AC1FAD" w:rsidP="00D45038" w:rsidRDefault="00AC1FAD" w14:paraId="0A334732" w14:textId="77777777">
            <w:pPr>
              <w:pStyle w:val="Parastais"/>
              <w:jc w:val="center"/>
            </w:pPr>
            <w:r w:rsidRPr="007B39C0">
              <w:t>5</w:t>
            </w:r>
          </w:p>
        </w:tc>
        <w:tc>
          <w:tcPr>
            <w:tcW w:w="1920" w:type="dxa"/>
            <w:tcBorders>
              <w:top w:val="single" w:color="auto" w:sz="4" w:space="0"/>
              <w:left w:val="single" w:color="auto" w:sz="4" w:space="0"/>
              <w:bottom w:val="single" w:color="auto" w:sz="4" w:space="0"/>
            </w:tcBorders>
          </w:tcPr>
          <w:p w:rsidRPr="007B39C0" w:rsidR="00AC1FAD" w:rsidP="00D45038" w:rsidRDefault="00AC1FAD" w14:paraId="6C3F09E6" w14:textId="77777777">
            <w:pPr>
              <w:pStyle w:val="Parastais"/>
              <w:jc w:val="center"/>
            </w:pPr>
            <w:r w:rsidRPr="007B39C0">
              <w:t>6</w:t>
            </w:r>
          </w:p>
        </w:tc>
      </w:tr>
      <w:tr w:rsidRPr="007B39C0" w:rsidR="008E3733" w:rsidTr="00D45038" w14:paraId="2B25AA16" w14:textId="77777777">
        <w:tc>
          <w:tcPr>
            <w:tcW w:w="709" w:type="dxa"/>
            <w:tcBorders>
              <w:top w:val="single" w:color="000000" w:sz="6" w:space="0"/>
              <w:left w:val="single" w:color="000000" w:sz="6" w:space="0"/>
              <w:bottom w:val="single" w:color="000000" w:sz="6" w:space="0"/>
              <w:right w:val="single" w:color="000000" w:sz="6" w:space="0"/>
            </w:tcBorders>
          </w:tcPr>
          <w:p w:rsidRPr="007B39C0" w:rsidR="008E3733" w:rsidP="00D45038" w:rsidRDefault="008E3733" w14:paraId="44D9345D" w14:textId="77777777">
            <w:pPr>
              <w:pStyle w:val="naisc"/>
              <w:spacing w:before="0" w:after="0"/>
              <w:rPr>
                <w:sz w:val="20"/>
                <w:szCs w:val="20"/>
              </w:rPr>
            </w:pPr>
          </w:p>
        </w:tc>
        <w:tc>
          <w:tcPr>
            <w:tcW w:w="2977" w:type="dxa"/>
            <w:tcBorders>
              <w:top w:val="single" w:color="000000" w:sz="6" w:space="0"/>
              <w:left w:val="single" w:color="000000" w:sz="6" w:space="0"/>
              <w:bottom w:val="single" w:color="000000" w:sz="6" w:space="0"/>
              <w:right w:val="single" w:color="000000" w:sz="6" w:space="0"/>
            </w:tcBorders>
          </w:tcPr>
          <w:p w:rsidRPr="007B39C0" w:rsidR="008E3733" w:rsidP="007A0D58" w:rsidRDefault="008E3733" w14:paraId="5BBA9E90" w14:textId="77777777">
            <w:pPr>
              <w:pStyle w:val="naisc"/>
              <w:spacing w:before="0" w:after="0"/>
              <w:jc w:val="both"/>
              <w:rPr>
                <w:sz w:val="20"/>
                <w:szCs w:val="20"/>
              </w:rPr>
            </w:pPr>
          </w:p>
        </w:tc>
        <w:tc>
          <w:tcPr>
            <w:tcW w:w="3118" w:type="dxa"/>
            <w:tcBorders>
              <w:top w:val="single" w:color="000000" w:sz="6" w:space="0"/>
              <w:left w:val="single" w:color="000000" w:sz="6" w:space="0"/>
              <w:bottom w:val="single" w:color="000000" w:sz="6" w:space="0"/>
              <w:right w:val="single" w:color="000000" w:sz="6" w:space="0"/>
            </w:tcBorders>
          </w:tcPr>
          <w:p w:rsidRPr="007B39C0" w:rsidR="008E3733" w:rsidP="008E3733" w:rsidRDefault="008E3733" w14:paraId="2161DECB" w14:textId="77777777">
            <w:pPr>
              <w:pStyle w:val="naisc"/>
              <w:spacing w:before="0" w:after="0"/>
              <w:jc w:val="both"/>
              <w:rPr>
                <w:szCs w:val="20"/>
              </w:rPr>
            </w:pPr>
          </w:p>
        </w:tc>
        <w:tc>
          <w:tcPr>
            <w:tcW w:w="2977" w:type="dxa"/>
            <w:tcBorders>
              <w:top w:val="single" w:color="000000" w:sz="6" w:space="0"/>
              <w:left w:val="single" w:color="000000" w:sz="6" w:space="0"/>
              <w:bottom w:val="single" w:color="000000" w:sz="6" w:space="0"/>
              <w:right w:val="single" w:color="000000" w:sz="6" w:space="0"/>
            </w:tcBorders>
          </w:tcPr>
          <w:p w:rsidRPr="007B39C0" w:rsidR="003F26CF" w:rsidP="00517814" w:rsidRDefault="003F26CF" w14:paraId="42ACDB7A" w14:textId="77777777">
            <w:pPr>
              <w:pStyle w:val="naisc"/>
              <w:spacing w:before="0" w:after="0"/>
              <w:jc w:val="both"/>
              <w:rPr>
                <w:sz w:val="22"/>
                <w:szCs w:val="20"/>
              </w:rPr>
            </w:pPr>
          </w:p>
        </w:tc>
        <w:tc>
          <w:tcPr>
            <w:tcW w:w="2459" w:type="dxa"/>
            <w:tcBorders>
              <w:top w:val="single" w:color="auto" w:sz="4" w:space="0"/>
              <w:left w:val="single" w:color="auto" w:sz="4" w:space="0"/>
              <w:bottom w:val="single" w:color="auto" w:sz="4" w:space="0"/>
              <w:right w:val="single" w:color="auto" w:sz="4" w:space="0"/>
            </w:tcBorders>
          </w:tcPr>
          <w:p w:rsidRPr="007B39C0" w:rsidR="008E3733" w:rsidP="00ED58F0" w:rsidRDefault="008E3733" w14:paraId="7C6CA6F7" w14:textId="77777777">
            <w:pPr>
              <w:pStyle w:val="Parastais"/>
              <w:jc w:val="both"/>
              <w:rPr>
                <w:sz w:val="20"/>
                <w:szCs w:val="20"/>
              </w:rPr>
            </w:pPr>
          </w:p>
        </w:tc>
        <w:tc>
          <w:tcPr>
            <w:tcW w:w="1920" w:type="dxa"/>
            <w:tcBorders>
              <w:top w:val="single" w:color="auto" w:sz="4" w:space="0"/>
              <w:left w:val="single" w:color="auto" w:sz="4" w:space="0"/>
              <w:bottom w:val="single" w:color="auto" w:sz="4" w:space="0"/>
            </w:tcBorders>
          </w:tcPr>
          <w:p w:rsidRPr="007B39C0" w:rsidR="008E3733" w:rsidP="007A0D58" w:rsidRDefault="008E3733" w14:paraId="6F4E5527" w14:textId="77777777">
            <w:pPr>
              <w:pStyle w:val="Parastais"/>
              <w:jc w:val="both"/>
              <w:rPr>
                <w:sz w:val="20"/>
                <w:szCs w:val="20"/>
              </w:rPr>
            </w:pPr>
          </w:p>
        </w:tc>
      </w:tr>
    </w:tbl>
    <w:p w:rsidRPr="007B39C0" w:rsidR="00A342E1" w:rsidP="003B2375" w:rsidRDefault="00A342E1" w14:paraId="5EFADDA4" w14:textId="77777777">
      <w:pPr>
        <w:pStyle w:val="naisnod"/>
        <w:spacing w:before="0" w:after="0"/>
        <w:ind w:firstLine="720"/>
        <w:rPr>
          <w:bCs w:val="0"/>
        </w:rPr>
      </w:pPr>
    </w:p>
    <w:p w:rsidRPr="007B39C0" w:rsidR="00AC1FAD" w:rsidP="003B2375" w:rsidRDefault="00AC1FAD" w14:paraId="317F92FC" w14:textId="77777777">
      <w:pPr>
        <w:pStyle w:val="naisnod"/>
        <w:spacing w:before="0" w:after="0"/>
        <w:ind w:firstLine="720"/>
        <w:rPr>
          <w:bCs w:val="0"/>
        </w:rPr>
      </w:pPr>
    </w:p>
    <w:p w:rsidRPr="007B39C0" w:rsidR="00A36B8E" w:rsidP="00934210" w:rsidRDefault="00A36B8E" w14:paraId="06368F30" w14:textId="77777777">
      <w:pPr>
        <w:pStyle w:val="naisf"/>
        <w:ind w:firstLine="0"/>
        <w:jc w:val="left"/>
        <w:rPr>
          <w:b/>
        </w:rPr>
      </w:pPr>
      <w:r w:rsidRPr="007B39C0">
        <w:rPr>
          <w:b/>
        </w:rPr>
        <w:t>Informācija par starpministriju (starpinstitūciju) sanāks</w:t>
      </w:r>
      <w:r w:rsidRPr="007B39C0" w:rsidR="00934210">
        <w:rPr>
          <w:b/>
        </w:rPr>
        <w:t>mi vai elektronisko saskaņošanu</w:t>
      </w:r>
    </w:p>
    <w:p w:rsidRPr="007B39C0" w:rsidR="00813411" w:rsidP="00934210" w:rsidRDefault="00813411" w14:paraId="761FDC68" w14:textId="77777777">
      <w:pPr>
        <w:pStyle w:val="naisf"/>
        <w:ind w:firstLine="0"/>
        <w:jc w:val="left"/>
        <w:rPr>
          <w:b/>
        </w:rPr>
      </w:pPr>
    </w:p>
    <w:tbl>
      <w:tblPr>
        <w:tblW w:w="14283" w:type="dxa"/>
        <w:tblLook w:val="00A0" w:firstRow="1" w:lastRow="0" w:firstColumn="1" w:lastColumn="0" w:noHBand="0" w:noVBand="0"/>
      </w:tblPr>
      <w:tblGrid>
        <w:gridCol w:w="6241"/>
        <w:gridCol w:w="421"/>
        <w:gridCol w:w="3652"/>
        <w:gridCol w:w="3969"/>
      </w:tblGrid>
      <w:tr w:rsidRPr="007B39C0" w:rsidR="00813411" w:rsidTr="00487E18" w14:paraId="3941CF14" w14:textId="77777777">
        <w:tc>
          <w:tcPr>
            <w:tcW w:w="6241" w:type="dxa"/>
          </w:tcPr>
          <w:p w:rsidRPr="007B39C0" w:rsidR="00813411" w:rsidP="00325DA4" w:rsidRDefault="00813411" w14:paraId="3F5775EC" w14:textId="77777777">
            <w:pPr>
              <w:pStyle w:val="naisf"/>
              <w:spacing w:before="0" w:after="0"/>
              <w:ind w:firstLine="0"/>
            </w:pPr>
            <w:r w:rsidRPr="007B39C0">
              <w:t>Datums</w:t>
            </w:r>
          </w:p>
        </w:tc>
        <w:tc>
          <w:tcPr>
            <w:tcW w:w="8042" w:type="dxa"/>
            <w:gridSpan w:val="3"/>
            <w:tcBorders>
              <w:bottom w:val="single" w:color="auto" w:sz="4" w:space="0"/>
            </w:tcBorders>
          </w:tcPr>
          <w:p w:rsidRPr="007B39C0" w:rsidR="00813411" w:rsidP="00FC7039" w:rsidRDefault="00813411" w14:paraId="1953A731" w14:textId="589492E6">
            <w:pPr>
              <w:pStyle w:val="naisf"/>
              <w:tabs>
                <w:tab w:val="left" w:pos="8505"/>
              </w:tabs>
              <w:spacing w:before="0" w:after="0"/>
              <w:ind w:firstLine="0"/>
            </w:pPr>
            <w:r w:rsidRPr="007B39C0">
              <w:t>201</w:t>
            </w:r>
            <w:r w:rsidRPr="007B39C0" w:rsidR="00487E18">
              <w:t>9</w:t>
            </w:r>
            <w:r w:rsidRPr="007B39C0">
              <w:t xml:space="preserve">. gada </w:t>
            </w:r>
            <w:r w:rsidRPr="007B39C0" w:rsidR="00A14CE1">
              <w:t>2</w:t>
            </w:r>
            <w:r w:rsidRPr="007B39C0" w:rsidR="00CB3F0B">
              <w:t>3</w:t>
            </w:r>
            <w:r w:rsidRPr="007B39C0" w:rsidR="00A14CE1">
              <w:t>.</w:t>
            </w:r>
            <w:r w:rsidR="00D75AF2">
              <w:t> </w:t>
            </w:r>
            <w:r w:rsidRPr="007B39C0" w:rsidR="00A14CE1">
              <w:t>maijā</w:t>
            </w:r>
            <w:r w:rsidRPr="007B39C0" w:rsidR="00C278A6">
              <w:t xml:space="preserve"> </w:t>
            </w:r>
            <w:r w:rsidRPr="007B39C0" w:rsidR="00647959">
              <w:t xml:space="preserve">(elektroniskā saskaņošana) </w:t>
            </w:r>
          </w:p>
        </w:tc>
      </w:tr>
      <w:tr w:rsidRPr="007B39C0" w:rsidR="00813411" w:rsidTr="00487E18" w14:paraId="1F0DF61B" w14:textId="77777777">
        <w:tc>
          <w:tcPr>
            <w:tcW w:w="6241" w:type="dxa"/>
          </w:tcPr>
          <w:p w:rsidRPr="007B39C0" w:rsidR="00813411" w:rsidP="00325DA4" w:rsidRDefault="00813411" w14:paraId="2CB208A9" w14:textId="77777777">
            <w:pPr>
              <w:pStyle w:val="naisf"/>
              <w:spacing w:before="0" w:after="0"/>
              <w:ind w:firstLine="0"/>
            </w:pPr>
          </w:p>
        </w:tc>
        <w:tc>
          <w:tcPr>
            <w:tcW w:w="8042" w:type="dxa"/>
            <w:gridSpan w:val="3"/>
            <w:tcBorders>
              <w:top w:val="single" w:color="auto" w:sz="4" w:space="0"/>
            </w:tcBorders>
          </w:tcPr>
          <w:p w:rsidRPr="007B39C0" w:rsidR="00813411" w:rsidP="00325DA4" w:rsidRDefault="00813411" w14:paraId="4502FF6E" w14:textId="77777777">
            <w:pPr>
              <w:pStyle w:val="ParastaisWeb"/>
              <w:spacing w:before="0" w:beforeAutospacing="0" w:after="0" w:afterAutospacing="0"/>
              <w:ind w:firstLine="720"/>
            </w:pPr>
          </w:p>
        </w:tc>
      </w:tr>
      <w:tr w:rsidRPr="007B39C0" w:rsidR="00813411" w:rsidTr="00487E18" w14:paraId="120EF862" w14:textId="77777777">
        <w:tc>
          <w:tcPr>
            <w:tcW w:w="6241" w:type="dxa"/>
          </w:tcPr>
          <w:p w:rsidRPr="007B39C0" w:rsidR="00813411" w:rsidP="00325DA4" w:rsidRDefault="00813411" w14:paraId="75A726CC" w14:textId="77777777">
            <w:pPr>
              <w:pStyle w:val="naiskr"/>
              <w:spacing w:before="0" w:after="0"/>
            </w:pPr>
            <w:r w:rsidRPr="007B39C0">
              <w:t>Saskaņošanas dalībnieki</w:t>
            </w:r>
          </w:p>
        </w:tc>
        <w:tc>
          <w:tcPr>
            <w:tcW w:w="8042" w:type="dxa"/>
            <w:gridSpan w:val="3"/>
            <w:tcBorders>
              <w:bottom w:val="single" w:color="auto" w:sz="4" w:space="0"/>
            </w:tcBorders>
          </w:tcPr>
          <w:p w:rsidRPr="007B39C0" w:rsidR="00813411" w:rsidP="00FC7039" w:rsidRDefault="00A14CE1" w14:paraId="28885AC5" w14:textId="77777777">
            <w:pPr>
              <w:pStyle w:val="naisf"/>
              <w:spacing w:before="0" w:after="0"/>
              <w:ind w:firstLine="0"/>
            </w:pPr>
            <w:r w:rsidRPr="007B39C0">
              <w:t>Ārlietu ministrija</w:t>
            </w:r>
            <w:r w:rsidRPr="007B39C0" w:rsidR="0072326F">
              <w:t>, Finanšu ministrija</w:t>
            </w:r>
          </w:p>
        </w:tc>
      </w:tr>
      <w:tr w:rsidRPr="007B39C0" w:rsidR="00813411" w:rsidTr="00487E18" w14:paraId="69C95F5B" w14:textId="77777777">
        <w:trPr>
          <w:trHeight w:val="285"/>
        </w:trPr>
        <w:tc>
          <w:tcPr>
            <w:tcW w:w="6241" w:type="dxa"/>
          </w:tcPr>
          <w:p w:rsidRPr="007B39C0" w:rsidR="00813411" w:rsidP="00325DA4" w:rsidRDefault="00813411" w14:paraId="635B7FA5" w14:textId="77777777">
            <w:pPr>
              <w:pStyle w:val="naiskr"/>
              <w:spacing w:before="0" w:after="0"/>
            </w:pPr>
          </w:p>
        </w:tc>
        <w:tc>
          <w:tcPr>
            <w:tcW w:w="4073" w:type="dxa"/>
            <w:gridSpan w:val="2"/>
            <w:tcBorders>
              <w:top w:val="single" w:color="auto" w:sz="4" w:space="0"/>
            </w:tcBorders>
          </w:tcPr>
          <w:p w:rsidRPr="007B39C0" w:rsidR="00813411" w:rsidP="00325DA4" w:rsidRDefault="00813411" w14:paraId="483CD80C" w14:textId="77777777">
            <w:pPr>
              <w:pStyle w:val="naiskr"/>
              <w:spacing w:before="0" w:after="0"/>
              <w:ind w:firstLine="720"/>
            </w:pPr>
          </w:p>
        </w:tc>
        <w:tc>
          <w:tcPr>
            <w:tcW w:w="3969" w:type="dxa"/>
            <w:tcBorders>
              <w:top w:val="single" w:color="auto" w:sz="4" w:space="0"/>
            </w:tcBorders>
          </w:tcPr>
          <w:p w:rsidRPr="007B39C0" w:rsidR="00813411" w:rsidP="00325DA4" w:rsidRDefault="00813411" w14:paraId="61392EE8" w14:textId="77777777">
            <w:pPr>
              <w:pStyle w:val="naiskr"/>
              <w:spacing w:before="0" w:after="0"/>
              <w:ind w:firstLine="12"/>
            </w:pPr>
          </w:p>
        </w:tc>
      </w:tr>
      <w:tr w:rsidRPr="007B39C0" w:rsidR="00813411" w:rsidTr="00487E18" w14:paraId="5C2B863A" w14:textId="77777777">
        <w:trPr>
          <w:trHeight w:val="285"/>
        </w:trPr>
        <w:tc>
          <w:tcPr>
            <w:tcW w:w="6241" w:type="dxa"/>
          </w:tcPr>
          <w:p w:rsidRPr="007B39C0" w:rsidR="00813411" w:rsidP="00325DA4" w:rsidRDefault="00813411" w14:paraId="6D5C2788" w14:textId="77777777">
            <w:pPr>
              <w:pStyle w:val="naiskr"/>
              <w:spacing w:before="0" w:after="0"/>
            </w:pPr>
            <w:r w:rsidRPr="007B39C0">
              <w:t>Saskaņošanas dalībnieki izskatīja šādu ministriju (citu institūciju) iebildumus</w:t>
            </w:r>
          </w:p>
        </w:tc>
        <w:tc>
          <w:tcPr>
            <w:tcW w:w="4073" w:type="dxa"/>
            <w:gridSpan w:val="2"/>
          </w:tcPr>
          <w:p w:rsidRPr="007B39C0" w:rsidR="00813411" w:rsidP="00FC7039" w:rsidRDefault="00F74674" w14:paraId="036587D1" w14:textId="77777777">
            <w:pPr>
              <w:pStyle w:val="naiskr"/>
              <w:spacing w:before="0" w:after="0"/>
            </w:pPr>
            <w:r w:rsidRPr="007B39C0">
              <w:t>Finanšu</w:t>
            </w:r>
            <w:r w:rsidRPr="007B39C0" w:rsidR="00A14CE1">
              <w:t xml:space="preserve"> ministrijas</w:t>
            </w:r>
          </w:p>
        </w:tc>
        <w:tc>
          <w:tcPr>
            <w:tcW w:w="3969" w:type="dxa"/>
          </w:tcPr>
          <w:p w:rsidRPr="007B39C0" w:rsidR="00813411" w:rsidP="00325DA4" w:rsidRDefault="00813411" w14:paraId="691816B1" w14:textId="77777777">
            <w:pPr>
              <w:pStyle w:val="naiskr"/>
              <w:spacing w:before="0" w:after="0"/>
              <w:ind w:firstLine="12"/>
            </w:pPr>
          </w:p>
        </w:tc>
      </w:tr>
      <w:tr w:rsidRPr="007B39C0" w:rsidR="00813411" w:rsidTr="00487E18" w14:paraId="30B9CEC9" w14:textId="77777777">
        <w:trPr>
          <w:trHeight w:val="465"/>
        </w:trPr>
        <w:tc>
          <w:tcPr>
            <w:tcW w:w="6662" w:type="dxa"/>
            <w:gridSpan w:val="2"/>
          </w:tcPr>
          <w:p w:rsidRPr="007B39C0" w:rsidR="00813411" w:rsidP="00FC7039" w:rsidRDefault="00813411" w14:paraId="0CC93790" w14:textId="77777777">
            <w:pPr>
              <w:pStyle w:val="naiskr"/>
              <w:spacing w:before="0" w:after="0"/>
            </w:pPr>
          </w:p>
        </w:tc>
        <w:tc>
          <w:tcPr>
            <w:tcW w:w="7621" w:type="dxa"/>
            <w:gridSpan w:val="2"/>
            <w:tcBorders>
              <w:top w:val="single" w:color="000000" w:sz="6" w:space="0"/>
              <w:bottom w:val="single" w:color="000000" w:sz="6" w:space="0"/>
            </w:tcBorders>
          </w:tcPr>
          <w:p w:rsidRPr="007B39C0" w:rsidR="00813411" w:rsidP="00487E18" w:rsidRDefault="00813411" w14:paraId="1E6556A6" w14:textId="77777777">
            <w:pPr>
              <w:pStyle w:val="ParastaisWeb"/>
              <w:spacing w:before="0" w:beforeAutospacing="0" w:after="0" w:afterAutospacing="0"/>
            </w:pPr>
          </w:p>
        </w:tc>
      </w:tr>
      <w:tr w:rsidRPr="007B39C0" w:rsidR="00813411" w:rsidTr="00487E18" w14:paraId="09879A9E" w14:textId="77777777">
        <w:trPr>
          <w:trHeight w:val="465"/>
        </w:trPr>
        <w:tc>
          <w:tcPr>
            <w:tcW w:w="14283" w:type="dxa"/>
            <w:gridSpan w:val="4"/>
          </w:tcPr>
          <w:p w:rsidRPr="005F17F6" w:rsidR="005F17F6" w:rsidP="00D75AF2" w:rsidRDefault="005F17F6" w14:paraId="107C3EF3" w14:textId="77777777">
            <w:pPr>
              <w:pStyle w:val="Parastais"/>
            </w:pPr>
          </w:p>
        </w:tc>
      </w:tr>
      <w:tr w:rsidRPr="007B39C0" w:rsidR="00813411" w:rsidTr="00487E18" w14:paraId="6F76FDA1" w14:textId="77777777">
        <w:tc>
          <w:tcPr>
            <w:tcW w:w="6662" w:type="dxa"/>
            <w:gridSpan w:val="2"/>
          </w:tcPr>
          <w:p w:rsidRPr="007B39C0" w:rsidR="00813411" w:rsidP="00325DA4" w:rsidRDefault="00813411" w14:paraId="32434490" w14:textId="77777777">
            <w:pPr>
              <w:pStyle w:val="naiskr"/>
              <w:spacing w:before="0" w:after="0"/>
            </w:pPr>
            <w:r w:rsidRPr="007B39C0">
              <w:lastRenderedPageBreak/>
              <w:t>Ministrijas (citas institūcijas), kuras nav ieradušās uz sanāksmi vai kuras nav atbildējušas uz uzaicinājumu piedalīties elektroniskajā saskaņošanā</w:t>
            </w:r>
          </w:p>
        </w:tc>
        <w:tc>
          <w:tcPr>
            <w:tcW w:w="7621" w:type="dxa"/>
            <w:gridSpan w:val="2"/>
          </w:tcPr>
          <w:p w:rsidRPr="007B39C0" w:rsidR="00813411" w:rsidP="00325DA4" w:rsidRDefault="007A23DD" w14:paraId="59AA25BF" w14:textId="64774F37">
            <w:pPr>
              <w:pStyle w:val="naiskr"/>
              <w:spacing w:before="0" w:after="0"/>
              <w:ind w:firstLine="720"/>
            </w:pPr>
            <w:r>
              <w:t>Ārlietu ministrija</w:t>
            </w:r>
          </w:p>
        </w:tc>
      </w:tr>
      <w:tr w:rsidRPr="007B39C0" w:rsidR="00813411" w:rsidTr="00487E18" w14:paraId="06832320" w14:textId="77777777">
        <w:tc>
          <w:tcPr>
            <w:tcW w:w="6662" w:type="dxa"/>
            <w:gridSpan w:val="2"/>
          </w:tcPr>
          <w:p w:rsidRPr="007B39C0" w:rsidR="00813411" w:rsidP="00325DA4" w:rsidRDefault="00813411" w14:paraId="42ED033F" w14:textId="77777777">
            <w:pPr>
              <w:pStyle w:val="naiskr"/>
              <w:spacing w:before="0" w:after="0"/>
              <w:ind w:firstLine="720"/>
            </w:pPr>
          </w:p>
        </w:tc>
        <w:tc>
          <w:tcPr>
            <w:tcW w:w="7621" w:type="dxa"/>
            <w:gridSpan w:val="2"/>
            <w:tcBorders>
              <w:top w:val="single" w:color="000000" w:sz="6" w:space="0"/>
              <w:bottom w:val="single" w:color="000000" w:sz="6" w:space="0"/>
            </w:tcBorders>
          </w:tcPr>
          <w:p w:rsidRPr="007B39C0" w:rsidR="00813411" w:rsidP="00325DA4" w:rsidRDefault="00813411" w14:paraId="19A2682C" w14:textId="77777777">
            <w:pPr>
              <w:pStyle w:val="naiskr"/>
              <w:spacing w:before="0" w:after="0"/>
              <w:ind w:firstLine="720"/>
            </w:pPr>
          </w:p>
        </w:tc>
      </w:tr>
      <w:tr w:rsidRPr="007B39C0" w:rsidR="00813411" w:rsidTr="00487E18" w14:paraId="2180476F" w14:textId="77777777">
        <w:tc>
          <w:tcPr>
            <w:tcW w:w="6662" w:type="dxa"/>
            <w:gridSpan w:val="2"/>
          </w:tcPr>
          <w:p w:rsidRPr="007B39C0" w:rsidR="00813411" w:rsidP="00325DA4" w:rsidRDefault="00813411" w14:paraId="6FE72C82" w14:textId="77777777">
            <w:pPr>
              <w:pStyle w:val="naiskr"/>
              <w:spacing w:before="0" w:after="0"/>
              <w:ind w:firstLine="720"/>
            </w:pPr>
          </w:p>
        </w:tc>
        <w:tc>
          <w:tcPr>
            <w:tcW w:w="7621" w:type="dxa"/>
            <w:gridSpan w:val="2"/>
            <w:tcBorders>
              <w:bottom w:val="single" w:color="000000" w:sz="6" w:space="0"/>
            </w:tcBorders>
          </w:tcPr>
          <w:p w:rsidRPr="007B39C0" w:rsidR="00813411" w:rsidP="00325DA4" w:rsidRDefault="00813411" w14:paraId="12A365AD" w14:textId="77777777">
            <w:pPr>
              <w:pStyle w:val="naiskr"/>
              <w:spacing w:before="0" w:after="0"/>
              <w:ind w:firstLine="720"/>
            </w:pPr>
          </w:p>
        </w:tc>
      </w:tr>
    </w:tbl>
    <w:p w:rsidR="00262ED3" w:rsidP="009D15A1" w:rsidRDefault="00262ED3" w14:paraId="4F3D1479" w14:textId="77777777">
      <w:pPr>
        <w:pStyle w:val="naisf"/>
        <w:jc w:val="center"/>
        <w:rPr>
          <w:b/>
          <w:szCs w:val="20"/>
        </w:rPr>
      </w:pPr>
    </w:p>
    <w:p w:rsidRPr="007B39C0" w:rsidR="009D15A1" w:rsidP="009D15A1" w:rsidRDefault="009D15A1" w14:paraId="75474F74" w14:textId="77777777">
      <w:pPr>
        <w:pStyle w:val="naisf"/>
        <w:jc w:val="center"/>
        <w:rPr>
          <w:b/>
          <w:szCs w:val="20"/>
        </w:rPr>
      </w:pPr>
      <w:r w:rsidRPr="007B39C0">
        <w:rPr>
          <w:b/>
          <w:szCs w:val="20"/>
        </w:rPr>
        <w:t>II. Jautājumi, par kuriem saskaņošanā vienošanās ir panākta</w:t>
      </w:r>
    </w:p>
    <w:tbl>
      <w:tblPr>
        <w:tblW w:w="14183" w:type="dxa"/>
        <w:tblInd w:w="100"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8"/>
        <w:gridCol w:w="709"/>
        <w:gridCol w:w="2152"/>
        <w:gridCol w:w="250"/>
        <w:gridCol w:w="2663"/>
        <w:gridCol w:w="631"/>
        <w:gridCol w:w="2410"/>
        <w:gridCol w:w="2689"/>
        <w:gridCol w:w="2663"/>
        <w:gridCol w:w="8"/>
      </w:tblGrid>
      <w:tr w:rsidRPr="007B39C0" w:rsidR="009D15A1" w:rsidTr="00490239" w14:paraId="17AACCFA"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vAlign w:val="center"/>
          </w:tcPr>
          <w:p w:rsidRPr="007B39C0" w:rsidR="009D15A1" w:rsidP="009D15A1" w:rsidRDefault="009D15A1" w14:paraId="218FB345" w14:textId="77777777">
            <w:pPr>
              <w:pStyle w:val="naisf"/>
              <w:ind w:firstLine="0"/>
              <w:rPr>
                <w:szCs w:val="20"/>
              </w:rPr>
            </w:pPr>
            <w:r w:rsidRPr="007B39C0">
              <w:rPr>
                <w:szCs w:val="20"/>
              </w:rPr>
              <w:t>Nr. p.k.</w:t>
            </w:r>
          </w:p>
        </w:tc>
        <w:tc>
          <w:tcPr>
            <w:tcW w:w="2152" w:type="dxa"/>
            <w:tcBorders>
              <w:top w:val="single" w:color="000000" w:sz="6" w:space="0"/>
              <w:left w:val="single" w:color="000000" w:sz="6" w:space="0"/>
              <w:bottom w:val="single" w:color="000000" w:sz="6" w:space="0"/>
              <w:right w:val="single" w:color="000000" w:sz="6" w:space="0"/>
            </w:tcBorders>
            <w:vAlign w:val="center"/>
          </w:tcPr>
          <w:p w:rsidRPr="007B39C0" w:rsidR="009D15A1" w:rsidP="009D15A1" w:rsidRDefault="009D15A1" w14:paraId="20DD34D6" w14:textId="77777777">
            <w:pPr>
              <w:pStyle w:val="naisf"/>
              <w:jc w:val="center"/>
              <w:rPr>
                <w:szCs w:val="20"/>
              </w:rPr>
            </w:pPr>
            <w:r w:rsidRPr="007B39C0">
              <w:rPr>
                <w:szCs w:val="20"/>
              </w:rPr>
              <w:t>Saskaņošanai nosūtītā projekta redakcija (konkrēta punkta (panta) redakcija)</w:t>
            </w:r>
          </w:p>
        </w:tc>
        <w:tc>
          <w:tcPr>
            <w:tcW w:w="3544" w:type="dxa"/>
            <w:gridSpan w:val="3"/>
            <w:tcBorders>
              <w:top w:val="single" w:color="000000" w:sz="6" w:space="0"/>
              <w:left w:val="single" w:color="000000" w:sz="6" w:space="0"/>
              <w:bottom w:val="single" w:color="000000" w:sz="6" w:space="0"/>
              <w:right w:val="single" w:color="000000" w:sz="6" w:space="0"/>
            </w:tcBorders>
            <w:vAlign w:val="center"/>
          </w:tcPr>
          <w:p w:rsidRPr="007B39C0" w:rsidR="009D15A1" w:rsidP="009D15A1" w:rsidRDefault="009D15A1" w14:paraId="6140B641" w14:textId="77777777">
            <w:pPr>
              <w:pStyle w:val="naisf"/>
              <w:jc w:val="center"/>
              <w:rPr>
                <w:szCs w:val="20"/>
              </w:rPr>
            </w:pPr>
            <w:r w:rsidRPr="007B39C0">
              <w:rPr>
                <w:szCs w:val="20"/>
              </w:rPr>
              <w:t>Atzinumā norādītais ministrijas (citas institūcijas) iebildums, kā arī saskaņošanā papildus izteiktais iebildums par projekta konkrēto punktu (pantu)</w:t>
            </w:r>
          </w:p>
        </w:tc>
        <w:tc>
          <w:tcPr>
            <w:tcW w:w="2410" w:type="dxa"/>
            <w:tcBorders>
              <w:top w:val="single" w:color="000000" w:sz="6" w:space="0"/>
              <w:left w:val="single" w:color="000000" w:sz="6" w:space="0"/>
              <w:bottom w:val="single" w:color="000000" w:sz="6" w:space="0"/>
              <w:right w:val="single" w:color="000000" w:sz="6" w:space="0"/>
            </w:tcBorders>
            <w:vAlign w:val="center"/>
          </w:tcPr>
          <w:p w:rsidRPr="007B39C0" w:rsidR="009D15A1" w:rsidP="009D15A1" w:rsidRDefault="009D15A1" w14:paraId="0A9CC484" w14:textId="77777777">
            <w:pPr>
              <w:pStyle w:val="naisf"/>
              <w:jc w:val="center"/>
              <w:rPr>
                <w:szCs w:val="20"/>
              </w:rPr>
            </w:pPr>
            <w:r w:rsidRPr="007B39C0">
              <w:rPr>
                <w:szCs w:val="20"/>
              </w:rPr>
              <w:t>Atbildīgās ministrijas norāde par to, ka iebildums ir ņemts vērā, vai informācija par saskaņošanā panākto alternatīvo risinājumu</w:t>
            </w:r>
          </w:p>
        </w:tc>
        <w:tc>
          <w:tcPr>
            <w:tcW w:w="5360" w:type="dxa"/>
            <w:gridSpan w:val="3"/>
            <w:tcBorders>
              <w:top w:val="single" w:color="auto" w:sz="4" w:space="0"/>
              <w:left w:val="single" w:color="auto" w:sz="4" w:space="0"/>
              <w:bottom w:val="single" w:color="auto" w:sz="4" w:space="0"/>
            </w:tcBorders>
            <w:vAlign w:val="center"/>
          </w:tcPr>
          <w:p w:rsidRPr="007B39C0" w:rsidR="009D15A1" w:rsidP="009D15A1" w:rsidRDefault="009D15A1" w14:paraId="3B2BBAD2" w14:textId="77777777">
            <w:pPr>
              <w:pStyle w:val="naisf"/>
              <w:jc w:val="center"/>
              <w:rPr>
                <w:szCs w:val="20"/>
              </w:rPr>
            </w:pPr>
            <w:r w:rsidRPr="007B39C0">
              <w:rPr>
                <w:szCs w:val="20"/>
              </w:rPr>
              <w:t>Projekta attiecīgā punkta (panta) galīgā redakcija</w:t>
            </w:r>
          </w:p>
        </w:tc>
      </w:tr>
      <w:tr w:rsidRPr="007B39C0" w:rsidR="009D15A1" w:rsidTr="00490239" w14:paraId="15F72FBE"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7B39C0" w:rsidR="009D15A1" w:rsidP="009D15A1" w:rsidRDefault="009D15A1" w14:paraId="0E865FA0" w14:textId="77777777">
            <w:pPr>
              <w:pStyle w:val="naisf"/>
              <w:rPr>
                <w:szCs w:val="20"/>
              </w:rPr>
            </w:pPr>
            <w:r w:rsidRPr="007B39C0">
              <w:rPr>
                <w:szCs w:val="20"/>
              </w:rPr>
              <w:t>1</w:t>
            </w:r>
          </w:p>
        </w:tc>
        <w:tc>
          <w:tcPr>
            <w:tcW w:w="2152" w:type="dxa"/>
            <w:tcBorders>
              <w:top w:val="single" w:color="000000" w:sz="6" w:space="0"/>
              <w:left w:val="single" w:color="000000" w:sz="6" w:space="0"/>
              <w:bottom w:val="single" w:color="000000" w:sz="6" w:space="0"/>
              <w:right w:val="single" w:color="000000" w:sz="6" w:space="0"/>
            </w:tcBorders>
          </w:tcPr>
          <w:p w:rsidRPr="007B39C0" w:rsidR="009D15A1" w:rsidP="009D15A1" w:rsidRDefault="009D15A1" w14:paraId="540F3791" w14:textId="77777777">
            <w:pPr>
              <w:pStyle w:val="naisf"/>
              <w:rPr>
                <w:szCs w:val="20"/>
              </w:rPr>
            </w:pPr>
            <w:r w:rsidRPr="007B39C0">
              <w:rPr>
                <w:szCs w:val="20"/>
              </w:rPr>
              <w:t>2</w:t>
            </w:r>
          </w:p>
        </w:tc>
        <w:tc>
          <w:tcPr>
            <w:tcW w:w="3544" w:type="dxa"/>
            <w:gridSpan w:val="3"/>
            <w:tcBorders>
              <w:top w:val="single" w:color="000000" w:sz="6" w:space="0"/>
              <w:left w:val="single" w:color="000000" w:sz="6" w:space="0"/>
              <w:bottom w:val="single" w:color="000000" w:sz="6" w:space="0"/>
              <w:right w:val="single" w:color="000000" w:sz="6" w:space="0"/>
            </w:tcBorders>
          </w:tcPr>
          <w:p w:rsidRPr="007B39C0" w:rsidR="009D15A1" w:rsidP="009D15A1" w:rsidRDefault="009D15A1" w14:paraId="66D3A996" w14:textId="77777777">
            <w:pPr>
              <w:pStyle w:val="naisf"/>
              <w:rPr>
                <w:szCs w:val="20"/>
              </w:rPr>
            </w:pPr>
            <w:r w:rsidRPr="007B39C0">
              <w:rPr>
                <w:szCs w:val="20"/>
              </w:rPr>
              <w:t>3</w:t>
            </w:r>
          </w:p>
        </w:tc>
        <w:tc>
          <w:tcPr>
            <w:tcW w:w="2410" w:type="dxa"/>
            <w:tcBorders>
              <w:top w:val="single" w:color="000000" w:sz="6" w:space="0"/>
              <w:left w:val="single" w:color="000000" w:sz="6" w:space="0"/>
              <w:bottom w:val="single" w:color="000000" w:sz="6" w:space="0"/>
              <w:right w:val="single" w:color="000000" w:sz="6" w:space="0"/>
            </w:tcBorders>
          </w:tcPr>
          <w:p w:rsidRPr="007B39C0" w:rsidR="009D15A1" w:rsidP="009D15A1" w:rsidRDefault="009D15A1" w14:paraId="611DDF9E" w14:textId="77777777">
            <w:pPr>
              <w:pStyle w:val="naisf"/>
              <w:rPr>
                <w:szCs w:val="20"/>
              </w:rPr>
            </w:pPr>
            <w:r w:rsidRPr="007B39C0">
              <w:rPr>
                <w:szCs w:val="20"/>
              </w:rPr>
              <w:t>4</w:t>
            </w:r>
          </w:p>
        </w:tc>
        <w:tc>
          <w:tcPr>
            <w:tcW w:w="5360" w:type="dxa"/>
            <w:gridSpan w:val="3"/>
            <w:tcBorders>
              <w:top w:val="single" w:color="auto" w:sz="4" w:space="0"/>
              <w:left w:val="single" w:color="auto" w:sz="4" w:space="0"/>
              <w:bottom w:val="single" w:color="auto" w:sz="4" w:space="0"/>
            </w:tcBorders>
          </w:tcPr>
          <w:p w:rsidRPr="007B39C0" w:rsidR="009D15A1" w:rsidP="009D15A1" w:rsidRDefault="009D15A1" w14:paraId="5218A177" w14:textId="77777777">
            <w:pPr>
              <w:pStyle w:val="naisf"/>
              <w:rPr>
                <w:szCs w:val="20"/>
              </w:rPr>
            </w:pPr>
            <w:r w:rsidRPr="007B39C0">
              <w:rPr>
                <w:szCs w:val="20"/>
              </w:rPr>
              <w:t>5</w:t>
            </w:r>
          </w:p>
        </w:tc>
      </w:tr>
      <w:tr w:rsidRPr="007B39C0" w:rsidR="009D15A1" w:rsidTr="00490239" w14:paraId="163E6402" w14:textId="77777777">
        <w:trPr>
          <w:gridBefore w:val="1"/>
          <w:wBefore w:w="8" w:type="dxa"/>
        </w:trPr>
        <w:tc>
          <w:tcPr>
            <w:tcW w:w="709" w:type="dxa"/>
            <w:tcBorders>
              <w:top w:val="single" w:color="000000" w:sz="6" w:space="0"/>
              <w:left w:val="single" w:color="000000" w:sz="6" w:space="0"/>
              <w:bottom w:val="single" w:color="000000" w:sz="6" w:space="0"/>
              <w:right w:val="single" w:color="000000" w:sz="6" w:space="0"/>
            </w:tcBorders>
          </w:tcPr>
          <w:p w:rsidRPr="007B39C0" w:rsidR="009D15A1" w:rsidP="009D15A1" w:rsidRDefault="009D15A1" w14:paraId="46EF59E0" w14:textId="77777777">
            <w:pPr>
              <w:pStyle w:val="naisf"/>
              <w:rPr>
                <w:szCs w:val="20"/>
              </w:rPr>
            </w:pPr>
            <w:r w:rsidRPr="007B39C0">
              <w:rPr>
                <w:szCs w:val="20"/>
              </w:rPr>
              <w:t>1.</w:t>
            </w:r>
          </w:p>
        </w:tc>
        <w:tc>
          <w:tcPr>
            <w:tcW w:w="2152" w:type="dxa"/>
            <w:tcBorders>
              <w:top w:val="single" w:color="000000" w:sz="6" w:space="0"/>
              <w:left w:val="single" w:color="000000" w:sz="6" w:space="0"/>
              <w:bottom w:val="single" w:color="000000" w:sz="6" w:space="0"/>
              <w:right w:val="single" w:color="000000" w:sz="6" w:space="0"/>
            </w:tcBorders>
          </w:tcPr>
          <w:p w:rsidRPr="007B39C0" w:rsidR="00BD7862" w:rsidP="001875B9" w:rsidRDefault="00BD7862" w14:paraId="6757B5A6" w14:textId="77777777">
            <w:pPr>
              <w:pStyle w:val="Parastais"/>
            </w:pPr>
          </w:p>
          <w:p w:rsidRPr="007B39C0" w:rsidR="00BD7862" w:rsidP="00630522" w:rsidRDefault="00AA7D76" w14:paraId="4498072A" w14:textId="59DA8D47">
            <w:pPr>
              <w:pStyle w:val="Parastais"/>
              <w:jc w:val="both"/>
            </w:pPr>
            <w:r w:rsidRPr="007B39C0">
              <w:t>Noteikumu projekts un tā sākotnējās ietekmes novērtējuma ziņojums (anotācija)</w:t>
            </w:r>
          </w:p>
        </w:tc>
        <w:tc>
          <w:tcPr>
            <w:tcW w:w="3544" w:type="dxa"/>
            <w:gridSpan w:val="3"/>
            <w:tcBorders>
              <w:top w:val="single" w:color="000000" w:sz="6" w:space="0"/>
              <w:left w:val="single" w:color="000000" w:sz="6" w:space="0"/>
              <w:bottom w:val="single" w:color="000000" w:sz="6" w:space="0"/>
              <w:right w:val="single" w:color="000000" w:sz="6" w:space="0"/>
            </w:tcBorders>
          </w:tcPr>
          <w:p w:rsidRPr="007B39C0" w:rsidR="00A11963" w:rsidP="00837CBA" w:rsidRDefault="00F74674" w14:paraId="1757B4AC" w14:textId="77777777">
            <w:pPr>
              <w:pStyle w:val="naisf"/>
              <w:ind w:firstLine="0"/>
              <w:jc w:val="center"/>
              <w:rPr>
                <w:b/>
                <w:szCs w:val="20"/>
              </w:rPr>
            </w:pPr>
            <w:r w:rsidRPr="007B39C0">
              <w:rPr>
                <w:b/>
                <w:szCs w:val="20"/>
              </w:rPr>
              <w:t>Finanšu</w:t>
            </w:r>
            <w:r w:rsidRPr="007B39C0" w:rsidR="00A11963">
              <w:rPr>
                <w:b/>
                <w:szCs w:val="20"/>
              </w:rPr>
              <w:t xml:space="preserve"> ministrija</w:t>
            </w:r>
          </w:p>
          <w:p w:rsidRPr="007B39C0" w:rsidR="009D15A1" w:rsidP="00F74674" w:rsidRDefault="00F851F6" w14:paraId="1ABAE455" w14:textId="77777777">
            <w:pPr>
              <w:pStyle w:val="naisf"/>
              <w:ind w:firstLine="0"/>
              <w:rPr>
                <w:szCs w:val="20"/>
              </w:rPr>
            </w:pPr>
            <w:r w:rsidRPr="007B39C0">
              <w:rPr>
                <w:szCs w:val="20"/>
              </w:rPr>
              <w:t xml:space="preserve">Iebilstam, ka vairākiem pakalpojumiem zvērināta notāra atlīdzības takses tiek paaugstinātas, kā argumentu noteikumu projekta anotācijā minot Noziedzīgi iegūtu līdzekļu legalizācijas un terorisma finansēšanas novēršanas likuma prasību izpildi. Informējam, ka Noziedzīgi iegūtu līdzekļu legalizācijas un terorisma finansēšanas novēršanas likuma prasības, kas tiek norādītas noteikumu projekta anotācijā, ir </w:t>
            </w:r>
            <w:r w:rsidRPr="007B39C0">
              <w:rPr>
                <w:szCs w:val="20"/>
              </w:rPr>
              <w:lastRenderedPageBreak/>
              <w:t>spēkā jau no 2017.</w:t>
            </w:r>
            <w:r w:rsidRPr="007B39C0" w:rsidR="00E917FA">
              <w:rPr>
                <w:szCs w:val="20"/>
              </w:rPr>
              <w:t> </w:t>
            </w:r>
            <w:r w:rsidRPr="007B39C0">
              <w:rPr>
                <w:szCs w:val="20"/>
              </w:rPr>
              <w:t>gada 9.</w:t>
            </w:r>
            <w:r w:rsidRPr="007B39C0" w:rsidR="00E917FA">
              <w:rPr>
                <w:szCs w:val="20"/>
              </w:rPr>
              <w:t> </w:t>
            </w:r>
            <w:r w:rsidRPr="007B39C0">
              <w:rPr>
                <w:szCs w:val="20"/>
              </w:rPr>
              <w:t>novembra, un tas nav pietiekams pamatojums zvērināta notāra atlīdzības takses paaugstināšanai.</w:t>
            </w:r>
          </w:p>
        </w:tc>
        <w:tc>
          <w:tcPr>
            <w:tcW w:w="2410" w:type="dxa"/>
            <w:tcBorders>
              <w:top w:val="single" w:color="000000" w:sz="6" w:space="0"/>
              <w:left w:val="single" w:color="000000" w:sz="6" w:space="0"/>
              <w:bottom w:val="single" w:color="000000" w:sz="6" w:space="0"/>
              <w:right w:val="single" w:color="000000" w:sz="6" w:space="0"/>
            </w:tcBorders>
          </w:tcPr>
          <w:p w:rsidRPr="007B39C0" w:rsidR="009D15A1" w:rsidP="009D15A1" w:rsidRDefault="009D15A1" w14:paraId="0ED64D0D" w14:textId="77777777">
            <w:pPr>
              <w:pStyle w:val="naisf"/>
              <w:rPr>
                <w:szCs w:val="20"/>
              </w:rPr>
            </w:pPr>
          </w:p>
          <w:p w:rsidRPr="007B39C0" w:rsidR="009D15A1" w:rsidP="00837CBA" w:rsidRDefault="00A11963" w14:paraId="4E5699BA" w14:textId="77777777">
            <w:pPr>
              <w:pStyle w:val="naisf"/>
              <w:ind w:firstLine="0"/>
              <w:jc w:val="center"/>
              <w:rPr>
                <w:b/>
                <w:szCs w:val="20"/>
              </w:rPr>
            </w:pPr>
            <w:r w:rsidRPr="007B39C0">
              <w:rPr>
                <w:b/>
                <w:szCs w:val="20"/>
              </w:rPr>
              <w:t>Ņemts vērā</w:t>
            </w:r>
          </w:p>
        </w:tc>
        <w:tc>
          <w:tcPr>
            <w:tcW w:w="5360" w:type="dxa"/>
            <w:gridSpan w:val="3"/>
            <w:tcBorders>
              <w:top w:val="single" w:color="auto" w:sz="4" w:space="0"/>
              <w:left w:val="single" w:color="auto" w:sz="4" w:space="0"/>
              <w:bottom w:val="single" w:color="auto" w:sz="4" w:space="0"/>
            </w:tcBorders>
          </w:tcPr>
          <w:p w:rsidRPr="007B39C0" w:rsidR="009D15A1" w:rsidP="00E905D7" w:rsidRDefault="009D15A1" w14:paraId="6B5462A3" w14:textId="77777777">
            <w:pPr>
              <w:pStyle w:val="naisf"/>
              <w:spacing w:before="0" w:after="0"/>
              <w:ind w:firstLine="0"/>
              <w:rPr>
                <w:szCs w:val="20"/>
              </w:rPr>
            </w:pPr>
          </w:p>
          <w:p w:rsidRPr="00B516B9" w:rsidR="00B516B9" w:rsidP="00A25E04" w:rsidRDefault="00FF78FB" w14:paraId="7A8C7B96" w14:textId="77777777">
            <w:pPr>
              <w:ind w:firstLine="539"/>
              <w:jc w:val="both"/>
              <w:rPr>
                <w:rFonts w:cstheme="minorBidi"/>
                <w:bCs/>
                <w:sz w:val="24"/>
                <w:szCs w:val="24"/>
              </w:rPr>
            </w:pPr>
            <w:r w:rsidRPr="00396D59">
              <w:rPr>
                <w:sz w:val="24"/>
              </w:rPr>
              <w:t xml:space="preserve">Noteikumu projekta sākotnējās ietekmes novērtējuma ziņojums </w:t>
            </w:r>
            <w:r w:rsidRPr="00396D59" w:rsidR="006C386B">
              <w:rPr>
                <w:sz w:val="24"/>
              </w:rPr>
              <w:t xml:space="preserve">(anotācija) </w:t>
            </w:r>
            <w:r w:rsidRPr="00396D59">
              <w:rPr>
                <w:sz w:val="24"/>
              </w:rPr>
              <w:t>papildināts ar informāciju šādā redakcijā: "</w:t>
            </w:r>
            <w:r w:rsidRPr="00396D59" w:rsidR="00957242">
              <w:rPr>
                <w:bCs/>
                <w:sz w:val="24"/>
              </w:rPr>
              <w:t>Kopš noteikumu Nr. 737 spēkā stāšanās brīža tie pēc būtības nav pārskatīti, kā arī tajos nav iekļauta atlīdzība par Noziedzīgi iegūtu līdzekļu legalizācijas un terorisma finansēšanas novēršanas likuma prasību izpildi</w:t>
            </w:r>
            <w:r w:rsidRPr="00396D59" w:rsidR="007A6E14">
              <w:rPr>
                <w:bCs/>
                <w:sz w:val="24"/>
              </w:rPr>
              <w:t xml:space="preserve">", </w:t>
            </w:r>
            <w:r w:rsidRPr="00396D59" w:rsidR="00957242">
              <w:rPr>
                <w:bCs/>
                <w:sz w:val="24"/>
              </w:rPr>
              <w:t xml:space="preserve">kā arī </w:t>
            </w:r>
            <w:r w:rsidRPr="00396D59" w:rsidR="007A6E14">
              <w:rPr>
                <w:bCs/>
                <w:sz w:val="24"/>
              </w:rPr>
              <w:t>"</w:t>
            </w:r>
            <w:r w:rsidRPr="00396D59" w:rsidR="00A83AA3">
              <w:rPr>
                <w:bCs/>
                <w:sz w:val="24"/>
              </w:rPr>
              <w:t>Noteikumu projekts paredz papildināt noteikumus Nr. 7</w:t>
            </w:r>
            <w:r w:rsidRPr="00396D59" w:rsidR="001106BD">
              <w:rPr>
                <w:bCs/>
                <w:sz w:val="24"/>
              </w:rPr>
              <w:t>3</w:t>
            </w:r>
            <w:r w:rsidRPr="00396D59" w:rsidR="00A83AA3">
              <w:rPr>
                <w:bCs/>
                <w:sz w:val="24"/>
              </w:rPr>
              <w:t xml:space="preserve">7 ar jaunām zvērināta notāra atlīdzības taksēm, kas paredzētas </w:t>
            </w:r>
            <w:r w:rsidRPr="00B516B9" w:rsidR="00B516B9">
              <w:rPr>
                <w:bCs/>
                <w:sz w:val="24"/>
                <w:szCs w:val="24"/>
              </w:rPr>
              <w:t xml:space="preserve">kas paredzētas gadījumiem, kad </w:t>
            </w:r>
            <w:r w:rsidRPr="00B516B9" w:rsidR="00B516B9">
              <w:rPr>
                <w:rFonts w:cstheme="minorBidi"/>
                <w:bCs/>
                <w:sz w:val="24"/>
                <w:szCs w:val="24"/>
              </w:rPr>
              <w:t xml:space="preserve">zvērinātam notāram atbilstoši klienta risku novērtējumam jāveic noziedzīgi iegūtu līdzekļu legalizācijas un terorisma finansēšanas novēršanas pasākumi, bet amata atlīdzības takse, kura </w:t>
            </w:r>
            <w:r w:rsidRPr="00B516B9" w:rsidR="00B516B9">
              <w:rPr>
                <w:rFonts w:cstheme="minorBidi"/>
                <w:bCs/>
                <w:sz w:val="24"/>
                <w:szCs w:val="24"/>
              </w:rPr>
              <w:lastRenderedPageBreak/>
              <w:t xml:space="preserve">piemērojama klienta lūgtajai notariālajai darbībai, neietver atlīdzību par šādas pārbaudes veikšanas. </w:t>
            </w:r>
          </w:p>
          <w:p w:rsidRPr="00B516B9" w:rsidR="00B516B9" w:rsidP="00A25E04" w:rsidRDefault="00B516B9" w14:paraId="7A6E15AF" w14:textId="77777777">
            <w:pPr>
              <w:ind w:firstLine="539"/>
              <w:jc w:val="both"/>
              <w:rPr>
                <w:bCs/>
                <w:sz w:val="24"/>
                <w:szCs w:val="24"/>
              </w:rPr>
            </w:pPr>
            <w:r w:rsidRPr="00B516B9">
              <w:rPr>
                <w:bCs/>
                <w:sz w:val="24"/>
                <w:szCs w:val="24"/>
              </w:rPr>
              <w:t xml:space="preserve">Atlīdzība par Noziedzīgi iegūtu līdzekļu legalizācijas un terorisma finansēšanas novēršanas likumā paredzētajām pārbaudēm, atbilstoši noteikumu projektā paredzētajam, ir iekļauta noteikumu Nr. 737 6., 33., 43. un 52. punktā paredzētajā taksē, tomēr praksē ir vēl citi gadījumi, kuros zvērināts notārs, konstatējot paaugstinātus riskus, rīkojas atbilstoši Noziedzīgi iegūtu līdzekļu legalizācijas un terorisma finansēšanas novēršanas likuma mērķim. Vienlaikus norādāms, ka visās noteikumos Nr. 737 definētajās zvērināta notāra atlīdzības taksēs arī nevajadzētu iekļaut atlīdzības daļu par minētā likuma pārbaužu veikšanu, jo paaugstinātu risku esība pie katras notariālās darbības nav </w:t>
            </w:r>
            <w:proofErr w:type="spellStart"/>
            <w:r w:rsidRPr="00B516B9">
              <w:rPr>
                <w:bCs/>
                <w:sz w:val="24"/>
                <w:szCs w:val="24"/>
              </w:rPr>
              <w:t>prezumējama</w:t>
            </w:r>
            <w:proofErr w:type="spellEnd"/>
            <w:r w:rsidRPr="00B516B9">
              <w:rPr>
                <w:bCs/>
                <w:sz w:val="24"/>
                <w:szCs w:val="24"/>
              </w:rPr>
              <w:t xml:space="preserve"> (un līdz ar to nebūtu attiecināma uz visiem zvērināta notāra attiecīgā pakalpojuma saņēmējiem), bet tas ir konstatējams katrā gadījumā individuāli, šo papildu samaksu piemērojot tikai tajos gadījumos, kad konstatēti riski, kas liek veikt šo papildu izpēti. Piemēram, zvērinātam notāram, veicot personas paraksta apliecinājumu uz privātā kārtā taisīta dokumenta, nav jāveic papildu darbības, izņemot retus gadījumus, kad, atbilstoši riskos balstītajai pieejai, zvērināts notārs konstatē apstākļus, kuri mudina veikt izpēti. Šādos gadījumos zvērināta notāra veiktais darbs netiek apmaksāts un tas ir ne vien netaisnīgi, bet ir pretrunā Latvijas Republikas Satversmes 107. pantam, kas paredz, ka personai ir tiesības saņemt veiktajam darbam atbilstošu samaksu. Atbilstoši noteikumu projektā paredzētajai zvērināta </w:t>
            </w:r>
            <w:r w:rsidRPr="00B516B9">
              <w:rPr>
                <w:bCs/>
                <w:sz w:val="24"/>
                <w:szCs w:val="24"/>
              </w:rPr>
              <w:lastRenderedPageBreak/>
              <w:t xml:space="preserve">notāra atlīdzības taksei, zvērinātam notāram pie paaugstinātiem riskiem būs tiesības par pārbaudēm ieturēt atlīdzību avansā (saskaņā ar Notariāta likuma 168. pantu zvērināts notārs var prasīt atlīdzību arī avansā.), kas nodrošinās, ka zvērināts notārs par veiktajām pārbaudēm un padarīto darbu saņems noteiktu atlīdzību. </w:t>
            </w:r>
          </w:p>
          <w:p w:rsidRPr="00B516B9" w:rsidR="00B516B9" w:rsidP="00A25E04" w:rsidRDefault="00B516B9" w14:paraId="6C42E5DD" w14:textId="77777777">
            <w:pPr>
              <w:ind w:firstLine="539"/>
              <w:jc w:val="both"/>
              <w:rPr>
                <w:bCs/>
                <w:sz w:val="24"/>
                <w:szCs w:val="24"/>
              </w:rPr>
            </w:pPr>
            <w:r w:rsidRPr="00B516B9">
              <w:rPr>
                <w:bCs/>
                <w:sz w:val="24"/>
                <w:szCs w:val="24"/>
              </w:rPr>
              <w:t>Līdz ar to noteikumu projektā iekļautais 53.</w:t>
            </w:r>
            <w:r w:rsidRPr="00B516B9">
              <w:rPr>
                <w:bCs/>
                <w:sz w:val="24"/>
                <w:szCs w:val="24"/>
                <w:vertAlign w:val="superscript"/>
              </w:rPr>
              <w:t>1</w:t>
            </w:r>
            <w:r w:rsidRPr="00B516B9">
              <w:rPr>
                <w:bCs/>
                <w:sz w:val="24"/>
                <w:szCs w:val="24"/>
              </w:rPr>
              <w:t>, 53.</w:t>
            </w:r>
            <w:r w:rsidRPr="00B516B9">
              <w:rPr>
                <w:bCs/>
                <w:sz w:val="24"/>
                <w:szCs w:val="24"/>
                <w:vertAlign w:val="superscript"/>
              </w:rPr>
              <w:t>2</w:t>
            </w:r>
            <w:r w:rsidRPr="00B516B9">
              <w:rPr>
                <w:bCs/>
                <w:sz w:val="24"/>
                <w:szCs w:val="24"/>
              </w:rPr>
              <w:t xml:space="preserve"> un 53.</w:t>
            </w:r>
            <w:r w:rsidRPr="00B516B9">
              <w:rPr>
                <w:bCs/>
                <w:sz w:val="24"/>
                <w:szCs w:val="24"/>
                <w:vertAlign w:val="superscript"/>
              </w:rPr>
              <w:t>3</w:t>
            </w:r>
            <w:r w:rsidRPr="00B516B9">
              <w:rPr>
                <w:bCs/>
                <w:sz w:val="24"/>
                <w:szCs w:val="24"/>
              </w:rPr>
              <w:t> punkts būs piemērojams tikai tajos noteiktos gadījumos, un šajos punktos noteiktā atlīdzības takse neskars lielāko daļu notariālās palīdzības saņēmēju. Vienlaikus noteikumu projekts paredz definēt, kuros gadījumos noteikumu 53.</w:t>
            </w:r>
            <w:r w:rsidRPr="00B516B9">
              <w:rPr>
                <w:bCs/>
                <w:sz w:val="24"/>
                <w:szCs w:val="24"/>
                <w:vertAlign w:val="superscript"/>
              </w:rPr>
              <w:t>1</w:t>
            </w:r>
            <w:r w:rsidRPr="00B516B9">
              <w:rPr>
                <w:bCs/>
                <w:sz w:val="24"/>
                <w:szCs w:val="24"/>
              </w:rPr>
              <w:t>, 53.</w:t>
            </w:r>
            <w:r w:rsidRPr="00B516B9">
              <w:rPr>
                <w:bCs/>
                <w:sz w:val="24"/>
                <w:szCs w:val="24"/>
                <w:vertAlign w:val="superscript"/>
              </w:rPr>
              <w:t>2</w:t>
            </w:r>
            <w:r w:rsidRPr="00B516B9">
              <w:rPr>
                <w:bCs/>
                <w:sz w:val="24"/>
                <w:szCs w:val="24"/>
              </w:rPr>
              <w:t xml:space="preserve"> un 53.</w:t>
            </w:r>
            <w:r w:rsidRPr="00B516B9">
              <w:rPr>
                <w:bCs/>
                <w:sz w:val="24"/>
                <w:szCs w:val="24"/>
                <w:vertAlign w:val="superscript"/>
              </w:rPr>
              <w:t>3</w:t>
            </w:r>
            <w:r w:rsidRPr="00B516B9">
              <w:rPr>
                <w:bCs/>
                <w:sz w:val="24"/>
                <w:szCs w:val="24"/>
              </w:rPr>
              <w:t> punkts nav papildus piemērojams noteikumos Nr. 737 noteiktajām zvērināta notāra atlīdzības taksēm. Proti, atbilstoši noteikumu projektam, noteikumu 6., 33., 43. un 52. punkta takses tiek grozītas, un tajās jau tiek iekļauta atlīdzības daļa par noziedzīgi iegūtu līdzekļu legalizācijas un terorisma finansēšanas novēršanas pasākumu veikšanu. Turklāt noteikumu Nr. 737 6. punktā definētā atlīdzības takse tiek veidota kā iekļaujoša, līdz ar to pamatoti, ka tajā iekļaujošo atlīdzības taksu uzskaitījums tiek papildināts ar noteikumu projektā iekļautajiem jaunajiem noteikumu Nr. 737 punktiem - 53.</w:t>
            </w:r>
            <w:r w:rsidRPr="00B516B9">
              <w:rPr>
                <w:bCs/>
                <w:sz w:val="24"/>
                <w:szCs w:val="24"/>
                <w:vertAlign w:val="superscript"/>
              </w:rPr>
              <w:t>1</w:t>
            </w:r>
            <w:r w:rsidRPr="00B516B9">
              <w:rPr>
                <w:bCs/>
                <w:sz w:val="24"/>
                <w:szCs w:val="24"/>
              </w:rPr>
              <w:t>, 53.</w:t>
            </w:r>
            <w:r w:rsidRPr="00B516B9">
              <w:rPr>
                <w:bCs/>
                <w:sz w:val="24"/>
                <w:szCs w:val="24"/>
                <w:vertAlign w:val="superscript"/>
              </w:rPr>
              <w:t>2</w:t>
            </w:r>
            <w:r w:rsidRPr="00B516B9">
              <w:rPr>
                <w:bCs/>
                <w:sz w:val="24"/>
                <w:szCs w:val="24"/>
              </w:rPr>
              <w:t>, 53.</w:t>
            </w:r>
            <w:r w:rsidRPr="00B516B9">
              <w:rPr>
                <w:bCs/>
                <w:sz w:val="24"/>
                <w:szCs w:val="24"/>
                <w:vertAlign w:val="superscript"/>
              </w:rPr>
              <w:t>3</w:t>
            </w:r>
            <w:r w:rsidRPr="00B516B9">
              <w:rPr>
                <w:bCs/>
                <w:sz w:val="24"/>
                <w:szCs w:val="24"/>
              </w:rPr>
              <w:t> punktu.</w:t>
            </w:r>
          </w:p>
          <w:p w:rsidRPr="00B516B9" w:rsidR="00B516B9" w:rsidP="00A25E04" w:rsidRDefault="00B516B9" w14:paraId="5D7942E6" w14:textId="77777777">
            <w:pPr>
              <w:ind w:firstLine="539"/>
              <w:jc w:val="both"/>
              <w:rPr>
                <w:bCs/>
                <w:sz w:val="24"/>
                <w:szCs w:val="24"/>
                <w:u w:val="single"/>
              </w:rPr>
            </w:pPr>
            <w:r w:rsidRPr="00B516B9">
              <w:rPr>
                <w:bCs/>
                <w:sz w:val="24"/>
                <w:szCs w:val="24"/>
              </w:rPr>
              <w:t>Papildus norādāms, ka noteikumu projektā paredzētās 53.</w:t>
            </w:r>
            <w:r w:rsidRPr="00B516B9">
              <w:rPr>
                <w:bCs/>
                <w:sz w:val="24"/>
                <w:szCs w:val="24"/>
                <w:vertAlign w:val="superscript"/>
              </w:rPr>
              <w:t>1</w:t>
            </w:r>
            <w:r w:rsidRPr="00B516B9">
              <w:rPr>
                <w:bCs/>
                <w:sz w:val="24"/>
                <w:szCs w:val="24"/>
              </w:rPr>
              <w:t>, 53.</w:t>
            </w:r>
            <w:r w:rsidRPr="00B516B9">
              <w:rPr>
                <w:bCs/>
                <w:sz w:val="24"/>
                <w:szCs w:val="24"/>
                <w:vertAlign w:val="superscript"/>
              </w:rPr>
              <w:t>2</w:t>
            </w:r>
            <w:r w:rsidRPr="00B516B9">
              <w:rPr>
                <w:bCs/>
                <w:sz w:val="24"/>
                <w:szCs w:val="24"/>
              </w:rPr>
              <w:t xml:space="preserve"> un 53.</w:t>
            </w:r>
            <w:r w:rsidRPr="00B516B9">
              <w:rPr>
                <w:bCs/>
                <w:sz w:val="24"/>
                <w:szCs w:val="24"/>
                <w:vertAlign w:val="superscript"/>
              </w:rPr>
              <w:t>3</w:t>
            </w:r>
            <w:r w:rsidRPr="00B516B9">
              <w:rPr>
                <w:bCs/>
                <w:sz w:val="24"/>
                <w:szCs w:val="24"/>
              </w:rPr>
              <w:t xml:space="preserve"> punktā iekļautās atlīdzības takses veidotas no vairākiem elementiem. </w:t>
            </w:r>
            <w:r w:rsidRPr="00B516B9">
              <w:rPr>
                <w:bCs/>
                <w:i/>
                <w:sz w:val="24"/>
                <w:szCs w:val="24"/>
              </w:rPr>
              <w:t>Pirmkārt</w:t>
            </w:r>
            <w:r w:rsidRPr="00B516B9">
              <w:rPr>
                <w:bCs/>
                <w:sz w:val="24"/>
                <w:szCs w:val="24"/>
              </w:rPr>
              <w:t xml:space="preserve">, tiek uzsvērts, ka atlīdzības takse vienmēr ir saistīta ar klienta risku novērtējumu. Izpēte ir uz risku novērtējumu balstīts pasākumu kopums, lai savlaicīgi </w:t>
            </w:r>
            <w:r w:rsidRPr="00B516B9">
              <w:rPr>
                <w:bCs/>
                <w:sz w:val="24"/>
                <w:szCs w:val="24"/>
              </w:rPr>
              <w:lastRenderedPageBreak/>
              <w:t>konstatētu klienta darbībā iespējami aizdomīgus un neparastus darījumus. Ja, uzsākot amata darbības, ir aizdomas par noziedzīgi iegūtu līdzekļu legalizāciju vai terorisma finansēšanu, zvērināts notārs nodrošina klienta riska līmenim atbilstošu klienta izpēti. Klienta izpēte ir komplekss pasākumu kopums, ko veic, lai nodrošinātu Noziedzīgi iegūtu līdzekļu legalizācijas un terorisma finansēšanas novēršanas likuma mērķa sasniegšanu un izpildītu normatīvajos aktos noteiktās prasības. Šo amata atlīdzības taksi piemēros klienta padziļinātas izpētes gadījumā, veicot attiecīgus pasākumus - patiesā labuma guvēja noskaidrošana, politiski nozīmīgas personas noskaidrošana, naudas līdzekļu izcelsmes pārbaude u.c.</w:t>
            </w:r>
          </w:p>
          <w:p w:rsidRPr="00B516B9" w:rsidR="00B516B9" w:rsidP="00A25E04" w:rsidRDefault="00B516B9" w14:paraId="100855E3" w14:textId="77777777">
            <w:pPr>
              <w:ind w:firstLine="539"/>
              <w:jc w:val="both"/>
              <w:rPr>
                <w:bCs/>
                <w:sz w:val="24"/>
                <w:szCs w:val="24"/>
              </w:rPr>
            </w:pPr>
            <w:r w:rsidRPr="00B516B9">
              <w:rPr>
                <w:bCs/>
                <w:i/>
                <w:sz w:val="24"/>
                <w:szCs w:val="24"/>
              </w:rPr>
              <w:t>Otrkārt</w:t>
            </w:r>
            <w:r w:rsidRPr="00B516B9">
              <w:rPr>
                <w:bCs/>
                <w:sz w:val="24"/>
                <w:szCs w:val="24"/>
              </w:rPr>
              <w:t>, noteikts atlīdzības takses apmērs stundās, tādējādi nodrošinot taisnīgāko un samērīgāko atlīdzības apmēru, ņemot vērā zvērināta notāra patērēto laiku, kas ietver notāra darba resursu. Vienlaikus tiek noteikts atlīdzības minimums, jo tādā veidā zvērinātam notāram būs iespējams aprēķināt avansu. Minimālais atlīdzības apmērs veidots atbilstoši vidēji nepieciešamajam laikam pārbaudes veikšanai - četrām stundām. Šāds laiks vidēji ir nepieciešams pietiekamas analīzes veikšanai.  Tādējādi atlīdzības takse ir aprēķināma šādā veidā: (1) ja zvērinātam notāram pārbaude aizņems trīs stundas, iekasējamais atlīdzības apmērs būs minimālais apmērs – 80, 160 vai 240 </w:t>
            </w:r>
            <w:proofErr w:type="spellStart"/>
            <w:r w:rsidRPr="00B516B9">
              <w:rPr>
                <w:bCs/>
                <w:i/>
                <w:sz w:val="24"/>
                <w:szCs w:val="24"/>
              </w:rPr>
              <w:t>euro</w:t>
            </w:r>
            <w:proofErr w:type="spellEnd"/>
            <w:r w:rsidRPr="00B516B9">
              <w:rPr>
                <w:bCs/>
                <w:sz w:val="24"/>
                <w:szCs w:val="24"/>
              </w:rPr>
              <w:t>; (2) ja zvērinātam notāram pārbaude aizņems piecas stundas, iekasējamais atlīdzības apmērs būs attiecīgi 100 </w:t>
            </w:r>
            <w:proofErr w:type="spellStart"/>
            <w:r w:rsidRPr="00B516B9">
              <w:rPr>
                <w:bCs/>
                <w:i/>
                <w:sz w:val="24"/>
                <w:szCs w:val="24"/>
              </w:rPr>
              <w:t>euro</w:t>
            </w:r>
            <w:proofErr w:type="spellEnd"/>
            <w:r w:rsidRPr="00B516B9">
              <w:rPr>
                <w:bCs/>
                <w:sz w:val="24"/>
                <w:szCs w:val="24"/>
              </w:rPr>
              <w:t xml:space="preserve"> (53.</w:t>
            </w:r>
            <w:r w:rsidRPr="00B516B9">
              <w:rPr>
                <w:bCs/>
                <w:sz w:val="24"/>
                <w:szCs w:val="24"/>
                <w:vertAlign w:val="superscript"/>
              </w:rPr>
              <w:t>3</w:t>
            </w:r>
            <w:r w:rsidRPr="00B516B9">
              <w:rPr>
                <w:bCs/>
                <w:sz w:val="24"/>
                <w:szCs w:val="24"/>
              </w:rPr>
              <w:t> punkts), 200 </w:t>
            </w:r>
            <w:proofErr w:type="spellStart"/>
            <w:r w:rsidRPr="00B516B9">
              <w:rPr>
                <w:bCs/>
                <w:i/>
                <w:sz w:val="24"/>
                <w:szCs w:val="24"/>
              </w:rPr>
              <w:t>euro</w:t>
            </w:r>
            <w:proofErr w:type="spellEnd"/>
            <w:r w:rsidRPr="00B516B9">
              <w:rPr>
                <w:bCs/>
                <w:sz w:val="24"/>
                <w:szCs w:val="24"/>
              </w:rPr>
              <w:t xml:space="preserve"> (53.</w:t>
            </w:r>
            <w:r w:rsidRPr="00B516B9">
              <w:rPr>
                <w:bCs/>
                <w:sz w:val="24"/>
                <w:szCs w:val="24"/>
                <w:vertAlign w:val="superscript"/>
              </w:rPr>
              <w:t>2</w:t>
            </w:r>
            <w:r w:rsidRPr="00B516B9">
              <w:rPr>
                <w:bCs/>
                <w:sz w:val="24"/>
                <w:szCs w:val="24"/>
              </w:rPr>
              <w:t> punkts) vai 300 </w:t>
            </w:r>
            <w:proofErr w:type="spellStart"/>
            <w:r w:rsidRPr="00B516B9">
              <w:rPr>
                <w:bCs/>
                <w:i/>
                <w:sz w:val="24"/>
                <w:szCs w:val="24"/>
              </w:rPr>
              <w:t>euro</w:t>
            </w:r>
            <w:proofErr w:type="spellEnd"/>
            <w:r w:rsidRPr="00B516B9">
              <w:rPr>
                <w:bCs/>
                <w:sz w:val="24"/>
                <w:szCs w:val="24"/>
              </w:rPr>
              <w:t xml:space="preserve"> (53.</w:t>
            </w:r>
            <w:r w:rsidRPr="00B516B9">
              <w:rPr>
                <w:bCs/>
                <w:sz w:val="24"/>
                <w:szCs w:val="24"/>
                <w:vertAlign w:val="superscript"/>
              </w:rPr>
              <w:t>1</w:t>
            </w:r>
            <w:r w:rsidRPr="00B516B9">
              <w:rPr>
                <w:bCs/>
                <w:sz w:val="24"/>
                <w:szCs w:val="24"/>
              </w:rPr>
              <w:t xml:space="preserve"> punkts), ko iegūs, reizinot stundas likmi ar </w:t>
            </w:r>
            <w:r w:rsidRPr="00B516B9">
              <w:rPr>
                <w:bCs/>
                <w:sz w:val="24"/>
                <w:szCs w:val="24"/>
              </w:rPr>
              <w:lastRenderedPageBreak/>
              <w:t xml:space="preserve">stundu skaitu. Atlīdzības taksē stundas likmes apmērs gradēts atbilstoši risku lielumam un pārbaužu sarežģītībai. </w:t>
            </w:r>
          </w:p>
          <w:p w:rsidRPr="00B516B9" w:rsidR="00B516B9" w:rsidP="00A25E04" w:rsidRDefault="00B516B9" w14:paraId="2AD3A142" w14:textId="77777777">
            <w:pPr>
              <w:ind w:firstLine="539"/>
              <w:jc w:val="both"/>
              <w:rPr>
                <w:bCs/>
                <w:sz w:val="24"/>
                <w:szCs w:val="24"/>
              </w:rPr>
            </w:pPr>
            <w:r w:rsidRPr="00B516B9">
              <w:rPr>
                <w:bCs/>
                <w:i/>
                <w:sz w:val="24"/>
                <w:szCs w:val="24"/>
              </w:rPr>
              <w:t>Treškārt</w:t>
            </w:r>
            <w:r w:rsidRPr="00B516B9">
              <w:rPr>
                <w:bCs/>
                <w:sz w:val="24"/>
                <w:szCs w:val="24"/>
              </w:rPr>
              <w:t>, atlīdzības takse tiek veidota atbilstoši klienta riska novērtējumam, ņemot vērā ģeogrāfisko risku. Latvijas ģeogrāfiskais risks ir viens no galvenajiem riskiem.</w:t>
            </w:r>
            <w:r w:rsidRPr="00B516B9">
              <w:rPr>
                <w:bCs/>
                <w:sz w:val="24"/>
                <w:szCs w:val="24"/>
                <w:vertAlign w:val="superscript"/>
                <w:lang w:val="en-US"/>
              </w:rPr>
              <w:footnoteReference w:id="1"/>
            </w:r>
            <w:r w:rsidRPr="00B516B9">
              <w:rPr>
                <w:bCs/>
                <w:sz w:val="24"/>
                <w:szCs w:val="24"/>
              </w:rPr>
              <w:t xml:space="preserve"> Klienti ārpus Eiropas Ekonomikas zonas rada lielākus riskus, un to pārbaude tādēļ ir sarežģītāka. Atbilstoši tam ir izveidotas trīs grupas, katrai no tām nosakot atšķirīgu un līdz ar to taisnīgāku atlīdzības taksi. Šādu gradāciju izmanto arī komercbankas, nosakot savas komisijas maksas.</w:t>
            </w:r>
            <w:r w:rsidRPr="00B516B9">
              <w:rPr>
                <w:bCs/>
                <w:sz w:val="24"/>
                <w:szCs w:val="24"/>
                <w:vertAlign w:val="superscript"/>
              </w:rPr>
              <w:footnoteReference w:id="2"/>
            </w:r>
            <w:r w:rsidRPr="00B516B9">
              <w:rPr>
                <w:bCs/>
                <w:sz w:val="24"/>
                <w:szCs w:val="24"/>
              </w:rPr>
              <w:t xml:space="preserve"> </w:t>
            </w:r>
          </w:p>
          <w:p w:rsidRPr="00B516B9" w:rsidR="00B516B9" w:rsidP="00A25E04" w:rsidRDefault="00B516B9" w14:paraId="13DE38DF" w14:textId="135FC1F5">
            <w:pPr>
              <w:ind w:firstLine="539"/>
              <w:jc w:val="both"/>
              <w:rPr>
                <w:bCs/>
                <w:sz w:val="24"/>
                <w:szCs w:val="24"/>
              </w:rPr>
            </w:pPr>
            <w:r w:rsidRPr="00B516B9">
              <w:rPr>
                <w:bCs/>
                <w:sz w:val="24"/>
                <w:szCs w:val="24"/>
              </w:rPr>
              <w:t>Noteikumu projektā paredzēta arī jauna atlīdzības takse par zvērināta notāra pēc klienta lūguma rakstveidā sagatav</w:t>
            </w:r>
            <w:r w:rsidR="00536709">
              <w:rPr>
                <w:bCs/>
                <w:sz w:val="24"/>
                <w:szCs w:val="24"/>
              </w:rPr>
              <w:t>otu</w:t>
            </w:r>
            <w:r w:rsidRPr="00B516B9">
              <w:rPr>
                <w:bCs/>
                <w:sz w:val="24"/>
                <w:szCs w:val="24"/>
              </w:rPr>
              <w:t xml:space="preserve"> riska novērtējumā balstītu  klienta izpētes atzinumu. Norādāms, ka zvērinātam notāram saskaņā ar Notariāta likuma 66. pantu ir atļauts sniegt cita veida juridisko palīdzību, kura aptver arī šāda rakstveida ziņojuma izstrādi. Tas tiek sagatavots tikai pēc klienta lūguma un klienta vajadzībām. </w:t>
            </w:r>
          </w:p>
          <w:p w:rsidRPr="00B516B9" w:rsidR="00B516B9" w:rsidP="00A25E04" w:rsidRDefault="00B516B9" w14:paraId="4F3878F6" w14:textId="77777777">
            <w:pPr>
              <w:ind w:firstLine="539"/>
              <w:jc w:val="both"/>
              <w:rPr>
                <w:bCs/>
                <w:sz w:val="24"/>
                <w:szCs w:val="24"/>
              </w:rPr>
            </w:pPr>
            <w:r w:rsidRPr="00B516B9">
              <w:rPr>
                <w:bCs/>
                <w:sz w:val="24"/>
                <w:szCs w:val="24"/>
              </w:rPr>
              <w:t xml:space="preserve">Papildus vēršam uzmanību, ka gan padomei, gan zvērinātiem notāriem nepieciešams ieguldīt būtiskus līdzekļus saistībā ar </w:t>
            </w:r>
            <w:proofErr w:type="spellStart"/>
            <w:r w:rsidRPr="00B516B9">
              <w:rPr>
                <w:bCs/>
                <w:i/>
                <w:sz w:val="24"/>
                <w:szCs w:val="24"/>
              </w:rPr>
              <w:t>Moneyval</w:t>
            </w:r>
            <w:proofErr w:type="spellEnd"/>
            <w:r w:rsidRPr="00B516B9">
              <w:rPr>
                <w:bCs/>
                <w:sz w:val="24"/>
                <w:szCs w:val="24"/>
              </w:rPr>
              <w:t xml:space="preserve"> ziņojuma uzdevumu izpildi. Finanšu ministrijas  2019. gada 11. februāra vēstulē Nr. 2.1-20/17-1/720  padomei norādīts, ka </w:t>
            </w:r>
            <w:r w:rsidRPr="00B516B9">
              <w:rPr>
                <w:bCs/>
                <w:sz w:val="24"/>
                <w:szCs w:val="24"/>
              </w:rPr>
              <w:lastRenderedPageBreak/>
              <w:t xml:space="preserve">2018. gada 4. jūlija Eiropas Padomes </w:t>
            </w:r>
            <w:proofErr w:type="spellStart"/>
            <w:r w:rsidRPr="00B516B9">
              <w:rPr>
                <w:bCs/>
                <w:i/>
                <w:sz w:val="24"/>
                <w:szCs w:val="24"/>
              </w:rPr>
              <w:t>Moneyval</w:t>
            </w:r>
            <w:proofErr w:type="spellEnd"/>
            <w:r w:rsidRPr="00B516B9">
              <w:rPr>
                <w:bCs/>
                <w:i/>
                <w:sz w:val="24"/>
                <w:szCs w:val="24"/>
              </w:rPr>
              <w:t xml:space="preserve"> </w:t>
            </w:r>
            <w:r w:rsidRPr="00B516B9">
              <w:rPr>
                <w:bCs/>
                <w:sz w:val="24"/>
                <w:szCs w:val="24"/>
              </w:rPr>
              <w:t xml:space="preserve">komitejas plenārsēdē apstiprinātajā 5. kārtas ziņojumā par Latvijas noziedzīgi iegūtu līdzekļu legalizācijas un terorisma novēršanas sistēmas efektivitāti, atbilstība 22. rekomendācijai -  noteiktās nefinanšu darbības un profesijas (NNDP) klienta izpēte, ir novērtēta ar vērtējumu -  daļēji atbilst. Viena no piecām </w:t>
            </w:r>
            <w:proofErr w:type="spellStart"/>
            <w:r w:rsidRPr="00B516B9">
              <w:rPr>
                <w:bCs/>
                <w:i/>
                <w:sz w:val="24"/>
                <w:szCs w:val="24"/>
              </w:rPr>
              <w:t>Moneyval</w:t>
            </w:r>
            <w:proofErr w:type="spellEnd"/>
            <w:r w:rsidRPr="00B516B9">
              <w:rPr>
                <w:bCs/>
                <w:sz w:val="24"/>
                <w:szCs w:val="24"/>
              </w:rPr>
              <w:t xml:space="preserve"> izvirzītajām prioritātēm ir atbilstošu cilvēkresursu nodrošināšana uzraudzības, kontrolējošām un tiesību aizsardzības iestādēm, paaugstinot to analītisko kapacitāti un rīcībspēju.</w:t>
            </w:r>
            <w:r w:rsidRPr="00B516B9">
              <w:rPr>
                <w:bCs/>
                <w:sz w:val="24"/>
                <w:szCs w:val="24"/>
                <w:vertAlign w:val="superscript"/>
              </w:rPr>
              <w:footnoteReference w:id="3"/>
            </w:r>
          </w:p>
          <w:p w:rsidRPr="00B516B9" w:rsidR="00B516B9" w:rsidP="00A25E04" w:rsidRDefault="00B516B9" w14:paraId="448546D0" w14:textId="77777777">
            <w:pPr>
              <w:ind w:firstLine="539"/>
              <w:jc w:val="both"/>
              <w:rPr>
                <w:bCs/>
                <w:sz w:val="24"/>
                <w:szCs w:val="24"/>
              </w:rPr>
            </w:pPr>
            <w:r w:rsidRPr="00B516B9">
              <w:rPr>
                <w:bCs/>
                <w:sz w:val="24"/>
                <w:szCs w:val="24"/>
              </w:rPr>
              <w:t xml:space="preserve">Notariātam nepieciešami resursi, lai izpildītu </w:t>
            </w:r>
            <w:proofErr w:type="spellStart"/>
            <w:r w:rsidRPr="00B516B9">
              <w:rPr>
                <w:bCs/>
                <w:i/>
                <w:sz w:val="24"/>
                <w:szCs w:val="24"/>
              </w:rPr>
              <w:t>Moneyval</w:t>
            </w:r>
            <w:proofErr w:type="spellEnd"/>
            <w:r w:rsidRPr="00B516B9">
              <w:rPr>
                <w:bCs/>
                <w:sz w:val="24"/>
                <w:szCs w:val="24"/>
              </w:rPr>
              <w:t xml:space="preserve"> ziņojuma uzdevumus, cita starp, šādu uzdevumus - jāpārskata uzraugošo iestāžu darbinieku skaits un resursi, lai nodrošinātu, ka tās spēj adekvāti pārvaldīt identificētos riskus un uzraudzīt likuma subjektu rīcību attiecībā uz riskiem, un jānodrošina, ka visi likuma subjekti ar augstu darījumu aktivitāti nodrošina automatizētus informāciju tehnoloģiju risinājumus terorisma finansēšanas kontroles nolūkos, savukārt subjekti ar zemu darījumu aktivitāti pastāvīgi lieto manuālus instrumentus terorisma finansēšanas kontrolei. Piemēram, </w:t>
            </w:r>
            <w:proofErr w:type="spellStart"/>
            <w:r w:rsidRPr="00B516B9">
              <w:rPr>
                <w:bCs/>
                <w:i/>
                <w:sz w:val="24"/>
                <w:szCs w:val="24"/>
              </w:rPr>
              <w:t>Moneyval</w:t>
            </w:r>
            <w:proofErr w:type="spellEnd"/>
            <w:r w:rsidRPr="00B516B9">
              <w:rPr>
                <w:bCs/>
                <w:sz w:val="24"/>
                <w:szCs w:val="24"/>
              </w:rPr>
              <w:t xml:space="preserve"> uzdevumu izpildei notariātam paredzētas vairākas aktivitātes, tajā skaitā, darījuma reģistra izveide. Tāpat arī paredzēta informāciju tehnoloģiju risinājumu ieviešana, izpildot līdz 2021. gada 31. decembrim Pasākumu plāna noziedzīgi iegūtu līdzekļu legalizācijas un terorisma finansēšanas novēršanai laikposmam līdz 2019. gada 31. decembrim 5. rīcības virziena "Juridiskās </w:t>
            </w:r>
            <w:r w:rsidRPr="00B516B9">
              <w:rPr>
                <w:bCs/>
                <w:sz w:val="24"/>
                <w:szCs w:val="24"/>
              </w:rPr>
              <w:lastRenderedPageBreak/>
              <w:t xml:space="preserve">personas un juridiskie veidojumi" 5.12.5. apakšpunktā dotos uzdevumus. Visu uzdevumu izpildei ir nepieciešami finanšu resursi. Notariāts izpilda valsts deleģētās funkcijas, vienlaikus tam nav paredzēti valsts budžeta līdzekļi. Tādējādi visi uzlabojumi un izmaiņas tiek finansētas no pašu zvērinātu notāru darbībā gūtajiem ienākumiem. Attiecīgi zvērinātu notāru atlīdzības takses apmērs ir tiešā korelācijā ar ienākumiem. </w:t>
            </w:r>
          </w:p>
          <w:p w:rsidRPr="00B516B9" w:rsidR="00B516B9" w:rsidP="00A25E04" w:rsidRDefault="00B516B9" w14:paraId="47FA8469" w14:textId="77777777">
            <w:pPr>
              <w:ind w:firstLine="539"/>
              <w:jc w:val="both"/>
              <w:rPr>
                <w:bCs/>
                <w:sz w:val="24"/>
                <w:szCs w:val="24"/>
              </w:rPr>
            </w:pPr>
            <w:r w:rsidRPr="00B516B9">
              <w:rPr>
                <w:bCs/>
                <w:sz w:val="24"/>
                <w:szCs w:val="24"/>
              </w:rPr>
              <w:t>Būtiski norādīt, ka zvērinātiem notāriem veidojas vairākas administratīvo izdevumu izmaksu pozīcijas:</w:t>
            </w:r>
          </w:p>
          <w:p w:rsidRPr="00B516B9" w:rsidR="00B516B9" w:rsidP="00A25E04" w:rsidRDefault="00B516B9" w14:paraId="70B68ABB" w14:textId="77777777">
            <w:pPr>
              <w:numPr>
                <w:ilvl w:val="0"/>
                <w:numId w:val="7"/>
              </w:numPr>
              <w:ind w:left="0" w:firstLine="539"/>
              <w:jc w:val="both"/>
              <w:rPr>
                <w:bCs/>
                <w:sz w:val="24"/>
                <w:szCs w:val="24"/>
              </w:rPr>
            </w:pPr>
            <w:r w:rsidRPr="00B516B9">
              <w:rPr>
                <w:bCs/>
                <w:sz w:val="24"/>
                <w:szCs w:val="24"/>
              </w:rPr>
              <w:t> Finanšu līdzekļu ieguldījumi informācijas sistēmu izveidei (</w:t>
            </w:r>
            <w:proofErr w:type="spellStart"/>
            <w:r w:rsidRPr="00B516B9">
              <w:rPr>
                <w:bCs/>
                <w:i/>
                <w:iCs/>
                <w:sz w:val="24"/>
                <w:szCs w:val="24"/>
              </w:rPr>
              <w:t>Know</w:t>
            </w:r>
            <w:proofErr w:type="spellEnd"/>
            <w:r w:rsidRPr="00B516B9">
              <w:rPr>
                <w:bCs/>
                <w:i/>
                <w:iCs/>
                <w:sz w:val="24"/>
                <w:szCs w:val="24"/>
              </w:rPr>
              <w:t xml:space="preserve"> </w:t>
            </w:r>
            <w:proofErr w:type="spellStart"/>
            <w:r w:rsidRPr="00B516B9">
              <w:rPr>
                <w:bCs/>
                <w:i/>
                <w:iCs/>
                <w:sz w:val="24"/>
                <w:szCs w:val="24"/>
              </w:rPr>
              <w:t>Your</w:t>
            </w:r>
            <w:proofErr w:type="spellEnd"/>
            <w:r w:rsidRPr="00B516B9">
              <w:rPr>
                <w:bCs/>
                <w:i/>
                <w:iCs/>
                <w:sz w:val="24"/>
                <w:szCs w:val="24"/>
              </w:rPr>
              <w:t xml:space="preserve"> </w:t>
            </w:r>
            <w:proofErr w:type="spellStart"/>
            <w:r w:rsidRPr="00B516B9">
              <w:rPr>
                <w:bCs/>
                <w:i/>
                <w:iCs/>
                <w:sz w:val="24"/>
                <w:szCs w:val="24"/>
              </w:rPr>
              <w:t>Client</w:t>
            </w:r>
            <w:proofErr w:type="spellEnd"/>
            <w:r w:rsidRPr="00B516B9">
              <w:rPr>
                <w:bCs/>
                <w:i/>
                <w:iCs/>
                <w:sz w:val="24"/>
                <w:szCs w:val="24"/>
              </w:rPr>
              <w:t xml:space="preserve"> instrumentiem), </w:t>
            </w:r>
            <w:r w:rsidRPr="00B516B9">
              <w:rPr>
                <w:bCs/>
                <w:iCs/>
                <w:sz w:val="24"/>
                <w:szCs w:val="24"/>
              </w:rPr>
              <w:t>lai veiktu</w:t>
            </w:r>
            <w:r w:rsidRPr="00B516B9">
              <w:rPr>
                <w:bCs/>
                <w:i/>
                <w:iCs/>
                <w:sz w:val="24"/>
                <w:szCs w:val="24"/>
              </w:rPr>
              <w:t xml:space="preserve"> </w:t>
            </w:r>
            <w:r w:rsidRPr="00B516B9">
              <w:rPr>
                <w:bCs/>
                <w:sz w:val="24"/>
                <w:szCs w:val="24"/>
              </w:rPr>
              <w:t>klientu identificēšanu, patiesā labuma guvēja noskaidrošanu, politiski nozīmīgu personu, viņu ģimenes locekļu un ar politiski nozīmīgām personām cieši saistītu personu identificēšanu, analizētu klienta rezidences un darījumu ģeogrāfiskos riskus, klienta juridiskās formas, saimnieciskās vai personiskās darbības riskus, kā arī aizdomīga vai neparasta darījuma pazīmju esības konstatēšana</w:t>
            </w:r>
            <w:r w:rsidRPr="00B516B9">
              <w:rPr>
                <w:bCs/>
                <w:i/>
                <w:iCs/>
                <w:sz w:val="24"/>
                <w:szCs w:val="24"/>
              </w:rPr>
              <w:t xml:space="preserve"> </w:t>
            </w:r>
            <w:r w:rsidRPr="00B516B9">
              <w:rPr>
                <w:bCs/>
                <w:iCs/>
                <w:sz w:val="24"/>
                <w:szCs w:val="24"/>
              </w:rPr>
              <w:t>notiktu digitāli un veidotos strukturēti dati, kurus varētu izmantot statistikas analīzei un savstarpēju darījumu konstatēšanai un analīzei</w:t>
            </w:r>
            <w:r w:rsidRPr="00B516B9">
              <w:rPr>
                <w:bCs/>
                <w:sz w:val="24"/>
                <w:szCs w:val="24"/>
              </w:rPr>
              <w:t>. Šis rīks ne tikai nodrošinās pārbaužu datu elektronisku glabāšanu un efektīvu informācijas apmaiņu notāru vidē, bet arī padomei sniegs ticamus, precīzus un skaidrus datus būtiski citādas – kvalitatīvākas - uzraudzības nodrošināšanai, līdz ar to paaugstinot padomes analītisko kapacitāti. Šobrīd plānotie izdevumi ir sadalīti divās kārtās – pirmajā kārtā 50 000 </w:t>
            </w:r>
            <w:proofErr w:type="spellStart"/>
            <w:r w:rsidRPr="00B516B9">
              <w:rPr>
                <w:bCs/>
                <w:i/>
                <w:sz w:val="24"/>
                <w:szCs w:val="24"/>
              </w:rPr>
              <w:t>euro</w:t>
            </w:r>
            <w:proofErr w:type="spellEnd"/>
            <w:r w:rsidRPr="00B516B9">
              <w:rPr>
                <w:bCs/>
                <w:sz w:val="24"/>
                <w:szCs w:val="24"/>
              </w:rPr>
              <w:t xml:space="preserve"> un </w:t>
            </w:r>
            <w:r w:rsidRPr="00B516B9">
              <w:rPr>
                <w:bCs/>
                <w:sz w:val="24"/>
                <w:szCs w:val="24"/>
              </w:rPr>
              <w:lastRenderedPageBreak/>
              <w:t>otrajā kārtā vismaz 40 000 </w:t>
            </w:r>
            <w:proofErr w:type="spellStart"/>
            <w:r w:rsidRPr="00B516B9">
              <w:rPr>
                <w:bCs/>
                <w:i/>
                <w:sz w:val="24"/>
                <w:szCs w:val="24"/>
              </w:rPr>
              <w:t>euro</w:t>
            </w:r>
            <w:proofErr w:type="spellEnd"/>
            <w:r w:rsidRPr="00B516B9">
              <w:rPr>
                <w:bCs/>
                <w:sz w:val="24"/>
                <w:szCs w:val="24"/>
              </w:rPr>
              <w:t xml:space="preserve">.  Papildus ik gadu uzturēšanai un attīstībai plānoti aptuveni 15% no sistēmas izstrādes izdevumiem. </w:t>
            </w:r>
          </w:p>
          <w:p w:rsidRPr="00B516B9" w:rsidR="00B516B9" w:rsidP="00A25E04" w:rsidRDefault="00B516B9" w14:paraId="25F518ED" w14:textId="77777777">
            <w:pPr>
              <w:numPr>
                <w:ilvl w:val="0"/>
                <w:numId w:val="7"/>
              </w:numPr>
              <w:ind w:left="0" w:firstLine="539"/>
              <w:jc w:val="both"/>
              <w:rPr>
                <w:bCs/>
                <w:sz w:val="24"/>
                <w:szCs w:val="24"/>
              </w:rPr>
            </w:pPr>
            <w:r w:rsidRPr="00B516B9">
              <w:rPr>
                <w:bCs/>
                <w:sz w:val="24"/>
                <w:szCs w:val="24"/>
              </w:rPr>
              <w:t> Darījumu reģistra izstrādes izmaksas veido 30 000 – 35 000 </w:t>
            </w:r>
            <w:proofErr w:type="spellStart"/>
            <w:r w:rsidRPr="00B516B9">
              <w:rPr>
                <w:bCs/>
                <w:i/>
                <w:sz w:val="24"/>
                <w:szCs w:val="24"/>
              </w:rPr>
              <w:t>euro</w:t>
            </w:r>
            <w:proofErr w:type="spellEnd"/>
            <w:r w:rsidRPr="00B516B9">
              <w:rPr>
                <w:bCs/>
                <w:sz w:val="24"/>
                <w:szCs w:val="24"/>
              </w:rPr>
              <w:t>, kurā strukturētu datu formā glabāsies dati par zvērināta notāra apliecinātajiem darījumiem, tādā veidā iegūstot funkcionalitāti analizēt savstarpēji saistītus datus.</w:t>
            </w:r>
          </w:p>
          <w:p w:rsidRPr="00B516B9" w:rsidR="00B516B9" w:rsidP="00A25E04" w:rsidRDefault="00B516B9" w14:paraId="46CA12A4" w14:textId="77777777">
            <w:pPr>
              <w:numPr>
                <w:ilvl w:val="0"/>
                <w:numId w:val="7"/>
              </w:numPr>
              <w:ind w:left="0" w:firstLine="539"/>
              <w:jc w:val="both"/>
              <w:rPr>
                <w:bCs/>
                <w:sz w:val="24"/>
                <w:szCs w:val="24"/>
              </w:rPr>
            </w:pPr>
            <w:r w:rsidRPr="00B516B9">
              <w:rPr>
                <w:bCs/>
                <w:sz w:val="24"/>
                <w:szCs w:val="24"/>
              </w:rPr>
              <w:t> Atkarībā no zvērināta notāra biroja lieluma un atrašanās vietas, zvērinātiem notāriem darbā būtu jāpieņem jauns darbinieks 0.3-1 darba slodzei ar padziļinātām zināšanām risku vērtēšanā saistībā ar Noziedzīgi iegūtu līdzekļu legalizācijas un terorisma finansēšanas novēršanas likuma un Starptautisko un Latvijas Republikas nacionālo sankciju likuma prasību izpildi. Darba tirgū vidējā darba alga šādiem speciālistiem ir 2500 -3000 </w:t>
            </w:r>
            <w:proofErr w:type="spellStart"/>
            <w:r w:rsidRPr="00B516B9">
              <w:rPr>
                <w:bCs/>
                <w:i/>
                <w:sz w:val="24"/>
                <w:szCs w:val="24"/>
              </w:rPr>
              <w:t>euro</w:t>
            </w:r>
            <w:proofErr w:type="spellEnd"/>
            <w:r w:rsidRPr="00B516B9">
              <w:rPr>
                <w:bCs/>
                <w:sz w:val="24"/>
                <w:szCs w:val="24"/>
              </w:rPr>
              <w:t xml:space="preserve"> (bruto alga). Līdz ar to gada izdevumi ir 12 000-36 000 </w:t>
            </w:r>
            <w:proofErr w:type="spellStart"/>
            <w:r w:rsidRPr="00B516B9">
              <w:rPr>
                <w:bCs/>
                <w:i/>
                <w:sz w:val="24"/>
                <w:szCs w:val="24"/>
              </w:rPr>
              <w:t>euro</w:t>
            </w:r>
            <w:proofErr w:type="spellEnd"/>
            <w:r w:rsidRPr="00B516B9">
              <w:rPr>
                <w:bCs/>
                <w:sz w:val="24"/>
                <w:szCs w:val="24"/>
              </w:rPr>
              <w:t>.</w:t>
            </w:r>
          </w:p>
          <w:p w:rsidRPr="00B516B9" w:rsidR="00B516B9" w:rsidP="00A25E04" w:rsidRDefault="00B516B9" w14:paraId="5139EF8D" w14:textId="77777777">
            <w:pPr>
              <w:numPr>
                <w:ilvl w:val="0"/>
                <w:numId w:val="7"/>
              </w:numPr>
              <w:ind w:left="0" w:firstLine="539"/>
              <w:jc w:val="both"/>
              <w:rPr>
                <w:bCs/>
                <w:sz w:val="24"/>
                <w:szCs w:val="24"/>
              </w:rPr>
            </w:pPr>
            <w:r w:rsidRPr="00B516B9">
              <w:rPr>
                <w:bCs/>
                <w:sz w:val="24"/>
                <w:szCs w:val="24"/>
              </w:rPr>
              <w:t xml:space="preserve"> Zvērinātiem notāriem būtu jāabonē tās pašas datu bāzes (sistēmas), kuras šobrīd izmanto citu valstu notariāti un Latvijas komercbankas, lai maksimāli plaši un precīzi izpētītu klientus. Viena no tādām ir sistēmām ir </w:t>
            </w:r>
            <w:proofErr w:type="spellStart"/>
            <w:r w:rsidRPr="00B516B9">
              <w:rPr>
                <w:bCs/>
                <w:i/>
                <w:sz w:val="24"/>
                <w:szCs w:val="24"/>
              </w:rPr>
              <w:t>World-Check</w:t>
            </w:r>
            <w:proofErr w:type="spellEnd"/>
            <w:r w:rsidRPr="00B516B9">
              <w:rPr>
                <w:bCs/>
                <w:i/>
                <w:sz w:val="24"/>
                <w:szCs w:val="24"/>
              </w:rPr>
              <w:t xml:space="preserve"> Risk </w:t>
            </w:r>
            <w:proofErr w:type="spellStart"/>
            <w:r w:rsidRPr="00B516B9">
              <w:rPr>
                <w:bCs/>
                <w:i/>
                <w:sz w:val="24"/>
                <w:szCs w:val="24"/>
              </w:rPr>
              <w:t>Intelligence</w:t>
            </w:r>
            <w:proofErr w:type="spellEnd"/>
            <w:r w:rsidRPr="00B516B9">
              <w:rPr>
                <w:bCs/>
                <w:sz w:val="24"/>
                <w:szCs w:val="24"/>
                <w:vertAlign w:val="superscript"/>
              </w:rPr>
              <w:footnoteReference w:id="4"/>
            </w:r>
            <w:r w:rsidRPr="00B516B9">
              <w:rPr>
                <w:bCs/>
                <w:sz w:val="24"/>
                <w:szCs w:val="24"/>
              </w:rPr>
              <w:t>, kuras minimālā abonēšana cena vienam lietotājam ir 80 ASV dolāri mēnesī.</w:t>
            </w:r>
            <w:r w:rsidRPr="00B516B9">
              <w:rPr>
                <w:bCs/>
                <w:sz w:val="24"/>
                <w:szCs w:val="24"/>
                <w:vertAlign w:val="superscript"/>
              </w:rPr>
              <w:footnoteReference w:id="5"/>
            </w:r>
            <w:r w:rsidRPr="00B516B9">
              <w:rPr>
                <w:bCs/>
                <w:sz w:val="24"/>
                <w:szCs w:val="24"/>
              </w:rPr>
              <w:t xml:space="preserve"> Maksa ir atkarīga no saņemamās informācijas apjoma. Katram zvērinātam notāram tas izmaksātu ne mazāk par 960 ASV dolāriem gadā, notariātam kopā ne mazāk par 96 000 ASV dolāriem gadā. Turklāt šādas noderīgas datu bāzes ir vismaz </w:t>
            </w:r>
            <w:r w:rsidRPr="00B516B9">
              <w:rPr>
                <w:bCs/>
                <w:sz w:val="24"/>
                <w:szCs w:val="24"/>
              </w:rPr>
              <w:lastRenderedPageBreak/>
              <w:t>trīs. Šādu starptautisku datu bāzu pieejamība ir ļoti svarīga, lai, piemēram, iegūtu ārvalstīs pieejamo informāciju, kas nepieciešama patiesā labuma guvēja noskaidrošanai.</w:t>
            </w:r>
          </w:p>
          <w:p w:rsidRPr="00B516B9" w:rsidR="00B516B9" w:rsidP="00A25E04" w:rsidRDefault="00B516B9" w14:paraId="36A7C31F" w14:textId="77777777">
            <w:pPr>
              <w:numPr>
                <w:ilvl w:val="0"/>
                <w:numId w:val="7"/>
              </w:numPr>
              <w:ind w:left="0" w:firstLine="539"/>
              <w:jc w:val="both"/>
              <w:rPr>
                <w:bCs/>
                <w:sz w:val="24"/>
                <w:szCs w:val="24"/>
              </w:rPr>
            </w:pPr>
            <w:r w:rsidRPr="00B516B9">
              <w:rPr>
                <w:bCs/>
                <w:sz w:val="24"/>
                <w:szCs w:val="24"/>
              </w:rPr>
              <w:t> Zvērinātiem notāriem jāpalielina iemaksas Latvijas Zvērinātu notāru kolēģijas budžetā, lai stiprinātu padomes kā Noziedzīgi iegūtu līdzekļu legalizācijas un terorisma finansēšanas novēršanas likuma un Starptautisko un Latvijas Republikas nacionālo sankciju likuma uzraudzības un kontroles institūcijas kapacitāti. Arī padomē plānots ieviest uzraudzības un kontroles tehnoloģiskos risinājumus, vienlaikus palielinot cilvēkresursus. Kopējie izdevumi 2020. gadā plānoti 55 000 </w:t>
            </w:r>
            <w:proofErr w:type="spellStart"/>
            <w:r w:rsidRPr="00B516B9">
              <w:rPr>
                <w:bCs/>
                <w:i/>
                <w:sz w:val="24"/>
                <w:szCs w:val="24"/>
              </w:rPr>
              <w:t>euro</w:t>
            </w:r>
            <w:proofErr w:type="spellEnd"/>
            <w:r w:rsidRPr="00B516B9">
              <w:rPr>
                <w:bCs/>
                <w:i/>
                <w:sz w:val="24"/>
                <w:szCs w:val="24"/>
              </w:rPr>
              <w:t xml:space="preserve"> </w:t>
            </w:r>
            <w:r w:rsidRPr="00B516B9">
              <w:rPr>
                <w:bCs/>
                <w:sz w:val="24"/>
                <w:szCs w:val="24"/>
              </w:rPr>
              <w:t xml:space="preserve">apmērā. </w:t>
            </w:r>
          </w:p>
          <w:p w:rsidRPr="00B516B9" w:rsidR="00B516B9" w:rsidP="00A25E04" w:rsidRDefault="00B516B9" w14:paraId="5CF5605D" w14:textId="77777777">
            <w:pPr>
              <w:ind w:firstLine="539"/>
              <w:jc w:val="both"/>
              <w:rPr>
                <w:bCs/>
                <w:sz w:val="24"/>
                <w:szCs w:val="24"/>
              </w:rPr>
            </w:pPr>
            <w:proofErr w:type="spellStart"/>
            <w:r w:rsidRPr="00B516B9">
              <w:rPr>
                <w:bCs/>
                <w:i/>
                <w:sz w:val="24"/>
                <w:szCs w:val="24"/>
              </w:rPr>
              <w:t>Financial</w:t>
            </w:r>
            <w:proofErr w:type="spellEnd"/>
            <w:r w:rsidRPr="00B516B9">
              <w:rPr>
                <w:bCs/>
                <w:i/>
                <w:sz w:val="24"/>
                <w:szCs w:val="24"/>
              </w:rPr>
              <w:t xml:space="preserve"> </w:t>
            </w:r>
            <w:proofErr w:type="spellStart"/>
            <w:r w:rsidRPr="00B516B9">
              <w:rPr>
                <w:bCs/>
                <w:i/>
                <w:sz w:val="24"/>
                <w:szCs w:val="24"/>
              </w:rPr>
              <w:t>Action</w:t>
            </w:r>
            <w:proofErr w:type="spellEnd"/>
            <w:r w:rsidRPr="00B516B9">
              <w:rPr>
                <w:bCs/>
                <w:i/>
                <w:sz w:val="24"/>
                <w:szCs w:val="24"/>
              </w:rPr>
              <w:t xml:space="preserve"> </w:t>
            </w:r>
            <w:proofErr w:type="spellStart"/>
            <w:r w:rsidRPr="00B516B9">
              <w:rPr>
                <w:bCs/>
                <w:i/>
                <w:sz w:val="24"/>
                <w:szCs w:val="24"/>
              </w:rPr>
              <w:t>Task</w:t>
            </w:r>
            <w:proofErr w:type="spellEnd"/>
            <w:r w:rsidRPr="00B516B9">
              <w:rPr>
                <w:bCs/>
                <w:i/>
                <w:sz w:val="24"/>
                <w:szCs w:val="24"/>
              </w:rPr>
              <w:t xml:space="preserve"> </w:t>
            </w:r>
            <w:proofErr w:type="spellStart"/>
            <w:r w:rsidRPr="00B516B9">
              <w:rPr>
                <w:bCs/>
                <w:i/>
                <w:sz w:val="24"/>
                <w:szCs w:val="24"/>
              </w:rPr>
              <w:t>Force</w:t>
            </w:r>
            <w:proofErr w:type="spellEnd"/>
            <w:r w:rsidRPr="00B516B9">
              <w:rPr>
                <w:bCs/>
                <w:sz w:val="24"/>
                <w:szCs w:val="24"/>
              </w:rPr>
              <w:t xml:space="preserve"> (FATF) izceļ Spānijas notariāta praksi saistībā ar noziedzīgi iegūtu līdzekļu legalizācijas novēršanu. Spānijā lielāko daļu ziņojumu no nefinanšu jomas Noziedzīgi iegūtu līdzekļu legalizācijas novēršanas dienests saņem tieši no zvērinātiem notāriem.</w:t>
            </w:r>
            <w:r w:rsidRPr="00B516B9">
              <w:rPr>
                <w:bCs/>
                <w:sz w:val="24"/>
                <w:szCs w:val="24"/>
                <w:vertAlign w:val="superscript"/>
              </w:rPr>
              <w:footnoteReference w:id="6"/>
            </w:r>
            <w:r w:rsidRPr="00B516B9">
              <w:rPr>
                <w:bCs/>
                <w:sz w:val="24"/>
                <w:szCs w:val="24"/>
              </w:rPr>
              <w:t xml:space="preserve"> Spānijas notariāta izveidotā </w:t>
            </w:r>
            <w:proofErr w:type="spellStart"/>
            <w:r w:rsidRPr="00B516B9">
              <w:rPr>
                <w:bCs/>
                <w:i/>
                <w:iCs/>
                <w:sz w:val="24"/>
                <w:szCs w:val="24"/>
              </w:rPr>
              <w:t>Single</w:t>
            </w:r>
            <w:proofErr w:type="spellEnd"/>
            <w:r w:rsidRPr="00B516B9">
              <w:rPr>
                <w:bCs/>
                <w:i/>
                <w:iCs/>
                <w:sz w:val="24"/>
                <w:szCs w:val="24"/>
              </w:rPr>
              <w:t xml:space="preserve"> </w:t>
            </w:r>
            <w:proofErr w:type="spellStart"/>
            <w:r w:rsidRPr="00B516B9">
              <w:rPr>
                <w:bCs/>
                <w:i/>
                <w:iCs/>
                <w:sz w:val="24"/>
                <w:szCs w:val="24"/>
              </w:rPr>
              <w:t>Computerised</w:t>
            </w:r>
            <w:proofErr w:type="spellEnd"/>
            <w:r w:rsidRPr="00B516B9">
              <w:rPr>
                <w:bCs/>
                <w:i/>
                <w:iCs/>
                <w:sz w:val="24"/>
                <w:szCs w:val="24"/>
              </w:rPr>
              <w:t xml:space="preserve"> </w:t>
            </w:r>
            <w:proofErr w:type="spellStart"/>
            <w:r w:rsidRPr="00B516B9">
              <w:rPr>
                <w:bCs/>
                <w:i/>
                <w:iCs/>
                <w:sz w:val="24"/>
                <w:szCs w:val="24"/>
              </w:rPr>
              <w:t>Index</w:t>
            </w:r>
            <w:proofErr w:type="spellEnd"/>
            <w:r w:rsidRPr="00B516B9">
              <w:rPr>
                <w:bCs/>
                <w:sz w:val="24"/>
                <w:szCs w:val="24"/>
              </w:rPr>
              <w:t xml:space="preserve"> datu bāze ir bagātīgs informācijas avots. Dati ir uzticami, precīzi un aktuāli. Tiesībsargājošās iestādes izmanto datus, lai novērtētu riskus un veiktu izmeklēšanu, identificētu un izsekotu aktīvus, attīstītu operatīvo un stratēģisko analīzi. Šobrīd reģistrēti vairāk nekā 116 miljoni darījumi un notariāli dokumenti attiecībā uz 45 milj. fiziskām un juridiskām personām.</w:t>
            </w:r>
            <w:r w:rsidRPr="00B516B9">
              <w:rPr>
                <w:bCs/>
                <w:sz w:val="24"/>
                <w:szCs w:val="24"/>
                <w:vertAlign w:val="superscript"/>
              </w:rPr>
              <w:footnoteReference w:id="7"/>
            </w:r>
            <w:r w:rsidRPr="00B516B9">
              <w:rPr>
                <w:bCs/>
                <w:sz w:val="24"/>
                <w:szCs w:val="24"/>
              </w:rPr>
              <w:t xml:space="preserve"> Spānijas notariāts ir arī izveidojis </w:t>
            </w:r>
            <w:proofErr w:type="spellStart"/>
            <w:r w:rsidRPr="00B516B9">
              <w:rPr>
                <w:bCs/>
                <w:i/>
                <w:iCs/>
                <w:sz w:val="24"/>
                <w:szCs w:val="24"/>
              </w:rPr>
              <w:t>Centralised</w:t>
            </w:r>
            <w:proofErr w:type="spellEnd"/>
            <w:r w:rsidRPr="00B516B9">
              <w:rPr>
                <w:bCs/>
                <w:i/>
                <w:iCs/>
                <w:sz w:val="24"/>
                <w:szCs w:val="24"/>
              </w:rPr>
              <w:t xml:space="preserve"> </w:t>
            </w:r>
            <w:proofErr w:type="spellStart"/>
            <w:r w:rsidRPr="00B516B9">
              <w:rPr>
                <w:bCs/>
                <w:i/>
                <w:iCs/>
                <w:sz w:val="24"/>
                <w:szCs w:val="24"/>
              </w:rPr>
              <w:t>Body</w:t>
            </w:r>
            <w:proofErr w:type="spellEnd"/>
            <w:r w:rsidRPr="00B516B9">
              <w:rPr>
                <w:bCs/>
                <w:i/>
                <w:iCs/>
                <w:sz w:val="24"/>
                <w:szCs w:val="24"/>
              </w:rPr>
              <w:t xml:space="preserve"> </w:t>
            </w:r>
            <w:proofErr w:type="spellStart"/>
            <w:r w:rsidRPr="00B516B9">
              <w:rPr>
                <w:bCs/>
                <w:i/>
                <w:iCs/>
                <w:sz w:val="24"/>
                <w:szCs w:val="24"/>
              </w:rPr>
              <w:t>for</w:t>
            </w:r>
            <w:proofErr w:type="spellEnd"/>
            <w:r w:rsidRPr="00B516B9">
              <w:rPr>
                <w:bCs/>
                <w:i/>
                <w:iCs/>
                <w:sz w:val="24"/>
                <w:szCs w:val="24"/>
              </w:rPr>
              <w:t xml:space="preserve"> </w:t>
            </w:r>
            <w:proofErr w:type="spellStart"/>
            <w:r w:rsidRPr="00B516B9">
              <w:rPr>
                <w:bCs/>
                <w:i/>
                <w:iCs/>
                <w:sz w:val="24"/>
                <w:szCs w:val="24"/>
              </w:rPr>
              <w:t>the</w:t>
            </w:r>
            <w:proofErr w:type="spellEnd"/>
            <w:r w:rsidRPr="00B516B9">
              <w:rPr>
                <w:bCs/>
                <w:i/>
                <w:iCs/>
                <w:sz w:val="24"/>
                <w:szCs w:val="24"/>
              </w:rPr>
              <w:t xml:space="preserve"> </w:t>
            </w:r>
            <w:proofErr w:type="spellStart"/>
            <w:r w:rsidRPr="00B516B9">
              <w:rPr>
                <w:bCs/>
                <w:i/>
                <w:iCs/>
                <w:sz w:val="24"/>
                <w:szCs w:val="24"/>
              </w:rPr>
              <w:t>Prevention</w:t>
            </w:r>
            <w:proofErr w:type="spellEnd"/>
            <w:r w:rsidRPr="00B516B9">
              <w:rPr>
                <w:bCs/>
                <w:i/>
                <w:iCs/>
                <w:sz w:val="24"/>
                <w:szCs w:val="24"/>
              </w:rPr>
              <w:t xml:space="preserve"> </w:t>
            </w:r>
            <w:proofErr w:type="spellStart"/>
            <w:r w:rsidRPr="00B516B9">
              <w:rPr>
                <w:bCs/>
                <w:i/>
                <w:iCs/>
                <w:sz w:val="24"/>
                <w:szCs w:val="24"/>
              </w:rPr>
              <w:t>of</w:t>
            </w:r>
            <w:proofErr w:type="spellEnd"/>
            <w:r w:rsidRPr="00B516B9">
              <w:rPr>
                <w:bCs/>
                <w:i/>
                <w:iCs/>
                <w:sz w:val="24"/>
                <w:szCs w:val="24"/>
              </w:rPr>
              <w:t xml:space="preserve"> </w:t>
            </w:r>
            <w:r w:rsidRPr="00B516B9">
              <w:rPr>
                <w:bCs/>
                <w:i/>
                <w:iCs/>
                <w:sz w:val="24"/>
                <w:szCs w:val="24"/>
              </w:rPr>
              <w:lastRenderedPageBreak/>
              <w:t xml:space="preserve">Money </w:t>
            </w:r>
            <w:proofErr w:type="spellStart"/>
            <w:r w:rsidRPr="00B516B9">
              <w:rPr>
                <w:bCs/>
                <w:i/>
                <w:iCs/>
                <w:sz w:val="24"/>
                <w:szCs w:val="24"/>
              </w:rPr>
              <w:t>Laundering</w:t>
            </w:r>
            <w:proofErr w:type="spellEnd"/>
            <w:r w:rsidRPr="00B516B9">
              <w:rPr>
                <w:bCs/>
                <w:i/>
                <w:iCs/>
                <w:sz w:val="24"/>
                <w:szCs w:val="24"/>
              </w:rPr>
              <w:t xml:space="preserve">, </w:t>
            </w:r>
            <w:r w:rsidRPr="00B516B9">
              <w:rPr>
                <w:bCs/>
                <w:iCs/>
                <w:sz w:val="24"/>
                <w:szCs w:val="24"/>
              </w:rPr>
              <w:t>kurā koncentrēta</w:t>
            </w:r>
            <w:r w:rsidRPr="00B516B9">
              <w:rPr>
                <w:bCs/>
                <w:i/>
                <w:iCs/>
                <w:sz w:val="24"/>
                <w:szCs w:val="24"/>
              </w:rPr>
              <w:t xml:space="preserve"> </w:t>
            </w:r>
            <w:r w:rsidRPr="00B516B9">
              <w:rPr>
                <w:bCs/>
                <w:sz w:val="24"/>
                <w:szCs w:val="24"/>
              </w:rPr>
              <w:t>ekspertīze noziedzīgi iegūtu līdzekļu legalizācijas novēršanas jomā.</w:t>
            </w:r>
            <w:r w:rsidRPr="00B516B9">
              <w:rPr>
                <w:bCs/>
                <w:i/>
                <w:iCs/>
                <w:sz w:val="24"/>
                <w:szCs w:val="24"/>
              </w:rPr>
              <w:t xml:space="preserve"> </w:t>
            </w:r>
            <w:r w:rsidRPr="00B516B9">
              <w:rPr>
                <w:bCs/>
                <w:sz w:val="24"/>
                <w:szCs w:val="24"/>
              </w:rPr>
              <w:t xml:space="preserve">Līdz ar to kopējie izdevumi katram zvērinātam notāram un notariātam kopumā sasniedz būtiskus izdevumus. Turklāt zvērināti notāri gūst ienākumus tikai no klienta maksājumiem, kas veikti atbilstoši noteikumos Nr. 737 noteiktajām zvērinātu notāru atlīdzības taksēm. </w:t>
            </w:r>
          </w:p>
          <w:p w:rsidRPr="00B516B9" w:rsidR="00B516B9" w:rsidP="00A25E04" w:rsidRDefault="00B516B9" w14:paraId="4C7EC366" w14:textId="77777777">
            <w:pPr>
              <w:ind w:firstLine="539"/>
              <w:jc w:val="both"/>
              <w:rPr>
                <w:bCs/>
                <w:sz w:val="24"/>
                <w:szCs w:val="24"/>
              </w:rPr>
            </w:pPr>
            <w:r w:rsidRPr="00B516B9">
              <w:rPr>
                <w:bCs/>
                <w:sz w:val="24"/>
                <w:szCs w:val="24"/>
              </w:rPr>
              <w:t>Nepiešķirot atbilstošus finanšu līdzekļus (grozot zvērinātu notāru atlīdzības taksu apmērus), iestāsies augsti riski zvērinātu notāru prakses maksātspējai un korupcijai, kā arī tiks radīti riski Noziedzīgi iegūtu līdzekļu legalizācijas un terorisma finansēšanas novēršanas sistēmas efektivitātei. Risks saskatāms arī notariātam kā sistēmai, jo Latvijas Zvērinātu notāru kolēģija un padome nespēs veikt minētos ieguldījumus uzraudzības un kontroles nodrošināšanā (</w:t>
            </w:r>
            <w:proofErr w:type="spellStart"/>
            <w:r w:rsidRPr="00B516B9">
              <w:rPr>
                <w:bCs/>
                <w:i/>
                <w:sz w:val="24"/>
                <w:szCs w:val="24"/>
              </w:rPr>
              <w:t>Moneyval</w:t>
            </w:r>
            <w:proofErr w:type="spellEnd"/>
            <w:r w:rsidRPr="00B516B9">
              <w:rPr>
                <w:bCs/>
                <w:sz w:val="24"/>
                <w:szCs w:val="24"/>
              </w:rPr>
              <w:t xml:space="preserve"> ziņojuma uzdevumus) bez attiecīgiem finanšu līdzekļiem. </w:t>
            </w:r>
          </w:p>
          <w:p w:rsidRPr="00B516B9" w:rsidR="00B516B9" w:rsidP="00A25E04" w:rsidRDefault="00B516B9" w14:paraId="361B044F" w14:textId="77777777">
            <w:pPr>
              <w:ind w:firstLine="539"/>
              <w:jc w:val="both"/>
              <w:rPr>
                <w:bCs/>
                <w:sz w:val="24"/>
                <w:szCs w:val="24"/>
              </w:rPr>
            </w:pPr>
            <w:r w:rsidRPr="00B516B9">
              <w:rPr>
                <w:bCs/>
                <w:sz w:val="24"/>
                <w:szCs w:val="24"/>
              </w:rPr>
              <w:t>Papildus norādāms, ka noteikumu projektā paredzētās 6., 33., 43. un 52. punktā pārbaudes tiek veiktas visos gadījumos saskaņā ar Noziedzīgi iegūtu līdzekļu legalizācijas un terorisma finansēšanas novēršanas likuma 3. panta pirmās daļas 4. punktu. Atbilstoši šajā sākotnējās ietekmes novērtējuma ziņojumā (anotācijā) norādītajam, pieaug konkrēto darbību izpildes ilgums un atbildība.</w:t>
            </w:r>
          </w:p>
          <w:p w:rsidRPr="00B516B9" w:rsidR="00B516B9" w:rsidP="00A25E04" w:rsidRDefault="00B516B9" w14:paraId="458125E3" w14:textId="77777777">
            <w:pPr>
              <w:ind w:firstLine="539"/>
              <w:jc w:val="both"/>
              <w:rPr>
                <w:bCs/>
                <w:sz w:val="24"/>
                <w:szCs w:val="24"/>
              </w:rPr>
            </w:pPr>
            <w:r w:rsidRPr="00B516B9">
              <w:rPr>
                <w:bCs/>
                <w:sz w:val="24"/>
                <w:szCs w:val="24"/>
              </w:rPr>
              <w:t xml:space="preserve">Finanšu ministrijas 2019. gada 11. februāra vēstulē Nr. 2.1-20/17-1/720 padomei nepārprotami norādīts, ka Noziedzīgi iegūtu līdzekļu legalizācijas un terorisma finansēšanas novēršanas likuma normas attiecībā uz klienta izpētes pasākumiem ir uz risku </w:t>
            </w:r>
            <w:r w:rsidRPr="00B516B9">
              <w:rPr>
                <w:bCs/>
                <w:sz w:val="24"/>
                <w:szCs w:val="24"/>
              </w:rPr>
              <w:lastRenderedPageBreak/>
              <w:t xml:space="preserve">novērtējumu balstītas darbības. Noziedzīgi iegūtu līdzekļu legalizācijas un terorisma finansēšanas novēršanas likums nav tulkojums šauri un ir jāvērtē esošā situācija atbilstoši zvērināta notāra pienākumu izpildei, ņemot vērā pašu galveno - likuma mērķa sasniegšanu. </w:t>
            </w:r>
          </w:p>
          <w:p w:rsidRPr="00B516B9" w:rsidR="00B516B9" w:rsidP="00A25E04" w:rsidRDefault="00B516B9" w14:paraId="0697517B" w14:textId="77777777">
            <w:pPr>
              <w:ind w:firstLine="539"/>
              <w:jc w:val="both"/>
              <w:rPr>
                <w:bCs/>
                <w:sz w:val="24"/>
                <w:szCs w:val="24"/>
              </w:rPr>
            </w:pPr>
            <w:r w:rsidRPr="00B516B9">
              <w:rPr>
                <w:bCs/>
                <w:sz w:val="24"/>
                <w:szCs w:val="24"/>
              </w:rPr>
              <w:t>Tādējādi noteikumu projektā iekļautas jaunās zvērinātu notāru atlīdzības takses 53.</w:t>
            </w:r>
            <w:r w:rsidRPr="00B516B9">
              <w:rPr>
                <w:bCs/>
                <w:sz w:val="24"/>
                <w:szCs w:val="24"/>
                <w:vertAlign w:val="superscript"/>
              </w:rPr>
              <w:t>1</w:t>
            </w:r>
            <w:r w:rsidRPr="00B516B9">
              <w:rPr>
                <w:bCs/>
                <w:sz w:val="24"/>
                <w:szCs w:val="24"/>
              </w:rPr>
              <w:t>, 53.</w:t>
            </w:r>
            <w:r w:rsidRPr="00B516B9">
              <w:rPr>
                <w:bCs/>
                <w:sz w:val="24"/>
                <w:szCs w:val="24"/>
                <w:vertAlign w:val="superscript"/>
              </w:rPr>
              <w:t>2</w:t>
            </w:r>
            <w:r w:rsidRPr="00B516B9">
              <w:rPr>
                <w:bCs/>
                <w:sz w:val="24"/>
                <w:szCs w:val="24"/>
              </w:rPr>
              <w:t xml:space="preserve"> un 53.</w:t>
            </w:r>
            <w:r w:rsidRPr="00B516B9">
              <w:rPr>
                <w:bCs/>
                <w:sz w:val="24"/>
                <w:szCs w:val="24"/>
                <w:vertAlign w:val="superscript"/>
              </w:rPr>
              <w:t>3</w:t>
            </w:r>
            <w:r w:rsidRPr="00B516B9">
              <w:rPr>
                <w:bCs/>
                <w:sz w:val="24"/>
                <w:szCs w:val="24"/>
              </w:rPr>
              <w:t xml:space="preserve"> punktā. Šo taksi zvērināts notārs būs tiesīgs piemērot gadījumos, kad zvērinātam notāram atbilstoši klienta risku novērtējumam jāveic noziedzīgi iegūtu līdzekļu legalizācijas un terorisma finansēšanas novēršanas pasākumi, piemēram, darījumu ekonomiskās būtības noskaidrošana; patiesā labuma guvēja noskaidrošana; politiski nozīmīgas personas noskaidrošana; naudas līdzekļu un labklājības izcelsmes pārbaude, bet amata atlīdzības takse, kura piemērojama klienta lūgtajai notariālajai darbībai, neietver šādas pārbaudes veikšanas atlīdzību. </w:t>
            </w:r>
          </w:p>
          <w:p w:rsidRPr="00B516B9" w:rsidR="00B516B9" w:rsidP="00A25E04" w:rsidRDefault="00B516B9" w14:paraId="761D9141" w14:textId="77777777">
            <w:pPr>
              <w:ind w:firstLine="539"/>
              <w:jc w:val="both"/>
              <w:rPr>
                <w:bCs/>
                <w:sz w:val="24"/>
                <w:szCs w:val="24"/>
              </w:rPr>
            </w:pPr>
            <w:r w:rsidRPr="00B516B9">
              <w:rPr>
                <w:bCs/>
                <w:sz w:val="24"/>
                <w:szCs w:val="24"/>
              </w:rPr>
              <w:t xml:space="preserve">Līdz šim netiek apkopota statistika un nav iespējams noteikt, cik gadījumos atbilstoši klienta risku novērtējumam 2019. gadā un turpmāk būs jāveic noziedzīgi iegūtu līdzekļu legalizācijas un terorisma finansēšanas novēršanas pasākumi. Atbilstoši Finanšu ministrijas  2019. gada 11. februāra vēstulē Nr. 2.1-20/17-1/720 padomei norādītājam, zvērināts notārs pie katras notariālās darbības izveiks risku novērtējumu. Līdz ar to darbību skaits ir atkarīgs no augsta riska darbību skaita. Piemēram, 2018. gadā līgumi notariālā akta formā tika taisīti 12 444 gadījumos, 1485 glabājumi tika taisīti par summu </w:t>
            </w:r>
            <w:r w:rsidRPr="00B516B9">
              <w:rPr>
                <w:bCs/>
                <w:sz w:val="24"/>
                <w:szCs w:val="24"/>
              </w:rPr>
              <w:lastRenderedPageBreak/>
              <w:t>vismaz 30 000 000 </w:t>
            </w:r>
            <w:proofErr w:type="spellStart"/>
            <w:r w:rsidRPr="00B516B9">
              <w:rPr>
                <w:bCs/>
                <w:i/>
                <w:sz w:val="24"/>
                <w:szCs w:val="24"/>
              </w:rPr>
              <w:t>euro</w:t>
            </w:r>
            <w:proofErr w:type="spellEnd"/>
            <w:r w:rsidRPr="00B516B9">
              <w:rPr>
                <w:bCs/>
                <w:sz w:val="24"/>
                <w:szCs w:val="24"/>
              </w:rPr>
              <w:t>. Statistika par darījumu projektiem un konsultācijām pagaidām netiek apkopota (tam nepieciešamas izmaiņas Notāru informācijas sistēmā, kam arī nepieciešami finanšu līdzekļi), bet, veicot zvērinātu notāru aptaujas, to kopskaits varētu būt aptuveni 15 000 gadā. Tāpat 2018. gadā zvērināti notāri veica 136 742 darbības, kuras saistītas ar Zemesgrāmatu un Uzņēmumu reģistru. Daļa no tām ir atzīstamas par augsta riska, kurās zvērinātam notāram ir jāveic noteikumu projekta 53.</w:t>
            </w:r>
            <w:r w:rsidRPr="00B516B9">
              <w:rPr>
                <w:bCs/>
                <w:sz w:val="24"/>
                <w:szCs w:val="24"/>
                <w:vertAlign w:val="superscript"/>
              </w:rPr>
              <w:t>1</w:t>
            </w:r>
            <w:r w:rsidRPr="00B516B9">
              <w:rPr>
                <w:bCs/>
                <w:sz w:val="24"/>
                <w:szCs w:val="24"/>
              </w:rPr>
              <w:t>, 53.</w:t>
            </w:r>
            <w:r w:rsidRPr="00B516B9">
              <w:rPr>
                <w:bCs/>
                <w:sz w:val="24"/>
                <w:szCs w:val="24"/>
                <w:vertAlign w:val="superscript"/>
              </w:rPr>
              <w:t>2</w:t>
            </w:r>
            <w:r w:rsidRPr="00B516B9">
              <w:rPr>
                <w:bCs/>
                <w:sz w:val="24"/>
                <w:szCs w:val="24"/>
              </w:rPr>
              <w:t xml:space="preserve"> un 53.</w:t>
            </w:r>
            <w:r w:rsidRPr="00B516B9">
              <w:rPr>
                <w:bCs/>
                <w:sz w:val="24"/>
                <w:szCs w:val="24"/>
                <w:vertAlign w:val="superscript"/>
              </w:rPr>
              <w:t>3</w:t>
            </w:r>
            <w:r w:rsidRPr="00B516B9">
              <w:rPr>
                <w:bCs/>
                <w:sz w:val="24"/>
                <w:szCs w:val="24"/>
              </w:rPr>
              <w:t xml:space="preserve"> punktā noteiktās pārbaudes. Prognozējams, ka turpmāk šādu pārbaužu veikšana varētu būt 2-5% gadījumos. </w:t>
            </w:r>
          </w:p>
          <w:p w:rsidRPr="00B516B9" w:rsidR="00FF78FB" w:rsidP="00A25E04" w:rsidRDefault="00B516B9" w14:paraId="20D13DD9" w14:textId="6D036DB4">
            <w:pPr>
              <w:ind w:firstLine="539"/>
              <w:jc w:val="both"/>
              <w:rPr>
                <w:bCs/>
                <w:sz w:val="24"/>
                <w:szCs w:val="24"/>
              </w:rPr>
            </w:pPr>
            <w:r w:rsidRPr="00B516B9">
              <w:rPr>
                <w:bCs/>
                <w:sz w:val="24"/>
                <w:szCs w:val="24"/>
              </w:rPr>
              <w:t>Būtiski norādīt, ka neatkarīgi no tā, cik gadījumos zvērinātam notāram ir jāveic padziļinātās pārbaudes, padomei un zvērinātiem notāriem ir jānodrošina informācijas sistēmas un piekļuve datu bāzēm, kā arī jānodrošina uzraudzības un kontroles sistēmas, kuras paredzētas Noziedzīgi iegūtu līdzekļu legalizācijas un terorisma finansēšanas novēršanas likumā un Starptautisko un Latvijas Republikas nacionālo sankciju likumā. Šo risinājumu izveide un uzturēšana, kā arī attīstība prasa pastāvīgas izmaksas.</w:t>
            </w:r>
            <w:r w:rsidRPr="007B39C0" w:rsidR="00FF78FB">
              <w:t>"</w:t>
            </w:r>
          </w:p>
        </w:tc>
      </w:tr>
      <w:tr w:rsidRPr="007B39C0" w:rsidR="00EA366C" w:rsidTr="00490239" w14:paraId="5CF4DAEF" w14:textId="77777777">
        <w:tblPrEx>
          <w:tblBorders>
            <w:top w:val="none" w:color="auto" w:sz="0" w:space="0"/>
            <w:left w:val="none" w:color="auto" w:sz="0" w:space="0"/>
            <w:bottom w:val="none" w:color="auto" w:sz="0" w:space="0"/>
            <w:right w:val="none" w:color="auto" w:sz="0" w:space="0"/>
          </w:tblBorders>
        </w:tblPrEx>
        <w:trPr>
          <w:gridAfter w:val="1"/>
          <w:wAfter w:w="8" w:type="dxa"/>
        </w:trPr>
        <w:tc>
          <w:tcPr>
            <w:tcW w:w="5782" w:type="dxa"/>
            <w:gridSpan w:val="5"/>
          </w:tcPr>
          <w:p w:rsidRPr="007B39C0" w:rsidR="00EA366C" w:rsidP="00484B31" w:rsidRDefault="00EA366C" w14:paraId="60432184" w14:textId="77777777">
            <w:pPr>
              <w:pStyle w:val="naisf"/>
              <w:ind w:firstLine="0"/>
              <w:rPr>
                <w:szCs w:val="20"/>
              </w:rPr>
            </w:pPr>
            <w:r w:rsidRPr="007B39C0">
              <w:rPr>
                <w:szCs w:val="20"/>
              </w:rPr>
              <w:lastRenderedPageBreak/>
              <w:t>Atbildīgā amatpersona</w:t>
            </w:r>
          </w:p>
        </w:tc>
        <w:tc>
          <w:tcPr>
            <w:tcW w:w="8393" w:type="dxa"/>
            <w:gridSpan w:val="4"/>
          </w:tcPr>
          <w:p w:rsidRPr="007B39C0" w:rsidR="00692CC9" w:rsidP="00184F40" w:rsidRDefault="00692CC9" w14:paraId="0A69B25A" w14:textId="77777777">
            <w:pPr>
              <w:pStyle w:val="naisf"/>
              <w:ind w:firstLine="0"/>
              <w:rPr>
                <w:szCs w:val="20"/>
              </w:rPr>
            </w:pPr>
          </w:p>
          <w:p w:rsidRPr="007B39C0" w:rsidR="00EA366C" w:rsidP="00692CC9" w:rsidRDefault="00EA366C" w14:paraId="13EBED22" w14:textId="77777777">
            <w:pPr>
              <w:pStyle w:val="Parastais"/>
            </w:pPr>
          </w:p>
        </w:tc>
      </w:tr>
      <w:tr w:rsidRPr="007B39C0" w:rsidR="00EA366C" w:rsidTr="00490239" w14:paraId="511DF8FA" w14:textId="77777777">
        <w:tblPrEx>
          <w:tblBorders>
            <w:top w:val="none" w:color="auto" w:sz="0" w:space="0"/>
            <w:left w:val="none" w:color="auto" w:sz="0" w:space="0"/>
            <w:bottom w:val="none" w:color="auto" w:sz="0" w:space="0"/>
            <w:right w:val="none" w:color="auto" w:sz="0" w:space="0"/>
          </w:tblBorders>
        </w:tblPrEx>
        <w:trPr>
          <w:gridAfter w:val="2"/>
          <w:wAfter w:w="2671" w:type="dxa"/>
        </w:trPr>
        <w:tc>
          <w:tcPr>
            <w:tcW w:w="3119" w:type="dxa"/>
            <w:gridSpan w:val="4"/>
          </w:tcPr>
          <w:p w:rsidRPr="007B39C0" w:rsidR="00EA366C" w:rsidP="00EA366C" w:rsidRDefault="00EA366C" w14:paraId="387FFBC2" w14:textId="77777777">
            <w:pPr>
              <w:pStyle w:val="naisf"/>
              <w:rPr>
                <w:szCs w:val="20"/>
              </w:rPr>
            </w:pPr>
          </w:p>
        </w:tc>
        <w:tc>
          <w:tcPr>
            <w:tcW w:w="8393" w:type="dxa"/>
            <w:gridSpan w:val="4"/>
            <w:tcBorders>
              <w:top w:val="single" w:color="000000" w:sz="6" w:space="0"/>
            </w:tcBorders>
          </w:tcPr>
          <w:p w:rsidRPr="007B39C0" w:rsidR="00EA366C" w:rsidP="00EA366C" w:rsidRDefault="00EA366C" w14:paraId="20EA21C3" w14:textId="77777777">
            <w:pPr>
              <w:pStyle w:val="naisf"/>
              <w:rPr>
                <w:szCs w:val="20"/>
              </w:rPr>
            </w:pPr>
            <w:r w:rsidRPr="007B39C0">
              <w:rPr>
                <w:szCs w:val="20"/>
              </w:rPr>
              <w:t>(paraksts)</w:t>
            </w:r>
          </w:p>
        </w:tc>
      </w:tr>
    </w:tbl>
    <w:p w:rsidRPr="007B39C0" w:rsidR="00EA366C" w:rsidP="00EA366C" w:rsidRDefault="00EA366C" w14:paraId="05E55F13" w14:textId="77777777">
      <w:pPr>
        <w:pStyle w:val="naisf"/>
        <w:spacing w:before="0" w:after="0"/>
        <w:ind w:firstLine="0"/>
        <w:rPr>
          <w:szCs w:val="20"/>
        </w:rPr>
      </w:pPr>
      <w:r w:rsidRPr="007B39C0">
        <w:rPr>
          <w:szCs w:val="20"/>
        </w:rPr>
        <w:t>Inita Ilgaža</w:t>
      </w:r>
    </w:p>
    <w:p w:rsidRPr="007B39C0" w:rsidR="00EA366C" w:rsidP="00EA366C" w:rsidRDefault="00EA366C" w14:paraId="4B7CFD9F" w14:textId="77777777">
      <w:pPr>
        <w:pStyle w:val="naisf"/>
        <w:spacing w:before="0" w:after="0"/>
        <w:ind w:firstLine="0"/>
        <w:rPr>
          <w:szCs w:val="20"/>
        </w:rPr>
      </w:pPr>
      <w:r w:rsidRPr="007B39C0">
        <w:rPr>
          <w:szCs w:val="20"/>
        </w:rPr>
        <w:t>Tieslietu ministrijas</w:t>
      </w:r>
    </w:p>
    <w:p w:rsidRPr="007B39C0" w:rsidR="00EA366C" w:rsidP="00EA366C" w:rsidRDefault="00EA366C" w14:paraId="151A8C90" w14:textId="77777777">
      <w:pPr>
        <w:pStyle w:val="naisf"/>
        <w:spacing w:before="0" w:after="0"/>
        <w:ind w:firstLine="0"/>
        <w:rPr>
          <w:szCs w:val="20"/>
        </w:rPr>
      </w:pPr>
      <w:r w:rsidRPr="007B39C0">
        <w:rPr>
          <w:szCs w:val="20"/>
        </w:rPr>
        <w:t>Tiesu sistēmas politikas departamenta direktore</w:t>
      </w:r>
    </w:p>
    <w:p w:rsidRPr="007B39C0" w:rsidR="00EA366C" w:rsidP="00EA366C" w:rsidRDefault="00EA366C" w14:paraId="368F34F3" w14:textId="77777777">
      <w:pPr>
        <w:pStyle w:val="naisf"/>
        <w:spacing w:before="0" w:after="0"/>
        <w:ind w:firstLine="0"/>
        <w:rPr>
          <w:szCs w:val="20"/>
        </w:rPr>
      </w:pPr>
      <w:r w:rsidRPr="007B39C0">
        <w:rPr>
          <w:szCs w:val="20"/>
        </w:rPr>
        <w:t>Tālr</w:t>
      </w:r>
      <w:r w:rsidRPr="007B39C0" w:rsidR="004805A5">
        <w:rPr>
          <w:szCs w:val="20"/>
        </w:rPr>
        <w:t>.</w:t>
      </w:r>
      <w:r w:rsidRPr="007B39C0">
        <w:rPr>
          <w:szCs w:val="20"/>
        </w:rPr>
        <w:t>: 67036814</w:t>
      </w:r>
    </w:p>
    <w:p w:rsidRPr="007B39C0" w:rsidR="006A1C6D" w:rsidP="00A36B8E" w:rsidRDefault="004805A5" w14:paraId="2EEF1071" w14:textId="77777777">
      <w:pPr>
        <w:pStyle w:val="naisf"/>
        <w:spacing w:before="0" w:after="0"/>
        <w:ind w:firstLine="0"/>
        <w:rPr>
          <w:szCs w:val="20"/>
        </w:rPr>
      </w:pPr>
      <w:r w:rsidRPr="007B39C0">
        <w:rPr>
          <w:szCs w:val="20"/>
        </w:rPr>
        <w:t xml:space="preserve">E-pasts: </w:t>
      </w:r>
      <w:r w:rsidRPr="007B39C0" w:rsidR="00EA366C">
        <w:rPr>
          <w:szCs w:val="20"/>
        </w:rPr>
        <w:t>Inita.Ilgaza@tm.gov.lv</w:t>
      </w:r>
    </w:p>
    <w:sectPr w:rsidRPr="007B39C0" w:rsidR="006A1C6D" w:rsidSect="00FC7039">
      <w:headerReference w:type="even" r:id="rId7"/>
      <w:headerReference w:type="default" r:id="rId8"/>
      <w:footerReference w:type="default" r:id="rId9"/>
      <w:footerReference w:type="first" r:id="rId1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545D9" w14:textId="77777777" w:rsidR="00A630BE" w:rsidRDefault="00A630BE">
      <w:pPr>
        <w:pStyle w:val="Parastais"/>
      </w:pPr>
      <w:r>
        <w:separator/>
      </w:r>
    </w:p>
  </w:endnote>
  <w:endnote w:type="continuationSeparator" w:id="0">
    <w:p w14:paraId="76F2997F" w14:textId="77777777" w:rsidR="00A630BE" w:rsidRDefault="00A630BE">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F2E3B" w14:textId="5FC327D3" w:rsidR="00AB3D34" w:rsidRPr="00445498" w:rsidRDefault="00445498" w:rsidP="00FC7039">
    <w:pPr>
      <w:pStyle w:val="Kjene"/>
      <w:jc w:val="both"/>
    </w:pPr>
    <w:r>
      <w:rPr>
        <w:sz w:val="20"/>
        <w:szCs w:val="20"/>
      </w:rPr>
      <w:t>TM</w:t>
    </w:r>
    <w:r w:rsidR="00D51B5C">
      <w:rPr>
        <w:sz w:val="20"/>
        <w:szCs w:val="20"/>
      </w:rPr>
      <w:t>I</w:t>
    </w:r>
    <w:r>
      <w:rPr>
        <w:sz w:val="20"/>
        <w:szCs w:val="20"/>
      </w:rPr>
      <w:t>zz_</w:t>
    </w:r>
    <w:r w:rsidR="00D75AF2">
      <w:rPr>
        <w:sz w:val="20"/>
        <w:szCs w:val="20"/>
      </w:rPr>
      <w:t>30</w:t>
    </w:r>
    <w:r w:rsidR="00B37045">
      <w:rPr>
        <w:sz w:val="20"/>
        <w:szCs w:val="20"/>
      </w:rPr>
      <w:t>05</w:t>
    </w:r>
    <w:r w:rsidR="005265E4">
      <w:rPr>
        <w:sz w:val="20"/>
        <w:szCs w:val="20"/>
      </w:rPr>
      <w:t>19_</w:t>
    </w:r>
    <w:r w:rsidR="003130FD">
      <w:rPr>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E053" w14:textId="7599B6B6" w:rsidR="00AB3D34" w:rsidRPr="009F19AA" w:rsidRDefault="009F19AA" w:rsidP="009F19AA">
    <w:pPr>
      <w:pStyle w:val="Kjene"/>
      <w:jc w:val="both"/>
      <w:rPr>
        <w:sz w:val="20"/>
        <w:szCs w:val="20"/>
      </w:rPr>
    </w:pPr>
    <w:r>
      <w:rPr>
        <w:sz w:val="20"/>
        <w:szCs w:val="20"/>
      </w:rPr>
      <w:t>TM</w:t>
    </w:r>
    <w:r w:rsidR="00D51B5C">
      <w:rPr>
        <w:sz w:val="20"/>
        <w:szCs w:val="20"/>
      </w:rPr>
      <w:t>I</w:t>
    </w:r>
    <w:r>
      <w:rPr>
        <w:sz w:val="20"/>
        <w:szCs w:val="20"/>
      </w:rPr>
      <w:t>zz_</w:t>
    </w:r>
    <w:r w:rsidR="00D75AF2">
      <w:rPr>
        <w:sz w:val="20"/>
        <w:szCs w:val="20"/>
      </w:rPr>
      <w:t>30</w:t>
    </w:r>
    <w:r w:rsidR="00B37045">
      <w:rPr>
        <w:sz w:val="20"/>
        <w:szCs w:val="20"/>
      </w:rPr>
      <w:t>05</w:t>
    </w:r>
    <w:r w:rsidR="005265E4">
      <w:rPr>
        <w:sz w:val="20"/>
        <w:szCs w:val="20"/>
      </w:rPr>
      <w:t>19_</w:t>
    </w:r>
    <w:r w:rsidR="003130FD">
      <w:rPr>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A0EF" w14:textId="77777777" w:rsidR="00A630BE" w:rsidRDefault="00A630BE">
      <w:pPr>
        <w:pStyle w:val="Parastais"/>
      </w:pPr>
      <w:r>
        <w:separator/>
      </w:r>
    </w:p>
  </w:footnote>
  <w:footnote w:type="continuationSeparator" w:id="0">
    <w:p w14:paraId="5D12DC2C" w14:textId="77777777" w:rsidR="00A630BE" w:rsidRDefault="00A630BE">
      <w:pPr>
        <w:pStyle w:val="Parastais"/>
      </w:pPr>
      <w:r>
        <w:continuationSeparator/>
      </w:r>
    </w:p>
  </w:footnote>
  <w:footnote w:id="1">
    <w:p w14:paraId="1205CE28" w14:textId="77777777" w:rsidR="00B516B9" w:rsidRPr="00A818A5" w:rsidRDefault="00B516B9" w:rsidP="00B516B9">
      <w:pPr>
        <w:pStyle w:val="Vresteksts"/>
        <w:jc w:val="both"/>
        <w:rPr>
          <w:szCs w:val="24"/>
        </w:rPr>
      </w:pPr>
      <w:r w:rsidRPr="00E871D6">
        <w:rPr>
          <w:rStyle w:val="Vresatsauce"/>
          <w:rFonts w:ascii="Garamond" w:hAnsi="Garamond"/>
        </w:rPr>
        <w:footnoteRef/>
      </w:r>
      <w:r w:rsidRPr="00E871D6">
        <w:rPr>
          <w:rFonts w:ascii="Garamond" w:hAnsi="Garamond"/>
        </w:rPr>
        <w:t xml:space="preserve"> </w:t>
      </w:r>
      <w:r w:rsidRPr="00536709">
        <w:rPr>
          <w:rFonts w:ascii="Times New Roman" w:hAnsi="Times New Roman"/>
          <w:szCs w:val="24"/>
        </w:rPr>
        <w:t>Finanšu nozares asociācijas 23.04.2019. vēstule Nr. 1-23/82_e par nacionālo riska novērtējumu Ministru kabinetam.</w:t>
      </w:r>
    </w:p>
  </w:footnote>
  <w:footnote w:id="2">
    <w:p w14:paraId="03C294D3" w14:textId="77777777" w:rsidR="00B516B9" w:rsidRPr="00E871D6" w:rsidRDefault="00B516B9" w:rsidP="00B516B9">
      <w:pPr>
        <w:jc w:val="both"/>
        <w:rPr>
          <w:rFonts w:ascii="Garamond" w:hAnsi="Garamond"/>
          <w:highlight w:val="red"/>
        </w:rPr>
      </w:pPr>
      <w:r w:rsidRPr="00A818A5">
        <w:rPr>
          <w:rStyle w:val="Vresatsauce"/>
          <w:szCs w:val="24"/>
        </w:rPr>
        <w:footnoteRef/>
      </w:r>
      <w:r w:rsidRPr="00A818A5">
        <w:rPr>
          <w:szCs w:val="24"/>
        </w:rPr>
        <w:t>Piem</w:t>
      </w:r>
      <w:r>
        <w:rPr>
          <w:szCs w:val="24"/>
        </w:rPr>
        <w:t>ēram</w:t>
      </w:r>
      <w:r w:rsidRPr="00A818A5">
        <w:rPr>
          <w:szCs w:val="24"/>
        </w:rPr>
        <w:t xml:space="preserve">, SEB </w:t>
      </w:r>
      <w:hyperlink r:id="rId1" w:history="1">
        <w:r w:rsidRPr="00A818A5">
          <w:rPr>
            <w:szCs w:val="24"/>
          </w:rPr>
          <w:t>https://www.seb.lv/cenradis-privatpersonam/cenradis-norekinu-konts</w:t>
        </w:r>
      </w:hyperlink>
      <w:r w:rsidRPr="00A818A5">
        <w:rPr>
          <w:szCs w:val="24"/>
        </w:rPr>
        <w:t xml:space="preserve"> un </w:t>
      </w:r>
      <w:hyperlink r:id="rId2" w:anchor="cenradis" w:history="1">
        <w:r w:rsidRPr="00A818A5">
          <w:rPr>
            <w:szCs w:val="24"/>
          </w:rPr>
          <w:t>https://www.seb.lv/uznemumiem/ikdienas-pakalpojumi/konti/darijuma-konts#cenradis</w:t>
        </w:r>
      </w:hyperlink>
      <w:r w:rsidRPr="00A818A5">
        <w:rPr>
          <w:szCs w:val="24"/>
        </w:rPr>
        <w:t xml:space="preserve">; </w:t>
      </w:r>
      <w:r w:rsidRPr="00A818A5">
        <w:rPr>
          <w:szCs w:val="24"/>
        </w:rPr>
        <w:t xml:space="preserve">Swedbank </w:t>
      </w:r>
      <w:hyperlink r:id="rId3" w:anchor="pricelist_escrow_account" w:history="1">
        <w:r w:rsidRPr="00A818A5">
          <w:rPr>
            <w:szCs w:val="24"/>
          </w:rPr>
          <w:t>https://www.swedbank.lv/private/pricelist#pricelist_escrow_account</w:t>
        </w:r>
      </w:hyperlink>
      <w:r w:rsidRPr="00A818A5">
        <w:rPr>
          <w:szCs w:val="24"/>
        </w:rPr>
        <w:t xml:space="preserve"> un </w:t>
      </w:r>
      <w:hyperlink r:id="rId4" w:anchor="pricelist_escrow_account" w:history="1">
        <w:r w:rsidRPr="00A818A5">
          <w:rPr>
            <w:szCs w:val="24"/>
          </w:rPr>
          <w:t>https://www.swedbank.lv/private/pricelist#pricelist_escrow_account</w:t>
        </w:r>
      </w:hyperlink>
      <w:r w:rsidRPr="00A818A5">
        <w:rPr>
          <w:szCs w:val="24"/>
        </w:rPr>
        <w:t xml:space="preserve">; Luminor </w:t>
      </w:r>
      <w:hyperlink r:id="rId5" w:anchor="norekinu-konta-atversana-un-uzturesana" w:history="1">
        <w:r w:rsidRPr="00A818A5">
          <w:rPr>
            <w:szCs w:val="24"/>
          </w:rPr>
          <w:t>https://www.luminor.lv/lv/uznemumiem/cenradis/konti-un-komplekti/norekinu-konts#norekinu-konta-atversana-un-uzturesana</w:t>
        </w:r>
      </w:hyperlink>
      <w:r w:rsidRPr="00A818A5">
        <w:rPr>
          <w:szCs w:val="24"/>
        </w:rPr>
        <w:t xml:space="preserve"> un </w:t>
      </w:r>
      <w:hyperlink r:id="rId6" w:anchor="norekinu-konta-atversana-un-uzturesana" w:history="1">
        <w:r w:rsidRPr="00A818A5">
          <w:rPr>
            <w:szCs w:val="24"/>
          </w:rPr>
          <w:t>https://www.luminor.lv/lv/privatpersonam/cenradis/konti-un-komplekti/norekinu-konts#norekinu-konta-atversana-un-uzturesana</w:t>
        </w:r>
      </w:hyperlink>
    </w:p>
  </w:footnote>
  <w:footnote w:id="3">
    <w:p w14:paraId="5AD41048" w14:textId="77777777" w:rsidR="00B516B9" w:rsidRDefault="00B516B9" w:rsidP="00B516B9">
      <w:pPr>
        <w:jc w:val="both"/>
      </w:pPr>
      <w:r w:rsidRPr="00721703">
        <w:rPr>
          <w:rStyle w:val="Vresatsauce"/>
          <w:rFonts w:ascii="Garamond" w:hAnsi="Garamond"/>
        </w:rPr>
        <w:footnoteRef/>
      </w:r>
      <w:hyperlink r:id="rId7" w:history="1">
        <w:r w:rsidRPr="00B9146B">
          <w:t>https://www.fm.gov.lv/lv/sadalas/noziedzigi_iegutu_lidzeklu_legalizacijas_un_terorisma_finansesanas_noversana_/pasakumu_plans_noziedzigi_iegutu_lidzeklu_legalizacijas_un_terorisma_finansesanas_risku_ierobezosanai_2017__2019_gadam_/</w:t>
        </w:r>
      </w:hyperlink>
    </w:p>
  </w:footnote>
  <w:footnote w:id="4">
    <w:p w14:paraId="14818BC0" w14:textId="77777777" w:rsidR="00B516B9" w:rsidRPr="007D5281" w:rsidRDefault="00B516B9" w:rsidP="00B516B9">
      <w:pPr>
        <w:pStyle w:val="Vresteksts"/>
      </w:pPr>
      <w:r w:rsidRPr="007D5281">
        <w:rPr>
          <w:rStyle w:val="Vresatsauce"/>
        </w:rPr>
        <w:footnoteRef/>
      </w:r>
      <w:r w:rsidRPr="007D5281">
        <w:t xml:space="preserve"> </w:t>
      </w:r>
      <w:hyperlink r:id="rId8" w:history="1">
        <w:r w:rsidRPr="007D5281">
          <w:rPr>
            <w:rStyle w:val="Hipersaite"/>
          </w:rPr>
          <w:t>https://www.refinitiv.com/en/products/world-check-kyc-screening</w:t>
        </w:r>
      </w:hyperlink>
    </w:p>
  </w:footnote>
  <w:footnote w:id="5">
    <w:p w14:paraId="48DB0650" w14:textId="77777777" w:rsidR="00B516B9" w:rsidRPr="00E871D6" w:rsidRDefault="00B516B9" w:rsidP="00B516B9">
      <w:pPr>
        <w:pStyle w:val="Vresteksts"/>
        <w:rPr>
          <w:rFonts w:ascii="Garamond" w:hAnsi="Garamond"/>
        </w:rPr>
      </w:pPr>
      <w:r w:rsidRPr="007D5281">
        <w:rPr>
          <w:rStyle w:val="Vresatsauce"/>
        </w:rPr>
        <w:footnoteRef/>
      </w:r>
      <w:r w:rsidRPr="007D5281">
        <w:t xml:space="preserve"> </w:t>
      </w:r>
      <w:hyperlink r:id="rId9" w:history="1">
        <w:r w:rsidRPr="007D5281">
          <w:rPr>
            <w:rStyle w:val="Hipersaite"/>
          </w:rPr>
          <w:t>https://appexchange.salesforce.com/listingDetail?listingId=a0N3A00000FAAUpUAP</w:t>
        </w:r>
      </w:hyperlink>
    </w:p>
  </w:footnote>
  <w:footnote w:id="6">
    <w:p w14:paraId="158E026F" w14:textId="77777777" w:rsidR="00B516B9" w:rsidRPr="00C06709" w:rsidRDefault="00B516B9" w:rsidP="00B516B9">
      <w:pPr>
        <w:pStyle w:val="Vresteksts"/>
      </w:pPr>
      <w:r w:rsidRPr="00C06709">
        <w:rPr>
          <w:rStyle w:val="Vresatsauce"/>
        </w:rPr>
        <w:footnoteRef/>
      </w:r>
      <w:r w:rsidRPr="00C06709">
        <w:t xml:space="preserve"> </w:t>
      </w:r>
      <w:r w:rsidRPr="00F7536F">
        <w:rPr>
          <w:i/>
          <w:iCs/>
        </w:rPr>
        <w:t>Anti-</w:t>
      </w:r>
      <w:r w:rsidRPr="00F7536F">
        <w:rPr>
          <w:i/>
          <w:iCs/>
        </w:rPr>
        <w:t>money laundering and counter-terrorist financing measures – Spain. FATF: Mutual Evaluation Report</w:t>
      </w:r>
      <w:r w:rsidRPr="00C06709">
        <w:rPr>
          <w:iCs/>
        </w:rPr>
        <w:t xml:space="preserve">, 2014, </w:t>
      </w:r>
      <w:r w:rsidRPr="00C06709">
        <w:t xml:space="preserve">p.38, 44, 97. </w:t>
      </w:r>
    </w:p>
  </w:footnote>
  <w:footnote w:id="7">
    <w:p w14:paraId="040007DD" w14:textId="77777777" w:rsidR="00B516B9" w:rsidRPr="00C73783" w:rsidRDefault="00B516B9" w:rsidP="00B516B9">
      <w:pPr>
        <w:pStyle w:val="Vresteksts"/>
        <w:rPr>
          <w:rFonts w:ascii="Garamond" w:hAnsi="Garamond"/>
        </w:rPr>
      </w:pPr>
      <w:r w:rsidRPr="00C06709">
        <w:rPr>
          <w:rStyle w:val="Vresatsauce"/>
        </w:rPr>
        <w:footnoteRef/>
      </w:r>
      <w:r w:rsidRPr="00C06709">
        <w:t xml:space="preserve"> </w:t>
      </w:r>
      <w:r w:rsidRPr="00F7536F">
        <w:rPr>
          <w:i/>
          <w:iCs/>
        </w:rPr>
        <w:t>Anti-</w:t>
      </w:r>
      <w:r w:rsidRPr="00F7536F">
        <w:rPr>
          <w:i/>
          <w:iCs/>
        </w:rPr>
        <w:t>money laundering and counter-terrorist financing measures – Spain. FATF: Mutual Evaluation Report</w:t>
      </w:r>
      <w:r w:rsidRPr="00C06709">
        <w:rPr>
          <w:iCs/>
        </w:rPr>
        <w:t xml:space="preserve">, 2014, </w:t>
      </w:r>
      <w:r w:rsidRPr="00C06709">
        <w:t>p.14.-15.</w:t>
      </w:r>
      <w:r w:rsidRPr="00C73783">
        <w:rPr>
          <w:rFonts w:ascii="Garamond" w:hAnsi="Garamond"/>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5937342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B3D34" w:rsidRDefault="00AB3D34" w14:paraId="35D86F4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44EBF4F9"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663C7">
      <w:rPr>
        <w:rStyle w:val="Lappusesnumurs"/>
        <w:noProof/>
      </w:rPr>
      <w:t>2</w:t>
    </w:r>
    <w:r>
      <w:rPr>
        <w:rStyle w:val="Lappusesnumurs"/>
      </w:rPr>
      <w:fldChar w:fldCharType="end"/>
    </w:r>
  </w:p>
  <w:p w:rsidR="00AB3D34" w:rsidRDefault="00AB3D34" w14:paraId="2B21C0D0"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72E0"/>
    <w:multiLevelType w:val="hybridMultilevel"/>
    <w:tmpl w:val="9F2E39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0E3C76"/>
    <w:multiLevelType w:val="hybridMultilevel"/>
    <w:tmpl w:val="B11C2700"/>
    <w:lvl w:ilvl="0" w:tplc="BE042506">
      <w:start w:val="1"/>
      <w:numFmt w:val="decimal"/>
      <w:lvlText w:val="%1."/>
      <w:lvlJc w:val="left"/>
      <w:pPr>
        <w:ind w:left="1650" w:hanging="93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F89"/>
    <w:rsid w:val="0000273C"/>
    <w:rsid w:val="00003066"/>
    <w:rsid w:val="00003C53"/>
    <w:rsid w:val="0000414A"/>
    <w:rsid w:val="0000456E"/>
    <w:rsid w:val="000055EA"/>
    <w:rsid w:val="000061D0"/>
    <w:rsid w:val="00006BF1"/>
    <w:rsid w:val="0001118D"/>
    <w:rsid w:val="0001131F"/>
    <w:rsid w:val="0001143B"/>
    <w:rsid w:val="00011663"/>
    <w:rsid w:val="0001249F"/>
    <w:rsid w:val="000125C0"/>
    <w:rsid w:val="0001270C"/>
    <w:rsid w:val="000136AA"/>
    <w:rsid w:val="00013B4C"/>
    <w:rsid w:val="00013BF6"/>
    <w:rsid w:val="0001554C"/>
    <w:rsid w:val="00015864"/>
    <w:rsid w:val="00015B94"/>
    <w:rsid w:val="00015D85"/>
    <w:rsid w:val="00015DE5"/>
    <w:rsid w:val="000172E2"/>
    <w:rsid w:val="00017449"/>
    <w:rsid w:val="00020249"/>
    <w:rsid w:val="00022338"/>
    <w:rsid w:val="0002296A"/>
    <w:rsid w:val="00022B0F"/>
    <w:rsid w:val="00022B9A"/>
    <w:rsid w:val="00023FD6"/>
    <w:rsid w:val="0002416A"/>
    <w:rsid w:val="00024CCD"/>
    <w:rsid w:val="00024D20"/>
    <w:rsid w:val="000253DB"/>
    <w:rsid w:val="0002627D"/>
    <w:rsid w:val="000278E7"/>
    <w:rsid w:val="00027A63"/>
    <w:rsid w:val="00027F9D"/>
    <w:rsid w:val="000307B5"/>
    <w:rsid w:val="00030BE2"/>
    <w:rsid w:val="00032457"/>
    <w:rsid w:val="00032E61"/>
    <w:rsid w:val="0003413A"/>
    <w:rsid w:val="000342BC"/>
    <w:rsid w:val="000349CA"/>
    <w:rsid w:val="0003557A"/>
    <w:rsid w:val="00035C06"/>
    <w:rsid w:val="000366DF"/>
    <w:rsid w:val="000376CD"/>
    <w:rsid w:val="00040A5C"/>
    <w:rsid w:val="00040FAC"/>
    <w:rsid w:val="000415C6"/>
    <w:rsid w:val="00043005"/>
    <w:rsid w:val="0004345F"/>
    <w:rsid w:val="00044026"/>
    <w:rsid w:val="00046075"/>
    <w:rsid w:val="00046CAD"/>
    <w:rsid w:val="00046F5C"/>
    <w:rsid w:val="00047385"/>
    <w:rsid w:val="00050554"/>
    <w:rsid w:val="00053706"/>
    <w:rsid w:val="00053E04"/>
    <w:rsid w:val="0005416F"/>
    <w:rsid w:val="000544E1"/>
    <w:rsid w:val="00054551"/>
    <w:rsid w:val="000579E6"/>
    <w:rsid w:val="00060E03"/>
    <w:rsid w:val="000641CE"/>
    <w:rsid w:val="00064798"/>
    <w:rsid w:val="00065271"/>
    <w:rsid w:val="00066176"/>
    <w:rsid w:val="0006618D"/>
    <w:rsid w:val="00066885"/>
    <w:rsid w:val="0006694E"/>
    <w:rsid w:val="00066A37"/>
    <w:rsid w:val="00066F05"/>
    <w:rsid w:val="00072628"/>
    <w:rsid w:val="000728ED"/>
    <w:rsid w:val="000733F5"/>
    <w:rsid w:val="000733FF"/>
    <w:rsid w:val="0007577A"/>
    <w:rsid w:val="00075783"/>
    <w:rsid w:val="000775D0"/>
    <w:rsid w:val="00081B0F"/>
    <w:rsid w:val="0008283D"/>
    <w:rsid w:val="00083090"/>
    <w:rsid w:val="00083214"/>
    <w:rsid w:val="00083B8F"/>
    <w:rsid w:val="00084B11"/>
    <w:rsid w:val="00085186"/>
    <w:rsid w:val="00085322"/>
    <w:rsid w:val="0008656F"/>
    <w:rsid w:val="00086AB9"/>
    <w:rsid w:val="00086BCE"/>
    <w:rsid w:val="00086F36"/>
    <w:rsid w:val="00090168"/>
    <w:rsid w:val="00090C76"/>
    <w:rsid w:val="00091033"/>
    <w:rsid w:val="00091F10"/>
    <w:rsid w:val="0009302B"/>
    <w:rsid w:val="00093C1C"/>
    <w:rsid w:val="00093EC2"/>
    <w:rsid w:val="000958A2"/>
    <w:rsid w:val="000965E7"/>
    <w:rsid w:val="00096D24"/>
    <w:rsid w:val="000976F5"/>
    <w:rsid w:val="00097D1A"/>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026"/>
    <w:rsid w:val="000B4746"/>
    <w:rsid w:val="000B48A4"/>
    <w:rsid w:val="000B7687"/>
    <w:rsid w:val="000B7966"/>
    <w:rsid w:val="000B7CB1"/>
    <w:rsid w:val="000C0AE6"/>
    <w:rsid w:val="000C0D0D"/>
    <w:rsid w:val="000C2555"/>
    <w:rsid w:val="000C3545"/>
    <w:rsid w:val="000C358A"/>
    <w:rsid w:val="000C498A"/>
    <w:rsid w:val="000C4C16"/>
    <w:rsid w:val="000C56FC"/>
    <w:rsid w:val="000C57DF"/>
    <w:rsid w:val="000C59D7"/>
    <w:rsid w:val="000C76BE"/>
    <w:rsid w:val="000C7907"/>
    <w:rsid w:val="000C7A11"/>
    <w:rsid w:val="000C7F5E"/>
    <w:rsid w:val="000D00AC"/>
    <w:rsid w:val="000D0AED"/>
    <w:rsid w:val="000D25BC"/>
    <w:rsid w:val="000D2A8B"/>
    <w:rsid w:val="000D3602"/>
    <w:rsid w:val="000D4D89"/>
    <w:rsid w:val="000D6BBD"/>
    <w:rsid w:val="000D6C3C"/>
    <w:rsid w:val="000D7751"/>
    <w:rsid w:val="000D7C23"/>
    <w:rsid w:val="000E0A16"/>
    <w:rsid w:val="000E1BFA"/>
    <w:rsid w:val="000E2142"/>
    <w:rsid w:val="000E21D0"/>
    <w:rsid w:val="000E2A38"/>
    <w:rsid w:val="000E2ACC"/>
    <w:rsid w:val="000E5509"/>
    <w:rsid w:val="000E585F"/>
    <w:rsid w:val="000E66F8"/>
    <w:rsid w:val="000E7A25"/>
    <w:rsid w:val="000F054F"/>
    <w:rsid w:val="000F079D"/>
    <w:rsid w:val="000F09EE"/>
    <w:rsid w:val="000F0D9D"/>
    <w:rsid w:val="000F1D56"/>
    <w:rsid w:val="000F2534"/>
    <w:rsid w:val="000F28D9"/>
    <w:rsid w:val="000F2D43"/>
    <w:rsid w:val="000F2F9A"/>
    <w:rsid w:val="000F3AA0"/>
    <w:rsid w:val="000F4535"/>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5E3A"/>
    <w:rsid w:val="00106F4F"/>
    <w:rsid w:val="001071D3"/>
    <w:rsid w:val="001075A8"/>
    <w:rsid w:val="00110259"/>
    <w:rsid w:val="001106BD"/>
    <w:rsid w:val="00110AA9"/>
    <w:rsid w:val="00111400"/>
    <w:rsid w:val="0011254D"/>
    <w:rsid w:val="001139C2"/>
    <w:rsid w:val="00114559"/>
    <w:rsid w:val="00114EA9"/>
    <w:rsid w:val="00115967"/>
    <w:rsid w:val="00115ED0"/>
    <w:rsid w:val="00116650"/>
    <w:rsid w:val="0011683C"/>
    <w:rsid w:val="001179E8"/>
    <w:rsid w:val="0012021B"/>
    <w:rsid w:val="0012055F"/>
    <w:rsid w:val="00121E5A"/>
    <w:rsid w:val="0012222D"/>
    <w:rsid w:val="001255E6"/>
    <w:rsid w:val="0013053A"/>
    <w:rsid w:val="0013066A"/>
    <w:rsid w:val="00131220"/>
    <w:rsid w:val="001315EF"/>
    <w:rsid w:val="00131F39"/>
    <w:rsid w:val="00132375"/>
    <w:rsid w:val="00132E73"/>
    <w:rsid w:val="00133505"/>
    <w:rsid w:val="00134188"/>
    <w:rsid w:val="001342EA"/>
    <w:rsid w:val="00137403"/>
    <w:rsid w:val="00140706"/>
    <w:rsid w:val="0014122A"/>
    <w:rsid w:val="00141E85"/>
    <w:rsid w:val="00142021"/>
    <w:rsid w:val="00143098"/>
    <w:rsid w:val="0014319C"/>
    <w:rsid w:val="001436B3"/>
    <w:rsid w:val="00143976"/>
    <w:rsid w:val="00143DAC"/>
    <w:rsid w:val="00144622"/>
    <w:rsid w:val="00144781"/>
    <w:rsid w:val="00144917"/>
    <w:rsid w:val="0014702D"/>
    <w:rsid w:val="00147596"/>
    <w:rsid w:val="00152718"/>
    <w:rsid w:val="001530CF"/>
    <w:rsid w:val="00153D9A"/>
    <w:rsid w:val="00153F12"/>
    <w:rsid w:val="001543DB"/>
    <w:rsid w:val="00155473"/>
    <w:rsid w:val="00155DC2"/>
    <w:rsid w:val="00156D90"/>
    <w:rsid w:val="00156E9F"/>
    <w:rsid w:val="00157666"/>
    <w:rsid w:val="00157A57"/>
    <w:rsid w:val="00157DB6"/>
    <w:rsid w:val="00157EC2"/>
    <w:rsid w:val="001605FB"/>
    <w:rsid w:val="00162A68"/>
    <w:rsid w:val="00162E08"/>
    <w:rsid w:val="001633F1"/>
    <w:rsid w:val="0016351A"/>
    <w:rsid w:val="0016531E"/>
    <w:rsid w:val="0016565C"/>
    <w:rsid w:val="001661D2"/>
    <w:rsid w:val="00166314"/>
    <w:rsid w:val="00166746"/>
    <w:rsid w:val="00167590"/>
    <w:rsid w:val="00167918"/>
    <w:rsid w:val="00167988"/>
    <w:rsid w:val="00167C1E"/>
    <w:rsid w:val="0017043B"/>
    <w:rsid w:val="001706A1"/>
    <w:rsid w:val="00170914"/>
    <w:rsid w:val="00170DF2"/>
    <w:rsid w:val="00172BD3"/>
    <w:rsid w:val="001743F1"/>
    <w:rsid w:val="00174841"/>
    <w:rsid w:val="001761FD"/>
    <w:rsid w:val="00177D61"/>
    <w:rsid w:val="00180125"/>
    <w:rsid w:val="001808CA"/>
    <w:rsid w:val="00180923"/>
    <w:rsid w:val="00180CE5"/>
    <w:rsid w:val="00181BAA"/>
    <w:rsid w:val="00181D2D"/>
    <w:rsid w:val="0018210A"/>
    <w:rsid w:val="00182DE0"/>
    <w:rsid w:val="00182FAB"/>
    <w:rsid w:val="00183254"/>
    <w:rsid w:val="0018386C"/>
    <w:rsid w:val="00184479"/>
    <w:rsid w:val="0018472C"/>
    <w:rsid w:val="00184838"/>
    <w:rsid w:val="00184B1C"/>
    <w:rsid w:val="00184F40"/>
    <w:rsid w:val="00185755"/>
    <w:rsid w:val="00186F57"/>
    <w:rsid w:val="00187398"/>
    <w:rsid w:val="001875B9"/>
    <w:rsid w:val="00187F73"/>
    <w:rsid w:val="00187FB0"/>
    <w:rsid w:val="001902E9"/>
    <w:rsid w:val="00190327"/>
    <w:rsid w:val="0019047E"/>
    <w:rsid w:val="00190A0A"/>
    <w:rsid w:val="001926F2"/>
    <w:rsid w:val="00193BCE"/>
    <w:rsid w:val="00194B87"/>
    <w:rsid w:val="00194E1D"/>
    <w:rsid w:val="0019569A"/>
    <w:rsid w:val="00195962"/>
    <w:rsid w:val="00197533"/>
    <w:rsid w:val="001977E7"/>
    <w:rsid w:val="00197CCA"/>
    <w:rsid w:val="001A0D8A"/>
    <w:rsid w:val="001A192D"/>
    <w:rsid w:val="001A342D"/>
    <w:rsid w:val="001A7C72"/>
    <w:rsid w:val="001B084B"/>
    <w:rsid w:val="001B0CEC"/>
    <w:rsid w:val="001B0FFC"/>
    <w:rsid w:val="001B18A9"/>
    <w:rsid w:val="001B1CF2"/>
    <w:rsid w:val="001B3ECE"/>
    <w:rsid w:val="001B4388"/>
    <w:rsid w:val="001B463E"/>
    <w:rsid w:val="001B49E0"/>
    <w:rsid w:val="001B5377"/>
    <w:rsid w:val="001B6159"/>
    <w:rsid w:val="001B6553"/>
    <w:rsid w:val="001B6647"/>
    <w:rsid w:val="001B6A47"/>
    <w:rsid w:val="001B6B0A"/>
    <w:rsid w:val="001B6C3C"/>
    <w:rsid w:val="001C0824"/>
    <w:rsid w:val="001C0B83"/>
    <w:rsid w:val="001C1510"/>
    <w:rsid w:val="001C1989"/>
    <w:rsid w:val="001C28FD"/>
    <w:rsid w:val="001C3349"/>
    <w:rsid w:val="001C4ABA"/>
    <w:rsid w:val="001C546B"/>
    <w:rsid w:val="001C552D"/>
    <w:rsid w:val="001C5EA2"/>
    <w:rsid w:val="001C6608"/>
    <w:rsid w:val="001C672E"/>
    <w:rsid w:val="001C6C7D"/>
    <w:rsid w:val="001D1CB1"/>
    <w:rsid w:val="001D2AC0"/>
    <w:rsid w:val="001D2DBA"/>
    <w:rsid w:val="001D2FD0"/>
    <w:rsid w:val="001D3830"/>
    <w:rsid w:val="001D3BA6"/>
    <w:rsid w:val="001D3E00"/>
    <w:rsid w:val="001D5564"/>
    <w:rsid w:val="001D6FAA"/>
    <w:rsid w:val="001D70FA"/>
    <w:rsid w:val="001D7BA9"/>
    <w:rsid w:val="001E039D"/>
    <w:rsid w:val="001E10E7"/>
    <w:rsid w:val="001E22E7"/>
    <w:rsid w:val="001E2714"/>
    <w:rsid w:val="001E398C"/>
    <w:rsid w:val="001E4456"/>
    <w:rsid w:val="001E4DDC"/>
    <w:rsid w:val="001E5ADD"/>
    <w:rsid w:val="001E774F"/>
    <w:rsid w:val="001E7C1D"/>
    <w:rsid w:val="001F073F"/>
    <w:rsid w:val="001F177D"/>
    <w:rsid w:val="001F1DFE"/>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271"/>
    <w:rsid w:val="00204D0F"/>
    <w:rsid w:val="00204DB6"/>
    <w:rsid w:val="002056ED"/>
    <w:rsid w:val="00205C3A"/>
    <w:rsid w:val="00206C00"/>
    <w:rsid w:val="00210C82"/>
    <w:rsid w:val="00211793"/>
    <w:rsid w:val="00211C11"/>
    <w:rsid w:val="00212345"/>
    <w:rsid w:val="00212960"/>
    <w:rsid w:val="00214809"/>
    <w:rsid w:val="002149A1"/>
    <w:rsid w:val="00214E7A"/>
    <w:rsid w:val="00215BFE"/>
    <w:rsid w:val="00215C44"/>
    <w:rsid w:val="00216E73"/>
    <w:rsid w:val="0021774C"/>
    <w:rsid w:val="00217FF6"/>
    <w:rsid w:val="00222386"/>
    <w:rsid w:val="002229B8"/>
    <w:rsid w:val="00222F51"/>
    <w:rsid w:val="002230E1"/>
    <w:rsid w:val="00223361"/>
    <w:rsid w:val="002244BA"/>
    <w:rsid w:val="002247AA"/>
    <w:rsid w:val="00224D7C"/>
    <w:rsid w:val="00224DA7"/>
    <w:rsid w:val="002261CB"/>
    <w:rsid w:val="00226500"/>
    <w:rsid w:val="002268BF"/>
    <w:rsid w:val="00227BDE"/>
    <w:rsid w:val="00230045"/>
    <w:rsid w:val="0023014E"/>
    <w:rsid w:val="002308FA"/>
    <w:rsid w:val="0023132F"/>
    <w:rsid w:val="00231AA5"/>
    <w:rsid w:val="00232237"/>
    <w:rsid w:val="00232F90"/>
    <w:rsid w:val="0023339B"/>
    <w:rsid w:val="0023469C"/>
    <w:rsid w:val="00234C71"/>
    <w:rsid w:val="00235511"/>
    <w:rsid w:val="002366E0"/>
    <w:rsid w:val="00236913"/>
    <w:rsid w:val="00236AC1"/>
    <w:rsid w:val="00236DE1"/>
    <w:rsid w:val="002372EE"/>
    <w:rsid w:val="002372FD"/>
    <w:rsid w:val="0023764D"/>
    <w:rsid w:val="002415BC"/>
    <w:rsid w:val="002434B2"/>
    <w:rsid w:val="002442F4"/>
    <w:rsid w:val="002445EA"/>
    <w:rsid w:val="00244ECE"/>
    <w:rsid w:val="00244FC5"/>
    <w:rsid w:val="00245D1D"/>
    <w:rsid w:val="00250271"/>
    <w:rsid w:val="00250AAC"/>
    <w:rsid w:val="00250EDA"/>
    <w:rsid w:val="00250F26"/>
    <w:rsid w:val="00251502"/>
    <w:rsid w:val="002518E8"/>
    <w:rsid w:val="00251C10"/>
    <w:rsid w:val="00251D34"/>
    <w:rsid w:val="00252E1E"/>
    <w:rsid w:val="002538BA"/>
    <w:rsid w:val="0025469D"/>
    <w:rsid w:val="002552B1"/>
    <w:rsid w:val="00255D01"/>
    <w:rsid w:val="00256E55"/>
    <w:rsid w:val="00257E0E"/>
    <w:rsid w:val="00257FF4"/>
    <w:rsid w:val="002605C3"/>
    <w:rsid w:val="00260950"/>
    <w:rsid w:val="00260FCB"/>
    <w:rsid w:val="002615F5"/>
    <w:rsid w:val="002616B9"/>
    <w:rsid w:val="0026217B"/>
    <w:rsid w:val="002629E4"/>
    <w:rsid w:val="00262ED3"/>
    <w:rsid w:val="00263FE3"/>
    <w:rsid w:val="00264441"/>
    <w:rsid w:val="00265593"/>
    <w:rsid w:val="002675EA"/>
    <w:rsid w:val="00267BC5"/>
    <w:rsid w:val="00267CBE"/>
    <w:rsid w:val="00267E0B"/>
    <w:rsid w:val="00270680"/>
    <w:rsid w:val="00271103"/>
    <w:rsid w:val="00271F6D"/>
    <w:rsid w:val="002721FA"/>
    <w:rsid w:val="0027230C"/>
    <w:rsid w:val="00272B99"/>
    <w:rsid w:val="00273357"/>
    <w:rsid w:val="0027380D"/>
    <w:rsid w:val="0027468E"/>
    <w:rsid w:val="00274826"/>
    <w:rsid w:val="00275005"/>
    <w:rsid w:val="002752AB"/>
    <w:rsid w:val="002756D6"/>
    <w:rsid w:val="0027573C"/>
    <w:rsid w:val="00280FC4"/>
    <w:rsid w:val="002815D0"/>
    <w:rsid w:val="002820A7"/>
    <w:rsid w:val="00283B82"/>
    <w:rsid w:val="00283E13"/>
    <w:rsid w:val="00284712"/>
    <w:rsid w:val="00286089"/>
    <w:rsid w:val="00286478"/>
    <w:rsid w:val="00287D86"/>
    <w:rsid w:val="00287EDD"/>
    <w:rsid w:val="0029141B"/>
    <w:rsid w:val="002927D3"/>
    <w:rsid w:val="002933F6"/>
    <w:rsid w:val="00294BDE"/>
    <w:rsid w:val="00295DB6"/>
    <w:rsid w:val="0029788B"/>
    <w:rsid w:val="00297D1B"/>
    <w:rsid w:val="00297F4D"/>
    <w:rsid w:val="002A0226"/>
    <w:rsid w:val="002A0661"/>
    <w:rsid w:val="002A0FFE"/>
    <w:rsid w:val="002A1CF2"/>
    <w:rsid w:val="002A2ED0"/>
    <w:rsid w:val="002A3A84"/>
    <w:rsid w:val="002A4C3E"/>
    <w:rsid w:val="002A56BC"/>
    <w:rsid w:val="002A5C53"/>
    <w:rsid w:val="002A5DFC"/>
    <w:rsid w:val="002A6AD6"/>
    <w:rsid w:val="002A716D"/>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A72"/>
    <w:rsid w:val="002B4BAE"/>
    <w:rsid w:val="002B538B"/>
    <w:rsid w:val="002B581B"/>
    <w:rsid w:val="002B5A3D"/>
    <w:rsid w:val="002B79EB"/>
    <w:rsid w:val="002C2892"/>
    <w:rsid w:val="002C453C"/>
    <w:rsid w:val="002C58AB"/>
    <w:rsid w:val="002C6D84"/>
    <w:rsid w:val="002C75F3"/>
    <w:rsid w:val="002C7D21"/>
    <w:rsid w:val="002D1564"/>
    <w:rsid w:val="002D1CA4"/>
    <w:rsid w:val="002D2A83"/>
    <w:rsid w:val="002D2C09"/>
    <w:rsid w:val="002D2C45"/>
    <w:rsid w:val="002D4969"/>
    <w:rsid w:val="002D4EE1"/>
    <w:rsid w:val="002D4F49"/>
    <w:rsid w:val="002D778E"/>
    <w:rsid w:val="002E04D7"/>
    <w:rsid w:val="002E06DD"/>
    <w:rsid w:val="002E171A"/>
    <w:rsid w:val="002E2A24"/>
    <w:rsid w:val="002E3D66"/>
    <w:rsid w:val="002E3F11"/>
    <w:rsid w:val="002E4B11"/>
    <w:rsid w:val="002E4F70"/>
    <w:rsid w:val="002E5404"/>
    <w:rsid w:val="002E5886"/>
    <w:rsid w:val="002E5AD3"/>
    <w:rsid w:val="002E635D"/>
    <w:rsid w:val="002E7562"/>
    <w:rsid w:val="002F071F"/>
    <w:rsid w:val="002F16D5"/>
    <w:rsid w:val="002F1A90"/>
    <w:rsid w:val="002F1C2F"/>
    <w:rsid w:val="002F1F77"/>
    <w:rsid w:val="002F3D1C"/>
    <w:rsid w:val="002F4EA1"/>
    <w:rsid w:val="002F52DE"/>
    <w:rsid w:val="002F55C1"/>
    <w:rsid w:val="002F5944"/>
    <w:rsid w:val="002F797A"/>
    <w:rsid w:val="002F7E9B"/>
    <w:rsid w:val="00300483"/>
    <w:rsid w:val="00301C91"/>
    <w:rsid w:val="00303F2B"/>
    <w:rsid w:val="00304607"/>
    <w:rsid w:val="0030467A"/>
    <w:rsid w:val="00304991"/>
    <w:rsid w:val="00304D4E"/>
    <w:rsid w:val="00304FFD"/>
    <w:rsid w:val="00305608"/>
    <w:rsid w:val="00305B72"/>
    <w:rsid w:val="0030610A"/>
    <w:rsid w:val="00306627"/>
    <w:rsid w:val="003069DD"/>
    <w:rsid w:val="00306CAB"/>
    <w:rsid w:val="003077B9"/>
    <w:rsid w:val="0031146F"/>
    <w:rsid w:val="00311795"/>
    <w:rsid w:val="003117B1"/>
    <w:rsid w:val="00311B70"/>
    <w:rsid w:val="00311CBE"/>
    <w:rsid w:val="00312280"/>
    <w:rsid w:val="00312CD0"/>
    <w:rsid w:val="003130FD"/>
    <w:rsid w:val="0031449F"/>
    <w:rsid w:val="003145A5"/>
    <w:rsid w:val="003148B9"/>
    <w:rsid w:val="00314A2E"/>
    <w:rsid w:val="00314E34"/>
    <w:rsid w:val="00315266"/>
    <w:rsid w:val="0031693B"/>
    <w:rsid w:val="003169CE"/>
    <w:rsid w:val="00316F0A"/>
    <w:rsid w:val="0031783B"/>
    <w:rsid w:val="00317AC9"/>
    <w:rsid w:val="00317DC7"/>
    <w:rsid w:val="003200F9"/>
    <w:rsid w:val="00320F38"/>
    <w:rsid w:val="00321183"/>
    <w:rsid w:val="00321694"/>
    <w:rsid w:val="00321F0A"/>
    <w:rsid w:val="003223CE"/>
    <w:rsid w:val="00322A2D"/>
    <w:rsid w:val="00322E80"/>
    <w:rsid w:val="00324D5B"/>
    <w:rsid w:val="00325045"/>
    <w:rsid w:val="00325D91"/>
    <w:rsid w:val="00325DA4"/>
    <w:rsid w:val="003267B4"/>
    <w:rsid w:val="00326988"/>
    <w:rsid w:val="00331193"/>
    <w:rsid w:val="00331F1B"/>
    <w:rsid w:val="003333D4"/>
    <w:rsid w:val="00334951"/>
    <w:rsid w:val="00336411"/>
    <w:rsid w:val="0033678D"/>
    <w:rsid w:val="0033720D"/>
    <w:rsid w:val="003373E8"/>
    <w:rsid w:val="00337D64"/>
    <w:rsid w:val="003421E1"/>
    <w:rsid w:val="00344152"/>
    <w:rsid w:val="003443DD"/>
    <w:rsid w:val="00344D5A"/>
    <w:rsid w:val="00346EB6"/>
    <w:rsid w:val="00347EDB"/>
    <w:rsid w:val="00350797"/>
    <w:rsid w:val="00351A85"/>
    <w:rsid w:val="003522E8"/>
    <w:rsid w:val="00353989"/>
    <w:rsid w:val="00354D2C"/>
    <w:rsid w:val="0035538C"/>
    <w:rsid w:val="00355B7A"/>
    <w:rsid w:val="0035617C"/>
    <w:rsid w:val="0035624D"/>
    <w:rsid w:val="00356E7E"/>
    <w:rsid w:val="00356EB8"/>
    <w:rsid w:val="00357B83"/>
    <w:rsid w:val="003607EC"/>
    <w:rsid w:val="003614A8"/>
    <w:rsid w:val="0036160E"/>
    <w:rsid w:val="00362610"/>
    <w:rsid w:val="00363830"/>
    <w:rsid w:val="00363D2D"/>
    <w:rsid w:val="00364BB6"/>
    <w:rsid w:val="00364D6B"/>
    <w:rsid w:val="00365408"/>
    <w:rsid w:val="00365CC0"/>
    <w:rsid w:val="003668DF"/>
    <w:rsid w:val="00367688"/>
    <w:rsid w:val="00372221"/>
    <w:rsid w:val="00372CF2"/>
    <w:rsid w:val="0037473B"/>
    <w:rsid w:val="00374C7E"/>
    <w:rsid w:val="00375C8B"/>
    <w:rsid w:val="00377353"/>
    <w:rsid w:val="0037736B"/>
    <w:rsid w:val="00380C0F"/>
    <w:rsid w:val="00381F57"/>
    <w:rsid w:val="0038216E"/>
    <w:rsid w:val="003822E5"/>
    <w:rsid w:val="003830B8"/>
    <w:rsid w:val="00383262"/>
    <w:rsid w:val="00392677"/>
    <w:rsid w:val="00396D59"/>
    <w:rsid w:val="00397C87"/>
    <w:rsid w:val="003A157A"/>
    <w:rsid w:val="003A283F"/>
    <w:rsid w:val="003A2A16"/>
    <w:rsid w:val="003A2FDD"/>
    <w:rsid w:val="003A3C43"/>
    <w:rsid w:val="003A5CCC"/>
    <w:rsid w:val="003A5D8A"/>
    <w:rsid w:val="003A70FF"/>
    <w:rsid w:val="003A74D2"/>
    <w:rsid w:val="003A756B"/>
    <w:rsid w:val="003A7902"/>
    <w:rsid w:val="003B2375"/>
    <w:rsid w:val="003B23D7"/>
    <w:rsid w:val="003B34CB"/>
    <w:rsid w:val="003B3AB4"/>
    <w:rsid w:val="003B3CA8"/>
    <w:rsid w:val="003B45D5"/>
    <w:rsid w:val="003B4D53"/>
    <w:rsid w:val="003B52FE"/>
    <w:rsid w:val="003B572A"/>
    <w:rsid w:val="003B6325"/>
    <w:rsid w:val="003B71E0"/>
    <w:rsid w:val="003B78A4"/>
    <w:rsid w:val="003B7F0B"/>
    <w:rsid w:val="003C144E"/>
    <w:rsid w:val="003C1A07"/>
    <w:rsid w:val="003C1E74"/>
    <w:rsid w:val="003C20A2"/>
    <w:rsid w:val="003C2673"/>
    <w:rsid w:val="003C2781"/>
    <w:rsid w:val="003C27A2"/>
    <w:rsid w:val="003C567C"/>
    <w:rsid w:val="003C59B8"/>
    <w:rsid w:val="003C6809"/>
    <w:rsid w:val="003C7897"/>
    <w:rsid w:val="003D0937"/>
    <w:rsid w:val="003D17E6"/>
    <w:rsid w:val="003D1A20"/>
    <w:rsid w:val="003D1AC9"/>
    <w:rsid w:val="003D2AC9"/>
    <w:rsid w:val="003D2CD8"/>
    <w:rsid w:val="003D3724"/>
    <w:rsid w:val="003D3AE1"/>
    <w:rsid w:val="003D46A7"/>
    <w:rsid w:val="003D6376"/>
    <w:rsid w:val="003D79AD"/>
    <w:rsid w:val="003E0F4A"/>
    <w:rsid w:val="003E1235"/>
    <w:rsid w:val="003E2A35"/>
    <w:rsid w:val="003E2B56"/>
    <w:rsid w:val="003E2CE1"/>
    <w:rsid w:val="003E2DCB"/>
    <w:rsid w:val="003E3D88"/>
    <w:rsid w:val="003E4C3F"/>
    <w:rsid w:val="003E4D7C"/>
    <w:rsid w:val="003E5FA8"/>
    <w:rsid w:val="003E6252"/>
    <w:rsid w:val="003E7FDF"/>
    <w:rsid w:val="003F1200"/>
    <w:rsid w:val="003F1421"/>
    <w:rsid w:val="003F1844"/>
    <w:rsid w:val="003F1FDC"/>
    <w:rsid w:val="003F241E"/>
    <w:rsid w:val="003F26CF"/>
    <w:rsid w:val="003F28C0"/>
    <w:rsid w:val="003F34A1"/>
    <w:rsid w:val="003F52B2"/>
    <w:rsid w:val="003F5C8C"/>
    <w:rsid w:val="003F716E"/>
    <w:rsid w:val="00400061"/>
    <w:rsid w:val="0040068A"/>
    <w:rsid w:val="00400813"/>
    <w:rsid w:val="004013AD"/>
    <w:rsid w:val="00402215"/>
    <w:rsid w:val="00402A48"/>
    <w:rsid w:val="00402C35"/>
    <w:rsid w:val="00403244"/>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5A7E"/>
    <w:rsid w:val="00416277"/>
    <w:rsid w:val="00416E24"/>
    <w:rsid w:val="004172EA"/>
    <w:rsid w:val="0042063D"/>
    <w:rsid w:val="00422B23"/>
    <w:rsid w:val="00423A60"/>
    <w:rsid w:val="0042651C"/>
    <w:rsid w:val="00426E9B"/>
    <w:rsid w:val="00427D55"/>
    <w:rsid w:val="0043233C"/>
    <w:rsid w:val="004345A6"/>
    <w:rsid w:val="00434C7A"/>
    <w:rsid w:val="00435B2F"/>
    <w:rsid w:val="00435E03"/>
    <w:rsid w:val="004373E1"/>
    <w:rsid w:val="004374A3"/>
    <w:rsid w:val="00437A7E"/>
    <w:rsid w:val="00437B6C"/>
    <w:rsid w:val="00440144"/>
    <w:rsid w:val="0044064E"/>
    <w:rsid w:val="00440805"/>
    <w:rsid w:val="00440DED"/>
    <w:rsid w:val="004412E1"/>
    <w:rsid w:val="00441554"/>
    <w:rsid w:val="00442E48"/>
    <w:rsid w:val="00443DCD"/>
    <w:rsid w:val="00443E7E"/>
    <w:rsid w:val="00444C06"/>
    <w:rsid w:val="00445377"/>
    <w:rsid w:val="00445498"/>
    <w:rsid w:val="004454DF"/>
    <w:rsid w:val="00446804"/>
    <w:rsid w:val="00446832"/>
    <w:rsid w:val="004478D4"/>
    <w:rsid w:val="00450380"/>
    <w:rsid w:val="004505C6"/>
    <w:rsid w:val="0045186B"/>
    <w:rsid w:val="00451C14"/>
    <w:rsid w:val="004520CD"/>
    <w:rsid w:val="00452DF3"/>
    <w:rsid w:val="004534F5"/>
    <w:rsid w:val="00453765"/>
    <w:rsid w:val="00454EC3"/>
    <w:rsid w:val="0045530A"/>
    <w:rsid w:val="004554AE"/>
    <w:rsid w:val="004554C3"/>
    <w:rsid w:val="00455FB6"/>
    <w:rsid w:val="00457197"/>
    <w:rsid w:val="004573F8"/>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372A"/>
    <w:rsid w:val="00474C60"/>
    <w:rsid w:val="00475388"/>
    <w:rsid w:val="00475944"/>
    <w:rsid w:val="00475DF0"/>
    <w:rsid w:val="00476525"/>
    <w:rsid w:val="004772E2"/>
    <w:rsid w:val="0047739F"/>
    <w:rsid w:val="00477F97"/>
    <w:rsid w:val="004805A5"/>
    <w:rsid w:val="00480A2D"/>
    <w:rsid w:val="00480AFB"/>
    <w:rsid w:val="00480D23"/>
    <w:rsid w:val="00481247"/>
    <w:rsid w:val="004828DC"/>
    <w:rsid w:val="00482E49"/>
    <w:rsid w:val="00482FF7"/>
    <w:rsid w:val="00483098"/>
    <w:rsid w:val="00483AFB"/>
    <w:rsid w:val="0048402B"/>
    <w:rsid w:val="0048414A"/>
    <w:rsid w:val="00484B31"/>
    <w:rsid w:val="00485C56"/>
    <w:rsid w:val="00486B79"/>
    <w:rsid w:val="00486CA2"/>
    <w:rsid w:val="00487E18"/>
    <w:rsid w:val="00490239"/>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B0D"/>
    <w:rsid w:val="004A49A8"/>
    <w:rsid w:val="004A52F5"/>
    <w:rsid w:val="004A5D3A"/>
    <w:rsid w:val="004A6897"/>
    <w:rsid w:val="004A692B"/>
    <w:rsid w:val="004A6EB6"/>
    <w:rsid w:val="004A794C"/>
    <w:rsid w:val="004B3EC7"/>
    <w:rsid w:val="004B41AD"/>
    <w:rsid w:val="004B5664"/>
    <w:rsid w:val="004B7B84"/>
    <w:rsid w:val="004C12E9"/>
    <w:rsid w:val="004C2107"/>
    <w:rsid w:val="004C4E86"/>
    <w:rsid w:val="004C5FC6"/>
    <w:rsid w:val="004C6435"/>
    <w:rsid w:val="004C649B"/>
    <w:rsid w:val="004C677A"/>
    <w:rsid w:val="004C7907"/>
    <w:rsid w:val="004C7B9C"/>
    <w:rsid w:val="004C7D55"/>
    <w:rsid w:val="004D089A"/>
    <w:rsid w:val="004D2CE7"/>
    <w:rsid w:val="004D3184"/>
    <w:rsid w:val="004D5030"/>
    <w:rsid w:val="004D6045"/>
    <w:rsid w:val="004D724D"/>
    <w:rsid w:val="004D7317"/>
    <w:rsid w:val="004D7546"/>
    <w:rsid w:val="004D7EC5"/>
    <w:rsid w:val="004E02B0"/>
    <w:rsid w:val="004E0B29"/>
    <w:rsid w:val="004E0E11"/>
    <w:rsid w:val="004E0F08"/>
    <w:rsid w:val="004E1546"/>
    <w:rsid w:val="004E19DC"/>
    <w:rsid w:val="004E2ED4"/>
    <w:rsid w:val="004E35E8"/>
    <w:rsid w:val="004E4204"/>
    <w:rsid w:val="004E50F0"/>
    <w:rsid w:val="004E6A03"/>
    <w:rsid w:val="004F0070"/>
    <w:rsid w:val="004F0468"/>
    <w:rsid w:val="004F0C51"/>
    <w:rsid w:val="004F263C"/>
    <w:rsid w:val="004F2BB1"/>
    <w:rsid w:val="004F2EC7"/>
    <w:rsid w:val="004F3CE8"/>
    <w:rsid w:val="004F5A4C"/>
    <w:rsid w:val="004F5CD9"/>
    <w:rsid w:val="004F6BFB"/>
    <w:rsid w:val="004F745D"/>
    <w:rsid w:val="004F7E4A"/>
    <w:rsid w:val="0050147C"/>
    <w:rsid w:val="0050182B"/>
    <w:rsid w:val="005024C4"/>
    <w:rsid w:val="00502579"/>
    <w:rsid w:val="005029F7"/>
    <w:rsid w:val="00503D4C"/>
    <w:rsid w:val="00504C0C"/>
    <w:rsid w:val="00504E48"/>
    <w:rsid w:val="005070FF"/>
    <w:rsid w:val="00507695"/>
    <w:rsid w:val="005122FC"/>
    <w:rsid w:val="00512BBC"/>
    <w:rsid w:val="005134FB"/>
    <w:rsid w:val="005135FD"/>
    <w:rsid w:val="0051366C"/>
    <w:rsid w:val="0051684F"/>
    <w:rsid w:val="00516A92"/>
    <w:rsid w:val="00516B9F"/>
    <w:rsid w:val="00517693"/>
    <w:rsid w:val="00517814"/>
    <w:rsid w:val="005205AB"/>
    <w:rsid w:val="005205E8"/>
    <w:rsid w:val="005211CD"/>
    <w:rsid w:val="00523378"/>
    <w:rsid w:val="00524FF0"/>
    <w:rsid w:val="0052550F"/>
    <w:rsid w:val="005265E4"/>
    <w:rsid w:val="00526C0F"/>
    <w:rsid w:val="0052702A"/>
    <w:rsid w:val="00530397"/>
    <w:rsid w:val="00530F73"/>
    <w:rsid w:val="00533B8E"/>
    <w:rsid w:val="00535417"/>
    <w:rsid w:val="00535833"/>
    <w:rsid w:val="0053599A"/>
    <w:rsid w:val="00536709"/>
    <w:rsid w:val="00536D28"/>
    <w:rsid w:val="005372C5"/>
    <w:rsid w:val="00537A26"/>
    <w:rsid w:val="00540E37"/>
    <w:rsid w:val="00540E47"/>
    <w:rsid w:val="005420E6"/>
    <w:rsid w:val="00543283"/>
    <w:rsid w:val="0054364C"/>
    <w:rsid w:val="00546252"/>
    <w:rsid w:val="00546747"/>
    <w:rsid w:val="00547510"/>
    <w:rsid w:val="00547E72"/>
    <w:rsid w:val="00547ECC"/>
    <w:rsid w:val="00551D43"/>
    <w:rsid w:val="00551D5A"/>
    <w:rsid w:val="00551EC3"/>
    <w:rsid w:val="005532B5"/>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8F2"/>
    <w:rsid w:val="00567E8F"/>
    <w:rsid w:val="005702D6"/>
    <w:rsid w:val="00572588"/>
    <w:rsid w:val="0057298A"/>
    <w:rsid w:val="00573A50"/>
    <w:rsid w:val="005746D2"/>
    <w:rsid w:val="00574E8A"/>
    <w:rsid w:val="00575BA1"/>
    <w:rsid w:val="00576433"/>
    <w:rsid w:val="00577775"/>
    <w:rsid w:val="005811B4"/>
    <w:rsid w:val="0058121A"/>
    <w:rsid w:val="00581863"/>
    <w:rsid w:val="00581EA3"/>
    <w:rsid w:val="0058205A"/>
    <w:rsid w:val="0058260B"/>
    <w:rsid w:val="00584B8C"/>
    <w:rsid w:val="00584D1E"/>
    <w:rsid w:val="0058581C"/>
    <w:rsid w:val="00586795"/>
    <w:rsid w:val="00586B82"/>
    <w:rsid w:val="00587E13"/>
    <w:rsid w:val="005933AA"/>
    <w:rsid w:val="005940AA"/>
    <w:rsid w:val="00594614"/>
    <w:rsid w:val="00594E10"/>
    <w:rsid w:val="005958A4"/>
    <w:rsid w:val="00596306"/>
    <w:rsid w:val="00596487"/>
    <w:rsid w:val="00596EE8"/>
    <w:rsid w:val="005A0809"/>
    <w:rsid w:val="005A0B91"/>
    <w:rsid w:val="005A0BB9"/>
    <w:rsid w:val="005A1494"/>
    <w:rsid w:val="005A1998"/>
    <w:rsid w:val="005A3590"/>
    <w:rsid w:val="005A4A1C"/>
    <w:rsid w:val="005A5BD8"/>
    <w:rsid w:val="005A692A"/>
    <w:rsid w:val="005A6AB8"/>
    <w:rsid w:val="005B11C2"/>
    <w:rsid w:val="005B137B"/>
    <w:rsid w:val="005B180A"/>
    <w:rsid w:val="005B382C"/>
    <w:rsid w:val="005B3C11"/>
    <w:rsid w:val="005B40DA"/>
    <w:rsid w:val="005B4226"/>
    <w:rsid w:val="005B5AA4"/>
    <w:rsid w:val="005B656B"/>
    <w:rsid w:val="005B71B3"/>
    <w:rsid w:val="005B76A4"/>
    <w:rsid w:val="005C04A7"/>
    <w:rsid w:val="005C17A4"/>
    <w:rsid w:val="005C1D7D"/>
    <w:rsid w:val="005C20BB"/>
    <w:rsid w:val="005C27CC"/>
    <w:rsid w:val="005C370D"/>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67F7"/>
    <w:rsid w:val="005D7D7E"/>
    <w:rsid w:val="005E0B59"/>
    <w:rsid w:val="005E1105"/>
    <w:rsid w:val="005E162F"/>
    <w:rsid w:val="005E1B49"/>
    <w:rsid w:val="005E2C60"/>
    <w:rsid w:val="005E31F6"/>
    <w:rsid w:val="005E3622"/>
    <w:rsid w:val="005E5EAE"/>
    <w:rsid w:val="005E60B3"/>
    <w:rsid w:val="005E676C"/>
    <w:rsid w:val="005E6CB9"/>
    <w:rsid w:val="005E7548"/>
    <w:rsid w:val="005E7F14"/>
    <w:rsid w:val="005F0154"/>
    <w:rsid w:val="005F0176"/>
    <w:rsid w:val="005F021D"/>
    <w:rsid w:val="005F17F6"/>
    <w:rsid w:val="005F1EAC"/>
    <w:rsid w:val="005F308F"/>
    <w:rsid w:val="005F4869"/>
    <w:rsid w:val="005F4BFD"/>
    <w:rsid w:val="005F5748"/>
    <w:rsid w:val="005F5834"/>
    <w:rsid w:val="005F5E11"/>
    <w:rsid w:val="006003E5"/>
    <w:rsid w:val="00600E63"/>
    <w:rsid w:val="00601561"/>
    <w:rsid w:val="00601E55"/>
    <w:rsid w:val="00602034"/>
    <w:rsid w:val="00602037"/>
    <w:rsid w:val="006029DD"/>
    <w:rsid w:val="00602C6A"/>
    <w:rsid w:val="00603AF5"/>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22"/>
    <w:rsid w:val="00630583"/>
    <w:rsid w:val="00630D2E"/>
    <w:rsid w:val="00630D39"/>
    <w:rsid w:val="0063183F"/>
    <w:rsid w:val="00631E19"/>
    <w:rsid w:val="00633E76"/>
    <w:rsid w:val="00633EC9"/>
    <w:rsid w:val="006340F5"/>
    <w:rsid w:val="00634542"/>
    <w:rsid w:val="00635E4D"/>
    <w:rsid w:val="0063620C"/>
    <w:rsid w:val="00637E18"/>
    <w:rsid w:val="0064032E"/>
    <w:rsid w:val="0064038D"/>
    <w:rsid w:val="00641A0B"/>
    <w:rsid w:val="00641D5A"/>
    <w:rsid w:val="00641E06"/>
    <w:rsid w:val="0064229D"/>
    <w:rsid w:val="00642C2F"/>
    <w:rsid w:val="00643007"/>
    <w:rsid w:val="006431D0"/>
    <w:rsid w:val="006432C5"/>
    <w:rsid w:val="006436FA"/>
    <w:rsid w:val="00643852"/>
    <w:rsid w:val="00643C27"/>
    <w:rsid w:val="006455E7"/>
    <w:rsid w:val="00645758"/>
    <w:rsid w:val="006461A1"/>
    <w:rsid w:val="00647422"/>
    <w:rsid w:val="00647959"/>
    <w:rsid w:val="00647E6B"/>
    <w:rsid w:val="00650E84"/>
    <w:rsid w:val="006515D7"/>
    <w:rsid w:val="0065198B"/>
    <w:rsid w:val="006525AF"/>
    <w:rsid w:val="0065266A"/>
    <w:rsid w:val="00653F9C"/>
    <w:rsid w:val="00655470"/>
    <w:rsid w:val="00655FE9"/>
    <w:rsid w:val="00656FEE"/>
    <w:rsid w:val="0065758F"/>
    <w:rsid w:val="00660897"/>
    <w:rsid w:val="00661028"/>
    <w:rsid w:val="006617BD"/>
    <w:rsid w:val="0066194D"/>
    <w:rsid w:val="00664695"/>
    <w:rsid w:val="00664840"/>
    <w:rsid w:val="00664B44"/>
    <w:rsid w:val="006652BF"/>
    <w:rsid w:val="0066630C"/>
    <w:rsid w:val="00667BBD"/>
    <w:rsid w:val="00671149"/>
    <w:rsid w:val="00671615"/>
    <w:rsid w:val="00671741"/>
    <w:rsid w:val="00671766"/>
    <w:rsid w:val="00672914"/>
    <w:rsid w:val="00673940"/>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2CC9"/>
    <w:rsid w:val="0069493F"/>
    <w:rsid w:val="0069596E"/>
    <w:rsid w:val="00696566"/>
    <w:rsid w:val="006966BA"/>
    <w:rsid w:val="0069722D"/>
    <w:rsid w:val="006A0052"/>
    <w:rsid w:val="006A0A9E"/>
    <w:rsid w:val="006A1C6D"/>
    <w:rsid w:val="006A1F1C"/>
    <w:rsid w:val="006A206C"/>
    <w:rsid w:val="006A3836"/>
    <w:rsid w:val="006A3DD3"/>
    <w:rsid w:val="006A4625"/>
    <w:rsid w:val="006A47AE"/>
    <w:rsid w:val="006A5B5E"/>
    <w:rsid w:val="006A67CB"/>
    <w:rsid w:val="006B0368"/>
    <w:rsid w:val="006B0F6E"/>
    <w:rsid w:val="006B1D7B"/>
    <w:rsid w:val="006B2335"/>
    <w:rsid w:val="006B27D4"/>
    <w:rsid w:val="006B2C9C"/>
    <w:rsid w:val="006B48EB"/>
    <w:rsid w:val="006B4C00"/>
    <w:rsid w:val="006B56FC"/>
    <w:rsid w:val="006B620A"/>
    <w:rsid w:val="006B649F"/>
    <w:rsid w:val="006B6DDA"/>
    <w:rsid w:val="006B73D9"/>
    <w:rsid w:val="006B7DF0"/>
    <w:rsid w:val="006B7E74"/>
    <w:rsid w:val="006C0D75"/>
    <w:rsid w:val="006C1C48"/>
    <w:rsid w:val="006C386B"/>
    <w:rsid w:val="006C3C1D"/>
    <w:rsid w:val="006C41FF"/>
    <w:rsid w:val="006C5145"/>
    <w:rsid w:val="006C65A8"/>
    <w:rsid w:val="006C78E9"/>
    <w:rsid w:val="006D05AD"/>
    <w:rsid w:val="006D0EC1"/>
    <w:rsid w:val="006D16F8"/>
    <w:rsid w:val="006D1813"/>
    <w:rsid w:val="006D24A9"/>
    <w:rsid w:val="006D2AF3"/>
    <w:rsid w:val="006D4D79"/>
    <w:rsid w:val="006D4FBD"/>
    <w:rsid w:val="006D53F6"/>
    <w:rsid w:val="006D5879"/>
    <w:rsid w:val="006D63FD"/>
    <w:rsid w:val="006D65B4"/>
    <w:rsid w:val="006D754A"/>
    <w:rsid w:val="006D7B9C"/>
    <w:rsid w:val="006E04C6"/>
    <w:rsid w:val="006E0A65"/>
    <w:rsid w:val="006E1B01"/>
    <w:rsid w:val="006E2966"/>
    <w:rsid w:val="006E3E3D"/>
    <w:rsid w:val="006E4745"/>
    <w:rsid w:val="006E4836"/>
    <w:rsid w:val="006E5DDD"/>
    <w:rsid w:val="006E7811"/>
    <w:rsid w:val="006F04DA"/>
    <w:rsid w:val="006F0557"/>
    <w:rsid w:val="006F0EA3"/>
    <w:rsid w:val="006F1B5D"/>
    <w:rsid w:val="006F212B"/>
    <w:rsid w:val="006F2B9C"/>
    <w:rsid w:val="006F37F7"/>
    <w:rsid w:val="006F4A61"/>
    <w:rsid w:val="006F4ADC"/>
    <w:rsid w:val="006F643D"/>
    <w:rsid w:val="006F675C"/>
    <w:rsid w:val="006F6D13"/>
    <w:rsid w:val="006F7759"/>
    <w:rsid w:val="006F7D95"/>
    <w:rsid w:val="007009FE"/>
    <w:rsid w:val="00700D41"/>
    <w:rsid w:val="00701B21"/>
    <w:rsid w:val="00702384"/>
    <w:rsid w:val="00704BAE"/>
    <w:rsid w:val="00705807"/>
    <w:rsid w:val="00705C74"/>
    <w:rsid w:val="00705C78"/>
    <w:rsid w:val="007060E1"/>
    <w:rsid w:val="0070673C"/>
    <w:rsid w:val="00706824"/>
    <w:rsid w:val="00706B85"/>
    <w:rsid w:val="007071FC"/>
    <w:rsid w:val="00707C84"/>
    <w:rsid w:val="00710A59"/>
    <w:rsid w:val="00710FDE"/>
    <w:rsid w:val="007116C7"/>
    <w:rsid w:val="00711C5A"/>
    <w:rsid w:val="00712B66"/>
    <w:rsid w:val="00713C31"/>
    <w:rsid w:val="0071428D"/>
    <w:rsid w:val="007144C9"/>
    <w:rsid w:val="00715E68"/>
    <w:rsid w:val="00716AE4"/>
    <w:rsid w:val="00716B3C"/>
    <w:rsid w:val="007170C2"/>
    <w:rsid w:val="00717EE4"/>
    <w:rsid w:val="00717F2D"/>
    <w:rsid w:val="00720453"/>
    <w:rsid w:val="00720853"/>
    <w:rsid w:val="00722129"/>
    <w:rsid w:val="0072326F"/>
    <w:rsid w:val="00724173"/>
    <w:rsid w:val="00724692"/>
    <w:rsid w:val="00726730"/>
    <w:rsid w:val="00730598"/>
    <w:rsid w:val="00731C24"/>
    <w:rsid w:val="00731DB6"/>
    <w:rsid w:val="0073257E"/>
    <w:rsid w:val="00732A32"/>
    <w:rsid w:val="00733066"/>
    <w:rsid w:val="00733469"/>
    <w:rsid w:val="00733539"/>
    <w:rsid w:val="00735557"/>
    <w:rsid w:val="00736384"/>
    <w:rsid w:val="00737108"/>
    <w:rsid w:val="007379CE"/>
    <w:rsid w:val="007419A7"/>
    <w:rsid w:val="00741B21"/>
    <w:rsid w:val="00741DD8"/>
    <w:rsid w:val="00741E49"/>
    <w:rsid w:val="0074250D"/>
    <w:rsid w:val="007445E2"/>
    <w:rsid w:val="00744751"/>
    <w:rsid w:val="007448BF"/>
    <w:rsid w:val="00745496"/>
    <w:rsid w:val="007460DA"/>
    <w:rsid w:val="0074705B"/>
    <w:rsid w:val="007470EC"/>
    <w:rsid w:val="00747F14"/>
    <w:rsid w:val="0075020B"/>
    <w:rsid w:val="00751017"/>
    <w:rsid w:val="00751960"/>
    <w:rsid w:val="007535C7"/>
    <w:rsid w:val="00756551"/>
    <w:rsid w:val="00756C13"/>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DB0"/>
    <w:rsid w:val="00787C8A"/>
    <w:rsid w:val="00787D47"/>
    <w:rsid w:val="0079014E"/>
    <w:rsid w:val="0079148B"/>
    <w:rsid w:val="00792971"/>
    <w:rsid w:val="007935C6"/>
    <w:rsid w:val="00794129"/>
    <w:rsid w:val="00794516"/>
    <w:rsid w:val="00794878"/>
    <w:rsid w:val="00795512"/>
    <w:rsid w:val="00795AB7"/>
    <w:rsid w:val="00795E37"/>
    <w:rsid w:val="00796789"/>
    <w:rsid w:val="0079694C"/>
    <w:rsid w:val="00796D89"/>
    <w:rsid w:val="00796DA2"/>
    <w:rsid w:val="0079751B"/>
    <w:rsid w:val="00797D4D"/>
    <w:rsid w:val="007A0415"/>
    <w:rsid w:val="007A06BA"/>
    <w:rsid w:val="007A0D58"/>
    <w:rsid w:val="007A23DD"/>
    <w:rsid w:val="007A27BD"/>
    <w:rsid w:val="007A294A"/>
    <w:rsid w:val="007A4C96"/>
    <w:rsid w:val="007A51A6"/>
    <w:rsid w:val="007A523D"/>
    <w:rsid w:val="007A5629"/>
    <w:rsid w:val="007A56E5"/>
    <w:rsid w:val="007A60CA"/>
    <w:rsid w:val="007A6E14"/>
    <w:rsid w:val="007A6F0F"/>
    <w:rsid w:val="007A701F"/>
    <w:rsid w:val="007A708C"/>
    <w:rsid w:val="007A75B5"/>
    <w:rsid w:val="007A7985"/>
    <w:rsid w:val="007A7ABE"/>
    <w:rsid w:val="007B03C5"/>
    <w:rsid w:val="007B12AC"/>
    <w:rsid w:val="007B1BC5"/>
    <w:rsid w:val="007B217A"/>
    <w:rsid w:val="007B26E1"/>
    <w:rsid w:val="007B3045"/>
    <w:rsid w:val="007B39C0"/>
    <w:rsid w:val="007B4C0F"/>
    <w:rsid w:val="007B5E25"/>
    <w:rsid w:val="007B6E0E"/>
    <w:rsid w:val="007C155E"/>
    <w:rsid w:val="007C27FB"/>
    <w:rsid w:val="007C2CBB"/>
    <w:rsid w:val="007C309C"/>
    <w:rsid w:val="007C4209"/>
    <w:rsid w:val="007C5EB9"/>
    <w:rsid w:val="007C7449"/>
    <w:rsid w:val="007C7EA5"/>
    <w:rsid w:val="007D1A95"/>
    <w:rsid w:val="007D245E"/>
    <w:rsid w:val="007D2657"/>
    <w:rsid w:val="007D3764"/>
    <w:rsid w:val="007D485A"/>
    <w:rsid w:val="007D54FF"/>
    <w:rsid w:val="007D57D4"/>
    <w:rsid w:val="007D6315"/>
    <w:rsid w:val="007D724A"/>
    <w:rsid w:val="007D75A3"/>
    <w:rsid w:val="007E16E2"/>
    <w:rsid w:val="007E19FE"/>
    <w:rsid w:val="007E1AAC"/>
    <w:rsid w:val="007E3B9C"/>
    <w:rsid w:val="007E4106"/>
    <w:rsid w:val="007E4A2F"/>
    <w:rsid w:val="007E5C4A"/>
    <w:rsid w:val="007E6915"/>
    <w:rsid w:val="007E74CA"/>
    <w:rsid w:val="007E7AD3"/>
    <w:rsid w:val="007F0070"/>
    <w:rsid w:val="007F0441"/>
    <w:rsid w:val="007F0E99"/>
    <w:rsid w:val="007F173D"/>
    <w:rsid w:val="007F19C6"/>
    <w:rsid w:val="007F20F1"/>
    <w:rsid w:val="007F310E"/>
    <w:rsid w:val="007F4224"/>
    <w:rsid w:val="007F4DD2"/>
    <w:rsid w:val="007F4FB9"/>
    <w:rsid w:val="007F63C6"/>
    <w:rsid w:val="007F7022"/>
    <w:rsid w:val="007F7690"/>
    <w:rsid w:val="008011CC"/>
    <w:rsid w:val="00801404"/>
    <w:rsid w:val="008017AA"/>
    <w:rsid w:val="00801CBA"/>
    <w:rsid w:val="00801D92"/>
    <w:rsid w:val="00804BCF"/>
    <w:rsid w:val="00804FA4"/>
    <w:rsid w:val="00805275"/>
    <w:rsid w:val="00806A62"/>
    <w:rsid w:val="00806E55"/>
    <w:rsid w:val="008075CE"/>
    <w:rsid w:val="008115F7"/>
    <w:rsid w:val="00812179"/>
    <w:rsid w:val="008124E2"/>
    <w:rsid w:val="00813411"/>
    <w:rsid w:val="00813928"/>
    <w:rsid w:val="00815321"/>
    <w:rsid w:val="008162BF"/>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2351"/>
    <w:rsid w:val="008333B7"/>
    <w:rsid w:val="008336EC"/>
    <w:rsid w:val="008337B9"/>
    <w:rsid w:val="008340E4"/>
    <w:rsid w:val="00834FD2"/>
    <w:rsid w:val="00835084"/>
    <w:rsid w:val="00835184"/>
    <w:rsid w:val="00835569"/>
    <w:rsid w:val="00835802"/>
    <w:rsid w:val="00836095"/>
    <w:rsid w:val="00836295"/>
    <w:rsid w:val="008370D2"/>
    <w:rsid w:val="008370EE"/>
    <w:rsid w:val="00837CBA"/>
    <w:rsid w:val="0084093F"/>
    <w:rsid w:val="0084098A"/>
    <w:rsid w:val="00840DB0"/>
    <w:rsid w:val="00840EDE"/>
    <w:rsid w:val="008418A5"/>
    <w:rsid w:val="00843548"/>
    <w:rsid w:val="0084383C"/>
    <w:rsid w:val="00843925"/>
    <w:rsid w:val="00843CC0"/>
    <w:rsid w:val="00844ADD"/>
    <w:rsid w:val="0084534E"/>
    <w:rsid w:val="00846062"/>
    <w:rsid w:val="008474C1"/>
    <w:rsid w:val="00847AAE"/>
    <w:rsid w:val="00847C1C"/>
    <w:rsid w:val="0085055E"/>
    <w:rsid w:val="00850C3B"/>
    <w:rsid w:val="008512E4"/>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5C5C"/>
    <w:rsid w:val="00865E31"/>
    <w:rsid w:val="008671C7"/>
    <w:rsid w:val="00867EB8"/>
    <w:rsid w:val="008700B9"/>
    <w:rsid w:val="00870335"/>
    <w:rsid w:val="00870AA2"/>
    <w:rsid w:val="00873D88"/>
    <w:rsid w:val="0087433B"/>
    <w:rsid w:val="00874B0A"/>
    <w:rsid w:val="0087621E"/>
    <w:rsid w:val="008767B2"/>
    <w:rsid w:val="00877328"/>
    <w:rsid w:val="00877469"/>
    <w:rsid w:val="0087787A"/>
    <w:rsid w:val="008802F0"/>
    <w:rsid w:val="00880992"/>
    <w:rsid w:val="00881692"/>
    <w:rsid w:val="00883143"/>
    <w:rsid w:val="00886154"/>
    <w:rsid w:val="00890277"/>
    <w:rsid w:val="0089061A"/>
    <w:rsid w:val="008915C6"/>
    <w:rsid w:val="00891677"/>
    <w:rsid w:val="00892DB5"/>
    <w:rsid w:val="0089474B"/>
    <w:rsid w:val="00894B61"/>
    <w:rsid w:val="00895255"/>
    <w:rsid w:val="00895DF1"/>
    <w:rsid w:val="00896645"/>
    <w:rsid w:val="008975D2"/>
    <w:rsid w:val="008A035B"/>
    <w:rsid w:val="008A0459"/>
    <w:rsid w:val="008A1218"/>
    <w:rsid w:val="008A15B6"/>
    <w:rsid w:val="008A1A6E"/>
    <w:rsid w:val="008A202A"/>
    <w:rsid w:val="008A36C9"/>
    <w:rsid w:val="008A44EE"/>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1C0"/>
    <w:rsid w:val="008C520E"/>
    <w:rsid w:val="008C563B"/>
    <w:rsid w:val="008C567E"/>
    <w:rsid w:val="008C5DEE"/>
    <w:rsid w:val="008C6285"/>
    <w:rsid w:val="008C7182"/>
    <w:rsid w:val="008C7268"/>
    <w:rsid w:val="008C7CA5"/>
    <w:rsid w:val="008C7D9D"/>
    <w:rsid w:val="008D0416"/>
    <w:rsid w:val="008D13C6"/>
    <w:rsid w:val="008D1605"/>
    <w:rsid w:val="008D1B04"/>
    <w:rsid w:val="008D2412"/>
    <w:rsid w:val="008D30A0"/>
    <w:rsid w:val="008D3235"/>
    <w:rsid w:val="008D33C8"/>
    <w:rsid w:val="008D3893"/>
    <w:rsid w:val="008D45CD"/>
    <w:rsid w:val="008D4898"/>
    <w:rsid w:val="008D55F1"/>
    <w:rsid w:val="008D5CD7"/>
    <w:rsid w:val="008D718E"/>
    <w:rsid w:val="008D73DE"/>
    <w:rsid w:val="008E09C5"/>
    <w:rsid w:val="008E0AA7"/>
    <w:rsid w:val="008E2355"/>
    <w:rsid w:val="008E3151"/>
    <w:rsid w:val="008E3386"/>
    <w:rsid w:val="008E3733"/>
    <w:rsid w:val="008E5410"/>
    <w:rsid w:val="008E5A3F"/>
    <w:rsid w:val="008E7209"/>
    <w:rsid w:val="008E7448"/>
    <w:rsid w:val="008F11BB"/>
    <w:rsid w:val="008F16FF"/>
    <w:rsid w:val="008F182F"/>
    <w:rsid w:val="008F1E95"/>
    <w:rsid w:val="008F2304"/>
    <w:rsid w:val="008F452E"/>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06FC7"/>
    <w:rsid w:val="0091045D"/>
    <w:rsid w:val="0091281A"/>
    <w:rsid w:val="00912B24"/>
    <w:rsid w:val="009139B5"/>
    <w:rsid w:val="009142B2"/>
    <w:rsid w:val="00914514"/>
    <w:rsid w:val="00914549"/>
    <w:rsid w:val="00914C08"/>
    <w:rsid w:val="00914F2F"/>
    <w:rsid w:val="00916057"/>
    <w:rsid w:val="00916AD1"/>
    <w:rsid w:val="00917637"/>
    <w:rsid w:val="00917FEE"/>
    <w:rsid w:val="0092023D"/>
    <w:rsid w:val="0092039A"/>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1294"/>
    <w:rsid w:val="0093375E"/>
    <w:rsid w:val="00933BEF"/>
    <w:rsid w:val="00934210"/>
    <w:rsid w:val="00935223"/>
    <w:rsid w:val="0093787E"/>
    <w:rsid w:val="00940B95"/>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319"/>
    <w:rsid w:val="009536A8"/>
    <w:rsid w:val="00954596"/>
    <w:rsid w:val="00955851"/>
    <w:rsid w:val="00957242"/>
    <w:rsid w:val="00957E23"/>
    <w:rsid w:val="00961487"/>
    <w:rsid w:val="00961BA7"/>
    <w:rsid w:val="00961F01"/>
    <w:rsid w:val="00962162"/>
    <w:rsid w:val="009623BC"/>
    <w:rsid w:val="009628BE"/>
    <w:rsid w:val="009631C8"/>
    <w:rsid w:val="00963AE4"/>
    <w:rsid w:val="00963C14"/>
    <w:rsid w:val="009645CD"/>
    <w:rsid w:val="00965940"/>
    <w:rsid w:val="00965A4E"/>
    <w:rsid w:val="00965AC8"/>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BAB"/>
    <w:rsid w:val="009906BF"/>
    <w:rsid w:val="009913F3"/>
    <w:rsid w:val="0099174C"/>
    <w:rsid w:val="00991DA1"/>
    <w:rsid w:val="009927F1"/>
    <w:rsid w:val="009936C4"/>
    <w:rsid w:val="009948ED"/>
    <w:rsid w:val="00995ADA"/>
    <w:rsid w:val="0099616E"/>
    <w:rsid w:val="0099643A"/>
    <w:rsid w:val="00997959"/>
    <w:rsid w:val="009A0BAF"/>
    <w:rsid w:val="009A1431"/>
    <w:rsid w:val="009A153D"/>
    <w:rsid w:val="009A1634"/>
    <w:rsid w:val="009A3A34"/>
    <w:rsid w:val="009A3FE2"/>
    <w:rsid w:val="009A400C"/>
    <w:rsid w:val="009A4B2C"/>
    <w:rsid w:val="009A4CC8"/>
    <w:rsid w:val="009A5592"/>
    <w:rsid w:val="009A59BA"/>
    <w:rsid w:val="009A5E87"/>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5F4D"/>
    <w:rsid w:val="009B6C97"/>
    <w:rsid w:val="009C058F"/>
    <w:rsid w:val="009C0C5A"/>
    <w:rsid w:val="009C2B3E"/>
    <w:rsid w:val="009C2EA2"/>
    <w:rsid w:val="009C3721"/>
    <w:rsid w:val="009C4141"/>
    <w:rsid w:val="009C4B55"/>
    <w:rsid w:val="009C5450"/>
    <w:rsid w:val="009C5FCC"/>
    <w:rsid w:val="009C61A2"/>
    <w:rsid w:val="009C6DF6"/>
    <w:rsid w:val="009C6E92"/>
    <w:rsid w:val="009D04F7"/>
    <w:rsid w:val="009D0AE8"/>
    <w:rsid w:val="009D1589"/>
    <w:rsid w:val="009D15A1"/>
    <w:rsid w:val="009D2003"/>
    <w:rsid w:val="009D38C2"/>
    <w:rsid w:val="009D417F"/>
    <w:rsid w:val="009D45E5"/>
    <w:rsid w:val="009D4B85"/>
    <w:rsid w:val="009D535B"/>
    <w:rsid w:val="009D630B"/>
    <w:rsid w:val="009D6CAA"/>
    <w:rsid w:val="009D6CF6"/>
    <w:rsid w:val="009D6E69"/>
    <w:rsid w:val="009E02DC"/>
    <w:rsid w:val="009E0DFF"/>
    <w:rsid w:val="009E2040"/>
    <w:rsid w:val="009E49AE"/>
    <w:rsid w:val="009E4DC7"/>
    <w:rsid w:val="009E660A"/>
    <w:rsid w:val="009E6B64"/>
    <w:rsid w:val="009E72E5"/>
    <w:rsid w:val="009E7A7F"/>
    <w:rsid w:val="009F08FB"/>
    <w:rsid w:val="009F19AA"/>
    <w:rsid w:val="009F46C8"/>
    <w:rsid w:val="009F4F2A"/>
    <w:rsid w:val="009F660B"/>
    <w:rsid w:val="009F671E"/>
    <w:rsid w:val="009F7ED1"/>
    <w:rsid w:val="00A0149B"/>
    <w:rsid w:val="00A015B7"/>
    <w:rsid w:val="00A01607"/>
    <w:rsid w:val="00A018D4"/>
    <w:rsid w:val="00A02F9D"/>
    <w:rsid w:val="00A03767"/>
    <w:rsid w:val="00A04690"/>
    <w:rsid w:val="00A04834"/>
    <w:rsid w:val="00A05628"/>
    <w:rsid w:val="00A07DCF"/>
    <w:rsid w:val="00A11963"/>
    <w:rsid w:val="00A1231B"/>
    <w:rsid w:val="00A12979"/>
    <w:rsid w:val="00A131A9"/>
    <w:rsid w:val="00A1496E"/>
    <w:rsid w:val="00A14CE1"/>
    <w:rsid w:val="00A14EB4"/>
    <w:rsid w:val="00A14F84"/>
    <w:rsid w:val="00A15169"/>
    <w:rsid w:val="00A16A1A"/>
    <w:rsid w:val="00A16D6D"/>
    <w:rsid w:val="00A17C75"/>
    <w:rsid w:val="00A211C8"/>
    <w:rsid w:val="00A2121E"/>
    <w:rsid w:val="00A21EAC"/>
    <w:rsid w:val="00A221DE"/>
    <w:rsid w:val="00A22CB2"/>
    <w:rsid w:val="00A23138"/>
    <w:rsid w:val="00A23940"/>
    <w:rsid w:val="00A23ECC"/>
    <w:rsid w:val="00A24024"/>
    <w:rsid w:val="00A24CD3"/>
    <w:rsid w:val="00A25461"/>
    <w:rsid w:val="00A25E04"/>
    <w:rsid w:val="00A262BC"/>
    <w:rsid w:val="00A26367"/>
    <w:rsid w:val="00A2678A"/>
    <w:rsid w:val="00A269E1"/>
    <w:rsid w:val="00A27C1C"/>
    <w:rsid w:val="00A30F6A"/>
    <w:rsid w:val="00A32AEA"/>
    <w:rsid w:val="00A32F32"/>
    <w:rsid w:val="00A33E80"/>
    <w:rsid w:val="00A33EFE"/>
    <w:rsid w:val="00A342E1"/>
    <w:rsid w:val="00A350E8"/>
    <w:rsid w:val="00A358BC"/>
    <w:rsid w:val="00A36B8E"/>
    <w:rsid w:val="00A40554"/>
    <w:rsid w:val="00A4148D"/>
    <w:rsid w:val="00A44D0E"/>
    <w:rsid w:val="00A4501A"/>
    <w:rsid w:val="00A45F29"/>
    <w:rsid w:val="00A4621D"/>
    <w:rsid w:val="00A509FB"/>
    <w:rsid w:val="00A51C19"/>
    <w:rsid w:val="00A51E04"/>
    <w:rsid w:val="00A522B5"/>
    <w:rsid w:val="00A52C31"/>
    <w:rsid w:val="00A52F37"/>
    <w:rsid w:val="00A533C5"/>
    <w:rsid w:val="00A5388C"/>
    <w:rsid w:val="00A5397B"/>
    <w:rsid w:val="00A53BE1"/>
    <w:rsid w:val="00A544A3"/>
    <w:rsid w:val="00A54644"/>
    <w:rsid w:val="00A55921"/>
    <w:rsid w:val="00A560E3"/>
    <w:rsid w:val="00A5628F"/>
    <w:rsid w:val="00A564AF"/>
    <w:rsid w:val="00A566A8"/>
    <w:rsid w:val="00A56D0B"/>
    <w:rsid w:val="00A5775C"/>
    <w:rsid w:val="00A60E72"/>
    <w:rsid w:val="00A61F0C"/>
    <w:rsid w:val="00A61FF0"/>
    <w:rsid w:val="00A62580"/>
    <w:rsid w:val="00A630BE"/>
    <w:rsid w:val="00A63AC9"/>
    <w:rsid w:val="00A64502"/>
    <w:rsid w:val="00A64824"/>
    <w:rsid w:val="00A64B5F"/>
    <w:rsid w:val="00A65EA0"/>
    <w:rsid w:val="00A66517"/>
    <w:rsid w:val="00A67B0E"/>
    <w:rsid w:val="00A7029B"/>
    <w:rsid w:val="00A718EF"/>
    <w:rsid w:val="00A72134"/>
    <w:rsid w:val="00A726A8"/>
    <w:rsid w:val="00A72951"/>
    <w:rsid w:val="00A73505"/>
    <w:rsid w:val="00A742C4"/>
    <w:rsid w:val="00A75E02"/>
    <w:rsid w:val="00A76E79"/>
    <w:rsid w:val="00A7761D"/>
    <w:rsid w:val="00A7771B"/>
    <w:rsid w:val="00A77B53"/>
    <w:rsid w:val="00A811F1"/>
    <w:rsid w:val="00A8242D"/>
    <w:rsid w:val="00A82887"/>
    <w:rsid w:val="00A83010"/>
    <w:rsid w:val="00A83AA3"/>
    <w:rsid w:val="00A83BF5"/>
    <w:rsid w:val="00A84CD1"/>
    <w:rsid w:val="00A85E2E"/>
    <w:rsid w:val="00A861F3"/>
    <w:rsid w:val="00A8728F"/>
    <w:rsid w:val="00A8756A"/>
    <w:rsid w:val="00A87F7D"/>
    <w:rsid w:val="00A906B7"/>
    <w:rsid w:val="00A9070E"/>
    <w:rsid w:val="00A92DD4"/>
    <w:rsid w:val="00A93411"/>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A7D76"/>
    <w:rsid w:val="00AB0262"/>
    <w:rsid w:val="00AB041A"/>
    <w:rsid w:val="00AB14A1"/>
    <w:rsid w:val="00AB202A"/>
    <w:rsid w:val="00AB3D34"/>
    <w:rsid w:val="00AB5555"/>
    <w:rsid w:val="00AB55AD"/>
    <w:rsid w:val="00AB5D1B"/>
    <w:rsid w:val="00AB6918"/>
    <w:rsid w:val="00AB6B40"/>
    <w:rsid w:val="00AB740A"/>
    <w:rsid w:val="00AC1DA5"/>
    <w:rsid w:val="00AC1FAD"/>
    <w:rsid w:val="00AC216B"/>
    <w:rsid w:val="00AC26B1"/>
    <w:rsid w:val="00AC42B8"/>
    <w:rsid w:val="00AC45C5"/>
    <w:rsid w:val="00AC4791"/>
    <w:rsid w:val="00AC483A"/>
    <w:rsid w:val="00AC4FB6"/>
    <w:rsid w:val="00AC4FD1"/>
    <w:rsid w:val="00AC540E"/>
    <w:rsid w:val="00AC5FEF"/>
    <w:rsid w:val="00AC6036"/>
    <w:rsid w:val="00AC7CD7"/>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5E7"/>
    <w:rsid w:val="00AE08B7"/>
    <w:rsid w:val="00AE0DBA"/>
    <w:rsid w:val="00AE160F"/>
    <w:rsid w:val="00AE21DC"/>
    <w:rsid w:val="00AE239B"/>
    <w:rsid w:val="00AE25D2"/>
    <w:rsid w:val="00AE2B47"/>
    <w:rsid w:val="00AE2CAD"/>
    <w:rsid w:val="00AE3090"/>
    <w:rsid w:val="00AE380E"/>
    <w:rsid w:val="00AE38BB"/>
    <w:rsid w:val="00AE3AAD"/>
    <w:rsid w:val="00AE4189"/>
    <w:rsid w:val="00AE503A"/>
    <w:rsid w:val="00AE68E2"/>
    <w:rsid w:val="00AF0157"/>
    <w:rsid w:val="00AF2EC7"/>
    <w:rsid w:val="00AF3AC0"/>
    <w:rsid w:val="00AF4F4A"/>
    <w:rsid w:val="00AF78F1"/>
    <w:rsid w:val="00B00C24"/>
    <w:rsid w:val="00B00F93"/>
    <w:rsid w:val="00B01BBE"/>
    <w:rsid w:val="00B03F92"/>
    <w:rsid w:val="00B055D8"/>
    <w:rsid w:val="00B06CD6"/>
    <w:rsid w:val="00B06EBC"/>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9B1"/>
    <w:rsid w:val="00B25CA3"/>
    <w:rsid w:val="00B26E57"/>
    <w:rsid w:val="00B30028"/>
    <w:rsid w:val="00B31E8D"/>
    <w:rsid w:val="00B324DB"/>
    <w:rsid w:val="00B3313B"/>
    <w:rsid w:val="00B331E8"/>
    <w:rsid w:val="00B331EA"/>
    <w:rsid w:val="00B34732"/>
    <w:rsid w:val="00B353B8"/>
    <w:rsid w:val="00B35C56"/>
    <w:rsid w:val="00B36F17"/>
    <w:rsid w:val="00B37045"/>
    <w:rsid w:val="00B372ED"/>
    <w:rsid w:val="00B40603"/>
    <w:rsid w:val="00B40AF6"/>
    <w:rsid w:val="00B41071"/>
    <w:rsid w:val="00B425C0"/>
    <w:rsid w:val="00B42DB6"/>
    <w:rsid w:val="00B46957"/>
    <w:rsid w:val="00B47B54"/>
    <w:rsid w:val="00B50E99"/>
    <w:rsid w:val="00B516B9"/>
    <w:rsid w:val="00B51926"/>
    <w:rsid w:val="00B51F9A"/>
    <w:rsid w:val="00B533CF"/>
    <w:rsid w:val="00B54DA7"/>
    <w:rsid w:val="00B600C6"/>
    <w:rsid w:val="00B60167"/>
    <w:rsid w:val="00B60C35"/>
    <w:rsid w:val="00B60FC0"/>
    <w:rsid w:val="00B61665"/>
    <w:rsid w:val="00B63528"/>
    <w:rsid w:val="00B63DAF"/>
    <w:rsid w:val="00B63E98"/>
    <w:rsid w:val="00B65754"/>
    <w:rsid w:val="00B661AA"/>
    <w:rsid w:val="00B66242"/>
    <w:rsid w:val="00B670D3"/>
    <w:rsid w:val="00B67958"/>
    <w:rsid w:val="00B701D1"/>
    <w:rsid w:val="00B70482"/>
    <w:rsid w:val="00B716BB"/>
    <w:rsid w:val="00B716FD"/>
    <w:rsid w:val="00B7276D"/>
    <w:rsid w:val="00B734C2"/>
    <w:rsid w:val="00B73BDA"/>
    <w:rsid w:val="00B74053"/>
    <w:rsid w:val="00B747D1"/>
    <w:rsid w:val="00B765A0"/>
    <w:rsid w:val="00B76C02"/>
    <w:rsid w:val="00B77BD2"/>
    <w:rsid w:val="00B814CB"/>
    <w:rsid w:val="00B81B6A"/>
    <w:rsid w:val="00B820F4"/>
    <w:rsid w:val="00B835E0"/>
    <w:rsid w:val="00B8396D"/>
    <w:rsid w:val="00B90331"/>
    <w:rsid w:val="00B903ED"/>
    <w:rsid w:val="00B90B2D"/>
    <w:rsid w:val="00B90E79"/>
    <w:rsid w:val="00B9127F"/>
    <w:rsid w:val="00B9349E"/>
    <w:rsid w:val="00B935A1"/>
    <w:rsid w:val="00B95DAD"/>
    <w:rsid w:val="00B96C0C"/>
    <w:rsid w:val="00B9734D"/>
    <w:rsid w:val="00B97732"/>
    <w:rsid w:val="00BA00F3"/>
    <w:rsid w:val="00BA1096"/>
    <w:rsid w:val="00BA27F4"/>
    <w:rsid w:val="00BA2E40"/>
    <w:rsid w:val="00BA3CB7"/>
    <w:rsid w:val="00BA41DE"/>
    <w:rsid w:val="00BA556C"/>
    <w:rsid w:val="00BB0F31"/>
    <w:rsid w:val="00BB15AB"/>
    <w:rsid w:val="00BB189B"/>
    <w:rsid w:val="00BB1D21"/>
    <w:rsid w:val="00BB2E51"/>
    <w:rsid w:val="00BB4BEA"/>
    <w:rsid w:val="00BB4C1A"/>
    <w:rsid w:val="00BB4E78"/>
    <w:rsid w:val="00BB50AB"/>
    <w:rsid w:val="00BB6664"/>
    <w:rsid w:val="00BB6AE6"/>
    <w:rsid w:val="00BB7190"/>
    <w:rsid w:val="00BC01FC"/>
    <w:rsid w:val="00BC1F79"/>
    <w:rsid w:val="00BC2201"/>
    <w:rsid w:val="00BC3C7A"/>
    <w:rsid w:val="00BC3D98"/>
    <w:rsid w:val="00BC435D"/>
    <w:rsid w:val="00BC7DC6"/>
    <w:rsid w:val="00BD0DC5"/>
    <w:rsid w:val="00BD1039"/>
    <w:rsid w:val="00BD13B5"/>
    <w:rsid w:val="00BD2EFC"/>
    <w:rsid w:val="00BD340E"/>
    <w:rsid w:val="00BD60AD"/>
    <w:rsid w:val="00BD68E9"/>
    <w:rsid w:val="00BD6C02"/>
    <w:rsid w:val="00BD7862"/>
    <w:rsid w:val="00BE0328"/>
    <w:rsid w:val="00BE1244"/>
    <w:rsid w:val="00BE165D"/>
    <w:rsid w:val="00BE2394"/>
    <w:rsid w:val="00BE2702"/>
    <w:rsid w:val="00BE4326"/>
    <w:rsid w:val="00BE57ED"/>
    <w:rsid w:val="00BE5F4F"/>
    <w:rsid w:val="00BE60DB"/>
    <w:rsid w:val="00BF0191"/>
    <w:rsid w:val="00BF13EC"/>
    <w:rsid w:val="00BF1C07"/>
    <w:rsid w:val="00BF3DEE"/>
    <w:rsid w:val="00BF40AE"/>
    <w:rsid w:val="00BF54AC"/>
    <w:rsid w:val="00BF54BD"/>
    <w:rsid w:val="00BF6B8E"/>
    <w:rsid w:val="00C025A5"/>
    <w:rsid w:val="00C03C78"/>
    <w:rsid w:val="00C04CF8"/>
    <w:rsid w:val="00C04FD3"/>
    <w:rsid w:val="00C065A2"/>
    <w:rsid w:val="00C0671B"/>
    <w:rsid w:val="00C07919"/>
    <w:rsid w:val="00C103F9"/>
    <w:rsid w:val="00C104AC"/>
    <w:rsid w:val="00C110E1"/>
    <w:rsid w:val="00C1198F"/>
    <w:rsid w:val="00C11FA1"/>
    <w:rsid w:val="00C12E21"/>
    <w:rsid w:val="00C12E65"/>
    <w:rsid w:val="00C13C20"/>
    <w:rsid w:val="00C13F74"/>
    <w:rsid w:val="00C146D3"/>
    <w:rsid w:val="00C14917"/>
    <w:rsid w:val="00C16BE0"/>
    <w:rsid w:val="00C20854"/>
    <w:rsid w:val="00C21C39"/>
    <w:rsid w:val="00C2325C"/>
    <w:rsid w:val="00C239ED"/>
    <w:rsid w:val="00C24593"/>
    <w:rsid w:val="00C24D9D"/>
    <w:rsid w:val="00C25CF3"/>
    <w:rsid w:val="00C263E9"/>
    <w:rsid w:val="00C2775A"/>
    <w:rsid w:val="00C278A6"/>
    <w:rsid w:val="00C27986"/>
    <w:rsid w:val="00C3063A"/>
    <w:rsid w:val="00C30996"/>
    <w:rsid w:val="00C30BAD"/>
    <w:rsid w:val="00C31E8F"/>
    <w:rsid w:val="00C335DA"/>
    <w:rsid w:val="00C33D3E"/>
    <w:rsid w:val="00C351B7"/>
    <w:rsid w:val="00C362E0"/>
    <w:rsid w:val="00C36ED4"/>
    <w:rsid w:val="00C376CC"/>
    <w:rsid w:val="00C400F7"/>
    <w:rsid w:val="00C40EC6"/>
    <w:rsid w:val="00C419AD"/>
    <w:rsid w:val="00C41B5F"/>
    <w:rsid w:val="00C4293C"/>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552"/>
    <w:rsid w:val="00C52D62"/>
    <w:rsid w:val="00C52EF3"/>
    <w:rsid w:val="00C533D4"/>
    <w:rsid w:val="00C53A4C"/>
    <w:rsid w:val="00C5448D"/>
    <w:rsid w:val="00C5477F"/>
    <w:rsid w:val="00C547B7"/>
    <w:rsid w:val="00C5503B"/>
    <w:rsid w:val="00C554A9"/>
    <w:rsid w:val="00C55A32"/>
    <w:rsid w:val="00C564F2"/>
    <w:rsid w:val="00C56F11"/>
    <w:rsid w:val="00C56FE9"/>
    <w:rsid w:val="00C602A4"/>
    <w:rsid w:val="00C61F3A"/>
    <w:rsid w:val="00C629CB"/>
    <w:rsid w:val="00C62B75"/>
    <w:rsid w:val="00C652D1"/>
    <w:rsid w:val="00C657B5"/>
    <w:rsid w:val="00C661E1"/>
    <w:rsid w:val="00C66686"/>
    <w:rsid w:val="00C678C4"/>
    <w:rsid w:val="00C71215"/>
    <w:rsid w:val="00C7216B"/>
    <w:rsid w:val="00C727BE"/>
    <w:rsid w:val="00C732A9"/>
    <w:rsid w:val="00C73448"/>
    <w:rsid w:val="00C73E2E"/>
    <w:rsid w:val="00C74546"/>
    <w:rsid w:val="00C748E2"/>
    <w:rsid w:val="00C76292"/>
    <w:rsid w:val="00C7643C"/>
    <w:rsid w:val="00C7776C"/>
    <w:rsid w:val="00C8398D"/>
    <w:rsid w:val="00C84BC2"/>
    <w:rsid w:val="00C85139"/>
    <w:rsid w:val="00C85657"/>
    <w:rsid w:val="00C91C88"/>
    <w:rsid w:val="00C939C3"/>
    <w:rsid w:val="00C93C2B"/>
    <w:rsid w:val="00C94228"/>
    <w:rsid w:val="00C96D56"/>
    <w:rsid w:val="00C977E6"/>
    <w:rsid w:val="00CA0020"/>
    <w:rsid w:val="00CA02BA"/>
    <w:rsid w:val="00CA0B2E"/>
    <w:rsid w:val="00CA18CA"/>
    <w:rsid w:val="00CA1E6C"/>
    <w:rsid w:val="00CA2557"/>
    <w:rsid w:val="00CA5413"/>
    <w:rsid w:val="00CA5674"/>
    <w:rsid w:val="00CA5BDA"/>
    <w:rsid w:val="00CA5C1A"/>
    <w:rsid w:val="00CA633F"/>
    <w:rsid w:val="00CA641E"/>
    <w:rsid w:val="00CA7558"/>
    <w:rsid w:val="00CA785F"/>
    <w:rsid w:val="00CA792A"/>
    <w:rsid w:val="00CA7949"/>
    <w:rsid w:val="00CB0161"/>
    <w:rsid w:val="00CB0C6E"/>
    <w:rsid w:val="00CB0C89"/>
    <w:rsid w:val="00CB226B"/>
    <w:rsid w:val="00CB229B"/>
    <w:rsid w:val="00CB2BB1"/>
    <w:rsid w:val="00CB33B4"/>
    <w:rsid w:val="00CB3D93"/>
    <w:rsid w:val="00CB3F0B"/>
    <w:rsid w:val="00CB4441"/>
    <w:rsid w:val="00CB4B1A"/>
    <w:rsid w:val="00CB4E1F"/>
    <w:rsid w:val="00CB50BA"/>
    <w:rsid w:val="00CC04A5"/>
    <w:rsid w:val="00CC152E"/>
    <w:rsid w:val="00CC1629"/>
    <w:rsid w:val="00CC237A"/>
    <w:rsid w:val="00CC2493"/>
    <w:rsid w:val="00CC26F7"/>
    <w:rsid w:val="00CC3222"/>
    <w:rsid w:val="00CC35F1"/>
    <w:rsid w:val="00CC35FF"/>
    <w:rsid w:val="00CC3FD6"/>
    <w:rsid w:val="00CD0E6E"/>
    <w:rsid w:val="00CD23AE"/>
    <w:rsid w:val="00CD27DF"/>
    <w:rsid w:val="00CD2D8A"/>
    <w:rsid w:val="00CD3BAC"/>
    <w:rsid w:val="00CD3FF2"/>
    <w:rsid w:val="00CD4A65"/>
    <w:rsid w:val="00CD531F"/>
    <w:rsid w:val="00CD6FA3"/>
    <w:rsid w:val="00CE17AA"/>
    <w:rsid w:val="00CE2184"/>
    <w:rsid w:val="00CE3B7F"/>
    <w:rsid w:val="00CE3FA2"/>
    <w:rsid w:val="00CE41A0"/>
    <w:rsid w:val="00CE4958"/>
    <w:rsid w:val="00CE68E2"/>
    <w:rsid w:val="00CE706E"/>
    <w:rsid w:val="00CE70B1"/>
    <w:rsid w:val="00CE7AE4"/>
    <w:rsid w:val="00CF0A4C"/>
    <w:rsid w:val="00CF144F"/>
    <w:rsid w:val="00CF150A"/>
    <w:rsid w:val="00CF1BBA"/>
    <w:rsid w:val="00CF2225"/>
    <w:rsid w:val="00CF25E7"/>
    <w:rsid w:val="00CF3C77"/>
    <w:rsid w:val="00CF40FA"/>
    <w:rsid w:val="00CF45A2"/>
    <w:rsid w:val="00CF52E7"/>
    <w:rsid w:val="00CF64B5"/>
    <w:rsid w:val="00CF7853"/>
    <w:rsid w:val="00D004ED"/>
    <w:rsid w:val="00D0260F"/>
    <w:rsid w:val="00D03708"/>
    <w:rsid w:val="00D06776"/>
    <w:rsid w:val="00D06E46"/>
    <w:rsid w:val="00D06F95"/>
    <w:rsid w:val="00D075E1"/>
    <w:rsid w:val="00D10D8A"/>
    <w:rsid w:val="00D1158C"/>
    <w:rsid w:val="00D11600"/>
    <w:rsid w:val="00D119A2"/>
    <w:rsid w:val="00D12E31"/>
    <w:rsid w:val="00D137F9"/>
    <w:rsid w:val="00D1458C"/>
    <w:rsid w:val="00D1620E"/>
    <w:rsid w:val="00D16867"/>
    <w:rsid w:val="00D16894"/>
    <w:rsid w:val="00D16EEC"/>
    <w:rsid w:val="00D2047A"/>
    <w:rsid w:val="00D20631"/>
    <w:rsid w:val="00D207FC"/>
    <w:rsid w:val="00D221AC"/>
    <w:rsid w:val="00D2260B"/>
    <w:rsid w:val="00D22D49"/>
    <w:rsid w:val="00D23930"/>
    <w:rsid w:val="00D23A23"/>
    <w:rsid w:val="00D24D8A"/>
    <w:rsid w:val="00D24DA4"/>
    <w:rsid w:val="00D25235"/>
    <w:rsid w:val="00D25383"/>
    <w:rsid w:val="00D25670"/>
    <w:rsid w:val="00D301FF"/>
    <w:rsid w:val="00D3257F"/>
    <w:rsid w:val="00D32F57"/>
    <w:rsid w:val="00D340E2"/>
    <w:rsid w:val="00D35415"/>
    <w:rsid w:val="00D36887"/>
    <w:rsid w:val="00D37563"/>
    <w:rsid w:val="00D379EB"/>
    <w:rsid w:val="00D400B8"/>
    <w:rsid w:val="00D4022C"/>
    <w:rsid w:val="00D40DDB"/>
    <w:rsid w:val="00D41023"/>
    <w:rsid w:val="00D41C6C"/>
    <w:rsid w:val="00D42465"/>
    <w:rsid w:val="00D42E5B"/>
    <w:rsid w:val="00D439D1"/>
    <w:rsid w:val="00D43C68"/>
    <w:rsid w:val="00D444B2"/>
    <w:rsid w:val="00D45038"/>
    <w:rsid w:val="00D4523E"/>
    <w:rsid w:val="00D453E4"/>
    <w:rsid w:val="00D47226"/>
    <w:rsid w:val="00D50B21"/>
    <w:rsid w:val="00D51349"/>
    <w:rsid w:val="00D51B5C"/>
    <w:rsid w:val="00D527AF"/>
    <w:rsid w:val="00D529E1"/>
    <w:rsid w:val="00D534C2"/>
    <w:rsid w:val="00D5410F"/>
    <w:rsid w:val="00D564DF"/>
    <w:rsid w:val="00D576DD"/>
    <w:rsid w:val="00D57CB4"/>
    <w:rsid w:val="00D601E1"/>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695"/>
    <w:rsid w:val="00D718CD"/>
    <w:rsid w:val="00D7416F"/>
    <w:rsid w:val="00D755F2"/>
    <w:rsid w:val="00D75AF2"/>
    <w:rsid w:val="00D762AC"/>
    <w:rsid w:val="00D775E7"/>
    <w:rsid w:val="00D77B26"/>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97060"/>
    <w:rsid w:val="00D971A0"/>
    <w:rsid w:val="00DA024A"/>
    <w:rsid w:val="00DA0673"/>
    <w:rsid w:val="00DA07EE"/>
    <w:rsid w:val="00DA0A58"/>
    <w:rsid w:val="00DA1C85"/>
    <w:rsid w:val="00DA1CC9"/>
    <w:rsid w:val="00DA2908"/>
    <w:rsid w:val="00DA2E58"/>
    <w:rsid w:val="00DA328E"/>
    <w:rsid w:val="00DA3AA6"/>
    <w:rsid w:val="00DA46C1"/>
    <w:rsid w:val="00DA70DD"/>
    <w:rsid w:val="00DB088F"/>
    <w:rsid w:val="00DB0B4A"/>
    <w:rsid w:val="00DB1487"/>
    <w:rsid w:val="00DB19B4"/>
    <w:rsid w:val="00DB19F1"/>
    <w:rsid w:val="00DB26AE"/>
    <w:rsid w:val="00DB32FB"/>
    <w:rsid w:val="00DB42AE"/>
    <w:rsid w:val="00DB4411"/>
    <w:rsid w:val="00DB466D"/>
    <w:rsid w:val="00DB5FD0"/>
    <w:rsid w:val="00DB7395"/>
    <w:rsid w:val="00DB75C2"/>
    <w:rsid w:val="00DB7E2C"/>
    <w:rsid w:val="00DB7F6D"/>
    <w:rsid w:val="00DC027B"/>
    <w:rsid w:val="00DC071C"/>
    <w:rsid w:val="00DC0A64"/>
    <w:rsid w:val="00DC0FC4"/>
    <w:rsid w:val="00DC1B9A"/>
    <w:rsid w:val="00DC2344"/>
    <w:rsid w:val="00DC2E4F"/>
    <w:rsid w:val="00DC384C"/>
    <w:rsid w:val="00DC40C4"/>
    <w:rsid w:val="00DC460A"/>
    <w:rsid w:val="00DC4AFD"/>
    <w:rsid w:val="00DC4D87"/>
    <w:rsid w:val="00DC4D8A"/>
    <w:rsid w:val="00DC6DF6"/>
    <w:rsid w:val="00DC7832"/>
    <w:rsid w:val="00DC7BFE"/>
    <w:rsid w:val="00DD08C7"/>
    <w:rsid w:val="00DD1A10"/>
    <w:rsid w:val="00DD200D"/>
    <w:rsid w:val="00DD2867"/>
    <w:rsid w:val="00DD2990"/>
    <w:rsid w:val="00DD2FE9"/>
    <w:rsid w:val="00DD3A7E"/>
    <w:rsid w:val="00DD434E"/>
    <w:rsid w:val="00DD4402"/>
    <w:rsid w:val="00DD60D0"/>
    <w:rsid w:val="00DD6200"/>
    <w:rsid w:val="00DD686C"/>
    <w:rsid w:val="00DD6E86"/>
    <w:rsid w:val="00DE0E5D"/>
    <w:rsid w:val="00DE0FE2"/>
    <w:rsid w:val="00DE2348"/>
    <w:rsid w:val="00DE447F"/>
    <w:rsid w:val="00DE48F0"/>
    <w:rsid w:val="00DE4A77"/>
    <w:rsid w:val="00DE68EE"/>
    <w:rsid w:val="00DE6D24"/>
    <w:rsid w:val="00DE7285"/>
    <w:rsid w:val="00DE7C40"/>
    <w:rsid w:val="00DF0EA5"/>
    <w:rsid w:val="00DF1F1D"/>
    <w:rsid w:val="00DF23A5"/>
    <w:rsid w:val="00DF4C6E"/>
    <w:rsid w:val="00DF6666"/>
    <w:rsid w:val="00DF745E"/>
    <w:rsid w:val="00DF762E"/>
    <w:rsid w:val="00DF7E9F"/>
    <w:rsid w:val="00E0044E"/>
    <w:rsid w:val="00E00816"/>
    <w:rsid w:val="00E0239F"/>
    <w:rsid w:val="00E0267B"/>
    <w:rsid w:val="00E02B33"/>
    <w:rsid w:val="00E033AE"/>
    <w:rsid w:val="00E04441"/>
    <w:rsid w:val="00E04B31"/>
    <w:rsid w:val="00E05F03"/>
    <w:rsid w:val="00E06370"/>
    <w:rsid w:val="00E06B7B"/>
    <w:rsid w:val="00E06E20"/>
    <w:rsid w:val="00E07CF9"/>
    <w:rsid w:val="00E07DD9"/>
    <w:rsid w:val="00E102F8"/>
    <w:rsid w:val="00E12387"/>
    <w:rsid w:val="00E12FCF"/>
    <w:rsid w:val="00E13273"/>
    <w:rsid w:val="00E13379"/>
    <w:rsid w:val="00E139EE"/>
    <w:rsid w:val="00E14D83"/>
    <w:rsid w:val="00E14FA6"/>
    <w:rsid w:val="00E15A0D"/>
    <w:rsid w:val="00E16640"/>
    <w:rsid w:val="00E1740F"/>
    <w:rsid w:val="00E200CF"/>
    <w:rsid w:val="00E21298"/>
    <w:rsid w:val="00E2173C"/>
    <w:rsid w:val="00E24287"/>
    <w:rsid w:val="00E2588E"/>
    <w:rsid w:val="00E31367"/>
    <w:rsid w:val="00E3181C"/>
    <w:rsid w:val="00E32EF3"/>
    <w:rsid w:val="00E33E21"/>
    <w:rsid w:val="00E34BC4"/>
    <w:rsid w:val="00E3540C"/>
    <w:rsid w:val="00E36187"/>
    <w:rsid w:val="00E36332"/>
    <w:rsid w:val="00E36C9B"/>
    <w:rsid w:val="00E36ED8"/>
    <w:rsid w:val="00E37638"/>
    <w:rsid w:val="00E37E9D"/>
    <w:rsid w:val="00E41B71"/>
    <w:rsid w:val="00E42569"/>
    <w:rsid w:val="00E434A0"/>
    <w:rsid w:val="00E44D30"/>
    <w:rsid w:val="00E4597F"/>
    <w:rsid w:val="00E46CB7"/>
    <w:rsid w:val="00E4723D"/>
    <w:rsid w:val="00E5077C"/>
    <w:rsid w:val="00E50EC8"/>
    <w:rsid w:val="00E5159B"/>
    <w:rsid w:val="00E515C6"/>
    <w:rsid w:val="00E515F8"/>
    <w:rsid w:val="00E52E0D"/>
    <w:rsid w:val="00E52FE2"/>
    <w:rsid w:val="00E53067"/>
    <w:rsid w:val="00E54629"/>
    <w:rsid w:val="00E54667"/>
    <w:rsid w:val="00E54715"/>
    <w:rsid w:val="00E54D6B"/>
    <w:rsid w:val="00E54E6F"/>
    <w:rsid w:val="00E55338"/>
    <w:rsid w:val="00E569AF"/>
    <w:rsid w:val="00E5774E"/>
    <w:rsid w:val="00E57EEB"/>
    <w:rsid w:val="00E60318"/>
    <w:rsid w:val="00E60BA8"/>
    <w:rsid w:val="00E61E25"/>
    <w:rsid w:val="00E61E28"/>
    <w:rsid w:val="00E628E4"/>
    <w:rsid w:val="00E647F7"/>
    <w:rsid w:val="00E6517B"/>
    <w:rsid w:val="00E65FF5"/>
    <w:rsid w:val="00E663C7"/>
    <w:rsid w:val="00E66857"/>
    <w:rsid w:val="00E67556"/>
    <w:rsid w:val="00E7079A"/>
    <w:rsid w:val="00E7252F"/>
    <w:rsid w:val="00E738D5"/>
    <w:rsid w:val="00E73FC2"/>
    <w:rsid w:val="00E74481"/>
    <w:rsid w:val="00E74517"/>
    <w:rsid w:val="00E755D7"/>
    <w:rsid w:val="00E7566D"/>
    <w:rsid w:val="00E76E91"/>
    <w:rsid w:val="00E774B4"/>
    <w:rsid w:val="00E77833"/>
    <w:rsid w:val="00E778F5"/>
    <w:rsid w:val="00E80A63"/>
    <w:rsid w:val="00E80E7C"/>
    <w:rsid w:val="00E81779"/>
    <w:rsid w:val="00E8205B"/>
    <w:rsid w:val="00E82444"/>
    <w:rsid w:val="00E8341C"/>
    <w:rsid w:val="00E858B4"/>
    <w:rsid w:val="00E8602B"/>
    <w:rsid w:val="00E86041"/>
    <w:rsid w:val="00E86B5F"/>
    <w:rsid w:val="00E87D05"/>
    <w:rsid w:val="00E905D7"/>
    <w:rsid w:val="00E917FA"/>
    <w:rsid w:val="00E91F96"/>
    <w:rsid w:val="00E92E99"/>
    <w:rsid w:val="00E94270"/>
    <w:rsid w:val="00E968FD"/>
    <w:rsid w:val="00E96D55"/>
    <w:rsid w:val="00E96F14"/>
    <w:rsid w:val="00E97993"/>
    <w:rsid w:val="00EA0D5D"/>
    <w:rsid w:val="00EA1192"/>
    <w:rsid w:val="00EA1342"/>
    <w:rsid w:val="00EA153F"/>
    <w:rsid w:val="00EA2788"/>
    <w:rsid w:val="00EA2C6E"/>
    <w:rsid w:val="00EA366C"/>
    <w:rsid w:val="00EA4964"/>
    <w:rsid w:val="00EA4F1A"/>
    <w:rsid w:val="00EA5687"/>
    <w:rsid w:val="00EA697D"/>
    <w:rsid w:val="00EA7E2A"/>
    <w:rsid w:val="00EB00B2"/>
    <w:rsid w:val="00EB02DE"/>
    <w:rsid w:val="00EB0A07"/>
    <w:rsid w:val="00EB0C0C"/>
    <w:rsid w:val="00EB1B69"/>
    <w:rsid w:val="00EB1C78"/>
    <w:rsid w:val="00EB3B46"/>
    <w:rsid w:val="00EB4F08"/>
    <w:rsid w:val="00EC0612"/>
    <w:rsid w:val="00EC1BA8"/>
    <w:rsid w:val="00EC2E07"/>
    <w:rsid w:val="00EC43C7"/>
    <w:rsid w:val="00EC465D"/>
    <w:rsid w:val="00EC5C89"/>
    <w:rsid w:val="00EC66D2"/>
    <w:rsid w:val="00EC67E7"/>
    <w:rsid w:val="00ED0A1B"/>
    <w:rsid w:val="00ED21BC"/>
    <w:rsid w:val="00ED26BD"/>
    <w:rsid w:val="00ED2FEC"/>
    <w:rsid w:val="00ED3173"/>
    <w:rsid w:val="00ED3F67"/>
    <w:rsid w:val="00ED440A"/>
    <w:rsid w:val="00ED58F0"/>
    <w:rsid w:val="00ED7971"/>
    <w:rsid w:val="00EE0748"/>
    <w:rsid w:val="00EE17B4"/>
    <w:rsid w:val="00EE29A0"/>
    <w:rsid w:val="00EE2CEA"/>
    <w:rsid w:val="00EE3365"/>
    <w:rsid w:val="00EE48DF"/>
    <w:rsid w:val="00EE4AB3"/>
    <w:rsid w:val="00EE7405"/>
    <w:rsid w:val="00EF033E"/>
    <w:rsid w:val="00EF06EC"/>
    <w:rsid w:val="00EF14FF"/>
    <w:rsid w:val="00EF2BFE"/>
    <w:rsid w:val="00EF2D85"/>
    <w:rsid w:val="00EF402C"/>
    <w:rsid w:val="00EF45E0"/>
    <w:rsid w:val="00EF4816"/>
    <w:rsid w:val="00EF4E6F"/>
    <w:rsid w:val="00EF5C82"/>
    <w:rsid w:val="00EF792D"/>
    <w:rsid w:val="00EF7A15"/>
    <w:rsid w:val="00F01F8C"/>
    <w:rsid w:val="00F02967"/>
    <w:rsid w:val="00F03308"/>
    <w:rsid w:val="00F035A6"/>
    <w:rsid w:val="00F04AD0"/>
    <w:rsid w:val="00F06B9A"/>
    <w:rsid w:val="00F10033"/>
    <w:rsid w:val="00F10848"/>
    <w:rsid w:val="00F10B68"/>
    <w:rsid w:val="00F11B1C"/>
    <w:rsid w:val="00F11F55"/>
    <w:rsid w:val="00F125AC"/>
    <w:rsid w:val="00F12DEC"/>
    <w:rsid w:val="00F13151"/>
    <w:rsid w:val="00F15523"/>
    <w:rsid w:val="00F1554D"/>
    <w:rsid w:val="00F16391"/>
    <w:rsid w:val="00F17EC4"/>
    <w:rsid w:val="00F2062B"/>
    <w:rsid w:val="00F21A18"/>
    <w:rsid w:val="00F21E61"/>
    <w:rsid w:val="00F220EA"/>
    <w:rsid w:val="00F222CD"/>
    <w:rsid w:val="00F2394E"/>
    <w:rsid w:val="00F2462A"/>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CA4"/>
    <w:rsid w:val="00F41E79"/>
    <w:rsid w:val="00F4284F"/>
    <w:rsid w:val="00F4315F"/>
    <w:rsid w:val="00F445F6"/>
    <w:rsid w:val="00F4512F"/>
    <w:rsid w:val="00F45763"/>
    <w:rsid w:val="00F45BCF"/>
    <w:rsid w:val="00F45BEA"/>
    <w:rsid w:val="00F45CFE"/>
    <w:rsid w:val="00F46877"/>
    <w:rsid w:val="00F47F3E"/>
    <w:rsid w:val="00F530E6"/>
    <w:rsid w:val="00F532C7"/>
    <w:rsid w:val="00F54D75"/>
    <w:rsid w:val="00F54EE5"/>
    <w:rsid w:val="00F55358"/>
    <w:rsid w:val="00F5603C"/>
    <w:rsid w:val="00F5605C"/>
    <w:rsid w:val="00F564B9"/>
    <w:rsid w:val="00F57909"/>
    <w:rsid w:val="00F60220"/>
    <w:rsid w:val="00F6031D"/>
    <w:rsid w:val="00F612D6"/>
    <w:rsid w:val="00F63400"/>
    <w:rsid w:val="00F636C6"/>
    <w:rsid w:val="00F6433D"/>
    <w:rsid w:val="00F6573E"/>
    <w:rsid w:val="00F662EB"/>
    <w:rsid w:val="00F67606"/>
    <w:rsid w:val="00F70327"/>
    <w:rsid w:val="00F70FEF"/>
    <w:rsid w:val="00F72FA8"/>
    <w:rsid w:val="00F74167"/>
    <w:rsid w:val="00F74674"/>
    <w:rsid w:val="00F75415"/>
    <w:rsid w:val="00F773F9"/>
    <w:rsid w:val="00F7768D"/>
    <w:rsid w:val="00F8101C"/>
    <w:rsid w:val="00F817B9"/>
    <w:rsid w:val="00F81CB7"/>
    <w:rsid w:val="00F82280"/>
    <w:rsid w:val="00F8235F"/>
    <w:rsid w:val="00F83A22"/>
    <w:rsid w:val="00F83A97"/>
    <w:rsid w:val="00F841F0"/>
    <w:rsid w:val="00F844F0"/>
    <w:rsid w:val="00F84895"/>
    <w:rsid w:val="00F84E9D"/>
    <w:rsid w:val="00F851F6"/>
    <w:rsid w:val="00F853AA"/>
    <w:rsid w:val="00F8659E"/>
    <w:rsid w:val="00F86CE4"/>
    <w:rsid w:val="00F86F42"/>
    <w:rsid w:val="00F90AFD"/>
    <w:rsid w:val="00F91941"/>
    <w:rsid w:val="00F924F7"/>
    <w:rsid w:val="00F92E3F"/>
    <w:rsid w:val="00F938D2"/>
    <w:rsid w:val="00F96389"/>
    <w:rsid w:val="00F9650E"/>
    <w:rsid w:val="00F96B73"/>
    <w:rsid w:val="00F96C01"/>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C91"/>
    <w:rsid w:val="00FB74E8"/>
    <w:rsid w:val="00FC0263"/>
    <w:rsid w:val="00FC0348"/>
    <w:rsid w:val="00FC0FB5"/>
    <w:rsid w:val="00FC102A"/>
    <w:rsid w:val="00FC154C"/>
    <w:rsid w:val="00FC1DBC"/>
    <w:rsid w:val="00FC2637"/>
    <w:rsid w:val="00FC393B"/>
    <w:rsid w:val="00FC4052"/>
    <w:rsid w:val="00FC4274"/>
    <w:rsid w:val="00FC5252"/>
    <w:rsid w:val="00FC5C0D"/>
    <w:rsid w:val="00FC6356"/>
    <w:rsid w:val="00FC7039"/>
    <w:rsid w:val="00FC7D01"/>
    <w:rsid w:val="00FD0130"/>
    <w:rsid w:val="00FD0373"/>
    <w:rsid w:val="00FD0582"/>
    <w:rsid w:val="00FD0C93"/>
    <w:rsid w:val="00FD1062"/>
    <w:rsid w:val="00FD2589"/>
    <w:rsid w:val="00FD4876"/>
    <w:rsid w:val="00FD52A3"/>
    <w:rsid w:val="00FD68D4"/>
    <w:rsid w:val="00FE00D9"/>
    <w:rsid w:val="00FE1186"/>
    <w:rsid w:val="00FE177A"/>
    <w:rsid w:val="00FE1D57"/>
    <w:rsid w:val="00FE240A"/>
    <w:rsid w:val="00FE3E3C"/>
    <w:rsid w:val="00FE43E7"/>
    <w:rsid w:val="00FE4B66"/>
    <w:rsid w:val="00FE4F6E"/>
    <w:rsid w:val="00FE583F"/>
    <w:rsid w:val="00FE5998"/>
    <w:rsid w:val="00FE5CC4"/>
    <w:rsid w:val="00FE6B13"/>
    <w:rsid w:val="00FE6CB2"/>
    <w:rsid w:val="00FE7337"/>
    <w:rsid w:val="00FE7575"/>
    <w:rsid w:val="00FF1070"/>
    <w:rsid w:val="00FF13E2"/>
    <w:rsid w:val="00FF2237"/>
    <w:rsid w:val="00FF4953"/>
    <w:rsid w:val="00FF5FA3"/>
    <w:rsid w:val="00FF5FCE"/>
    <w:rsid w:val="00FF6177"/>
    <w:rsid w:val="00FF6AD9"/>
    <w:rsid w:val="00FF78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2FC781A7"/>
  <w15:chartTrackingRefBased/>
  <w15:docId w15:val="{6A90510C-2C5A-4A1C-BADB-52F62567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link w:val="Virsraksts1Rakstz"/>
    <w:uiPriority w:val="99"/>
    <w:qFormat/>
    <w:rsid w:val="00944826"/>
    <w:pPr>
      <w:spacing w:before="100" w:beforeAutospacing="1" w:after="100" w:afterAutospacing="1"/>
      <w:outlineLvl w:val="0"/>
    </w:pPr>
    <w:rPr>
      <w:b/>
      <w:bCs/>
      <w:kern w:val="36"/>
      <w:sz w:val="48"/>
      <w:szCs w:val="4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944826"/>
    <w:rPr>
      <w:sz w:val="24"/>
      <w:szCs w:val="24"/>
    </w:rPr>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Veidlapasz-auga">
    <w:name w:val="HTML Top of Form"/>
    <w:basedOn w:val="Parastais"/>
    <w:next w:val="Parastai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ais"/>
    <w:next w:val="Parastai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Izteiksmgs">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ais"/>
    <w:link w:val="BalontekstsRakstz"/>
    <w:uiPriority w:val="99"/>
    <w:semiHidden/>
    <w:rsid w:val="002308FA"/>
    <w:rPr>
      <w:rFonts w:ascii="Tahoma" w:hAnsi="Tahoma" w:cs="Tahoma"/>
      <w:sz w:val="16"/>
      <w:szCs w:val="16"/>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ai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ai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ai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ais"/>
    <w:link w:val="KomentratekstsRakstz"/>
    <w:uiPriority w:val="99"/>
    <w:semiHidden/>
    <w:unhideWhenUsed/>
    <w:rsid w:val="00FE43E7"/>
    <w:rPr>
      <w:sz w:val="20"/>
      <w:szCs w:val="20"/>
    </w:rPr>
  </w:style>
  <w:style w:type="character" w:customStyle="1" w:styleId="KomentratekstsRakstz">
    <w:name w:val="Komentāra teksts Rakstz."/>
    <w:basedOn w:val="Noklusjumarindkopasfonts"/>
    <w:link w:val="Komentrateksts"/>
    <w:uiPriority w:val="99"/>
    <w:semiHidden/>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link w:val="Komentratma"/>
    <w:uiPriority w:val="99"/>
    <w:semiHidden/>
    <w:rsid w:val="00FE43E7"/>
    <w:rPr>
      <w:b/>
      <w:bCs/>
    </w:rPr>
  </w:style>
  <w:style w:type="paragraph" w:styleId="Prskatjums">
    <w:name w:val="Revision"/>
    <w:hidden/>
    <w:uiPriority w:val="99"/>
    <w:semiHidden/>
    <w:rsid w:val="000544E1"/>
    <w:rPr>
      <w:sz w:val="24"/>
      <w:szCs w:val="24"/>
    </w:rPr>
  </w:style>
  <w:style w:type="paragraph" w:styleId="Sarakstarindkopa">
    <w:name w:val="List Paragraph"/>
    <w:basedOn w:val="Parastais"/>
    <w:uiPriority w:val="34"/>
    <w:qFormat/>
    <w:rsid w:val="004E4204"/>
    <w:pPr>
      <w:ind w:left="720"/>
    </w:pPr>
  </w:style>
  <w:style w:type="character" w:styleId="Neatrisintapieminana">
    <w:name w:val="Unresolved Mention"/>
    <w:uiPriority w:val="99"/>
    <w:semiHidden/>
    <w:unhideWhenUsed/>
    <w:rsid w:val="006A1C6D"/>
    <w:rPr>
      <w:color w:val="808080"/>
      <w:shd w:val="clear" w:color="auto" w:fill="E6E6E6"/>
    </w:rPr>
  </w:style>
  <w:style w:type="paragraph" w:styleId="Vresteksts">
    <w:name w:val="footnote text"/>
    <w:basedOn w:val="Parastais"/>
    <w:link w:val="VrestekstsRakstz"/>
    <w:uiPriority w:val="99"/>
    <w:semiHidden/>
    <w:unhideWhenUsed/>
    <w:rsid w:val="007448BF"/>
    <w:rPr>
      <w:rFonts w:ascii="Calibri" w:eastAsia="Calibri" w:hAnsi="Calibri"/>
      <w:sz w:val="20"/>
      <w:szCs w:val="20"/>
      <w:lang w:eastAsia="en-US"/>
    </w:rPr>
  </w:style>
  <w:style w:type="character" w:customStyle="1" w:styleId="VrestekstsRakstz">
    <w:name w:val="Vēres teksts Rakstz."/>
    <w:link w:val="Vresteksts"/>
    <w:uiPriority w:val="99"/>
    <w:semiHidden/>
    <w:rsid w:val="007448BF"/>
    <w:rPr>
      <w:rFonts w:ascii="Calibri" w:eastAsia="Calibri" w:hAnsi="Calibri"/>
      <w:lang w:eastAsia="en-US"/>
    </w:rPr>
  </w:style>
  <w:style w:type="character" w:styleId="Vresatsauce">
    <w:name w:val="footnote reference"/>
    <w:uiPriority w:val="99"/>
    <w:unhideWhenUsed/>
    <w:rsid w:val="00744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414721">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13551910">
      <w:bodyDiv w:val="1"/>
      <w:marLeft w:val="0"/>
      <w:marRight w:val="0"/>
      <w:marTop w:val="0"/>
      <w:marBottom w:val="0"/>
      <w:divBdr>
        <w:top w:val="none" w:sz="0" w:space="0" w:color="auto"/>
        <w:left w:val="none" w:sz="0" w:space="0" w:color="auto"/>
        <w:bottom w:val="none" w:sz="0" w:space="0" w:color="auto"/>
        <w:right w:val="none" w:sz="0" w:space="0" w:color="auto"/>
      </w:divBdr>
    </w:div>
    <w:div w:id="1125737814">
      <w:bodyDiv w:val="1"/>
      <w:marLeft w:val="0"/>
      <w:marRight w:val="0"/>
      <w:marTop w:val="0"/>
      <w:marBottom w:val="0"/>
      <w:divBdr>
        <w:top w:val="none" w:sz="0" w:space="0" w:color="auto"/>
        <w:left w:val="none" w:sz="0" w:space="0" w:color="auto"/>
        <w:bottom w:val="none" w:sz="0" w:space="0" w:color="auto"/>
        <w:right w:val="none" w:sz="0" w:space="0" w:color="auto"/>
      </w:divBdr>
    </w:div>
    <w:div w:id="1249652557">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36147248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refinitiv.com/en/products/world-check-kyc-screening" TargetMode="External"/><Relationship Id="rId3" Type="http://schemas.openxmlformats.org/officeDocument/2006/relationships/hyperlink" Target="https://www.swedbank.lv/private/pricelist" TargetMode="External"/><Relationship Id="rId7" Type="http://schemas.openxmlformats.org/officeDocument/2006/relationships/hyperlink" Target="https://www.fm.gov.lv/lv/sadalas/noziedzigi_iegutu_lidzeklu_legalizacijas_un_terorisma_finansesanas_noversana_/pasakumu_plans_noziedzigi_iegutu_lidzeklu_legalizacijas_un_terorisma_finansesanas_risku_ierobezosanai_2017__2019_gadam_/" TargetMode="External"/><Relationship Id="rId2" Type="http://schemas.openxmlformats.org/officeDocument/2006/relationships/hyperlink" Target="https://www.seb.lv/uznemumiem/ikdienas-pakalpojumi/konti/darijuma-konts" TargetMode="External"/><Relationship Id="rId1" Type="http://schemas.openxmlformats.org/officeDocument/2006/relationships/hyperlink" Target="https://www.seb.lv/cenradis-privatpersonam/cenradis-norekinu-konts" TargetMode="External"/><Relationship Id="rId6" Type="http://schemas.openxmlformats.org/officeDocument/2006/relationships/hyperlink" Target="https://www.luminor.lv/lv/privatpersonam/cenradis/konti-un-komplekti/norekinu-konts" TargetMode="External"/><Relationship Id="rId5" Type="http://schemas.openxmlformats.org/officeDocument/2006/relationships/hyperlink" Target="https://www.luminor.lv/lv/uznemumiem/cenradis/konti-un-komplekti/norekinu-konts" TargetMode="External"/><Relationship Id="rId4" Type="http://schemas.openxmlformats.org/officeDocument/2006/relationships/hyperlink" Target="https://www.swedbank.lv/private/pricelist" TargetMode="External"/><Relationship Id="rId9" Type="http://schemas.openxmlformats.org/officeDocument/2006/relationships/hyperlink" Target="https://appexchange.salesforce.com/listingDetail?listingId=a0N3A00000FAAUpUAP"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2427</Words>
  <Characters>16878</Characters>
  <Application>Microsoft Office Word</Application>
  <DocSecurity>4</DocSecurity>
  <Lines>140</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Izziņa par atzinumos sniegtajiem iebildumiem par Ministru kabineta noteikumu projektu "Grozījumi Ministru kabineta 2013. gada 3. septembra noteikumos Nr. 737 "Noteikumi par zvērinātu notāru atlīdzības taksēm un to noteikšanas kārtību""</vt:lpstr>
      <vt:lpstr>MK noteikumu projekts "Ministru kabineta kārtības rullis"</vt:lpstr>
    </vt:vector>
  </TitlesOfParts>
  <Company>Tieslietu ministrija</Company>
  <LinksUpToDate>false</LinksUpToDate>
  <CharactersWithSpaces>19267</CharactersWithSpaces>
  <SharedDoc>false</SharedDoc>
  <HLinks>
    <vt:vector size="54" baseType="variant">
      <vt:variant>
        <vt:i4>4194308</vt:i4>
      </vt:variant>
      <vt:variant>
        <vt:i4>24</vt:i4>
      </vt:variant>
      <vt:variant>
        <vt:i4>0</vt:i4>
      </vt:variant>
      <vt:variant>
        <vt:i4>5</vt:i4>
      </vt:variant>
      <vt:variant>
        <vt:lpwstr>https://appexchange.salesforce.com/listingDetail?listingId=a0N3A00000FAAUpUAP</vt:lpwstr>
      </vt:variant>
      <vt:variant>
        <vt:lpwstr/>
      </vt:variant>
      <vt:variant>
        <vt:i4>3080307</vt:i4>
      </vt:variant>
      <vt:variant>
        <vt:i4>21</vt:i4>
      </vt:variant>
      <vt:variant>
        <vt:i4>0</vt:i4>
      </vt:variant>
      <vt:variant>
        <vt:i4>5</vt:i4>
      </vt:variant>
      <vt:variant>
        <vt:lpwstr>https://www.refinitiv.com/en/products/world-check-kyc-screening</vt:lpwstr>
      </vt:variant>
      <vt:variant>
        <vt:lpwstr/>
      </vt:variant>
      <vt:variant>
        <vt:i4>6160492</vt:i4>
      </vt:variant>
      <vt:variant>
        <vt:i4>18</vt:i4>
      </vt:variant>
      <vt:variant>
        <vt:i4>0</vt:i4>
      </vt:variant>
      <vt:variant>
        <vt:i4>5</vt:i4>
      </vt:variant>
      <vt:variant>
        <vt:lpwstr>https://www.fm.gov.lv/lv/sadalas/noziedzigi_iegutu_lidzeklu_legalizacijas_un_terorisma_finansesanas_noversana_/pasakumu_plans_noziedzigi_iegutu_lidzeklu_legalizacijas_un_terorisma_finansesanas_risku_ierobezosanai_2017__2019_gadam_/</vt:lpwstr>
      </vt:variant>
      <vt:variant>
        <vt:lpwstr/>
      </vt:variant>
      <vt:variant>
        <vt:i4>5570582</vt:i4>
      </vt:variant>
      <vt:variant>
        <vt:i4>15</vt:i4>
      </vt:variant>
      <vt:variant>
        <vt:i4>0</vt:i4>
      </vt:variant>
      <vt:variant>
        <vt:i4>5</vt:i4>
      </vt:variant>
      <vt:variant>
        <vt:lpwstr>https://www.luminor.lv/lv/privatpersonam/cenradis/konti-un-komplekti/norekinu-konts</vt:lpwstr>
      </vt:variant>
      <vt:variant>
        <vt:lpwstr>norekinu-konta-atversana-un-uzturesana</vt:lpwstr>
      </vt:variant>
      <vt:variant>
        <vt:i4>6160412</vt:i4>
      </vt:variant>
      <vt:variant>
        <vt:i4>12</vt:i4>
      </vt:variant>
      <vt:variant>
        <vt:i4>0</vt:i4>
      </vt:variant>
      <vt:variant>
        <vt:i4>5</vt:i4>
      </vt:variant>
      <vt:variant>
        <vt:lpwstr>https://www.luminor.lv/lv/uznemumiem/cenradis/konti-un-komplekti/norekinu-konts</vt:lpwstr>
      </vt:variant>
      <vt:variant>
        <vt:lpwstr>norekinu-konta-atversana-un-uzturesana</vt:lpwstr>
      </vt:variant>
      <vt:variant>
        <vt:i4>6750271</vt:i4>
      </vt:variant>
      <vt:variant>
        <vt:i4>9</vt:i4>
      </vt:variant>
      <vt:variant>
        <vt:i4>0</vt:i4>
      </vt:variant>
      <vt:variant>
        <vt:i4>5</vt:i4>
      </vt:variant>
      <vt:variant>
        <vt:lpwstr>https://www.swedbank.lv/private/pricelist</vt:lpwstr>
      </vt:variant>
      <vt:variant>
        <vt:lpwstr>pricelist_escrow_account</vt:lpwstr>
      </vt:variant>
      <vt:variant>
        <vt:i4>6750271</vt:i4>
      </vt:variant>
      <vt:variant>
        <vt:i4>6</vt:i4>
      </vt:variant>
      <vt:variant>
        <vt:i4>0</vt:i4>
      </vt:variant>
      <vt:variant>
        <vt:i4>5</vt:i4>
      </vt:variant>
      <vt:variant>
        <vt:lpwstr>https://www.swedbank.lv/private/pricelist</vt:lpwstr>
      </vt:variant>
      <vt:variant>
        <vt:lpwstr>pricelist_escrow_account</vt:lpwstr>
      </vt:variant>
      <vt:variant>
        <vt:i4>7602216</vt:i4>
      </vt:variant>
      <vt:variant>
        <vt:i4>3</vt:i4>
      </vt:variant>
      <vt:variant>
        <vt:i4>0</vt:i4>
      </vt:variant>
      <vt:variant>
        <vt:i4>5</vt:i4>
      </vt:variant>
      <vt:variant>
        <vt:lpwstr>https://www.seb.lv/uznemumiem/ikdienas-pakalpojumi/konti/darijuma-konts</vt:lpwstr>
      </vt:variant>
      <vt:variant>
        <vt:lpwstr>cenradis</vt:lpwstr>
      </vt:variant>
      <vt:variant>
        <vt:i4>7340134</vt:i4>
      </vt:variant>
      <vt:variant>
        <vt:i4>0</vt:i4>
      </vt:variant>
      <vt:variant>
        <vt:i4>0</vt:i4>
      </vt:variant>
      <vt:variant>
        <vt:i4>5</vt:i4>
      </vt:variant>
      <vt:variant>
        <vt:lpwstr>https://www.seb.lv/cenradis-privatpersonam/cenradis-norekinu-konts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2013. gada 3. septembra noteikumos Nr. 737 "Noteikumi par zvērinātu notāru atlīdzības taksēm un to noteikšanas kārtību""</dc:title>
  <dc:subject>Izziņa</dc:subject>
  <dc:creator>Kristīne Alberinga</dc:creator>
  <cp:keywords/>
  <dc:description>67036835,Kristine.Alberinga@tm.gov.lv</dc:description>
  <cp:lastModifiedBy>Kristīne Alberinga</cp:lastModifiedBy>
  <cp:revision>2</cp:revision>
  <cp:lastPrinted>2012-01-18T09:50:00Z</cp:lastPrinted>
  <dcterms:created xsi:type="dcterms:W3CDTF">2019-05-30T11:49:00Z</dcterms:created>
  <dcterms:modified xsi:type="dcterms:W3CDTF">2019-05-30T11:49:00Z</dcterms:modified>
</cp:coreProperties>
</file>