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05F9C" w14:textId="77777777" w:rsidR="007116C7" w:rsidRPr="00B124A5" w:rsidRDefault="007116C7" w:rsidP="00DB7395">
      <w:pPr>
        <w:pStyle w:val="naisnod"/>
        <w:spacing w:before="0" w:after="0"/>
        <w:ind w:firstLine="720"/>
        <w:rPr>
          <w:sz w:val="28"/>
          <w:szCs w:val="28"/>
        </w:rPr>
      </w:pPr>
      <w:bookmarkStart w:id="0" w:name="_GoBack"/>
      <w:r w:rsidRPr="00B124A5">
        <w:rPr>
          <w:sz w:val="28"/>
          <w:szCs w:val="28"/>
        </w:rPr>
        <w:t>Izziņa par atzinumos sniegtajiem iebildumiem</w:t>
      </w:r>
    </w:p>
    <w:p w14:paraId="13705F9D" w14:textId="77777777" w:rsidR="007116C7" w:rsidRPr="00B124A5"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B124A5" w14:paraId="13705F9F" w14:textId="77777777">
        <w:trPr>
          <w:jc w:val="center"/>
        </w:trPr>
        <w:tc>
          <w:tcPr>
            <w:tcW w:w="10188" w:type="dxa"/>
            <w:tcBorders>
              <w:bottom w:val="single" w:sz="6" w:space="0" w:color="000000"/>
            </w:tcBorders>
          </w:tcPr>
          <w:p w14:paraId="13705F9E" w14:textId="77777777" w:rsidR="007116C7" w:rsidRPr="00B124A5" w:rsidRDefault="00FD7452" w:rsidP="00FD7452">
            <w:pPr>
              <w:shd w:val="clear" w:color="auto" w:fill="FFFFFF"/>
              <w:jc w:val="center"/>
            </w:pPr>
            <w:r w:rsidRPr="00B124A5">
              <w:t xml:space="preserve">Ministru kabineta noteikumu projekts </w:t>
            </w:r>
            <w:r w:rsidR="008A0CF3" w:rsidRPr="00B124A5">
              <w:t>“Valsts materiālajās rezervēs ietilpstošo zāļu un medicīnisko ierīču atsavināšanas kārtība”</w:t>
            </w:r>
            <w:r w:rsidR="00DA6168" w:rsidRPr="00B124A5">
              <w:t xml:space="preserve"> (VSS-</w:t>
            </w:r>
            <w:r w:rsidR="008A0CF3" w:rsidRPr="00B124A5">
              <w:t>273</w:t>
            </w:r>
            <w:r w:rsidR="00DA6168" w:rsidRPr="00B124A5">
              <w:t>)</w:t>
            </w:r>
          </w:p>
        </w:tc>
      </w:tr>
    </w:tbl>
    <w:p w14:paraId="13705FA0" w14:textId="77777777" w:rsidR="007116C7" w:rsidRPr="00B124A5" w:rsidRDefault="007116C7" w:rsidP="009623BC">
      <w:pPr>
        <w:pStyle w:val="naisc"/>
        <w:spacing w:before="0" w:after="0"/>
        <w:ind w:firstLine="1080"/>
      </w:pPr>
      <w:r w:rsidRPr="00B124A5">
        <w:t>(dokumenta veids un nosaukums)</w:t>
      </w:r>
    </w:p>
    <w:p w14:paraId="13705FA1" w14:textId="77777777" w:rsidR="007B4C0F" w:rsidRPr="00B124A5" w:rsidRDefault="007B4C0F" w:rsidP="00DB7395">
      <w:pPr>
        <w:pStyle w:val="naisf"/>
        <w:spacing w:before="0" w:after="0"/>
        <w:ind w:firstLine="720"/>
      </w:pPr>
    </w:p>
    <w:p w14:paraId="13705FA2" w14:textId="77777777" w:rsidR="007B4C0F" w:rsidRPr="00B124A5" w:rsidRDefault="007B4C0F" w:rsidP="00184479">
      <w:pPr>
        <w:pStyle w:val="naisf"/>
        <w:spacing w:before="0" w:after="0"/>
        <w:ind w:firstLine="0"/>
        <w:jc w:val="center"/>
        <w:rPr>
          <w:b/>
        </w:rPr>
      </w:pPr>
      <w:r w:rsidRPr="00B124A5">
        <w:rPr>
          <w:b/>
        </w:rPr>
        <w:t xml:space="preserve">I. Jautājumi, par kuriem saskaņošanā </w:t>
      </w:r>
      <w:r w:rsidR="00134188" w:rsidRPr="00B124A5">
        <w:rPr>
          <w:b/>
        </w:rPr>
        <w:t xml:space="preserve">vienošanās </w:t>
      </w:r>
      <w:r w:rsidRPr="00B124A5">
        <w:rPr>
          <w:b/>
        </w:rPr>
        <w:t>nav panākta</w:t>
      </w:r>
    </w:p>
    <w:p w14:paraId="13705FA3" w14:textId="77777777" w:rsidR="007B4C0F" w:rsidRPr="00B124A5"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552"/>
        <w:gridCol w:w="2410"/>
        <w:gridCol w:w="2394"/>
      </w:tblGrid>
      <w:tr w:rsidR="005F4BFD" w:rsidRPr="00B124A5" w14:paraId="13705FAA" w14:textId="77777777" w:rsidTr="006C7019">
        <w:tc>
          <w:tcPr>
            <w:tcW w:w="708" w:type="dxa"/>
            <w:tcBorders>
              <w:top w:val="single" w:sz="6" w:space="0" w:color="000000"/>
              <w:left w:val="single" w:sz="6" w:space="0" w:color="000000"/>
              <w:bottom w:val="single" w:sz="6" w:space="0" w:color="000000"/>
              <w:right w:val="single" w:sz="6" w:space="0" w:color="000000"/>
            </w:tcBorders>
            <w:vAlign w:val="center"/>
          </w:tcPr>
          <w:p w14:paraId="13705FA4" w14:textId="77777777" w:rsidR="005F4BFD" w:rsidRPr="00B124A5" w:rsidRDefault="005F4BFD" w:rsidP="0036160E">
            <w:pPr>
              <w:pStyle w:val="naisc"/>
              <w:spacing w:before="0" w:after="0"/>
            </w:pPr>
            <w:r w:rsidRPr="00B124A5">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13705FA5" w14:textId="77777777" w:rsidR="005F4BFD" w:rsidRPr="00B124A5" w:rsidRDefault="005F4BFD" w:rsidP="00364BB6">
            <w:pPr>
              <w:pStyle w:val="naisc"/>
              <w:spacing w:before="0" w:after="0"/>
              <w:ind w:firstLine="12"/>
            </w:pPr>
            <w:r w:rsidRPr="00B124A5">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13705FA6" w14:textId="77777777" w:rsidR="005F4BFD" w:rsidRPr="00B124A5" w:rsidRDefault="005F4BFD" w:rsidP="00364BB6">
            <w:pPr>
              <w:pStyle w:val="naisc"/>
              <w:spacing w:before="0" w:after="0"/>
              <w:ind w:right="3"/>
            </w:pPr>
            <w:r w:rsidRPr="00B124A5">
              <w:t>Atzinumā norādītais ministrijas (citas institūcijas) iebildums</w:t>
            </w:r>
            <w:r w:rsidR="00184479" w:rsidRPr="00B124A5">
              <w:t>,</w:t>
            </w:r>
            <w:r w:rsidR="000E5509" w:rsidRPr="00B124A5">
              <w:t xml:space="preserve"> kā arī saskaņošanā papildus izteiktais iebildums</w:t>
            </w:r>
            <w:r w:rsidRPr="00B124A5">
              <w:t xml:space="preserve"> par projekta konkrēto punktu (pantu)</w:t>
            </w:r>
          </w:p>
        </w:tc>
        <w:tc>
          <w:tcPr>
            <w:tcW w:w="2552" w:type="dxa"/>
            <w:tcBorders>
              <w:top w:val="single" w:sz="6" w:space="0" w:color="000000"/>
              <w:left w:val="single" w:sz="6" w:space="0" w:color="000000"/>
              <w:bottom w:val="single" w:sz="6" w:space="0" w:color="000000"/>
              <w:right w:val="single" w:sz="6" w:space="0" w:color="000000"/>
            </w:tcBorders>
            <w:vAlign w:val="center"/>
          </w:tcPr>
          <w:p w14:paraId="13705FA7" w14:textId="77777777" w:rsidR="005F4BFD" w:rsidRPr="00B124A5" w:rsidRDefault="005F4BFD" w:rsidP="00364BB6">
            <w:pPr>
              <w:pStyle w:val="naisc"/>
              <w:spacing w:before="0" w:after="0"/>
              <w:ind w:firstLine="21"/>
            </w:pPr>
            <w:r w:rsidRPr="00B124A5">
              <w:t>Atbildīgās ministrijas pamatojums</w:t>
            </w:r>
            <w:r w:rsidR="009307F2" w:rsidRPr="00B124A5">
              <w:t xml:space="preserve"> iebilduma noraidījumam</w:t>
            </w:r>
          </w:p>
        </w:tc>
        <w:tc>
          <w:tcPr>
            <w:tcW w:w="2410" w:type="dxa"/>
            <w:tcBorders>
              <w:top w:val="single" w:sz="4" w:space="0" w:color="auto"/>
              <w:left w:val="single" w:sz="4" w:space="0" w:color="auto"/>
              <w:bottom w:val="single" w:sz="4" w:space="0" w:color="auto"/>
              <w:right w:val="single" w:sz="4" w:space="0" w:color="auto"/>
            </w:tcBorders>
            <w:vAlign w:val="center"/>
          </w:tcPr>
          <w:p w14:paraId="13705FA8" w14:textId="77777777" w:rsidR="005F4BFD" w:rsidRPr="00B124A5" w:rsidRDefault="005F4BFD" w:rsidP="00364BB6">
            <w:pPr>
              <w:jc w:val="center"/>
            </w:pPr>
            <w:r w:rsidRPr="00B124A5">
              <w:t>Atzinuma sniedzēja uzturētais iebildums, ja tas atšķiras no atzinumā norādītā iebilduma pamatojuma</w:t>
            </w:r>
          </w:p>
        </w:tc>
        <w:tc>
          <w:tcPr>
            <w:tcW w:w="2394" w:type="dxa"/>
            <w:tcBorders>
              <w:top w:val="single" w:sz="4" w:space="0" w:color="auto"/>
              <w:left w:val="single" w:sz="4" w:space="0" w:color="auto"/>
              <w:bottom w:val="single" w:sz="4" w:space="0" w:color="auto"/>
            </w:tcBorders>
            <w:vAlign w:val="center"/>
          </w:tcPr>
          <w:p w14:paraId="13705FA9" w14:textId="77777777" w:rsidR="005F4BFD" w:rsidRPr="00B124A5" w:rsidRDefault="005F4BFD" w:rsidP="00364BB6">
            <w:pPr>
              <w:jc w:val="center"/>
            </w:pPr>
            <w:r w:rsidRPr="00B124A5">
              <w:t>Projekta attiecīgā punkta (panta) galīgā redakcija</w:t>
            </w:r>
          </w:p>
        </w:tc>
      </w:tr>
      <w:tr w:rsidR="005F4BFD" w:rsidRPr="00B124A5" w14:paraId="13705FB1" w14:textId="77777777" w:rsidTr="006C7019">
        <w:tc>
          <w:tcPr>
            <w:tcW w:w="708" w:type="dxa"/>
            <w:tcBorders>
              <w:top w:val="single" w:sz="6" w:space="0" w:color="000000"/>
              <w:left w:val="single" w:sz="6" w:space="0" w:color="000000"/>
              <w:bottom w:val="single" w:sz="6" w:space="0" w:color="000000"/>
              <w:right w:val="single" w:sz="6" w:space="0" w:color="000000"/>
            </w:tcBorders>
          </w:tcPr>
          <w:p w14:paraId="13705FAB" w14:textId="77777777" w:rsidR="005F4BFD" w:rsidRPr="00B124A5" w:rsidRDefault="008A36C9" w:rsidP="008A36C9">
            <w:pPr>
              <w:pStyle w:val="naisc"/>
              <w:spacing w:before="0" w:after="0"/>
              <w:rPr>
                <w:sz w:val="20"/>
                <w:szCs w:val="20"/>
              </w:rPr>
            </w:pPr>
            <w:r w:rsidRPr="00B124A5">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13705FAC" w14:textId="77777777" w:rsidR="005F4BFD" w:rsidRPr="00B124A5" w:rsidRDefault="008A36C9" w:rsidP="008A36C9">
            <w:pPr>
              <w:pStyle w:val="naisc"/>
              <w:spacing w:before="0" w:after="0"/>
              <w:ind w:firstLine="720"/>
              <w:rPr>
                <w:sz w:val="20"/>
                <w:szCs w:val="20"/>
              </w:rPr>
            </w:pPr>
            <w:r w:rsidRPr="00B124A5">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13705FAD" w14:textId="77777777" w:rsidR="005F4BFD" w:rsidRPr="00B124A5" w:rsidRDefault="008A36C9" w:rsidP="008A36C9">
            <w:pPr>
              <w:pStyle w:val="naisc"/>
              <w:spacing w:before="0" w:after="0"/>
              <w:ind w:firstLine="720"/>
              <w:rPr>
                <w:sz w:val="20"/>
                <w:szCs w:val="20"/>
              </w:rPr>
            </w:pPr>
            <w:r w:rsidRPr="00B124A5">
              <w:rPr>
                <w:sz w:val="20"/>
                <w:szCs w:val="20"/>
              </w:rPr>
              <w:t>3</w:t>
            </w:r>
          </w:p>
        </w:tc>
        <w:tc>
          <w:tcPr>
            <w:tcW w:w="2552" w:type="dxa"/>
            <w:tcBorders>
              <w:top w:val="single" w:sz="6" w:space="0" w:color="000000"/>
              <w:left w:val="single" w:sz="6" w:space="0" w:color="000000"/>
              <w:bottom w:val="single" w:sz="6" w:space="0" w:color="000000"/>
              <w:right w:val="single" w:sz="6" w:space="0" w:color="000000"/>
            </w:tcBorders>
          </w:tcPr>
          <w:p w14:paraId="13705FAE" w14:textId="77777777" w:rsidR="005F4BFD" w:rsidRPr="00B124A5" w:rsidRDefault="008A36C9" w:rsidP="008A36C9">
            <w:pPr>
              <w:pStyle w:val="naisc"/>
              <w:spacing w:before="0" w:after="0"/>
              <w:ind w:firstLine="720"/>
              <w:rPr>
                <w:sz w:val="20"/>
                <w:szCs w:val="20"/>
              </w:rPr>
            </w:pPr>
            <w:r w:rsidRPr="00B124A5">
              <w:rPr>
                <w:sz w:val="20"/>
                <w:szCs w:val="20"/>
              </w:rPr>
              <w:t>4</w:t>
            </w:r>
          </w:p>
        </w:tc>
        <w:tc>
          <w:tcPr>
            <w:tcW w:w="2410" w:type="dxa"/>
            <w:tcBorders>
              <w:top w:val="single" w:sz="4" w:space="0" w:color="auto"/>
              <w:left w:val="single" w:sz="4" w:space="0" w:color="auto"/>
              <w:bottom w:val="single" w:sz="4" w:space="0" w:color="auto"/>
              <w:right w:val="single" w:sz="4" w:space="0" w:color="auto"/>
            </w:tcBorders>
          </w:tcPr>
          <w:p w14:paraId="13705FAF" w14:textId="77777777" w:rsidR="005F4BFD" w:rsidRPr="00B124A5" w:rsidRDefault="008A36C9" w:rsidP="008A36C9">
            <w:pPr>
              <w:jc w:val="center"/>
              <w:rPr>
                <w:sz w:val="20"/>
                <w:szCs w:val="20"/>
              </w:rPr>
            </w:pPr>
            <w:r w:rsidRPr="00B124A5">
              <w:rPr>
                <w:sz w:val="20"/>
                <w:szCs w:val="20"/>
              </w:rPr>
              <w:t>5</w:t>
            </w:r>
          </w:p>
        </w:tc>
        <w:tc>
          <w:tcPr>
            <w:tcW w:w="2394" w:type="dxa"/>
            <w:tcBorders>
              <w:top w:val="single" w:sz="4" w:space="0" w:color="auto"/>
              <w:left w:val="single" w:sz="4" w:space="0" w:color="auto"/>
              <w:bottom w:val="single" w:sz="4" w:space="0" w:color="auto"/>
            </w:tcBorders>
          </w:tcPr>
          <w:p w14:paraId="13705FB0" w14:textId="77777777" w:rsidR="005F4BFD" w:rsidRPr="00B124A5" w:rsidRDefault="008A36C9" w:rsidP="008A36C9">
            <w:pPr>
              <w:jc w:val="center"/>
              <w:rPr>
                <w:sz w:val="20"/>
                <w:szCs w:val="20"/>
              </w:rPr>
            </w:pPr>
            <w:r w:rsidRPr="00B124A5">
              <w:rPr>
                <w:sz w:val="20"/>
                <w:szCs w:val="20"/>
              </w:rPr>
              <w:t>6</w:t>
            </w:r>
          </w:p>
        </w:tc>
      </w:tr>
      <w:tr w:rsidR="003708AB" w:rsidRPr="00B124A5" w14:paraId="13705FB8" w14:textId="77777777" w:rsidTr="006C7019">
        <w:tc>
          <w:tcPr>
            <w:tcW w:w="708" w:type="dxa"/>
            <w:tcBorders>
              <w:top w:val="single" w:sz="6" w:space="0" w:color="000000"/>
              <w:left w:val="single" w:sz="6" w:space="0" w:color="000000"/>
              <w:bottom w:val="single" w:sz="6" w:space="0" w:color="000000"/>
              <w:right w:val="single" w:sz="6" w:space="0" w:color="000000"/>
            </w:tcBorders>
          </w:tcPr>
          <w:p w14:paraId="13705FB2" w14:textId="77777777" w:rsidR="003708AB" w:rsidRPr="00B124A5" w:rsidRDefault="003708AB" w:rsidP="008A36C9">
            <w:pPr>
              <w:pStyle w:val="naisc"/>
              <w:spacing w:before="0" w:after="0"/>
              <w:rPr>
                <w:sz w:val="20"/>
                <w:szCs w:val="20"/>
              </w:rPr>
            </w:pPr>
          </w:p>
        </w:tc>
        <w:tc>
          <w:tcPr>
            <w:tcW w:w="3086" w:type="dxa"/>
            <w:tcBorders>
              <w:top w:val="single" w:sz="6" w:space="0" w:color="000000"/>
              <w:left w:val="single" w:sz="6" w:space="0" w:color="000000"/>
              <w:bottom w:val="single" w:sz="6" w:space="0" w:color="000000"/>
              <w:right w:val="single" w:sz="6" w:space="0" w:color="000000"/>
            </w:tcBorders>
          </w:tcPr>
          <w:p w14:paraId="13705FB3" w14:textId="77777777" w:rsidR="003708AB" w:rsidRPr="00B124A5" w:rsidRDefault="003708AB" w:rsidP="008A36C9">
            <w:pPr>
              <w:pStyle w:val="naisc"/>
              <w:spacing w:before="0" w:after="0"/>
              <w:ind w:firstLine="720"/>
              <w:rPr>
                <w:sz w:val="20"/>
                <w:szCs w:val="20"/>
              </w:rPr>
            </w:pPr>
          </w:p>
        </w:tc>
        <w:tc>
          <w:tcPr>
            <w:tcW w:w="3118" w:type="dxa"/>
            <w:tcBorders>
              <w:top w:val="single" w:sz="6" w:space="0" w:color="000000"/>
              <w:left w:val="single" w:sz="6" w:space="0" w:color="000000"/>
              <w:bottom w:val="single" w:sz="6" w:space="0" w:color="000000"/>
              <w:right w:val="single" w:sz="6" w:space="0" w:color="000000"/>
            </w:tcBorders>
          </w:tcPr>
          <w:p w14:paraId="13705FB4" w14:textId="77777777" w:rsidR="003708AB" w:rsidRPr="00B124A5" w:rsidRDefault="003708AB" w:rsidP="008A36C9">
            <w:pPr>
              <w:pStyle w:val="naisc"/>
              <w:spacing w:before="0" w:after="0"/>
              <w:ind w:firstLine="720"/>
              <w:rPr>
                <w:sz w:val="20"/>
                <w:szCs w:val="20"/>
              </w:rPr>
            </w:pPr>
          </w:p>
        </w:tc>
        <w:tc>
          <w:tcPr>
            <w:tcW w:w="2552" w:type="dxa"/>
            <w:tcBorders>
              <w:top w:val="single" w:sz="6" w:space="0" w:color="000000"/>
              <w:left w:val="single" w:sz="6" w:space="0" w:color="000000"/>
              <w:bottom w:val="single" w:sz="6" w:space="0" w:color="000000"/>
              <w:right w:val="single" w:sz="6" w:space="0" w:color="000000"/>
            </w:tcBorders>
          </w:tcPr>
          <w:p w14:paraId="13705FB5" w14:textId="77777777" w:rsidR="003708AB" w:rsidRPr="00B124A5" w:rsidRDefault="003708AB" w:rsidP="008A36C9">
            <w:pPr>
              <w:pStyle w:val="naisc"/>
              <w:spacing w:before="0" w:after="0"/>
              <w:ind w:firstLine="720"/>
              <w:rPr>
                <w:sz w:val="20"/>
                <w:szCs w:val="20"/>
              </w:rPr>
            </w:pPr>
          </w:p>
        </w:tc>
        <w:tc>
          <w:tcPr>
            <w:tcW w:w="2410" w:type="dxa"/>
            <w:tcBorders>
              <w:top w:val="single" w:sz="4" w:space="0" w:color="auto"/>
              <w:left w:val="single" w:sz="4" w:space="0" w:color="auto"/>
              <w:bottom w:val="single" w:sz="4" w:space="0" w:color="auto"/>
              <w:right w:val="single" w:sz="4" w:space="0" w:color="auto"/>
            </w:tcBorders>
          </w:tcPr>
          <w:p w14:paraId="13705FB6" w14:textId="77777777" w:rsidR="003708AB" w:rsidRPr="00B124A5" w:rsidRDefault="003708AB" w:rsidP="008A36C9">
            <w:pPr>
              <w:jc w:val="center"/>
              <w:rPr>
                <w:sz w:val="20"/>
                <w:szCs w:val="20"/>
              </w:rPr>
            </w:pPr>
          </w:p>
        </w:tc>
        <w:tc>
          <w:tcPr>
            <w:tcW w:w="2394" w:type="dxa"/>
            <w:tcBorders>
              <w:top w:val="single" w:sz="4" w:space="0" w:color="auto"/>
              <w:left w:val="single" w:sz="4" w:space="0" w:color="auto"/>
              <w:bottom w:val="single" w:sz="4" w:space="0" w:color="auto"/>
            </w:tcBorders>
          </w:tcPr>
          <w:p w14:paraId="13705FB7" w14:textId="77777777" w:rsidR="003708AB" w:rsidRPr="00B124A5" w:rsidRDefault="003708AB" w:rsidP="008A36C9">
            <w:pPr>
              <w:jc w:val="center"/>
              <w:rPr>
                <w:sz w:val="20"/>
                <w:szCs w:val="20"/>
              </w:rPr>
            </w:pPr>
          </w:p>
        </w:tc>
      </w:tr>
    </w:tbl>
    <w:p w14:paraId="13705FB9" w14:textId="77777777" w:rsidR="007B4C0F" w:rsidRPr="00B124A5" w:rsidRDefault="007B4C0F" w:rsidP="007B4C0F">
      <w:pPr>
        <w:pStyle w:val="naisf"/>
        <w:spacing w:before="0" w:after="0"/>
        <w:ind w:firstLine="0"/>
      </w:pPr>
    </w:p>
    <w:p w14:paraId="13705FBA" w14:textId="77777777" w:rsidR="005D67F7" w:rsidRPr="00B124A5" w:rsidRDefault="005D67F7" w:rsidP="005D67F7">
      <w:pPr>
        <w:pStyle w:val="naisf"/>
        <w:spacing w:before="0" w:after="0"/>
        <w:ind w:firstLine="0"/>
        <w:rPr>
          <w:b/>
        </w:rPr>
      </w:pPr>
      <w:r w:rsidRPr="00B124A5">
        <w:rPr>
          <w:b/>
        </w:rPr>
        <w:t xml:space="preserve">Informācija par </w:t>
      </w:r>
      <w:proofErr w:type="spellStart"/>
      <w:r w:rsidRPr="00B124A5">
        <w:rPr>
          <w:b/>
        </w:rPr>
        <w:t>starpministriju</w:t>
      </w:r>
      <w:proofErr w:type="spellEnd"/>
      <w:r w:rsidRPr="00B124A5">
        <w:rPr>
          <w:b/>
        </w:rPr>
        <w:t xml:space="preserve"> (starpinstitūciju) sanāksmi vai elektronisko saskaņošanu</w:t>
      </w:r>
    </w:p>
    <w:p w14:paraId="13705FBB" w14:textId="77777777" w:rsidR="005D67F7" w:rsidRPr="00B124A5" w:rsidRDefault="005D67F7" w:rsidP="005D67F7">
      <w:pPr>
        <w:pStyle w:val="naisf"/>
        <w:spacing w:before="0" w:after="0"/>
        <w:ind w:firstLine="0"/>
        <w:rPr>
          <w:b/>
        </w:rPr>
      </w:pPr>
    </w:p>
    <w:tbl>
      <w:tblPr>
        <w:tblW w:w="12582" w:type="dxa"/>
        <w:tblLook w:val="00A0" w:firstRow="1" w:lastRow="0" w:firstColumn="1" w:lastColumn="0" w:noHBand="0" w:noVBand="0"/>
      </w:tblPr>
      <w:tblGrid>
        <w:gridCol w:w="5778"/>
        <w:gridCol w:w="1770"/>
        <w:gridCol w:w="5034"/>
      </w:tblGrid>
      <w:tr w:rsidR="007B4C0F" w:rsidRPr="00B124A5" w14:paraId="13705FBE" w14:textId="77777777" w:rsidTr="00E553C5">
        <w:tc>
          <w:tcPr>
            <w:tcW w:w="5778" w:type="dxa"/>
          </w:tcPr>
          <w:p w14:paraId="13705FBC" w14:textId="77777777" w:rsidR="007B4C0F" w:rsidRPr="00B124A5" w:rsidRDefault="005D67F7" w:rsidP="005D67F7">
            <w:pPr>
              <w:pStyle w:val="naisf"/>
              <w:spacing w:before="0" w:after="0"/>
              <w:ind w:firstLine="0"/>
            </w:pPr>
            <w:r w:rsidRPr="00B124A5">
              <w:t>D</w:t>
            </w:r>
            <w:r w:rsidR="007B4C0F" w:rsidRPr="00B124A5">
              <w:t>atums</w:t>
            </w:r>
          </w:p>
        </w:tc>
        <w:tc>
          <w:tcPr>
            <w:tcW w:w="6804" w:type="dxa"/>
            <w:gridSpan w:val="2"/>
            <w:tcBorders>
              <w:bottom w:val="single" w:sz="4" w:space="0" w:color="auto"/>
            </w:tcBorders>
          </w:tcPr>
          <w:p w14:paraId="13705FBD" w14:textId="77777777" w:rsidR="007B4C0F" w:rsidRPr="00B124A5" w:rsidRDefault="007B4C0F" w:rsidP="00577607">
            <w:pPr>
              <w:pStyle w:val="NormalWeb"/>
              <w:spacing w:before="0" w:beforeAutospacing="0" w:after="0" w:afterAutospacing="0"/>
              <w:ind w:firstLine="720"/>
            </w:pPr>
          </w:p>
        </w:tc>
      </w:tr>
      <w:tr w:rsidR="003C27A2" w:rsidRPr="00B124A5" w14:paraId="13705FC1" w14:textId="77777777" w:rsidTr="00E553C5">
        <w:tc>
          <w:tcPr>
            <w:tcW w:w="5778" w:type="dxa"/>
          </w:tcPr>
          <w:p w14:paraId="13705FBF" w14:textId="77777777" w:rsidR="003C27A2" w:rsidRPr="00B124A5" w:rsidRDefault="003C27A2" w:rsidP="007B4C0F">
            <w:pPr>
              <w:pStyle w:val="naisf"/>
              <w:spacing w:before="0" w:after="0"/>
              <w:ind w:firstLine="0"/>
            </w:pPr>
          </w:p>
        </w:tc>
        <w:tc>
          <w:tcPr>
            <w:tcW w:w="6804" w:type="dxa"/>
            <w:gridSpan w:val="2"/>
            <w:tcBorders>
              <w:top w:val="single" w:sz="4" w:space="0" w:color="auto"/>
            </w:tcBorders>
          </w:tcPr>
          <w:p w14:paraId="13705FC0" w14:textId="77777777" w:rsidR="003C27A2" w:rsidRPr="00B124A5" w:rsidRDefault="003C27A2" w:rsidP="0036160E">
            <w:pPr>
              <w:pStyle w:val="NormalWeb"/>
              <w:spacing w:before="0" w:beforeAutospacing="0" w:after="0" w:afterAutospacing="0"/>
              <w:ind w:firstLine="720"/>
            </w:pPr>
          </w:p>
        </w:tc>
      </w:tr>
      <w:tr w:rsidR="007B4C0F" w:rsidRPr="00B124A5" w14:paraId="13705FC4" w14:textId="77777777" w:rsidTr="00E553C5">
        <w:tc>
          <w:tcPr>
            <w:tcW w:w="5778" w:type="dxa"/>
          </w:tcPr>
          <w:p w14:paraId="13705FC2" w14:textId="77777777" w:rsidR="007B4C0F" w:rsidRPr="00B124A5" w:rsidRDefault="00365CC0" w:rsidP="003C27A2">
            <w:pPr>
              <w:pStyle w:val="naiskr"/>
              <w:spacing w:before="0" w:after="0"/>
            </w:pPr>
            <w:r w:rsidRPr="00B124A5">
              <w:t>Saskaņošanas dalībnieki</w:t>
            </w:r>
          </w:p>
        </w:tc>
        <w:tc>
          <w:tcPr>
            <w:tcW w:w="6804" w:type="dxa"/>
            <w:gridSpan w:val="2"/>
          </w:tcPr>
          <w:p w14:paraId="13705FC3" w14:textId="77777777" w:rsidR="007B4C0F" w:rsidRPr="00B124A5" w:rsidRDefault="007B4C0F" w:rsidP="0036160E">
            <w:pPr>
              <w:pStyle w:val="NormalWeb"/>
              <w:spacing w:before="0" w:beforeAutospacing="0" w:after="0" w:afterAutospacing="0"/>
              <w:ind w:firstLine="720"/>
            </w:pPr>
          </w:p>
        </w:tc>
      </w:tr>
      <w:tr w:rsidR="007B4C0F" w:rsidRPr="00B124A5" w14:paraId="13705FC8" w14:textId="77777777" w:rsidTr="00E553C5">
        <w:tc>
          <w:tcPr>
            <w:tcW w:w="5778" w:type="dxa"/>
          </w:tcPr>
          <w:p w14:paraId="13705FC5" w14:textId="77777777" w:rsidR="007B4C0F" w:rsidRPr="00B124A5" w:rsidRDefault="007B4C0F" w:rsidP="0036160E">
            <w:pPr>
              <w:pStyle w:val="naiskr"/>
              <w:spacing w:before="0" w:after="0"/>
              <w:ind w:firstLine="720"/>
            </w:pPr>
            <w:r w:rsidRPr="00B124A5">
              <w:t>  </w:t>
            </w:r>
          </w:p>
        </w:tc>
        <w:tc>
          <w:tcPr>
            <w:tcW w:w="6804" w:type="dxa"/>
            <w:gridSpan w:val="2"/>
            <w:tcBorders>
              <w:top w:val="single" w:sz="6" w:space="0" w:color="000000"/>
              <w:bottom w:val="single" w:sz="6" w:space="0" w:color="000000"/>
            </w:tcBorders>
          </w:tcPr>
          <w:p w14:paraId="13705FC6" w14:textId="77777777" w:rsidR="009017D3" w:rsidRPr="00B124A5" w:rsidRDefault="00DA6168" w:rsidP="009017D3">
            <w:pPr>
              <w:ind w:left="720"/>
            </w:pPr>
            <w:r w:rsidRPr="00B124A5">
              <w:t>T</w:t>
            </w:r>
            <w:r w:rsidR="008D1D62" w:rsidRPr="00B124A5">
              <w:t xml:space="preserve">ieslietu ministrija, </w:t>
            </w:r>
            <w:hyperlink r:id="rId8" w:history="1"/>
            <w:r w:rsidR="006E1B73" w:rsidRPr="00B124A5">
              <w:t>Finanšu ministrija</w:t>
            </w:r>
            <w:r w:rsidRPr="00B124A5">
              <w:t xml:space="preserve">, </w:t>
            </w:r>
            <w:proofErr w:type="spellStart"/>
            <w:r w:rsidRPr="00B124A5">
              <w:t>Iekšlietu</w:t>
            </w:r>
            <w:proofErr w:type="spellEnd"/>
            <w:r w:rsidRPr="00B124A5">
              <w:t xml:space="preserve"> ministrija</w:t>
            </w:r>
          </w:p>
          <w:p w14:paraId="13705FC7" w14:textId="77777777" w:rsidR="007F1CCD" w:rsidRPr="00B124A5" w:rsidRDefault="007F1CCD" w:rsidP="00DA6168">
            <w:pPr>
              <w:ind w:left="720"/>
            </w:pPr>
          </w:p>
        </w:tc>
      </w:tr>
      <w:tr w:rsidR="000D0AED" w:rsidRPr="00B124A5" w14:paraId="13705FCC" w14:textId="77777777" w:rsidTr="00E553C5">
        <w:trPr>
          <w:trHeight w:val="285"/>
        </w:trPr>
        <w:tc>
          <w:tcPr>
            <w:tcW w:w="5778" w:type="dxa"/>
          </w:tcPr>
          <w:p w14:paraId="13705FC9" w14:textId="77777777" w:rsidR="000D0AED" w:rsidRPr="00B124A5" w:rsidRDefault="000D0AED" w:rsidP="000D0AED">
            <w:pPr>
              <w:pStyle w:val="naiskr"/>
              <w:spacing w:before="0" w:after="0"/>
            </w:pPr>
          </w:p>
        </w:tc>
        <w:tc>
          <w:tcPr>
            <w:tcW w:w="1770" w:type="dxa"/>
          </w:tcPr>
          <w:p w14:paraId="13705FCA" w14:textId="77777777" w:rsidR="000D0AED" w:rsidRPr="00B124A5" w:rsidRDefault="005622D1" w:rsidP="005622D1">
            <w:pPr>
              <w:pStyle w:val="naiskr"/>
              <w:spacing w:before="0" w:after="0"/>
              <w:ind w:firstLine="720"/>
            </w:pPr>
            <w:r w:rsidRPr="00B124A5">
              <w:t xml:space="preserve"> </w:t>
            </w:r>
          </w:p>
        </w:tc>
        <w:tc>
          <w:tcPr>
            <w:tcW w:w="5034" w:type="dxa"/>
          </w:tcPr>
          <w:p w14:paraId="13705FCB" w14:textId="77777777" w:rsidR="000D0AED" w:rsidRPr="00B124A5" w:rsidRDefault="000D0AED" w:rsidP="0036160E">
            <w:pPr>
              <w:pStyle w:val="naiskr"/>
              <w:spacing w:before="0" w:after="0"/>
              <w:ind w:firstLine="12"/>
            </w:pPr>
          </w:p>
        </w:tc>
      </w:tr>
    </w:tbl>
    <w:p w14:paraId="13705FCD" w14:textId="77777777" w:rsidR="008A36C9" w:rsidRPr="00B124A5" w:rsidRDefault="008A36C9">
      <w:r w:rsidRPr="00B124A5">
        <w:br w:type="page"/>
      </w:r>
    </w:p>
    <w:tbl>
      <w:tblPr>
        <w:tblW w:w="12582" w:type="dxa"/>
        <w:tblLook w:val="00A0" w:firstRow="1" w:lastRow="0" w:firstColumn="1" w:lastColumn="0" w:noHBand="0" w:noVBand="0"/>
      </w:tblPr>
      <w:tblGrid>
        <w:gridCol w:w="6548"/>
        <w:gridCol w:w="5751"/>
        <w:gridCol w:w="283"/>
      </w:tblGrid>
      <w:tr w:rsidR="007B4C0F" w:rsidRPr="00B124A5" w14:paraId="13705FD2" w14:textId="77777777" w:rsidTr="00F70051">
        <w:trPr>
          <w:trHeight w:val="285"/>
        </w:trPr>
        <w:tc>
          <w:tcPr>
            <w:tcW w:w="6548" w:type="dxa"/>
          </w:tcPr>
          <w:p w14:paraId="13705FCE" w14:textId="77777777" w:rsidR="007B4C0F" w:rsidRPr="00B124A5" w:rsidRDefault="00365CC0" w:rsidP="000D0AED">
            <w:pPr>
              <w:pStyle w:val="naiskr"/>
              <w:spacing w:before="0" w:after="0"/>
            </w:pPr>
            <w:r w:rsidRPr="00B124A5">
              <w:t xml:space="preserve">Saskaņošanas dalībnieki </w:t>
            </w:r>
            <w:r w:rsidR="007B4C0F" w:rsidRPr="00B124A5">
              <w:t>izskatīja</w:t>
            </w:r>
            <w:r w:rsidR="005D67F7" w:rsidRPr="00B124A5">
              <w:t xml:space="preserve"> šādu ministriju </w:t>
            </w:r>
            <w:r w:rsidR="003E4C3F" w:rsidRPr="00B124A5">
              <w:t>(c</w:t>
            </w:r>
            <w:r w:rsidR="005D67F7" w:rsidRPr="00B124A5">
              <w:t>itu institūciju</w:t>
            </w:r>
            <w:r w:rsidR="003E4C3F" w:rsidRPr="00B124A5">
              <w:t>)</w:t>
            </w:r>
            <w:r w:rsidR="005D67F7" w:rsidRPr="00B124A5">
              <w:t xml:space="preserve"> iebildumus</w:t>
            </w:r>
          </w:p>
        </w:tc>
        <w:tc>
          <w:tcPr>
            <w:tcW w:w="5751" w:type="dxa"/>
          </w:tcPr>
          <w:p w14:paraId="13705FCF" w14:textId="77777777" w:rsidR="00FD7452" w:rsidRPr="00B124A5" w:rsidRDefault="00FD7452" w:rsidP="00FD7452">
            <w:pPr>
              <w:pStyle w:val="naiskr"/>
              <w:spacing w:before="0" w:after="0"/>
            </w:pPr>
            <w:r w:rsidRPr="00B124A5">
              <w:t>Tieslietu ministrija</w:t>
            </w:r>
            <w:r w:rsidR="00DA6168" w:rsidRPr="00B124A5">
              <w:t xml:space="preserve"> </w:t>
            </w:r>
          </w:p>
          <w:p w14:paraId="13705FD0" w14:textId="77777777" w:rsidR="008B470F" w:rsidRPr="00B124A5" w:rsidRDefault="008B470F" w:rsidP="003542DA">
            <w:pPr>
              <w:pStyle w:val="naiskr"/>
              <w:spacing w:before="0" w:after="0"/>
            </w:pPr>
          </w:p>
        </w:tc>
        <w:tc>
          <w:tcPr>
            <w:tcW w:w="283" w:type="dxa"/>
          </w:tcPr>
          <w:p w14:paraId="13705FD1" w14:textId="77777777" w:rsidR="007B4C0F" w:rsidRPr="00B124A5" w:rsidRDefault="007B4C0F" w:rsidP="00F70051">
            <w:pPr>
              <w:pStyle w:val="naiskr"/>
              <w:spacing w:before="0" w:after="0"/>
              <w:ind w:firstLine="12"/>
            </w:pPr>
          </w:p>
        </w:tc>
      </w:tr>
      <w:tr w:rsidR="007B4C0F" w:rsidRPr="00B124A5" w14:paraId="13705FD5" w14:textId="77777777" w:rsidTr="00F70051">
        <w:tc>
          <w:tcPr>
            <w:tcW w:w="6548" w:type="dxa"/>
          </w:tcPr>
          <w:p w14:paraId="13705FD3" w14:textId="77777777" w:rsidR="007B4C0F" w:rsidRPr="00B124A5" w:rsidRDefault="007B4C0F" w:rsidP="0036160E">
            <w:pPr>
              <w:pStyle w:val="naiskr"/>
              <w:spacing w:before="0" w:after="0"/>
            </w:pPr>
            <w:r w:rsidRPr="00B124A5">
              <w:t>Ministrijas (citas institūcijas), kuras nav ieradušās uz sanāksmi vai kuras nav atbildējušas uz uzaicinājumu piedalīties elektroniskajā saskaņošanā</w:t>
            </w:r>
          </w:p>
        </w:tc>
        <w:tc>
          <w:tcPr>
            <w:tcW w:w="6034" w:type="dxa"/>
            <w:gridSpan w:val="2"/>
          </w:tcPr>
          <w:p w14:paraId="13705FD4" w14:textId="77777777" w:rsidR="007B4C0F" w:rsidRPr="00B124A5" w:rsidRDefault="007B4C0F" w:rsidP="0036160E">
            <w:pPr>
              <w:pStyle w:val="naiskr"/>
              <w:spacing w:before="0" w:after="0"/>
              <w:ind w:firstLine="720"/>
            </w:pPr>
          </w:p>
        </w:tc>
      </w:tr>
      <w:tr w:rsidR="007B4C0F" w:rsidRPr="00B124A5" w14:paraId="13705FD8" w14:textId="77777777" w:rsidTr="00F70051">
        <w:tc>
          <w:tcPr>
            <w:tcW w:w="6548" w:type="dxa"/>
          </w:tcPr>
          <w:p w14:paraId="13705FD6" w14:textId="77777777" w:rsidR="007B4C0F" w:rsidRPr="00B124A5" w:rsidRDefault="007B4C0F" w:rsidP="0036160E">
            <w:pPr>
              <w:pStyle w:val="naiskr"/>
              <w:spacing w:before="0" w:after="0"/>
              <w:ind w:firstLine="720"/>
            </w:pPr>
            <w:r w:rsidRPr="00B124A5">
              <w:t>  </w:t>
            </w:r>
          </w:p>
        </w:tc>
        <w:tc>
          <w:tcPr>
            <w:tcW w:w="6034" w:type="dxa"/>
            <w:gridSpan w:val="2"/>
            <w:tcBorders>
              <w:top w:val="single" w:sz="6" w:space="0" w:color="000000"/>
              <w:bottom w:val="single" w:sz="6" w:space="0" w:color="000000"/>
            </w:tcBorders>
          </w:tcPr>
          <w:p w14:paraId="13705FD7" w14:textId="77777777" w:rsidR="007B4C0F" w:rsidRPr="00B124A5" w:rsidRDefault="007B4C0F" w:rsidP="0036160E">
            <w:pPr>
              <w:pStyle w:val="naiskr"/>
              <w:spacing w:before="0" w:after="0"/>
              <w:ind w:firstLine="720"/>
            </w:pPr>
          </w:p>
        </w:tc>
      </w:tr>
      <w:tr w:rsidR="007B4C0F" w:rsidRPr="00B124A5" w14:paraId="13705FDB" w14:textId="77777777" w:rsidTr="00F70051">
        <w:tc>
          <w:tcPr>
            <w:tcW w:w="6548" w:type="dxa"/>
          </w:tcPr>
          <w:p w14:paraId="13705FD9" w14:textId="77777777" w:rsidR="007B4C0F" w:rsidRPr="00B124A5" w:rsidRDefault="007B4C0F" w:rsidP="0036160E">
            <w:pPr>
              <w:pStyle w:val="naiskr"/>
              <w:spacing w:before="0" w:after="0"/>
              <w:ind w:firstLine="720"/>
            </w:pPr>
            <w:r w:rsidRPr="00B124A5">
              <w:t>  </w:t>
            </w:r>
          </w:p>
        </w:tc>
        <w:tc>
          <w:tcPr>
            <w:tcW w:w="6034" w:type="dxa"/>
            <w:gridSpan w:val="2"/>
            <w:tcBorders>
              <w:bottom w:val="single" w:sz="6" w:space="0" w:color="000000"/>
            </w:tcBorders>
          </w:tcPr>
          <w:p w14:paraId="13705FDA" w14:textId="77777777" w:rsidR="007B4C0F" w:rsidRPr="00B124A5" w:rsidRDefault="007B4C0F" w:rsidP="0036160E">
            <w:pPr>
              <w:pStyle w:val="naiskr"/>
              <w:spacing w:before="0" w:after="0"/>
              <w:ind w:firstLine="720"/>
            </w:pPr>
          </w:p>
        </w:tc>
      </w:tr>
    </w:tbl>
    <w:p w14:paraId="13705FDC" w14:textId="77777777" w:rsidR="00683081" w:rsidRPr="00B124A5" w:rsidRDefault="00683081" w:rsidP="00683081">
      <w:pPr>
        <w:pStyle w:val="naisf"/>
        <w:spacing w:before="0" w:after="0"/>
        <w:ind w:firstLine="720"/>
      </w:pPr>
    </w:p>
    <w:p w14:paraId="13705FDD" w14:textId="77777777" w:rsidR="007B4C0F" w:rsidRPr="00B124A5" w:rsidRDefault="007B4C0F" w:rsidP="00184479">
      <w:pPr>
        <w:pStyle w:val="naisf"/>
        <w:spacing w:before="0" w:after="0"/>
        <w:ind w:firstLine="0"/>
        <w:jc w:val="center"/>
        <w:rPr>
          <w:b/>
        </w:rPr>
      </w:pPr>
      <w:r w:rsidRPr="00B124A5">
        <w:rPr>
          <w:b/>
        </w:rPr>
        <w:t>II. </w:t>
      </w:r>
      <w:r w:rsidR="00134188" w:rsidRPr="00B124A5">
        <w:rPr>
          <w:b/>
        </w:rPr>
        <w:t>Jautājumi, par kuriem saskaņošanā vienošan</w:t>
      </w:r>
      <w:r w:rsidR="00144622" w:rsidRPr="00B124A5">
        <w:rPr>
          <w:b/>
        </w:rPr>
        <w:t>ā</w:t>
      </w:r>
      <w:r w:rsidR="00134188" w:rsidRPr="00B124A5">
        <w:rPr>
          <w:b/>
        </w:rPr>
        <w:t>s ir panākta</w:t>
      </w:r>
    </w:p>
    <w:p w14:paraId="13705FDE" w14:textId="77777777" w:rsidR="007B4C0F" w:rsidRPr="00B124A5" w:rsidRDefault="007B4C0F" w:rsidP="00DB7395">
      <w:pPr>
        <w:pStyle w:val="naisf"/>
        <w:spacing w:before="0" w:after="0"/>
        <w:ind w:firstLine="720"/>
      </w:pPr>
    </w:p>
    <w:tbl>
      <w:tblPr>
        <w:tblW w:w="141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4"/>
        <w:gridCol w:w="2574"/>
        <w:gridCol w:w="828"/>
        <w:gridCol w:w="3543"/>
        <w:gridCol w:w="1808"/>
        <w:gridCol w:w="1311"/>
        <w:gridCol w:w="3544"/>
      </w:tblGrid>
      <w:tr w:rsidR="00134188" w:rsidRPr="00B124A5" w14:paraId="13705FE4" w14:textId="77777777" w:rsidTr="007D4319">
        <w:tc>
          <w:tcPr>
            <w:tcW w:w="534" w:type="dxa"/>
            <w:tcBorders>
              <w:top w:val="single" w:sz="6" w:space="0" w:color="000000"/>
              <w:left w:val="single" w:sz="6" w:space="0" w:color="000000"/>
              <w:bottom w:val="single" w:sz="6" w:space="0" w:color="000000"/>
              <w:right w:val="single" w:sz="6" w:space="0" w:color="000000"/>
            </w:tcBorders>
            <w:vAlign w:val="center"/>
          </w:tcPr>
          <w:p w14:paraId="13705FDF" w14:textId="77777777" w:rsidR="00134188" w:rsidRPr="00B124A5" w:rsidRDefault="00134188" w:rsidP="009623BC">
            <w:pPr>
              <w:pStyle w:val="naisc"/>
              <w:spacing w:before="0" w:after="0"/>
            </w:pPr>
            <w:r w:rsidRPr="00B124A5">
              <w:t>Nr. p.k.</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13705FE0" w14:textId="77777777" w:rsidR="00134188" w:rsidRPr="00B124A5" w:rsidRDefault="00134188" w:rsidP="009623BC">
            <w:pPr>
              <w:pStyle w:val="naisc"/>
              <w:spacing w:before="0" w:after="0"/>
              <w:ind w:firstLine="12"/>
            </w:pPr>
            <w:r w:rsidRPr="00B124A5">
              <w:t>Saskaņošanai nosūtītā projekta redakcija (konkrēta punkta (panta) redakcija)</w:t>
            </w:r>
          </w:p>
        </w:tc>
        <w:tc>
          <w:tcPr>
            <w:tcW w:w="3543" w:type="dxa"/>
            <w:tcBorders>
              <w:top w:val="single" w:sz="6" w:space="0" w:color="000000"/>
              <w:left w:val="single" w:sz="6" w:space="0" w:color="000000"/>
              <w:bottom w:val="single" w:sz="6" w:space="0" w:color="000000"/>
              <w:right w:val="single" w:sz="6" w:space="0" w:color="000000"/>
            </w:tcBorders>
            <w:vAlign w:val="center"/>
          </w:tcPr>
          <w:p w14:paraId="13705FE1" w14:textId="77777777" w:rsidR="00134188" w:rsidRPr="00B124A5" w:rsidRDefault="00134188" w:rsidP="009623BC">
            <w:pPr>
              <w:pStyle w:val="naisc"/>
              <w:spacing w:before="0" w:after="0"/>
              <w:ind w:right="3"/>
            </w:pPr>
            <w:r w:rsidRPr="00B124A5">
              <w:t>Atzinumā norādītais ministrijas (citas institūcijas) iebildums, kā arī saskaņošanā papildus izteiktais iebildums par projekta konkrēto punktu (pantu)</w:t>
            </w:r>
          </w:p>
        </w:tc>
        <w:tc>
          <w:tcPr>
            <w:tcW w:w="3119" w:type="dxa"/>
            <w:gridSpan w:val="2"/>
            <w:tcBorders>
              <w:top w:val="single" w:sz="6" w:space="0" w:color="000000"/>
              <w:left w:val="single" w:sz="6" w:space="0" w:color="000000"/>
              <w:bottom w:val="single" w:sz="6" w:space="0" w:color="000000"/>
              <w:right w:val="single" w:sz="6" w:space="0" w:color="000000"/>
            </w:tcBorders>
            <w:vAlign w:val="center"/>
          </w:tcPr>
          <w:p w14:paraId="13705FE2" w14:textId="77777777" w:rsidR="00134188" w:rsidRPr="00B124A5" w:rsidRDefault="00134188" w:rsidP="009623BC">
            <w:pPr>
              <w:pStyle w:val="naisc"/>
              <w:spacing w:before="0" w:after="0"/>
              <w:ind w:firstLine="21"/>
            </w:pPr>
            <w:r w:rsidRPr="00B124A5">
              <w:t>Atbildīgās ministrijas norāde</w:t>
            </w:r>
            <w:r w:rsidR="006C1C48" w:rsidRPr="00B124A5">
              <w:t xml:space="preserve"> par to, ka </w:t>
            </w:r>
            <w:r w:rsidRPr="00B124A5">
              <w:t>iebildums ir ņemts vērā</w:t>
            </w:r>
            <w:r w:rsidR="006455E7" w:rsidRPr="00B124A5">
              <w:t>,</w:t>
            </w:r>
            <w:r w:rsidRPr="00B124A5">
              <w:t xml:space="preserve"> vai </w:t>
            </w:r>
            <w:r w:rsidR="006C1C48" w:rsidRPr="00B124A5">
              <w:t xml:space="preserve">informācija par saskaņošanā </w:t>
            </w:r>
            <w:r w:rsidR="00022B0F" w:rsidRPr="00B124A5">
              <w:t>panākto alternatīvo risinājumu</w:t>
            </w:r>
          </w:p>
        </w:tc>
        <w:tc>
          <w:tcPr>
            <w:tcW w:w="3544" w:type="dxa"/>
            <w:tcBorders>
              <w:top w:val="single" w:sz="4" w:space="0" w:color="auto"/>
              <w:left w:val="single" w:sz="4" w:space="0" w:color="auto"/>
              <w:bottom w:val="single" w:sz="4" w:space="0" w:color="auto"/>
            </w:tcBorders>
            <w:vAlign w:val="center"/>
          </w:tcPr>
          <w:p w14:paraId="13705FE3" w14:textId="77777777" w:rsidR="00134188" w:rsidRPr="00B124A5" w:rsidRDefault="00134188" w:rsidP="009623BC">
            <w:pPr>
              <w:jc w:val="center"/>
            </w:pPr>
            <w:r w:rsidRPr="00B124A5">
              <w:t>Projekta attiecīgā punkta (panta) galīgā redakcija</w:t>
            </w:r>
          </w:p>
        </w:tc>
      </w:tr>
      <w:tr w:rsidR="00134188" w:rsidRPr="00B124A5" w14:paraId="13705FEA" w14:textId="77777777" w:rsidTr="007D4319">
        <w:tc>
          <w:tcPr>
            <w:tcW w:w="534" w:type="dxa"/>
            <w:tcBorders>
              <w:top w:val="single" w:sz="6" w:space="0" w:color="000000"/>
              <w:left w:val="single" w:sz="6" w:space="0" w:color="000000"/>
              <w:bottom w:val="single" w:sz="6" w:space="0" w:color="000000"/>
              <w:right w:val="single" w:sz="6" w:space="0" w:color="000000"/>
            </w:tcBorders>
          </w:tcPr>
          <w:p w14:paraId="13705FE5" w14:textId="77777777" w:rsidR="00134188" w:rsidRPr="00B124A5" w:rsidRDefault="003B71E0" w:rsidP="003B71E0">
            <w:pPr>
              <w:pStyle w:val="naisc"/>
              <w:spacing w:before="0" w:after="0"/>
              <w:rPr>
                <w:sz w:val="20"/>
                <w:szCs w:val="20"/>
              </w:rPr>
            </w:pPr>
            <w:r w:rsidRPr="00B124A5">
              <w:rPr>
                <w:sz w:val="20"/>
                <w:szCs w:val="20"/>
              </w:rPr>
              <w:t>1</w:t>
            </w:r>
          </w:p>
        </w:tc>
        <w:tc>
          <w:tcPr>
            <w:tcW w:w="3402" w:type="dxa"/>
            <w:gridSpan w:val="2"/>
            <w:tcBorders>
              <w:top w:val="single" w:sz="6" w:space="0" w:color="000000"/>
              <w:left w:val="single" w:sz="6" w:space="0" w:color="000000"/>
              <w:bottom w:val="single" w:sz="6" w:space="0" w:color="000000"/>
              <w:right w:val="single" w:sz="6" w:space="0" w:color="000000"/>
            </w:tcBorders>
          </w:tcPr>
          <w:p w14:paraId="13705FE6" w14:textId="77777777" w:rsidR="00134188" w:rsidRPr="00B124A5" w:rsidRDefault="00F34AAB" w:rsidP="003B71E0">
            <w:pPr>
              <w:pStyle w:val="naisc"/>
              <w:spacing w:before="0" w:after="0"/>
              <w:ind w:firstLine="720"/>
              <w:rPr>
                <w:sz w:val="20"/>
                <w:szCs w:val="20"/>
              </w:rPr>
            </w:pPr>
            <w:r w:rsidRPr="00B124A5">
              <w:rPr>
                <w:sz w:val="20"/>
                <w:szCs w:val="20"/>
              </w:rPr>
              <w:t>2</w:t>
            </w:r>
          </w:p>
        </w:tc>
        <w:tc>
          <w:tcPr>
            <w:tcW w:w="3543" w:type="dxa"/>
            <w:tcBorders>
              <w:top w:val="single" w:sz="6" w:space="0" w:color="000000"/>
              <w:left w:val="single" w:sz="6" w:space="0" w:color="000000"/>
              <w:bottom w:val="single" w:sz="6" w:space="0" w:color="000000"/>
              <w:right w:val="single" w:sz="6" w:space="0" w:color="000000"/>
            </w:tcBorders>
          </w:tcPr>
          <w:p w14:paraId="13705FE7" w14:textId="77777777" w:rsidR="00134188" w:rsidRPr="00B124A5" w:rsidRDefault="003B71E0" w:rsidP="003B71E0">
            <w:pPr>
              <w:pStyle w:val="naisc"/>
              <w:spacing w:before="0" w:after="0"/>
              <w:ind w:firstLine="720"/>
              <w:rPr>
                <w:sz w:val="20"/>
                <w:szCs w:val="20"/>
              </w:rPr>
            </w:pPr>
            <w:r w:rsidRPr="00B124A5">
              <w:rPr>
                <w:sz w:val="20"/>
                <w:szCs w:val="20"/>
              </w:rPr>
              <w:t>3</w:t>
            </w:r>
          </w:p>
        </w:tc>
        <w:tc>
          <w:tcPr>
            <w:tcW w:w="3119" w:type="dxa"/>
            <w:gridSpan w:val="2"/>
            <w:tcBorders>
              <w:top w:val="single" w:sz="6" w:space="0" w:color="000000"/>
              <w:left w:val="single" w:sz="6" w:space="0" w:color="000000"/>
              <w:bottom w:val="single" w:sz="6" w:space="0" w:color="000000"/>
              <w:right w:val="single" w:sz="6" w:space="0" w:color="000000"/>
            </w:tcBorders>
          </w:tcPr>
          <w:p w14:paraId="13705FE8" w14:textId="77777777" w:rsidR="00134188" w:rsidRPr="00B124A5" w:rsidRDefault="003B71E0" w:rsidP="003B71E0">
            <w:pPr>
              <w:pStyle w:val="naisc"/>
              <w:spacing w:before="0" w:after="0"/>
              <w:ind w:firstLine="720"/>
              <w:rPr>
                <w:sz w:val="20"/>
                <w:szCs w:val="20"/>
              </w:rPr>
            </w:pPr>
            <w:r w:rsidRPr="00B124A5">
              <w:rPr>
                <w:sz w:val="20"/>
                <w:szCs w:val="20"/>
              </w:rPr>
              <w:t>4</w:t>
            </w:r>
          </w:p>
        </w:tc>
        <w:tc>
          <w:tcPr>
            <w:tcW w:w="3544" w:type="dxa"/>
            <w:tcBorders>
              <w:top w:val="single" w:sz="4" w:space="0" w:color="auto"/>
              <w:left w:val="single" w:sz="4" w:space="0" w:color="auto"/>
              <w:bottom w:val="single" w:sz="4" w:space="0" w:color="auto"/>
            </w:tcBorders>
          </w:tcPr>
          <w:p w14:paraId="13705FE9" w14:textId="77777777" w:rsidR="00134188" w:rsidRPr="00B124A5" w:rsidRDefault="003B71E0" w:rsidP="003B71E0">
            <w:pPr>
              <w:jc w:val="center"/>
              <w:rPr>
                <w:sz w:val="20"/>
                <w:szCs w:val="20"/>
              </w:rPr>
            </w:pPr>
            <w:r w:rsidRPr="00B124A5">
              <w:rPr>
                <w:sz w:val="20"/>
                <w:szCs w:val="20"/>
              </w:rPr>
              <w:t>5</w:t>
            </w:r>
          </w:p>
        </w:tc>
      </w:tr>
      <w:tr w:rsidR="003708AB" w:rsidRPr="00B124A5" w14:paraId="13705FF3" w14:textId="77777777" w:rsidTr="007D4319">
        <w:tc>
          <w:tcPr>
            <w:tcW w:w="534" w:type="dxa"/>
            <w:tcBorders>
              <w:top w:val="single" w:sz="6" w:space="0" w:color="000000"/>
              <w:left w:val="single" w:sz="6" w:space="0" w:color="000000"/>
              <w:bottom w:val="single" w:sz="6" w:space="0" w:color="000000"/>
              <w:right w:val="single" w:sz="6" w:space="0" w:color="000000"/>
            </w:tcBorders>
          </w:tcPr>
          <w:p w14:paraId="13705FEB" w14:textId="77777777" w:rsidR="003708AB" w:rsidRPr="00B124A5" w:rsidRDefault="003708AB" w:rsidP="003B71E0">
            <w:pPr>
              <w:pStyle w:val="naisc"/>
              <w:spacing w:before="0" w:after="0"/>
              <w:rPr>
                <w:sz w:val="20"/>
                <w:szCs w:val="20"/>
              </w:rPr>
            </w:pPr>
            <w:r w:rsidRPr="00B124A5">
              <w:rPr>
                <w:sz w:val="20"/>
                <w:szCs w:val="20"/>
              </w:rPr>
              <w:t>1.</w:t>
            </w:r>
          </w:p>
        </w:tc>
        <w:tc>
          <w:tcPr>
            <w:tcW w:w="3402" w:type="dxa"/>
            <w:gridSpan w:val="2"/>
            <w:tcBorders>
              <w:top w:val="single" w:sz="6" w:space="0" w:color="000000"/>
              <w:left w:val="single" w:sz="6" w:space="0" w:color="000000"/>
              <w:bottom w:val="single" w:sz="6" w:space="0" w:color="000000"/>
              <w:right w:val="single" w:sz="6" w:space="0" w:color="000000"/>
            </w:tcBorders>
          </w:tcPr>
          <w:p w14:paraId="13705FEC" w14:textId="77777777" w:rsidR="003708AB" w:rsidRPr="00B124A5" w:rsidRDefault="008A0CF3" w:rsidP="00C83F5C">
            <w:pPr>
              <w:jc w:val="both"/>
            </w:pPr>
            <w:bookmarkStart w:id="1" w:name="_Hlk270950"/>
            <w:r w:rsidRPr="00B124A5">
              <w:rPr>
                <w:bCs/>
                <w:color w:val="000000"/>
                <w:szCs w:val="28"/>
              </w:rPr>
              <w:t>4. Z</w:t>
            </w:r>
            <w:r w:rsidRPr="00B124A5">
              <w:rPr>
                <w:szCs w:val="28"/>
              </w:rPr>
              <w:t>āles un medicīn</w:t>
            </w:r>
            <w:r w:rsidR="00C83F5C" w:rsidRPr="00B124A5">
              <w:rPr>
                <w:szCs w:val="28"/>
              </w:rPr>
              <w:t>iskā</w:t>
            </w:r>
            <w:r w:rsidRPr="00B124A5">
              <w:rPr>
                <w:szCs w:val="28"/>
              </w:rPr>
              <w:t xml:space="preserve">s ierīces </w:t>
            </w:r>
            <w:bookmarkEnd w:id="1"/>
            <w:r w:rsidRPr="00B124A5">
              <w:rPr>
                <w:szCs w:val="28"/>
              </w:rPr>
              <w:t>pirms to pārdošanas novērtē ar atbildīgās institūcijas vadītāja rīkojumu izveidota valsts materiālo rezervju novērtēšanas komisija (turpmāk – novērtēšanas komisija). (..)</w:t>
            </w:r>
          </w:p>
        </w:tc>
        <w:tc>
          <w:tcPr>
            <w:tcW w:w="3543" w:type="dxa"/>
            <w:tcBorders>
              <w:top w:val="single" w:sz="6" w:space="0" w:color="000000"/>
              <w:left w:val="single" w:sz="6" w:space="0" w:color="000000"/>
              <w:bottom w:val="single" w:sz="6" w:space="0" w:color="000000"/>
              <w:right w:val="single" w:sz="6" w:space="0" w:color="000000"/>
            </w:tcBorders>
          </w:tcPr>
          <w:p w14:paraId="13705FED" w14:textId="77777777" w:rsidR="003708AB" w:rsidRPr="00B124A5" w:rsidRDefault="009017D3" w:rsidP="003708AB">
            <w:pPr>
              <w:pStyle w:val="naisc"/>
              <w:spacing w:before="0" w:after="0"/>
              <w:jc w:val="both"/>
              <w:rPr>
                <w:b/>
              </w:rPr>
            </w:pPr>
            <w:r w:rsidRPr="00B124A5">
              <w:rPr>
                <w:b/>
              </w:rPr>
              <w:t>Tieslietu ministrija</w:t>
            </w:r>
            <w:r w:rsidR="00ED3427" w:rsidRPr="00B124A5">
              <w:rPr>
                <w:b/>
              </w:rPr>
              <w:t>:</w:t>
            </w:r>
          </w:p>
          <w:p w14:paraId="13705FEE" w14:textId="77777777" w:rsidR="008A0CF3" w:rsidRPr="00B124A5" w:rsidRDefault="008A0CF3" w:rsidP="003708AB">
            <w:pPr>
              <w:pStyle w:val="naisc"/>
              <w:spacing w:before="0" w:after="0"/>
              <w:jc w:val="both"/>
              <w:rPr>
                <w:b/>
              </w:rPr>
            </w:pPr>
            <w:r w:rsidRPr="00B124A5">
              <w:t>Ievērojot, ka projekta 4. punktā minētā novērtēšanas komisija veiks tikai valsts materiālajās rezervēs ietilpstošo zāļu un medicīnisko ierīču novērtēšanu, lūdzam attiecīgi precizēt novērtēšanas komisijas nosaukumu</w:t>
            </w:r>
          </w:p>
        </w:tc>
        <w:tc>
          <w:tcPr>
            <w:tcW w:w="3119" w:type="dxa"/>
            <w:gridSpan w:val="2"/>
            <w:tcBorders>
              <w:top w:val="single" w:sz="6" w:space="0" w:color="000000"/>
              <w:left w:val="single" w:sz="6" w:space="0" w:color="000000"/>
              <w:bottom w:val="single" w:sz="6" w:space="0" w:color="000000"/>
              <w:right w:val="single" w:sz="6" w:space="0" w:color="000000"/>
            </w:tcBorders>
          </w:tcPr>
          <w:p w14:paraId="13705FEF" w14:textId="77777777" w:rsidR="00E76571" w:rsidRPr="00B124A5" w:rsidRDefault="008A0CF3" w:rsidP="00FE6999">
            <w:pPr>
              <w:pStyle w:val="naisc"/>
              <w:spacing w:before="0" w:after="0"/>
              <w:jc w:val="both"/>
            </w:pPr>
            <w:r w:rsidRPr="00B124A5">
              <w:t>Ņemts vērā</w:t>
            </w:r>
          </w:p>
        </w:tc>
        <w:tc>
          <w:tcPr>
            <w:tcW w:w="3544" w:type="dxa"/>
            <w:tcBorders>
              <w:top w:val="single" w:sz="4" w:space="0" w:color="auto"/>
              <w:left w:val="single" w:sz="4" w:space="0" w:color="auto"/>
              <w:bottom w:val="single" w:sz="4" w:space="0" w:color="auto"/>
            </w:tcBorders>
          </w:tcPr>
          <w:p w14:paraId="13705FF0" w14:textId="77777777" w:rsidR="003708AB" w:rsidRPr="00B124A5" w:rsidRDefault="008A0CF3" w:rsidP="002E6F98">
            <w:pPr>
              <w:jc w:val="both"/>
            </w:pPr>
            <w:r w:rsidRPr="00B124A5">
              <w:t>Precizēts noteikumu 4.punkts:</w:t>
            </w:r>
          </w:p>
          <w:p w14:paraId="13705FF1" w14:textId="77777777" w:rsidR="008A0CF3" w:rsidRPr="00B124A5" w:rsidRDefault="008A0CF3" w:rsidP="002E6F98">
            <w:pPr>
              <w:jc w:val="both"/>
            </w:pPr>
            <w:r w:rsidRPr="00B124A5">
              <w:rPr>
                <w:bCs/>
                <w:color w:val="000000"/>
                <w:szCs w:val="28"/>
              </w:rPr>
              <w:t>Z</w:t>
            </w:r>
            <w:r w:rsidRPr="00B124A5">
              <w:rPr>
                <w:szCs w:val="28"/>
              </w:rPr>
              <w:t>āles un medicīniskās ierīces pirms to pārdošanas novērtē ar atbildīgās institūcijas vadītāja rīkojumu izveidota zāļu un medicīnisko ierīču novērtēšanas komisija (turpmāk – novērtēšanas komisija). (..)</w:t>
            </w:r>
          </w:p>
          <w:p w14:paraId="13705FF2" w14:textId="77777777" w:rsidR="008A0CF3" w:rsidRPr="00B124A5" w:rsidRDefault="008A0CF3" w:rsidP="002E6F98">
            <w:pPr>
              <w:jc w:val="both"/>
            </w:pPr>
          </w:p>
        </w:tc>
      </w:tr>
      <w:tr w:rsidR="00AF7985" w:rsidRPr="00B124A5" w14:paraId="13706000" w14:textId="77777777" w:rsidTr="007D4319">
        <w:tc>
          <w:tcPr>
            <w:tcW w:w="534" w:type="dxa"/>
            <w:tcBorders>
              <w:left w:val="single" w:sz="6" w:space="0" w:color="000000"/>
              <w:bottom w:val="single" w:sz="4" w:space="0" w:color="auto"/>
              <w:right w:val="single" w:sz="6" w:space="0" w:color="000000"/>
            </w:tcBorders>
          </w:tcPr>
          <w:p w14:paraId="13705FF4" w14:textId="77777777" w:rsidR="00AF7985" w:rsidRPr="00B124A5" w:rsidRDefault="00AF7985" w:rsidP="00AF7985">
            <w:pPr>
              <w:pStyle w:val="naisc"/>
              <w:spacing w:before="0" w:after="0"/>
              <w:ind w:firstLine="720"/>
            </w:pPr>
          </w:p>
          <w:p w14:paraId="13705FF5" w14:textId="77777777" w:rsidR="00AF7985" w:rsidRPr="00B124A5" w:rsidRDefault="00C3409F" w:rsidP="00AF7985">
            <w:r w:rsidRPr="00B124A5">
              <w:t>2</w:t>
            </w:r>
            <w:r w:rsidR="00AF7985" w:rsidRPr="00B124A5">
              <w:t xml:space="preserve">. </w:t>
            </w:r>
          </w:p>
        </w:tc>
        <w:tc>
          <w:tcPr>
            <w:tcW w:w="3402" w:type="dxa"/>
            <w:gridSpan w:val="2"/>
            <w:tcBorders>
              <w:left w:val="single" w:sz="6" w:space="0" w:color="000000"/>
              <w:bottom w:val="single" w:sz="4" w:space="0" w:color="auto"/>
              <w:right w:val="single" w:sz="6" w:space="0" w:color="000000"/>
            </w:tcBorders>
          </w:tcPr>
          <w:p w14:paraId="13705FF6" w14:textId="77777777" w:rsidR="0062321E" w:rsidRPr="00B124A5" w:rsidRDefault="00ED3427" w:rsidP="00465520">
            <w:pPr>
              <w:pStyle w:val="naisc"/>
              <w:spacing w:before="0" w:after="0"/>
              <w:jc w:val="both"/>
            </w:pPr>
            <w:r w:rsidRPr="00B124A5">
              <w:rPr>
                <w:szCs w:val="28"/>
              </w:rPr>
              <w:t>4. (..) Nepieciešamības gadījumā novērtēšanas komisija pieaicina citas institūcijas speciālistu (ekspertu) vai sertificētu vērtētāju.</w:t>
            </w:r>
          </w:p>
          <w:p w14:paraId="13705FF7" w14:textId="77777777" w:rsidR="0062321E" w:rsidRPr="00B124A5" w:rsidRDefault="0062321E" w:rsidP="000F3C84"/>
          <w:p w14:paraId="13705FF8" w14:textId="77777777" w:rsidR="00D42069" w:rsidRPr="00B124A5" w:rsidRDefault="00D42069" w:rsidP="000F3C84">
            <w:pPr>
              <w:ind w:firstLine="720"/>
            </w:pPr>
          </w:p>
        </w:tc>
        <w:tc>
          <w:tcPr>
            <w:tcW w:w="3543" w:type="dxa"/>
            <w:tcBorders>
              <w:left w:val="single" w:sz="6" w:space="0" w:color="000000"/>
              <w:bottom w:val="single" w:sz="4" w:space="0" w:color="auto"/>
              <w:right w:val="single" w:sz="6" w:space="0" w:color="000000"/>
            </w:tcBorders>
          </w:tcPr>
          <w:p w14:paraId="13705FF9" w14:textId="77777777" w:rsidR="00ED3427" w:rsidRPr="00B124A5" w:rsidRDefault="00ED3427" w:rsidP="00FE6999">
            <w:pPr>
              <w:jc w:val="both"/>
              <w:rPr>
                <w:b/>
              </w:rPr>
            </w:pPr>
            <w:r w:rsidRPr="00B124A5">
              <w:rPr>
                <w:b/>
              </w:rPr>
              <w:t>Tieslietu ministrija:</w:t>
            </w:r>
          </w:p>
          <w:p w14:paraId="13705FFA" w14:textId="77777777" w:rsidR="00AF7985" w:rsidRPr="00B124A5" w:rsidRDefault="008A0CF3" w:rsidP="00FE6999">
            <w:pPr>
              <w:jc w:val="both"/>
            </w:pPr>
            <w:r w:rsidRPr="00B124A5">
              <w:t xml:space="preserve">Vēršam uzmanību uz to, ka nav skaidrs, kas ir projekta 4. punktā minētais sertificētais vērtētājs. Ievērojot minēto, lūdzam izvērtēt projekta 4. punktā paredzēto regulējumu un nepieciešamības gadījumā precizēt to, kā arī </w:t>
            </w:r>
            <w:r w:rsidRPr="00B124A5">
              <w:lastRenderedPageBreak/>
              <w:t>papildināt projekta sākotnējās (</w:t>
            </w:r>
            <w:proofErr w:type="spellStart"/>
            <w:r w:rsidRPr="00B124A5">
              <w:t>ex-ante</w:t>
            </w:r>
            <w:proofErr w:type="spellEnd"/>
            <w:r w:rsidRPr="00B124A5">
              <w:t>) ietekmes novērtējuma ziņojumu (turpmāk – anotācija) ar atbilstošu skaidrojumu.</w:t>
            </w:r>
          </w:p>
        </w:tc>
        <w:tc>
          <w:tcPr>
            <w:tcW w:w="3119" w:type="dxa"/>
            <w:gridSpan w:val="2"/>
            <w:tcBorders>
              <w:left w:val="single" w:sz="6" w:space="0" w:color="000000"/>
              <w:bottom w:val="single" w:sz="4" w:space="0" w:color="auto"/>
              <w:right w:val="single" w:sz="6" w:space="0" w:color="000000"/>
            </w:tcBorders>
          </w:tcPr>
          <w:p w14:paraId="13705FFB" w14:textId="77777777" w:rsidR="00AF7985" w:rsidRPr="00B124A5" w:rsidRDefault="008A0CF3" w:rsidP="00FE6999">
            <w:pPr>
              <w:pStyle w:val="naisc"/>
              <w:spacing w:before="0" w:after="0"/>
              <w:jc w:val="both"/>
            </w:pPr>
            <w:r w:rsidRPr="00B124A5">
              <w:lastRenderedPageBreak/>
              <w:t>Ņemts vērā</w:t>
            </w:r>
          </w:p>
        </w:tc>
        <w:tc>
          <w:tcPr>
            <w:tcW w:w="3544" w:type="dxa"/>
            <w:tcBorders>
              <w:top w:val="single" w:sz="4" w:space="0" w:color="auto"/>
              <w:left w:val="single" w:sz="4" w:space="0" w:color="auto"/>
              <w:bottom w:val="single" w:sz="4" w:space="0" w:color="auto"/>
            </w:tcBorders>
          </w:tcPr>
          <w:p w14:paraId="13705FFC" w14:textId="77777777" w:rsidR="00FB54B9" w:rsidRPr="00B124A5" w:rsidRDefault="008A0CF3" w:rsidP="00715475">
            <w:pPr>
              <w:jc w:val="both"/>
            </w:pPr>
            <w:r w:rsidRPr="00B124A5">
              <w:t>Precizēt</w:t>
            </w:r>
            <w:r w:rsidR="0062321E" w:rsidRPr="00B124A5">
              <w:t xml:space="preserve">s 4.punkts un </w:t>
            </w:r>
            <w:r w:rsidRPr="00B124A5">
              <w:t>anotācija</w:t>
            </w:r>
          </w:p>
          <w:p w14:paraId="13705FFD" w14:textId="77777777" w:rsidR="00D92173" w:rsidRPr="00B124A5" w:rsidRDefault="00D92173" w:rsidP="00715475">
            <w:pPr>
              <w:jc w:val="both"/>
            </w:pPr>
          </w:p>
          <w:p w14:paraId="13705FFE" w14:textId="77777777" w:rsidR="0062321E" w:rsidRPr="00B124A5" w:rsidRDefault="0062321E" w:rsidP="00D92173">
            <w:pPr>
              <w:spacing w:after="120"/>
              <w:ind w:right="142"/>
              <w:jc w:val="both"/>
              <w:rPr>
                <w:color w:val="000000"/>
                <w:szCs w:val="28"/>
              </w:rPr>
            </w:pPr>
            <w:r w:rsidRPr="00B124A5">
              <w:rPr>
                <w:color w:val="000000"/>
                <w:szCs w:val="28"/>
              </w:rPr>
              <w:t>4. (..) Nepieciešamības gadījumā novērtēšanas komisija pieaicina citas institūcijas pārstāvi vai ekspertu attiecīgajā jomā.</w:t>
            </w:r>
          </w:p>
          <w:p w14:paraId="13705FFF" w14:textId="77777777" w:rsidR="00D92173" w:rsidRPr="00B124A5" w:rsidRDefault="00D92173" w:rsidP="00F364EF">
            <w:pPr>
              <w:spacing w:after="120"/>
              <w:ind w:right="142"/>
              <w:jc w:val="both"/>
              <w:rPr>
                <w:color w:val="000000"/>
                <w:szCs w:val="28"/>
              </w:rPr>
            </w:pPr>
            <w:r w:rsidRPr="00B124A5">
              <w:rPr>
                <w:color w:val="000000"/>
                <w:szCs w:val="28"/>
              </w:rPr>
              <w:t>“Ņemot vērā, ka ne</w:t>
            </w:r>
            <w:r w:rsidR="00E03781" w:rsidRPr="00B124A5">
              <w:rPr>
                <w:color w:val="000000"/>
                <w:szCs w:val="28"/>
              </w:rPr>
              <w:t xml:space="preserve"> </w:t>
            </w:r>
            <w:r w:rsidRPr="00B124A5">
              <w:rPr>
                <w:color w:val="000000"/>
                <w:szCs w:val="28"/>
              </w:rPr>
              <w:t xml:space="preserve">vienmēr atbildīgās institūcijas </w:t>
            </w:r>
            <w:r w:rsidRPr="00B124A5">
              <w:rPr>
                <w:color w:val="000000"/>
                <w:szCs w:val="28"/>
              </w:rPr>
              <w:lastRenderedPageBreak/>
              <w:t xml:space="preserve">amatpersonas var pilnībā pārzināt atsevišķu zāļu vai medicīnisko ierīču īpatnības, kas var ietekmēt to pārdošanas cenu tiesību normās iestrādāta iespēja pieaicināt arī citu institūciju pārstāvjus vai </w:t>
            </w:r>
            <w:r w:rsidR="0062321E" w:rsidRPr="00B124A5">
              <w:rPr>
                <w:color w:val="000000"/>
                <w:szCs w:val="28"/>
              </w:rPr>
              <w:t>ekspertus attiecīgajā jomā, proti, kas nepārstāv konkrētas institūcijas.</w:t>
            </w:r>
          </w:p>
        </w:tc>
      </w:tr>
      <w:tr w:rsidR="00AF7985" w:rsidRPr="00B124A5" w14:paraId="13706009" w14:textId="77777777" w:rsidTr="00C75B12">
        <w:trPr>
          <w:trHeight w:val="557"/>
        </w:trPr>
        <w:tc>
          <w:tcPr>
            <w:tcW w:w="534" w:type="dxa"/>
            <w:tcBorders>
              <w:left w:val="single" w:sz="6" w:space="0" w:color="000000"/>
              <w:bottom w:val="single" w:sz="4" w:space="0" w:color="auto"/>
              <w:right w:val="single" w:sz="6" w:space="0" w:color="000000"/>
            </w:tcBorders>
          </w:tcPr>
          <w:p w14:paraId="13706001" w14:textId="77777777" w:rsidR="00AF7985" w:rsidRPr="00B124A5" w:rsidRDefault="008D1D62" w:rsidP="00AF7985">
            <w:pPr>
              <w:pStyle w:val="naisc"/>
              <w:spacing w:before="0" w:after="0"/>
              <w:jc w:val="left"/>
            </w:pPr>
            <w:r w:rsidRPr="00B124A5">
              <w:lastRenderedPageBreak/>
              <w:t>3</w:t>
            </w:r>
            <w:r w:rsidR="00AF7985" w:rsidRPr="00B124A5">
              <w:t xml:space="preserve">. </w:t>
            </w:r>
          </w:p>
        </w:tc>
        <w:tc>
          <w:tcPr>
            <w:tcW w:w="3402" w:type="dxa"/>
            <w:gridSpan w:val="2"/>
            <w:tcBorders>
              <w:left w:val="single" w:sz="6" w:space="0" w:color="000000"/>
              <w:bottom w:val="single" w:sz="4" w:space="0" w:color="auto"/>
              <w:right w:val="single" w:sz="6" w:space="0" w:color="000000"/>
            </w:tcBorders>
          </w:tcPr>
          <w:p w14:paraId="13706002" w14:textId="77777777" w:rsidR="00AF7985" w:rsidRPr="00B124A5" w:rsidRDefault="00ED3427" w:rsidP="006C7B01">
            <w:pPr>
              <w:pStyle w:val="naisc"/>
              <w:spacing w:before="0" w:after="0"/>
              <w:jc w:val="both"/>
            </w:pPr>
            <w:r w:rsidRPr="00B124A5">
              <w:t>5.</w:t>
            </w:r>
            <w:r w:rsidRPr="00B124A5">
              <w:tab/>
              <w:t>Novērtējuma aktu apstiprina atbildīgās institūcijas vadītājs. Atbildīgās institūcijas vadītājs var uzdot novērtēšanas komisijai veikt atkārtotu zāļu un medicīnas ierīču vērtējumu citu dalībnieku sastāvā.</w:t>
            </w:r>
          </w:p>
        </w:tc>
        <w:tc>
          <w:tcPr>
            <w:tcW w:w="3543" w:type="dxa"/>
            <w:tcBorders>
              <w:left w:val="single" w:sz="6" w:space="0" w:color="000000"/>
              <w:bottom w:val="single" w:sz="4" w:space="0" w:color="auto"/>
              <w:right w:val="single" w:sz="6" w:space="0" w:color="000000"/>
            </w:tcBorders>
          </w:tcPr>
          <w:p w14:paraId="13706003" w14:textId="77777777" w:rsidR="00ED3427" w:rsidRPr="00B124A5" w:rsidRDefault="00ED3427" w:rsidP="00FB54B9">
            <w:pPr>
              <w:pStyle w:val="naisc"/>
              <w:spacing w:before="0" w:after="0"/>
              <w:jc w:val="both"/>
            </w:pPr>
            <w:r w:rsidRPr="00B124A5">
              <w:rPr>
                <w:b/>
              </w:rPr>
              <w:t>Tieslietu ministrija:</w:t>
            </w:r>
          </w:p>
          <w:p w14:paraId="13706004" w14:textId="77777777" w:rsidR="00BE316C" w:rsidRPr="00B124A5" w:rsidRDefault="00ED3427" w:rsidP="00FB54B9">
            <w:pPr>
              <w:pStyle w:val="naisc"/>
              <w:spacing w:before="0" w:after="0"/>
              <w:jc w:val="both"/>
            </w:pPr>
            <w:r w:rsidRPr="00B124A5">
              <w:t>3. Vēršam uzmanību uz to, ka ne no projekta 5. punktā, ne no anotācijā ietvertās informācijas nav skaidrs, kādēļ nepieciešams projekta 5. punkta otrajā teikumā paredzētais regulējums. Ievērojot minēto, lūdzam izvērtēt projekta 5. punkta otrajā teikumā paredzēto regulējumu un nepieciešamības gadījumā precizēt to, kā arī papildināt anotāciju ar atbilstošu skaidrojumu.</w:t>
            </w:r>
          </w:p>
        </w:tc>
        <w:tc>
          <w:tcPr>
            <w:tcW w:w="3119" w:type="dxa"/>
            <w:gridSpan w:val="2"/>
            <w:tcBorders>
              <w:left w:val="single" w:sz="6" w:space="0" w:color="000000"/>
              <w:bottom w:val="single" w:sz="4" w:space="0" w:color="auto"/>
              <w:right w:val="single" w:sz="6" w:space="0" w:color="000000"/>
            </w:tcBorders>
          </w:tcPr>
          <w:p w14:paraId="13706005" w14:textId="77777777" w:rsidR="00AF7985" w:rsidRPr="00B124A5" w:rsidRDefault="00ED3427" w:rsidP="004D0E1E">
            <w:pPr>
              <w:pStyle w:val="naisc"/>
              <w:spacing w:before="0" w:after="0"/>
              <w:jc w:val="both"/>
            </w:pPr>
            <w:r w:rsidRPr="00B124A5">
              <w:t>Ņemts vērā</w:t>
            </w:r>
          </w:p>
        </w:tc>
        <w:tc>
          <w:tcPr>
            <w:tcW w:w="3544" w:type="dxa"/>
            <w:tcBorders>
              <w:top w:val="single" w:sz="4" w:space="0" w:color="auto"/>
              <w:left w:val="single" w:sz="4" w:space="0" w:color="auto"/>
              <w:bottom w:val="single" w:sz="4" w:space="0" w:color="auto"/>
            </w:tcBorders>
          </w:tcPr>
          <w:p w14:paraId="13706006" w14:textId="77777777" w:rsidR="00AF7985" w:rsidRPr="00B124A5" w:rsidRDefault="00ED3427" w:rsidP="004D0E1E">
            <w:pPr>
              <w:jc w:val="both"/>
            </w:pPr>
            <w:r w:rsidRPr="00B124A5">
              <w:t>Precizēta anotācija</w:t>
            </w:r>
          </w:p>
          <w:p w14:paraId="13706007" w14:textId="77777777" w:rsidR="004D0E1E" w:rsidRPr="00B124A5" w:rsidRDefault="004D0E1E" w:rsidP="004D0E1E">
            <w:pPr>
              <w:jc w:val="both"/>
            </w:pPr>
          </w:p>
          <w:p w14:paraId="13706008" w14:textId="77777777" w:rsidR="004D0E1E" w:rsidRPr="00B124A5" w:rsidRDefault="004D0E1E" w:rsidP="00F364EF">
            <w:pPr>
              <w:spacing w:after="120"/>
              <w:ind w:right="142"/>
              <w:jc w:val="both"/>
              <w:rPr>
                <w:color w:val="000000"/>
                <w:szCs w:val="28"/>
              </w:rPr>
            </w:pPr>
            <w:r w:rsidRPr="00B124A5">
              <w:rPr>
                <w:color w:val="000000"/>
                <w:szCs w:val="28"/>
              </w:rPr>
              <w:t xml:space="preserve">Noteikumu projekts paredz, ka atbildīgās institūcijas izveidota </w:t>
            </w:r>
            <w:r w:rsidR="000E28A9" w:rsidRPr="00B124A5">
              <w:rPr>
                <w:color w:val="000000"/>
                <w:szCs w:val="28"/>
              </w:rPr>
              <w:t xml:space="preserve">zāļu un medicīnisko ierīču </w:t>
            </w:r>
            <w:r w:rsidRPr="00B124A5">
              <w:rPr>
                <w:color w:val="000000"/>
                <w:szCs w:val="28"/>
              </w:rPr>
              <w:t>novērtēšanas komisija noteiks zāļu un medicīnisko ierīču pārdošanas cenu, ievērojot to iegādes vērtību un atlikušo derīguma termiņus, kā arī citus   apstākļus, ja tie var ietekmēt pārdošanas cenu, piemēram, (nenozīmīgi) bojāts sekundārais zāļu iepakojums, kas nav ietekmējis zāļu kvalitāti vai drošumu. Savukārt atbildīgās institūcijas vadītājs to apstiprinās. Vienlaicīgi tiesību normā iestrādāta iespēja atbildīgās institūcijas vadītajam, nepieciešamības gadījumā lūg</w:t>
            </w:r>
            <w:r w:rsidR="00F364EF" w:rsidRPr="00B124A5">
              <w:rPr>
                <w:color w:val="000000"/>
                <w:szCs w:val="28"/>
              </w:rPr>
              <w:t>t</w:t>
            </w:r>
            <w:r w:rsidRPr="00B124A5">
              <w:rPr>
                <w:color w:val="000000"/>
                <w:szCs w:val="28"/>
              </w:rPr>
              <w:t xml:space="preserve"> zāles un medicīniskās ierīces pārvērtēt citā komisijas sastāvā, piemēram, ja rodas šaubas par zāļu vai medicīnisko ierīču </w:t>
            </w:r>
            <w:r w:rsidRPr="00B124A5">
              <w:rPr>
                <w:color w:val="000000"/>
                <w:szCs w:val="28"/>
              </w:rPr>
              <w:lastRenderedPageBreak/>
              <w:t xml:space="preserve">korektu vērtējumu, piemēram, atklājas, ka kāds no komisijas locekļiem ir bijis interešu konflikta situācijā vai arī zālēm novērtētā cena ir neadekvāti zema vai augsta. </w:t>
            </w:r>
            <w:r w:rsidR="0062321E" w:rsidRPr="00B124A5">
              <w:rPr>
                <w:color w:val="000000"/>
                <w:szCs w:val="28"/>
              </w:rPr>
              <w:t>Minētais nosacījums būtu uzskatāms par izņēmumu, jo šīs tiesību normas mērķis nav likt atbildīgās institūcijas vadītājam bez acīmredzama iemesla apšaubīt vai vienpersoniski pārvērtēt komisijas veikto darbu.</w:t>
            </w:r>
          </w:p>
        </w:tc>
      </w:tr>
      <w:tr w:rsidR="00B12AFD" w:rsidRPr="00B124A5" w14:paraId="1370601A" w14:textId="77777777" w:rsidTr="007D4319">
        <w:tc>
          <w:tcPr>
            <w:tcW w:w="534" w:type="dxa"/>
            <w:tcBorders>
              <w:left w:val="single" w:sz="6" w:space="0" w:color="000000"/>
              <w:bottom w:val="single" w:sz="4" w:space="0" w:color="auto"/>
              <w:right w:val="single" w:sz="6" w:space="0" w:color="000000"/>
            </w:tcBorders>
          </w:tcPr>
          <w:p w14:paraId="1370600A" w14:textId="77777777" w:rsidR="00B12AFD" w:rsidRPr="00B124A5" w:rsidRDefault="00B12AFD" w:rsidP="00AF7985">
            <w:pPr>
              <w:pStyle w:val="naisc"/>
              <w:spacing w:before="0" w:after="0"/>
              <w:jc w:val="left"/>
            </w:pPr>
            <w:r w:rsidRPr="00B124A5">
              <w:lastRenderedPageBreak/>
              <w:t>4.</w:t>
            </w:r>
          </w:p>
        </w:tc>
        <w:tc>
          <w:tcPr>
            <w:tcW w:w="3402" w:type="dxa"/>
            <w:gridSpan w:val="2"/>
            <w:tcBorders>
              <w:left w:val="single" w:sz="6" w:space="0" w:color="000000"/>
              <w:bottom w:val="single" w:sz="4" w:space="0" w:color="auto"/>
              <w:right w:val="single" w:sz="6" w:space="0" w:color="000000"/>
            </w:tcBorders>
          </w:tcPr>
          <w:p w14:paraId="1370600B" w14:textId="77777777" w:rsidR="00252284" w:rsidRPr="00B124A5" w:rsidRDefault="00252284" w:rsidP="00252284">
            <w:pPr>
              <w:spacing w:after="120"/>
              <w:jc w:val="both"/>
            </w:pPr>
            <w:r w:rsidRPr="00B124A5">
              <w:t>7.</w:t>
            </w:r>
            <w:r w:rsidRPr="00B124A5">
              <w:tab/>
              <w:t>Ja uz atsavināšanai paredzētajām zālēm un medicīniskām ierīcēm piesakās vairākas ārstniecības iestādes, sociālās aprūpes institūcijas un veterinārmedicīniskās prakses iestādes, jautājumu par mantas atsavināšanu atrisina priekšroku dodot:</w:t>
            </w:r>
          </w:p>
          <w:p w14:paraId="1370600C" w14:textId="77777777" w:rsidR="00252284" w:rsidRPr="00B124A5" w:rsidRDefault="00252284" w:rsidP="00252284">
            <w:pPr>
              <w:spacing w:after="120"/>
              <w:jc w:val="both"/>
            </w:pPr>
            <w:r w:rsidRPr="00B124A5">
              <w:tab/>
              <w:t>7.1. iestādei, kura pieteikusies iegādāties zāles un medicīniskās ierīces pirmā;</w:t>
            </w:r>
          </w:p>
          <w:p w14:paraId="1370600D" w14:textId="77777777" w:rsidR="00252284" w:rsidRPr="00B124A5" w:rsidRDefault="00252284" w:rsidP="00252284">
            <w:pPr>
              <w:spacing w:after="120"/>
              <w:jc w:val="both"/>
            </w:pPr>
            <w:r w:rsidRPr="00B124A5">
              <w:tab/>
              <w:t>7.2. iestādei, kura iegādāsies vairāk vienas veida ekvivalentas zāles vai medicīniskās ierīces, ja divas vai vairākas iestādes pieteikušās vienā dienā;</w:t>
            </w:r>
          </w:p>
          <w:p w14:paraId="1370600E" w14:textId="77777777" w:rsidR="00B12AFD" w:rsidRPr="00B124A5" w:rsidRDefault="00252284" w:rsidP="00252284">
            <w:pPr>
              <w:spacing w:after="120"/>
              <w:jc w:val="both"/>
            </w:pPr>
            <w:r w:rsidRPr="00B124A5">
              <w:tab/>
              <w:t xml:space="preserve">7.3. pēc izlozes principa, </w:t>
            </w:r>
            <w:r w:rsidRPr="00B124A5">
              <w:lastRenderedPageBreak/>
              <w:t>ja priekšroku nav iespējams noteikt, ievērojot iepriekš noteiktos kritērijus.</w:t>
            </w:r>
          </w:p>
        </w:tc>
        <w:tc>
          <w:tcPr>
            <w:tcW w:w="3543" w:type="dxa"/>
            <w:tcBorders>
              <w:left w:val="single" w:sz="6" w:space="0" w:color="000000"/>
              <w:bottom w:val="single" w:sz="4" w:space="0" w:color="auto"/>
              <w:right w:val="single" w:sz="6" w:space="0" w:color="000000"/>
            </w:tcBorders>
          </w:tcPr>
          <w:p w14:paraId="1370600F" w14:textId="77777777" w:rsidR="00ED3427" w:rsidRPr="00B124A5" w:rsidRDefault="00ED3427" w:rsidP="00B12AFD">
            <w:pPr>
              <w:widowControl w:val="0"/>
              <w:jc w:val="both"/>
              <w:rPr>
                <w:b/>
              </w:rPr>
            </w:pPr>
            <w:r w:rsidRPr="00B124A5">
              <w:rPr>
                <w:b/>
              </w:rPr>
              <w:lastRenderedPageBreak/>
              <w:t>Tieslietu ministrija:</w:t>
            </w:r>
          </w:p>
          <w:p w14:paraId="13706010" w14:textId="77777777" w:rsidR="00B12AFD" w:rsidRPr="00B124A5" w:rsidRDefault="00ED3427" w:rsidP="00B12AFD">
            <w:pPr>
              <w:widowControl w:val="0"/>
              <w:jc w:val="both"/>
              <w:rPr>
                <w:rFonts w:eastAsia="Calibri"/>
                <w:b/>
                <w:szCs w:val="22"/>
                <w:lang w:eastAsia="en-US"/>
              </w:rPr>
            </w:pPr>
            <w:r w:rsidRPr="00B124A5">
              <w:t>4. Ievērojot, ka projekta 7. punktā nav minētas tikai attiecīgās iestādes, lūdzam precizēt projekta 7.1. un 7.2. apakšpunktā paredzēto regulējumu</w:t>
            </w:r>
          </w:p>
        </w:tc>
        <w:tc>
          <w:tcPr>
            <w:tcW w:w="3119" w:type="dxa"/>
            <w:gridSpan w:val="2"/>
            <w:tcBorders>
              <w:left w:val="single" w:sz="6" w:space="0" w:color="000000"/>
              <w:bottom w:val="single" w:sz="4" w:space="0" w:color="auto"/>
              <w:right w:val="single" w:sz="6" w:space="0" w:color="000000"/>
            </w:tcBorders>
          </w:tcPr>
          <w:p w14:paraId="13706011" w14:textId="77777777" w:rsidR="00B12AFD" w:rsidRPr="00B124A5" w:rsidRDefault="00252284" w:rsidP="00B12AFD">
            <w:pPr>
              <w:pStyle w:val="naisc"/>
              <w:spacing w:before="0" w:after="0"/>
              <w:jc w:val="left"/>
            </w:pPr>
            <w:r w:rsidRPr="00B124A5">
              <w:t>Ņemt vērā</w:t>
            </w:r>
          </w:p>
        </w:tc>
        <w:tc>
          <w:tcPr>
            <w:tcW w:w="3544" w:type="dxa"/>
            <w:tcBorders>
              <w:top w:val="single" w:sz="4" w:space="0" w:color="auto"/>
              <w:left w:val="single" w:sz="4" w:space="0" w:color="auto"/>
              <w:bottom w:val="single" w:sz="4" w:space="0" w:color="auto"/>
            </w:tcBorders>
          </w:tcPr>
          <w:p w14:paraId="13706012" w14:textId="77777777" w:rsidR="00252284" w:rsidRPr="00B124A5" w:rsidRDefault="00252284" w:rsidP="000F3C84">
            <w:pPr>
              <w:pStyle w:val="NoSpacing"/>
              <w:jc w:val="both"/>
              <w:rPr>
                <w:rFonts w:ascii="Times New Roman" w:hAnsi="Times New Roman"/>
                <w:sz w:val="24"/>
                <w:szCs w:val="24"/>
              </w:rPr>
            </w:pPr>
            <w:r w:rsidRPr="00B124A5">
              <w:rPr>
                <w:rFonts w:ascii="Times New Roman" w:hAnsi="Times New Roman"/>
                <w:sz w:val="24"/>
                <w:szCs w:val="24"/>
              </w:rPr>
              <w:t>Precizēts Noteikumu 6. un 7.punkts</w:t>
            </w:r>
          </w:p>
          <w:p w14:paraId="13706013" w14:textId="77777777" w:rsidR="00252284" w:rsidRPr="00B124A5" w:rsidRDefault="00252284" w:rsidP="000F3C84">
            <w:pPr>
              <w:pStyle w:val="NoSpacing"/>
              <w:jc w:val="both"/>
              <w:rPr>
                <w:rFonts w:ascii="Times New Roman" w:hAnsi="Times New Roman"/>
                <w:sz w:val="24"/>
                <w:szCs w:val="24"/>
              </w:rPr>
            </w:pPr>
          </w:p>
          <w:p w14:paraId="13706014" w14:textId="77777777" w:rsidR="00252284" w:rsidRPr="00B124A5" w:rsidRDefault="00252284" w:rsidP="000F3C84">
            <w:pPr>
              <w:pStyle w:val="NoSpacing"/>
              <w:jc w:val="both"/>
              <w:rPr>
                <w:rFonts w:ascii="Times New Roman" w:hAnsi="Times New Roman"/>
                <w:sz w:val="24"/>
                <w:szCs w:val="24"/>
              </w:rPr>
            </w:pPr>
            <w:r w:rsidRPr="00B124A5">
              <w:rPr>
                <w:rFonts w:ascii="Times New Roman" w:hAnsi="Times New Roman"/>
                <w:sz w:val="24"/>
                <w:szCs w:val="24"/>
              </w:rPr>
              <w:t>6. Atbildīgā institūcija zāles un medicīniskās ierīces pārdod ārstniecības iestādēm, sociālās aprūpes institūcijām vai veterinārmedicīniskās prakses iestādēm (turpmāk – pircējs).</w:t>
            </w:r>
            <w:r w:rsidRPr="00B124A5">
              <w:rPr>
                <w:rFonts w:ascii="Times New Roman" w:hAnsi="Times New Roman"/>
                <w:bCs/>
                <w:color w:val="000000"/>
                <w:sz w:val="24"/>
                <w:szCs w:val="24"/>
              </w:rPr>
              <w:t xml:space="preserve"> Sludinājumu par zāļu un medicīnisko ierīču pārdošanu atbildīgā institūcija </w:t>
            </w:r>
            <w:bookmarkStart w:id="2" w:name="_Hlk533542570"/>
            <w:r w:rsidRPr="00B124A5">
              <w:rPr>
                <w:rFonts w:ascii="Times New Roman" w:hAnsi="Times New Roman"/>
                <w:bCs/>
                <w:color w:val="000000"/>
                <w:sz w:val="24"/>
                <w:szCs w:val="24"/>
              </w:rPr>
              <w:t>publicē savā tīmekļa vietnē internetā</w:t>
            </w:r>
            <w:bookmarkEnd w:id="2"/>
            <w:r w:rsidRPr="00B124A5">
              <w:rPr>
                <w:rFonts w:ascii="Times New Roman" w:hAnsi="Times New Roman"/>
                <w:bCs/>
                <w:color w:val="000000"/>
                <w:sz w:val="24"/>
                <w:szCs w:val="24"/>
              </w:rPr>
              <w:t>.</w:t>
            </w:r>
          </w:p>
          <w:p w14:paraId="13706015" w14:textId="77777777" w:rsidR="00252284" w:rsidRPr="00B124A5" w:rsidRDefault="00252284" w:rsidP="000F3C84">
            <w:pPr>
              <w:pStyle w:val="NoSpacing"/>
              <w:jc w:val="both"/>
              <w:rPr>
                <w:rFonts w:ascii="Times New Roman" w:hAnsi="Times New Roman"/>
                <w:sz w:val="24"/>
                <w:szCs w:val="24"/>
              </w:rPr>
            </w:pPr>
          </w:p>
          <w:p w14:paraId="13706016" w14:textId="77777777" w:rsidR="00252284" w:rsidRPr="00B124A5" w:rsidRDefault="00252284" w:rsidP="000F3C84">
            <w:pPr>
              <w:pStyle w:val="NoSpacing"/>
              <w:jc w:val="both"/>
              <w:rPr>
                <w:rFonts w:ascii="Times New Roman" w:hAnsi="Times New Roman"/>
                <w:sz w:val="24"/>
                <w:szCs w:val="24"/>
              </w:rPr>
            </w:pPr>
            <w:r w:rsidRPr="00B124A5">
              <w:rPr>
                <w:rFonts w:ascii="Times New Roman" w:hAnsi="Times New Roman"/>
                <w:sz w:val="24"/>
                <w:szCs w:val="24"/>
              </w:rPr>
              <w:t>7.Ja uz a</w:t>
            </w:r>
            <w:r w:rsidRPr="00B124A5">
              <w:rPr>
                <w:rFonts w:ascii="Times New Roman" w:hAnsi="Times New Roman"/>
                <w:bCs/>
                <w:color w:val="000000"/>
                <w:sz w:val="24"/>
                <w:szCs w:val="24"/>
              </w:rPr>
              <w:t xml:space="preserve">tsavināšanai paredzētajām zālēm un medicīniskām ierīcēm </w:t>
            </w:r>
            <w:r w:rsidRPr="00B124A5">
              <w:rPr>
                <w:rFonts w:ascii="Times New Roman" w:hAnsi="Times New Roman"/>
                <w:sz w:val="24"/>
                <w:szCs w:val="24"/>
              </w:rPr>
              <w:t xml:space="preserve">piesakās vairāki </w:t>
            </w:r>
            <w:r w:rsidRPr="00B124A5">
              <w:rPr>
                <w:rFonts w:ascii="Times New Roman" w:hAnsi="Times New Roman"/>
                <w:bCs/>
                <w:color w:val="000000"/>
                <w:sz w:val="24"/>
                <w:szCs w:val="24"/>
              </w:rPr>
              <w:t>pircēji</w:t>
            </w:r>
            <w:r w:rsidRPr="00B124A5">
              <w:rPr>
                <w:rFonts w:ascii="Times New Roman" w:hAnsi="Times New Roman"/>
                <w:sz w:val="24"/>
                <w:szCs w:val="24"/>
              </w:rPr>
              <w:t>, jautājumu par mantas atsavināšanu atrisina priekšroku dodot:</w:t>
            </w:r>
          </w:p>
          <w:p w14:paraId="13706017" w14:textId="77777777" w:rsidR="00252284" w:rsidRPr="00B124A5" w:rsidRDefault="00252284" w:rsidP="000F3C84">
            <w:pPr>
              <w:pStyle w:val="NoSpacing"/>
              <w:jc w:val="both"/>
              <w:rPr>
                <w:rFonts w:ascii="Times New Roman" w:hAnsi="Times New Roman"/>
                <w:sz w:val="24"/>
                <w:szCs w:val="24"/>
              </w:rPr>
            </w:pPr>
            <w:r w:rsidRPr="00B124A5">
              <w:rPr>
                <w:rFonts w:ascii="Times New Roman" w:hAnsi="Times New Roman"/>
                <w:sz w:val="24"/>
                <w:szCs w:val="24"/>
              </w:rPr>
              <w:tab/>
              <w:t>7.1. pircējam, ka</w:t>
            </w:r>
            <w:r w:rsidR="0018389F" w:rsidRPr="00B124A5">
              <w:rPr>
                <w:rFonts w:ascii="Times New Roman" w:hAnsi="Times New Roman"/>
                <w:sz w:val="24"/>
                <w:szCs w:val="24"/>
              </w:rPr>
              <w:t>s</w:t>
            </w:r>
            <w:r w:rsidRPr="00B124A5">
              <w:rPr>
                <w:rFonts w:ascii="Times New Roman" w:hAnsi="Times New Roman"/>
                <w:sz w:val="24"/>
                <w:szCs w:val="24"/>
              </w:rPr>
              <w:t xml:space="preserve"> </w:t>
            </w:r>
            <w:r w:rsidRPr="00B124A5">
              <w:rPr>
                <w:rFonts w:ascii="Times New Roman" w:hAnsi="Times New Roman"/>
                <w:sz w:val="24"/>
                <w:szCs w:val="24"/>
              </w:rPr>
              <w:lastRenderedPageBreak/>
              <w:t>pietei</w:t>
            </w:r>
            <w:r w:rsidR="00805CD3" w:rsidRPr="00B124A5">
              <w:rPr>
                <w:rFonts w:ascii="Times New Roman" w:hAnsi="Times New Roman"/>
                <w:sz w:val="24"/>
                <w:szCs w:val="24"/>
              </w:rPr>
              <w:t>c</w:t>
            </w:r>
            <w:r w:rsidRPr="00B124A5">
              <w:rPr>
                <w:rFonts w:ascii="Times New Roman" w:hAnsi="Times New Roman"/>
                <w:sz w:val="24"/>
                <w:szCs w:val="24"/>
              </w:rPr>
              <w:t>ies iegādāties zāles un medicīniskās ierīces pirm</w:t>
            </w:r>
            <w:r w:rsidR="00805CD3" w:rsidRPr="00B124A5">
              <w:rPr>
                <w:rFonts w:ascii="Times New Roman" w:hAnsi="Times New Roman"/>
                <w:sz w:val="24"/>
                <w:szCs w:val="24"/>
              </w:rPr>
              <w:t>ais</w:t>
            </w:r>
            <w:r w:rsidRPr="00B124A5">
              <w:rPr>
                <w:rFonts w:ascii="Times New Roman" w:hAnsi="Times New Roman"/>
                <w:sz w:val="24"/>
                <w:szCs w:val="24"/>
              </w:rPr>
              <w:t>;</w:t>
            </w:r>
          </w:p>
          <w:p w14:paraId="13706018" w14:textId="77777777" w:rsidR="00252284" w:rsidRPr="00B124A5" w:rsidRDefault="00252284" w:rsidP="000F3C84">
            <w:pPr>
              <w:pStyle w:val="NoSpacing"/>
              <w:jc w:val="both"/>
              <w:rPr>
                <w:rFonts w:ascii="Times New Roman" w:hAnsi="Times New Roman"/>
                <w:sz w:val="24"/>
                <w:szCs w:val="24"/>
              </w:rPr>
            </w:pPr>
            <w:r w:rsidRPr="00B124A5">
              <w:rPr>
                <w:rFonts w:ascii="Times New Roman" w:hAnsi="Times New Roman"/>
                <w:sz w:val="24"/>
                <w:szCs w:val="24"/>
              </w:rPr>
              <w:tab/>
              <w:t>7.2. pircējam, ka</w:t>
            </w:r>
            <w:r w:rsidR="009961A1" w:rsidRPr="00B124A5">
              <w:rPr>
                <w:rFonts w:ascii="Times New Roman" w:hAnsi="Times New Roman"/>
                <w:sz w:val="24"/>
                <w:szCs w:val="24"/>
              </w:rPr>
              <w:t>s</w:t>
            </w:r>
            <w:r w:rsidRPr="00B124A5">
              <w:rPr>
                <w:rFonts w:ascii="Times New Roman" w:hAnsi="Times New Roman"/>
                <w:sz w:val="24"/>
                <w:szCs w:val="24"/>
              </w:rPr>
              <w:t xml:space="preserve"> iegādāsies vairāk viena veida ekvivalentas zāles vai medicīniskās ierīces, ja divas vai vairākas iestādes pieteikušās vienā dienā;</w:t>
            </w:r>
          </w:p>
          <w:p w14:paraId="13706019" w14:textId="77777777" w:rsidR="00B12AFD" w:rsidRPr="00B124A5" w:rsidRDefault="00252284" w:rsidP="000F3C84">
            <w:pPr>
              <w:pStyle w:val="NoSpacing"/>
              <w:jc w:val="both"/>
              <w:rPr>
                <w:rFonts w:ascii="Times New Roman" w:hAnsi="Times New Roman"/>
                <w:sz w:val="24"/>
                <w:szCs w:val="24"/>
              </w:rPr>
            </w:pPr>
            <w:r w:rsidRPr="00B124A5">
              <w:rPr>
                <w:rFonts w:ascii="Times New Roman" w:hAnsi="Times New Roman"/>
                <w:sz w:val="24"/>
                <w:szCs w:val="24"/>
              </w:rPr>
              <w:tab/>
              <w:t>7.3. pēc izlozes principa, ja priekšroku nav iespējams noteikt, ievērojot iepriekš noteiktos kritērijus.</w:t>
            </w:r>
          </w:p>
        </w:tc>
      </w:tr>
      <w:tr w:rsidR="00AF7985" w:rsidRPr="00B124A5" w14:paraId="13706024" w14:textId="77777777" w:rsidTr="007D4319">
        <w:tc>
          <w:tcPr>
            <w:tcW w:w="534" w:type="dxa"/>
            <w:tcBorders>
              <w:left w:val="single" w:sz="6" w:space="0" w:color="000000"/>
              <w:bottom w:val="single" w:sz="4" w:space="0" w:color="auto"/>
              <w:right w:val="single" w:sz="6" w:space="0" w:color="000000"/>
            </w:tcBorders>
          </w:tcPr>
          <w:p w14:paraId="1370601B" w14:textId="77777777" w:rsidR="00AF7985" w:rsidRPr="00B124A5" w:rsidRDefault="003D49E0" w:rsidP="00AF7985">
            <w:pPr>
              <w:pStyle w:val="naisc"/>
              <w:spacing w:before="0" w:after="0"/>
              <w:jc w:val="left"/>
            </w:pPr>
            <w:r w:rsidRPr="00B124A5">
              <w:lastRenderedPageBreak/>
              <w:t>4</w:t>
            </w:r>
            <w:r w:rsidR="00AF7985" w:rsidRPr="00B124A5">
              <w:t>.</w:t>
            </w:r>
          </w:p>
        </w:tc>
        <w:tc>
          <w:tcPr>
            <w:tcW w:w="3402" w:type="dxa"/>
            <w:gridSpan w:val="2"/>
            <w:tcBorders>
              <w:left w:val="single" w:sz="6" w:space="0" w:color="000000"/>
              <w:bottom w:val="single" w:sz="4" w:space="0" w:color="auto"/>
              <w:right w:val="single" w:sz="6" w:space="0" w:color="000000"/>
            </w:tcBorders>
          </w:tcPr>
          <w:p w14:paraId="1370601C" w14:textId="77777777" w:rsidR="00427B7B" w:rsidRPr="00B124A5" w:rsidRDefault="007114A8" w:rsidP="007114A8">
            <w:pPr>
              <w:spacing w:after="120"/>
              <w:ind w:right="142"/>
              <w:jc w:val="both"/>
              <w:rPr>
                <w:color w:val="000000"/>
                <w:szCs w:val="28"/>
              </w:rPr>
            </w:pPr>
            <w:r w:rsidRPr="00B124A5">
              <w:rPr>
                <w:color w:val="000000"/>
                <w:szCs w:val="28"/>
              </w:rPr>
              <w:t xml:space="preserve">(..) Minētais personu loks ir ekvivalents, kāds paredzēts Publiskas personas mantas atsavināšanas likumā, kurām manta var tikt nodota bez atlīdzības, taču tām ir jābūt tiesīgām iegādāties zāles. Savukārt, lai iegādātos medicīniskās ierīces normatīvie akti neparedz ierobežojumus. Personas un iestādes, kuras ir tiesīgas iegādāties zāles ir noteiktas Farmācijas likumā. Pie minētajām personām un iestādēm būtu pieskaitāmas arī tādas, kuras zāļu iegādei ir saņēmušas Zāļu valsts aģentūras atļauju. Piemēram, šobrīd Zāļu valsts aģentūras ir izsniegusi divām Latvijas izglītības iestādēm atļauju iegādāties zāles zinātniskās </w:t>
            </w:r>
            <w:r w:rsidRPr="00B124A5">
              <w:rPr>
                <w:color w:val="000000"/>
                <w:szCs w:val="28"/>
              </w:rPr>
              <w:lastRenderedPageBreak/>
              <w:t>izpētes nolūkiem. (..)</w:t>
            </w:r>
          </w:p>
        </w:tc>
        <w:tc>
          <w:tcPr>
            <w:tcW w:w="3543" w:type="dxa"/>
            <w:tcBorders>
              <w:left w:val="single" w:sz="6" w:space="0" w:color="000000"/>
              <w:bottom w:val="single" w:sz="4" w:space="0" w:color="auto"/>
              <w:right w:val="single" w:sz="6" w:space="0" w:color="000000"/>
            </w:tcBorders>
          </w:tcPr>
          <w:p w14:paraId="1370601D" w14:textId="77777777" w:rsidR="00252284" w:rsidRPr="00B124A5" w:rsidRDefault="00ED3427" w:rsidP="00ED3427">
            <w:pPr>
              <w:pStyle w:val="NormalWeb"/>
              <w:spacing w:before="0" w:after="0"/>
              <w:ind w:right="13"/>
              <w:jc w:val="both"/>
              <w:rPr>
                <w:b/>
              </w:rPr>
            </w:pPr>
            <w:r w:rsidRPr="00B124A5">
              <w:rPr>
                <w:b/>
              </w:rPr>
              <w:lastRenderedPageBreak/>
              <w:t>Tieslietu ministrija:</w:t>
            </w:r>
          </w:p>
          <w:p w14:paraId="1370601E" w14:textId="77777777" w:rsidR="00ED3427" w:rsidRPr="00B124A5" w:rsidRDefault="00ED3427" w:rsidP="00ED3427">
            <w:pPr>
              <w:pStyle w:val="NormalWeb"/>
              <w:spacing w:before="0" w:after="0"/>
              <w:ind w:right="13"/>
              <w:jc w:val="both"/>
            </w:pPr>
            <w:r w:rsidRPr="00B124A5">
              <w:t xml:space="preserve">5. Projekta 8. punktā ir norādīts, ka zāļu nodošanas gadījumā to saņēmējam ir jābūt tiesīgam zāles iegādāties saskaņā ar farmācijas jomu regulējošo normatīvo aktu prasībām. Savukārt anotācijas I sadaļas 2. punkta trīspadsmitajā rindkopā ir norādīts, ka personas un iestādes, kuras ir tiesīgas iegādāties zāles, ir noteiktas Farmācijas likumā. Ievērojot, ka nav skaidrs, kas ir iepriekš minētās personas un iestādes, kā arī kurā Farmācijas likuma normā tās ir noteiktas, lūdzam izvērtēt projekta 8. punktā paredzēto regulējumu un nepieciešamības gadījumā precizēt to, kā arī papildināt anotācijas I sadaļas 2. punkta trīspadsmitajā rindkopā </w:t>
            </w:r>
            <w:r w:rsidRPr="00B124A5">
              <w:lastRenderedPageBreak/>
              <w:t>ietverto informāciju.</w:t>
            </w:r>
          </w:p>
          <w:p w14:paraId="1370601F" w14:textId="77777777" w:rsidR="00B12AFD" w:rsidRPr="00B124A5" w:rsidRDefault="00B12AFD" w:rsidP="00AF7985">
            <w:pPr>
              <w:pStyle w:val="naisc"/>
              <w:spacing w:before="0" w:after="0"/>
              <w:jc w:val="both"/>
              <w:rPr>
                <w:b/>
              </w:rPr>
            </w:pPr>
          </w:p>
        </w:tc>
        <w:tc>
          <w:tcPr>
            <w:tcW w:w="3119" w:type="dxa"/>
            <w:gridSpan w:val="2"/>
            <w:tcBorders>
              <w:left w:val="single" w:sz="6" w:space="0" w:color="000000"/>
              <w:bottom w:val="single" w:sz="4" w:space="0" w:color="auto"/>
              <w:right w:val="single" w:sz="6" w:space="0" w:color="000000"/>
            </w:tcBorders>
          </w:tcPr>
          <w:p w14:paraId="13706020" w14:textId="77777777" w:rsidR="00AF7985" w:rsidRPr="00B124A5" w:rsidRDefault="00ED1FA5" w:rsidP="00FE6999">
            <w:pPr>
              <w:pStyle w:val="naisc"/>
              <w:spacing w:before="0" w:after="0"/>
              <w:jc w:val="both"/>
            </w:pPr>
            <w:r w:rsidRPr="00B124A5">
              <w:lastRenderedPageBreak/>
              <w:t>Ņemt</w:t>
            </w:r>
            <w:r w:rsidR="00F364EF" w:rsidRPr="00B124A5">
              <w:t>s</w:t>
            </w:r>
            <w:r w:rsidRPr="00B124A5">
              <w:t xml:space="preserve"> vērā: </w:t>
            </w:r>
          </w:p>
        </w:tc>
        <w:tc>
          <w:tcPr>
            <w:tcW w:w="3544" w:type="dxa"/>
            <w:tcBorders>
              <w:top w:val="single" w:sz="4" w:space="0" w:color="auto"/>
              <w:left w:val="single" w:sz="4" w:space="0" w:color="auto"/>
              <w:bottom w:val="single" w:sz="4" w:space="0" w:color="auto"/>
            </w:tcBorders>
          </w:tcPr>
          <w:p w14:paraId="13706021" w14:textId="77777777" w:rsidR="006C7B01" w:rsidRPr="00B124A5" w:rsidRDefault="007114A8" w:rsidP="004A737A">
            <w:pPr>
              <w:jc w:val="both"/>
            </w:pPr>
            <w:r w:rsidRPr="00B124A5">
              <w:t>Precizēta anotācijas I sadaļas 2. punkta trīspadsmitajā rindkopa:</w:t>
            </w:r>
          </w:p>
          <w:p w14:paraId="13706022" w14:textId="77777777" w:rsidR="007114A8" w:rsidRPr="00B124A5" w:rsidRDefault="007114A8" w:rsidP="004A737A">
            <w:pPr>
              <w:jc w:val="both"/>
            </w:pPr>
          </w:p>
          <w:p w14:paraId="13706023" w14:textId="77777777" w:rsidR="007114A8" w:rsidRPr="00B124A5" w:rsidRDefault="007114A8" w:rsidP="00A01B58">
            <w:pPr>
              <w:spacing w:after="120"/>
              <w:ind w:right="142" w:firstLine="720"/>
              <w:jc w:val="both"/>
              <w:rPr>
                <w:rFonts w:eastAsia="Calibri"/>
                <w:color w:val="000000"/>
              </w:rPr>
            </w:pPr>
            <w:r w:rsidRPr="00B124A5">
              <w:rPr>
                <w:rFonts w:eastAsia="Calibri"/>
                <w:color w:val="000000"/>
              </w:rPr>
              <w:t xml:space="preserve">(..)  Minētais personu loks ir ekvivalents, kāds paredzēts Publiskas personas mantas atsavināšanas likumā, kurām manta var tikt nodota bez atlīdzības, taču tām ir jābūt tiesīgām iegādāties zāles. Zāles saskaņā ar Farmācijas likumu </w:t>
            </w:r>
            <w:r w:rsidR="00D92173" w:rsidRPr="00B124A5">
              <w:rPr>
                <w:rFonts w:eastAsia="Calibri"/>
                <w:color w:val="000000"/>
              </w:rPr>
              <w:t>būtu</w:t>
            </w:r>
            <w:r w:rsidRPr="00B124A5">
              <w:rPr>
                <w:rFonts w:eastAsia="Calibri"/>
                <w:color w:val="000000"/>
              </w:rPr>
              <w:t xml:space="preserve"> tiesīgas iegādāties ārstniecības iestādes, sociālās aprūpes institūcijas, praktizējoši veterinārārsti, prakses ārsti un veterinārmedicīniskās aprūpes komersanti to darbības nodrošināšanai. Pie minētajām personām un iestādēm ir pieskaitāmas arī tādas, kuras ir saņēmušas Zāļu valsts aģentūras atļauju zāļu iegādei. Piemēram, </w:t>
            </w:r>
            <w:r w:rsidRPr="00B124A5">
              <w:rPr>
                <w:rFonts w:eastAsia="Calibri"/>
                <w:color w:val="000000"/>
              </w:rPr>
              <w:lastRenderedPageBreak/>
              <w:t>šobrīd Zāļu valsts aģentūras ir izsniegusi divām Latvijas izglītības iestādēm atļauju iegādāties zāles zinātniskās izpētes nolūkiem. Savukārt, lai iegādātos medicīniskās ierīces normatīvie akti neparedz ierobežojumus. (..)</w:t>
            </w:r>
          </w:p>
        </w:tc>
      </w:tr>
      <w:tr w:rsidR="00ED3427" w:rsidRPr="00B124A5" w14:paraId="1370602D" w14:textId="77777777" w:rsidTr="007D4319">
        <w:tc>
          <w:tcPr>
            <w:tcW w:w="534" w:type="dxa"/>
            <w:tcBorders>
              <w:left w:val="single" w:sz="6" w:space="0" w:color="000000"/>
              <w:bottom w:val="single" w:sz="4" w:space="0" w:color="auto"/>
              <w:right w:val="single" w:sz="6" w:space="0" w:color="000000"/>
            </w:tcBorders>
          </w:tcPr>
          <w:p w14:paraId="13706025" w14:textId="77777777" w:rsidR="00ED3427" w:rsidRPr="00B124A5" w:rsidRDefault="00ED3427" w:rsidP="00AF7985">
            <w:pPr>
              <w:pStyle w:val="naisc"/>
              <w:spacing w:before="0" w:after="0"/>
              <w:jc w:val="left"/>
            </w:pPr>
          </w:p>
        </w:tc>
        <w:tc>
          <w:tcPr>
            <w:tcW w:w="3402" w:type="dxa"/>
            <w:gridSpan w:val="2"/>
            <w:tcBorders>
              <w:left w:val="single" w:sz="6" w:space="0" w:color="000000"/>
              <w:bottom w:val="single" w:sz="4" w:space="0" w:color="auto"/>
              <w:right w:val="single" w:sz="6" w:space="0" w:color="000000"/>
            </w:tcBorders>
          </w:tcPr>
          <w:p w14:paraId="13706026" w14:textId="77777777" w:rsidR="00ED3427" w:rsidRPr="00B124A5" w:rsidRDefault="00C9698F" w:rsidP="00C9698F">
            <w:pPr>
              <w:pStyle w:val="NormalWeb"/>
              <w:spacing w:before="0" w:after="0"/>
              <w:ind w:right="13"/>
              <w:jc w:val="both"/>
            </w:pPr>
            <w:r w:rsidRPr="00B124A5">
              <w:t>Lai potenciālajiem pircējiem atvieglotu pieteikšanos, atbildīgā institūcija savā tīmekļa vietā ievietos arī pieteikšanās formu, kurā cita starpā ietvers informāciju, kas potenciālajam pircējam ir saistoša, piemēram, atsevišķiem medikamentu veidiem nepieciešamo transportēšanas nosacījumu izpildi, tai skaitā attiecīga temperatūras nodrošināšanas nepieciešamību, saskaņā ar zāļu ražotāja norādījumiem.</w:t>
            </w:r>
          </w:p>
        </w:tc>
        <w:tc>
          <w:tcPr>
            <w:tcW w:w="3543" w:type="dxa"/>
            <w:tcBorders>
              <w:left w:val="single" w:sz="6" w:space="0" w:color="000000"/>
              <w:bottom w:val="single" w:sz="4" w:space="0" w:color="auto"/>
              <w:right w:val="single" w:sz="6" w:space="0" w:color="000000"/>
            </w:tcBorders>
          </w:tcPr>
          <w:p w14:paraId="13706027" w14:textId="77777777" w:rsidR="00ED3427" w:rsidRPr="00B124A5" w:rsidRDefault="00ED3427" w:rsidP="00ED3427">
            <w:pPr>
              <w:pStyle w:val="NormalWeb"/>
              <w:spacing w:before="0" w:after="0"/>
              <w:ind w:right="13"/>
              <w:jc w:val="both"/>
              <w:rPr>
                <w:b/>
              </w:rPr>
            </w:pPr>
            <w:r w:rsidRPr="00B124A5">
              <w:rPr>
                <w:b/>
              </w:rPr>
              <w:t>Tieslietu ministrija:</w:t>
            </w:r>
          </w:p>
          <w:p w14:paraId="13706028" w14:textId="77777777" w:rsidR="00ED3427" w:rsidRPr="00B124A5" w:rsidRDefault="00ED3427" w:rsidP="00ED3427">
            <w:pPr>
              <w:pStyle w:val="NormalWeb"/>
              <w:spacing w:before="0" w:after="0"/>
              <w:ind w:right="13"/>
              <w:jc w:val="both"/>
            </w:pPr>
            <w:r w:rsidRPr="00B124A5">
              <w:t xml:space="preserve">6. Anotācijas I sadaļas 2. punkta divpadsmitajā rindkopā ir norādīts, ka atbildīgā institūcija savā tīmekļa vietnē ietvers informāciju, kas potenciālajam pircējam ir saistoša. Vēršam uzmanību uz to, ka iepriekš minētā informācija ir neskaidra, proti, lai trešajām personām būtu saistoši kādi nosacījumi </w:t>
            </w:r>
            <w:proofErr w:type="spellStart"/>
            <w:r w:rsidRPr="00B124A5">
              <w:t>v.tml</w:t>
            </w:r>
            <w:proofErr w:type="spellEnd"/>
            <w:r w:rsidRPr="00B124A5">
              <w:t>., tiem jābūt paredzētiem ārējā normatīvajā aktā. Ievērojot minēto, lūdzam precizēt anotācijas I sadaļas 2. punkta divpadsmitajā rindkopā ietverto informāciju.</w:t>
            </w:r>
          </w:p>
          <w:p w14:paraId="13706029" w14:textId="77777777" w:rsidR="00ED3427" w:rsidRPr="00B124A5" w:rsidRDefault="00ED3427" w:rsidP="00AF7985">
            <w:pPr>
              <w:pStyle w:val="naisc"/>
              <w:spacing w:before="0" w:after="0"/>
              <w:jc w:val="both"/>
              <w:rPr>
                <w:b/>
              </w:rPr>
            </w:pPr>
          </w:p>
        </w:tc>
        <w:tc>
          <w:tcPr>
            <w:tcW w:w="3119" w:type="dxa"/>
            <w:gridSpan w:val="2"/>
            <w:tcBorders>
              <w:left w:val="single" w:sz="6" w:space="0" w:color="000000"/>
              <w:bottom w:val="single" w:sz="4" w:space="0" w:color="auto"/>
              <w:right w:val="single" w:sz="6" w:space="0" w:color="000000"/>
            </w:tcBorders>
          </w:tcPr>
          <w:p w14:paraId="1370602A" w14:textId="77777777" w:rsidR="00ED3427" w:rsidRPr="00B124A5" w:rsidRDefault="00C9698F" w:rsidP="00FE6999">
            <w:pPr>
              <w:pStyle w:val="naisc"/>
              <w:spacing w:before="0" w:after="0"/>
              <w:jc w:val="both"/>
            </w:pPr>
            <w:r w:rsidRPr="00B124A5">
              <w:t>Ņemts vērā:</w:t>
            </w:r>
          </w:p>
        </w:tc>
        <w:tc>
          <w:tcPr>
            <w:tcW w:w="3544" w:type="dxa"/>
            <w:tcBorders>
              <w:top w:val="single" w:sz="4" w:space="0" w:color="auto"/>
              <w:left w:val="single" w:sz="4" w:space="0" w:color="auto"/>
              <w:bottom w:val="single" w:sz="4" w:space="0" w:color="auto"/>
            </w:tcBorders>
          </w:tcPr>
          <w:p w14:paraId="1370602B" w14:textId="77777777" w:rsidR="00C9698F" w:rsidRPr="00B124A5" w:rsidRDefault="00C9698F" w:rsidP="00C9698F">
            <w:pPr>
              <w:spacing w:after="120"/>
              <w:ind w:right="142"/>
              <w:rPr>
                <w:color w:val="000000"/>
                <w:szCs w:val="28"/>
              </w:rPr>
            </w:pPr>
            <w:r w:rsidRPr="00B124A5">
              <w:rPr>
                <w:color w:val="000000"/>
                <w:szCs w:val="28"/>
              </w:rPr>
              <w:t>Precizēts Anotācijas I sadaļas 2.punkts</w:t>
            </w:r>
          </w:p>
          <w:p w14:paraId="1370602C" w14:textId="77777777" w:rsidR="00ED3427" w:rsidRPr="00B124A5" w:rsidRDefault="00C9698F" w:rsidP="00F364EF">
            <w:pPr>
              <w:spacing w:after="120"/>
              <w:ind w:right="142"/>
              <w:jc w:val="both"/>
              <w:rPr>
                <w:color w:val="000000"/>
                <w:szCs w:val="28"/>
              </w:rPr>
            </w:pPr>
            <w:r w:rsidRPr="00B124A5">
              <w:rPr>
                <w:color w:val="000000"/>
                <w:szCs w:val="28"/>
              </w:rPr>
              <w:t>Lai potenciālajiem pircējiem atvieglotu pieteikšanos, atbildīgā institūcija savā tīmekļa vietā ievietos arī informatīvu pieteikšanās formu, kurā cita starpā ietvers informāciju, kas potenciālajam pircējam ir jāņem vērā iegādājoties piedāvātās zāles vai medicīniskās ierīces, piemēram, atsevišķiem medikamentu veidiem nepieciešamo transportēšanas nosacījumu izpildi, tai skaitā attiecīga</w:t>
            </w:r>
            <w:r w:rsidR="00245502" w:rsidRPr="00B124A5">
              <w:rPr>
                <w:color w:val="000000"/>
                <w:szCs w:val="28"/>
              </w:rPr>
              <w:t>s</w:t>
            </w:r>
            <w:r w:rsidRPr="00B124A5">
              <w:rPr>
                <w:color w:val="000000"/>
                <w:szCs w:val="28"/>
              </w:rPr>
              <w:t xml:space="preserve"> temperatūras (aukstum ķēdes) nodrošināšanas nepieciešamību, lai saglabātu zāļu kvalitāti saskaņā ar to ražotāja norādījumiem. </w:t>
            </w:r>
          </w:p>
        </w:tc>
      </w:tr>
      <w:tr w:rsidR="00B12AFD" w:rsidRPr="00B124A5" w14:paraId="13706030" w14:textId="77777777" w:rsidTr="00210445">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14:paraId="1370602E" w14:textId="77777777" w:rsidR="00B12AFD" w:rsidRPr="00B124A5" w:rsidRDefault="00B12AFD" w:rsidP="000F3C84">
            <w:pPr>
              <w:pStyle w:val="naiskr"/>
              <w:spacing w:before="0" w:after="0"/>
              <w:ind w:firstLine="720"/>
            </w:pPr>
          </w:p>
        </w:tc>
        <w:tc>
          <w:tcPr>
            <w:tcW w:w="6179" w:type="dxa"/>
            <w:gridSpan w:val="3"/>
          </w:tcPr>
          <w:p w14:paraId="1370602F" w14:textId="77777777" w:rsidR="00B12AFD" w:rsidRPr="00B124A5" w:rsidRDefault="00B12AFD" w:rsidP="00AF7985">
            <w:pPr>
              <w:pStyle w:val="naiskr"/>
              <w:spacing w:before="0" w:after="0"/>
              <w:ind w:firstLine="720"/>
            </w:pPr>
          </w:p>
        </w:tc>
      </w:tr>
      <w:tr w:rsidR="00B12AFD" w:rsidRPr="00B124A5" w14:paraId="13706033" w14:textId="77777777" w:rsidTr="00210445">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14:paraId="13706031" w14:textId="77777777" w:rsidR="00B12AFD" w:rsidRPr="00B124A5" w:rsidRDefault="00B12AFD" w:rsidP="00AF7985">
            <w:pPr>
              <w:pStyle w:val="naiskr"/>
              <w:spacing w:before="0" w:after="0"/>
            </w:pPr>
          </w:p>
        </w:tc>
        <w:tc>
          <w:tcPr>
            <w:tcW w:w="6179" w:type="dxa"/>
            <w:gridSpan w:val="3"/>
          </w:tcPr>
          <w:p w14:paraId="13706032" w14:textId="77777777" w:rsidR="00B12AFD" w:rsidRPr="00B124A5" w:rsidRDefault="00B12AFD" w:rsidP="00AF7985">
            <w:pPr>
              <w:pStyle w:val="naiskr"/>
              <w:spacing w:before="0" w:after="0"/>
              <w:ind w:firstLine="720"/>
            </w:pPr>
          </w:p>
        </w:tc>
      </w:tr>
      <w:tr w:rsidR="00AF7985" w:rsidRPr="00B124A5" w14:paraId="13706037" w14:textId="77777777" w:rsidTr="00210445">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14:paraId="13706034" w14:textId="77777777" w:rsidR="004A737A" w:rsidRPr="00B124A5" w:rsidRDefault="004A737A" w:rsidP="00AF7985">
            <w:pPr>
              <w:pStyle w:val="naiskr"/>
              <w:spacing w:before="0" w:after="0"/>
            </w:pPr>
          </w:p>
          <w:p w14:paraId="13706035" w14:textId="77777777" w:rsidR="00AF7985" w:rsidRPr="00B124A5" w:rsidRDefault="00AF7985" w:rsidP="00AF7985">
            <w:pPr>
              <w:pStyle w:val="naiskr"/>
              <w:spacing w:before="0" w:after="0"/>
            </w:pPr>
            <w:r w:rsidRPr="00B124A5">
              <w:t>Atbildīgā amatpersona</w:t>
            </w:r>
          </w:p>
        </w:tc>
        <w:tc>
          <w:tcPr>
            <w:tcW w:w="6179" w:type="dxa"/>
            <w:gridSpan w:val="3"/>
          </w:tcPr>
          <w:p w14:paraId="13706036" w14:textId="77777777" w:rsidR="00AF7985" w:rsidRPr="00B124A5" w:rsidRDefault="00AF7985" w:rsidP="00AF7985">
            <w:pPr>
              <w:pStyle w:val="naiskr"/>
              <w:spacing w:before="0" w:after="0"/>
              <w:ind w:firstLine="720"/>
            </w:pPr>
            <w:r w:rsidRPr="00B124A5">
              <w:t>  </w:t>
            </w:r>
          </w:p>
        </w:tc>
      </w:tr>
      <w:tr w:rsidR="00B12AFD" w:rsidRPr="00B124A5" w14:paraId="1370603A" w14:textId="77777777" w:rsidTr="00210445">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14:paraId="13706038" w14:textId="77777777" w:rsidR="00B12AFD" w:rsidRPr="00B124A5" w:rsidRDefault="00B12AFD" w:rsidP="00AF7985">
            <w:pPr>
              <w:pStyle w:val="naiskr"/>
              <w:spacing w:before="0" w:after="0"/>
            </w:pPr>
          </w:p>
        </w:tc>
        <w:tc>
          <w:tcPr>
            <w:tcW w:w="6179" w:type="dxa"/>
            <w:gridSpan w:val="3"/>
          </w:tcPr>
          <w:p w14:paraId="13706039" w14:textId="77777777" w:rsidR="00B12AFD" w:rsidRPr="00B124A5" w:rsidRDefault="00B12AFD" w:rsidP="00AF7985">
            <w:pPr>
              <w:pStyle w:val="naiskr"/>
              <w:spacing w:before="0" w:after="0"/>
              <w:ind w:firstLine="720"/>
            </w:pPr>
          </w:p>
        </w:tc>
      </w:tr>
      <w:tr w:rsidR="00AF7985" w:rsidRPr="00B124A5" w14:paraId="1370603D" w14:textId="77777777" w:rsidTr="00210445">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14:paraId="1370603B" w14:textId="77777777" w:rsidR="00AF7985" w:rsidRPr="00B124A5" w:rsidRDefault="00AF7985" w:rsidP="00AF7985">
            <w:pPr>
              <w:pStyle w:val="naiskr"/>
              <w:spacing w:before="0" w:after="0"/>
              <w:ind w:firstLine="720"/>
            </w:pPr>
          </w:p>
        </w:tc>
        <w:tc>
          <w:tcPr>
            <w:tcW w:w="6179" w:type="dxa"/>
            <w:gridSpan w:val="3"/>
            <w:tcBorders>
              <w:top w:val="single" w:sz="6" w:space="0" w:color="000000"/>
            </w:tcBorders>
          </w:tcPr>
          <w:p w14:paraId="1370603C" w14:textId="77777777" w:rsidR="00AF7985" w:rsidRPr="00B124A5" w:rsidRDefault="00AF7985" w:rsidP="00AF7985">
            <w:pPr>
              <w:pStyle w:val="naisc"/>
              <w:spacing w:before="0" w:after="0"/>
              <w:ind w:firstLine="720"/>
            </w:pPr>
            <w:r w:rsidRPr="00B124A5">
              <w:t>(paraksts)*</w:t>
            </w:r>
          </w:p>
        </w:tc>
      </w:tr>
    </w:tbl>
    <w:p w14:paraId="1370603E" w14:textId="77777777" w:rsidR="007116C7" w:rsidRPr="00B124A5" w:rsidRDefault="007116C7" w:rsidP="00436DEE">
      <w:pPr>
        <w:pStyle w:val="naisf"/>
        <w:spacing w:before="0" w:after="0"/>
      </w:pPr>
    </w:p>
    <w:p w14:paraId="1370603F" w14:textId="77777777" w:rsidR="003D49E0" w:rsidRPr="00B124A5" w:rsidRDefault="00184479" w:rsidP="003D49E0">
      <w:pPr>
        <w:pStyle w:val="naisf"/>
        <w:spacing w:before="0" w:after="0"/>
        <w:ind w:firstLine="720"/>
      </w:pPr>
      <w:r w:rsidRPr="00B124A5">
        <w:t>Piezīme.</w:t>
      </w:r>
      <w:r w:rsidR="001D2FD0" w:rsidRPr="00B124A5">
        <w:t xml:space="preserve"> </w:t>
      </w:r>
      <w:r w:rsidR="00FB6C91" w:rsidRPr="00B124A5">
        <w:t>*</w:t>
      </w:r>
      <w:r w:rsidR="00317DC7" w:rsidRPr="00B124A5">
        <w:t xml:space="preserve"> Dokumenta rekvizītu </w:t>
      </w:r>
      <w:r w:rsidR="00364BB6" w:rsidRPr="00B124A5">
        <w:t>"</w:t>
      </w:r>
      <w:r w:rsidR="0018210A" w:rsidRPr="00B124A5">
        <w:t>p</w:t>
      </w:r>
      <w:r w:rsidR="00317DC7" w:rsidRPr="00B124A5">
        <w:t>araksts</w:t>
      </w:r>
      <w:r w:rsidR="00364BB6" w:rsidRPr="00B124A5">
        <w:t>"</w:t>
      </w:r>
      <w:r w:rsidR="00317DC7" w:rsidRPr="00B124A5">
        <w:t xml:space="preserve"> neaizpilda, ja elektroniskais dokuments ir </w:t>
      </w:r>
      <w:r w:rsidRPr="00B124A5">
        <w:t>sagatavots</w:t>
      </w:r>
      <w:r w:rsidR="00317DC7" w:rsidRPr="00B124A5">
        <w:t xml:space="preserve"> atbilstoši </w:t>
      </w:r>
      <w:r w:rsidRPr="00B124A5">
        <w:t xml:space="preserve">normatīvajiem aktiem par </w:t>
      </w:r>
      <w:r w:rsidR="00317DC7" w:rsidRPr="00B124A5">
        <w:t>elektronisko dokumentu noformēšan</w:t>
      </w:r>
      <w:r w:rsidRPr="00B124A5">
        <w:t>u.</w:t>
      </w:r>
    </w:p>
    <w:p w14:paraId="13706040" w14:textId="77777777" w:rsidR="003D49E0" w:rsidRPr="00B124A5" w:rsidRDefault="003D49E0" w:rsidP="003D49E0">
      <w:pPr>
        <w:pStyle w:val="naisf"/>
        <w:spacing w:before="0" w:after="0"/>
        <w:ind w:firstLine="720"/>
      </w:pPr>
    </w:p>
    <w:p w14:paraId="13706041" w14:textId="77777777" w:rsidR="003D49E0" w:rsidRPr="00B124A5" w:rsidRDefault="003D49E0" w:rsidP="003D49E0">
      <w:pPr>
        <w:pStyle w:val="naisf"/>
        <w:spacing w:before="0" w:after="0"/>
        <w:ind w:firstLine="720"/>
      </w:pPr>
    </w:p>
    <w:p w14:paraId="13706042" w14:textId="77777777" w:rsidR="003D49E0" w:rsidRPr="00B124A5" w:rsidRDefault="003D49E0" w:rsidP="003D49E0">
      <w:pPr>
        <w:pStyle w:val="naisf"/>
        <w:spacing w:before="0" w:after="0"/>
        <w:ind w:firstLine="720"/>
      </w:pPr>
    </w:p>
    <w:p w14:paraId="13706043" w14:textId="77777777" w:rsidR="003D49E0" w:rsidRPr="00B124A5" w:rsidRDefault="003D49E0" w:rsidP="003D49E0">
      <w:pPr>
        <w:pStyle w:val="naisf"/>
        <w:spacing w:before="0" w:after="0"/>
        <w:ind w:firstLine="720"/>
      </w:pPr>
    </w:p>
    <w:p w14:paraId="13706044" w14:textId="77777777" w:rsidR="003D49E0" w:rsidRPr="00B124A5" w:rsidRDefault="003D49E0" w:rsidP="003D49E0">
      <w:pPr>
        <w:pStyle w:val="naisf"/>
        <w:spacing w:before="0" w:after="0"/>
        <w:ind w:firstLine="720"/>
      </w:pPr>
      <w:r w:rsidRPr="00B124A5">
        <w:t xml:space="preserve">                                               Artūrs Grīgs</w:t>
      </w:r>
    </w:p>
    <w:tbl>
      <w:tblPr>
        <w:tblW w:w="0" w:type="auto"/>
        <w:tblLook w:val="00A0" w:firstRow="1" w:lastRow="0" w:firstColumn="1" w:lastColumn="0" w:noHBand="0" w:noVBand="0"/>
      </w:tblPr>
      <w:tblGrid>
        <w:gridCol w:w="8268"/>
      </w:tblGrid>
      <w:tr w:rsidR="003D49E0" w:rsidRPr="00B124A5" w14:paraId="13706046" w14:textId="77777777" w:rsidTr="00C1056E">
        <w:tc>
          <w:tcPr>
            <w:tcW w:w="8268" w:type="dxa"/>
            <w:tcBorders>
              <w:top w:val="single" w:sz="4" w:space="0" w:color="000000"/>
              <w:left w:val="nil"/>
              <w:bottom w:val="nil"/>
              <w:right w:val="nil"/>
            </w:tcBorders>
            <w:hideMark/>
          </w:tcPr>
          <w:p w14:paraId="13706045" w14:textId="77777777" w:rsidR="003D49E0" w:rsidRPr="00B124A5" w:rsidRDefault="003D49E0" w:rsidP="00C1056E">
            <w:pPr>
              <w:jc w:val="center"/>
            </w:pPr>
          </w:p>
        </w:tc>
      </w:tr>
      <w:tr w:rsidR="003D49E0" w:rsidRPr="00B124A5" w14:paraId="13706048" w14:textId="77777777" w:rsidTr="00C1056E">
        <w:tc>
          <w:tcPr>
            <w:tcW w:w="8268" w:type="dxa"/>
            <w:tcBorders>
              <w:top w:val="nil"/>
              <w:left w:val="nil"/>
              <w:bottom w:val="single" w:sz="4" w:space="0" w:color="000000"/>
              <w:right w:val="nil"/>
            </w:tcBorders>
            <w:hideMark/>
          </w:tcPr>
          <w:p w14:paraId="13706047" w14:textId="77777777" w:rsidR="003D49E0" w:rsidRPr="00B124A5" w:rsidRDefault="003D49E0" w:rsidP="00C1056E">
            <w:pPr>
              <w:jc w:val="center"/>
            </w:pPr>
            <w:r w:rsidRPr="00B124A5">
              <w:t xml:space="preserve">Farmācijas departaments vecākais eksperts </w:t>
            </w:r>
          </w:p>
        </w:tc>
      </w:tr>
      <w:tr w:rsidR="003D49E0" w:rsidRPr="00B124A5" w14:paraId="1370604A" w14:textId="77777777" w:rsidTr="00C1056E">
        <w:tc>
          <w:tcPr>
            <w:tcW w:w="8268" w:type="dxa"/>
            <w:tcBorders>
              <w:top w:val="single" w:sz="4" w:space="0" w:color="000000"/>
              <w:left w:val="nil"/>
              <w:bottom w:val="nil"/>
              <w:right w:val="nil"/>
            </w:tcBorders>
            <w:hideMark/>
          </w:tcPr>
          <w:p w14:paraId="13706049" w14:textId="77777777" w:rsidR="003D49E0" w:rsidRPr="00B124A5" w:rsidRDefault="003D49E0" w:rsidP="00C1056E"/>
        </w:tc>
      </w:tr>
      <w:tr w:rsidR="003D49E0" w:rsidRPr="00B124A5" w14:paraId="1370604C" w14:textId="77777777" w:rsidTr="00C1056E">
        <w:tc>
          <w:tcPr>
            <w:tcW w:w="8268" w:type="dxa"/>
            <w:tcBorders>
              <w:top w:val="nil"/>
              <w:left w:val="nil"/>
              <w:bottom w:val="single" w:sz="4" w:space="0" w:color="000000"/>
              <w:right w:val="nil"/>
            </w:tcBorders>
            <w:hideMark/>
          </w:tcPr>
          <w:p w14:paraId="1370604B" w14:textId="77777777" w:rsidR="003D49E0" w:rsidRPr="00B124A5" w:rsidRDefault="003D49E0" w:rsidP="00C1056E">
            <w:pPr>
              <w:tabs>
                <w:tab w:val="left" w:pos="3555"/>
              </w:tabs>
            </w:pPr>
            <w:r w:rsidRPr="00B124A5">
              <w:tab/>
              <w:t>67876116</w:t>
            </w:r>
          </w:p>
        </w:tc>
      </w:tr>
      <w:tr w:rsidR="003D49E0" w:rsidRPr="00B124A5" w14:paraId="1370604E" w14:textId="77777777" w:rsidTr="00C1056E">
        <w:tc>
          <w:tcPr>
            <w:tcW w:w="8268" w:type="dxa"/>
            <w:tcBorders>
              <w:top w:val="single" w:sz="4" w:space="0" w:color="000000"/>
              <w:left w:val="nil"/>
              <w:bottom w:val="nil"/>
              <w:right w:val="nil"/>
            </w:tcBorders>
            <w:hideMark/>
          </w:tcPr>
          <w:p w14:paraId="1370604D" w14:textId="77777777" w:rsidR="003D49E0" w:rsidRPr="00B124A5" w:rsidRDefault="003D49E0" w:rsidP="00C1056E">
            <w:pPr>
              <w:jc w:val="center"/>
            </w:pPr>
            <w:r w:rsidRPr="00B124A5">
              <w:t>(tālruņa un faksa numurs)</w:t>
            </w:r>
          </w:p>
        </w:tc>
      </w:tr>
      <w:tr w:rsidR="003D49E0" w:rsidRPr="00B124A5" w14:paraId="13706050" w14:textId="77777777" w:rsidTr="00C1056E">
        <w:tc>
          <w:tcPr>
            <w:tcW w:w="8268" w:type="dxa"/>
            <w:tcBorders>
              <w:top w:val="nil"/>
              <w:left w:val="nil"/>
              <w:bottom w:val="single" w:sz="4" w:space="0" w:color="000000"/>
              <w:right w:val="nil"/>
            </w:tcBorders>
            <w:hideMark/>
          </w:tcPr>
          <w:p w14:paraId="1370604F" w14:textId="77777777" w:rsidR="003D49E0" w:rsidRPr="00B124A5" w:rsidRDefault="003D49E0" w:rsidP="00C1056E">
            <w:pPr>
              <w:jc w:val="center"/>
            </w:pPr>
            <w:r w:rsidRPr="00B124A5">
              <w:t>arturs.grigs@vm.gov.lv</w:t>
            </w:r>
          </w:p>
        </w:tc>
      </w:tr>
      <w:tr w:rsidR="003D49E0" w:rsidRPr="00B124A5" w14:paraId="13706052" w14:textId="77777777" w:rsidTr="00C1056E">
        <w:trPr>
          <w:trHeight w:val="158"/>
        </w:trPr>
        <w:tc>
          <w:tcPr>
            <w:tcW w:w="8268" w:type="dxa"/>
            <w:tcBorders>
              <w:top w:val="single" w:sz="4" w:space="0" w:color="000000"/>
              <w:left w:val="nil"/>
              <w:bottom w:val="nil"/>
              <w:right w:val="nil"/>
            </w:tcBorders>
            <w:hideMark/>
          </w:tcPr>
          <w:p w14:paraId="13706051" w14:textId="77777777" w:rsidR="003D49E0" w:rsidRPr="00B124A5" w:rsidRDefault="003D49E0" w:rsidP="00C1056E">
            <w:pPr>
              <w:jc w:val="center"/>
            </w:pPr>
            <w:r w:rsidRPr="00B124A5">
              <w:t>(e-pasta adrese)</w:t>
            </w:r>
          </w:p>
        </w:tc>
      </w:tr>
    </w:tbl>
    <w:p w14:paraId="13706053" w14:textId="77777777" w:rsidR="003D49E0" w:rsidRPr="00B124A5" w:rsidRDefault="003D49E0" w:rsidP="003D49E0">
      <w:pPr>
        <w:pStyle w:val="naisf"/>
        <w:spacing w:before="0" w:after="0"/>
        <w:ind w:firstLine="720"/>
        <w:rPr>
          <w:sz w:val="28"/>
          <w:szCs w:val="28"/>
        </w:rPr>
      </w:pPr>
    </w:p>
    <w:bookmarkEnd w:id="0"/>
    <w:p w14:paraId="13706054" w14:textId="77777777" w:rsidR="005C0E5A" w:rsidRPr="00B124A5" w:rsidRDefault="005C0E5A" w:rsidP="00210445">
      <w:pPr>
        <w:pStyle w:val="naisf"/>
        <w:tabs>
          <w:tab w:val="left" w:pos="6840"/>
        </w:tabs>
        <w:spacing w:before="0" w:after="0"/>
        <w:ind w:firstLine="0"/>
        <w:rPr>
          <w:sz w:val="28"/>
          <w:szCs w:val="28"/>
        </w:rPr>
      </w:pPr>
    </w:p>
    <w:sectPr w:rsidR="005C0E5A" w:rsidRPr="00B124A5" w:rsidSect="00210445">
      <w:headerReference w:type="even" r:id="rId9"/>
      <w:headerReference w:type="default" r:id="rId10"/>
      <w:footerReference w:type="default" r:id="rId11"/>
      <w:footerReference w:type="first" r:id="rId12"/>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06057" w14:textId="77777777" w:rsidR="007D007F" w:rsidRDefault="007D007F">
      <w:r>
        <w:separator/>
      </w:r>
    </w:p>
  </w:endnote>
  <w:endnote w:type="continuationSeparator" w:id="0">
    <w:p w14:paraId="13706058" w14:textId="77777777" w:rsidR="007D007F" w:rsidRDefault="007D0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0605D" w14:textId="77777777" w:rsidR="008A0CF3" w:rsidRPr="00DA6168" w:rsidRDefault="008A0CF3" w:rsidP="008A0CF3">
    <w:pPr>
      <w:pStyle w:val="Footer"/>
    </w:pPr>
    <w:r w:rsidRPr="00DA6168">
      <w:rPr>
        <w:sz w:val="16"/>
        <w:szCs w:val="16"/>
      </w:rPr>
      <w:t>VMIzz_</w:t>
    </w:r>
    <w:r>
      <w:rPr>
        <w:sz w:val="16"/>
        <w:szCs w:val="16"/>
      </w:rPr>
      <w:t>2</w:t>
    </w:r>
    <w:r w:rsidR="000F3C84">
      <w:rPr>
        <w:sz w:val="16"/>
        <w:szCs w:val="16"/>
      </w:rPr>
      <w:t>9</w:t>
    </w:r>
    <w:r w:rsidRPr="00DA6168">
      <w:rPr>
        <w:sz w:val="16"/>
        <w:szCs w:val="16"/>
      </w:rPr>
      <w:t>0</w:t>
    </w:r>
    <w:r>
      <w:rPr>
        <w:sz w:val="16"/>
        <w:szCs w:val="16"/>
      </w:rPr>
      <w:t>4</w:t>
    </w:r>
    <w:r w:rsidRPr="00DA6168">
      <w:rPr>
        <w:sz w:val="16"/>
        <w:szCs w:val="16"/>
      </w:rPr>
      <w:t xml:space="preserve">19_ </w:t>
    </w:r>
    <w:r>
      <w:rPr>
        <w:sz w:val="16"/>
        <w:szCs w:val="16"/>
      </w:rPr>
      <w:t>VMR</w:t>
    </w:r>
    <w:r w:rsidR="003559AC">
      <w:rPr>
        <w:sz w:val="16"/>
        <w:szCs w:val="16"/>
      </w:rPr>
      <w:t>_</w:t>
    </w:r>
    <w:r>
      <w:rPr>
        <w:sz w:val="16"/>
        <w:szCs w:val="16"/>
      </w:rPr>
      <w:t>273</w:t>
    </w:r>
  </w:p>
  <w:p w14:paraId="1370605E" w14:textId="77777777" w:rsidR="006455E7" w:rsidRPr="000C01B5" w:rsidRDefault="006455E7" w:rsidP="000C0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0605F" w14:textId="77777777" w:rsidR="008A0CF3" w:rsidRPr="008A0CF3" w:rsidRDefault="00DA6168" w:rsidP="00DA6168">
    <w:pPr>
      <w:pStyle w:val="Footer"/>
      <w:rPr>
        <w:sz w:val="16"/>
        <w:szCs w:val="16"/>
      </w:rPr>
    </w:pPr>
    <w:r w:rsidRPr="00DA6168">
      <w:rPr>
        <w:sz w:val="16"/>
        <w:szCs w:val="16"/>
      </w:rPr>
      <w:t>VMIzz_</w:t>
    </w:r>
    <w:r w:rsidR="008A0CF3">
      <w:rPr>
        <w:sz w:val="16"/>
        <w:szCs w:val="16"/>
      </w:rPr>
      <w:t>2</w:t>
    </w:r>
    <w:r w:rsidR="000F3C84">
      <w:rPr>
        <w:sz w:val="16"/>
        <w:szCs w:val="16"/>
      </w:rPr>
      <w:t>9</w:t>
    </w:r>
    <w:r w:rsidR="00511460" w:rsidRPr="00DA6168">
      <w:rPr>
        <w:sz w:val="16"/>
        <w:szCs w:val="16"/>
      </w:rPr>
      <w:t>0</w:t>
    </w:r>
    <w:r w:rsidR="00511460">
      <w:rPr>
        <w:sz w:val="16"/>
        <w:szCs w:val="16"/>
      </w:rPr>
      <w:t>4</w:t>
    </w:r>
    <w:r w:rsidR="00511460" w:rsidRPr="00DA6168">
      <w:rPr>
        <w:sz w:val="16"/>
        <w:szCs w:val="16"/>
      </w:rPr>
      <w:t>19</w:t>
    </w:r>
    <w:r w:rsidRPr="00DA6168">
      <w:rPr>
        <w:sz w:val="16"/>
        <w:szCs w:val="16"/>
      </w:rPr>
      <w:t xml:space="preserve">_ </w:t>
    </w:r>
    <w:r w:rsidR="008A0CF3">
      <w:rPr>
        <w:sz w:val="16"/>
        <w:szCs w:val="16"/>
      </w:rPr>
      <w:t>VMR</w:t>
    </w:r>
    <w:r w:rsidR="003559AC">
      <w:rPr>
        <w:sz w:val="16"/>
        <w:szCs w:val="16"/>
      </w:rPr>
      <w:t>_</w:t>
    </w:r>
    <w:r w:rsidR="008A0CF3">
      <w:rPr>
        <w:sz w:val="16"/>
        <w:szCs w:val="16"/>
      </w:rPr>
      <w:t>273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06055" w14:textId="77777777" w:rsidR="007D007F" w:rsidRDefault="007D007F">
      <w:r>
        <w:separator/>
      </w:r>
    </w:p>
  </w:footnote>
  <w:footnote w:type="continuationSeparator" w:id="0">
    <w:p w14:paraId="13706056" w14:textId="77777777" w:rsidR="007D007F" w:rsidRDefault="007D0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06059"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70605A"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0605B"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1B58">
      <w:rPr>
        <w:rStyle w:val="PageNumber"/>
        <w:noProof/>
      </w:rPr>
      <w:t>6</w:t>
    </w:r>
    <w:r>
      <w:rPr>
        <w:rStyle w:val="PageNumber"/>
      </w:rPr>
      <w:fldChar w:fldCharType="end"/>
    </w:r>
  </w:p>
  <w:p w14:paraId="1370605C"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C6A7B"/>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783BAF"/>
    <w:multiLevelType w:val="hybridMultilevel"/>
    <w:tmpl w:val="A01266B0"/>
    <w:lvl w:ilvl="0" w:tplc="A8509C1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6737D56"/>
    <w:multiLevelType w:val="hybridMultilevel"/>
    <w:tmpl w:val="BB56587C"/>
    <w:lvl w:ilvl="0" w:tplc="FA6A3626">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E941659"/>
    <w:multiLevelType w:val="hybridMultilevel"/>
    <w:tmpl w:val="A6FA5B34"/>
    <w:lvl w:ilvl="0" w:tplc="68E6C3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62105262"/>
    <w:multiLevelType w:val="hybridMultilevel"/>
    <w:tmpl w:val="6F7421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9"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7"/>
  </w:num>
  <w:num w:numId="4">
    <w:abstractNumId w:val="4"/>
  </w:num>
  <w:num w:numId="5">
    <w:abstractNumId w:val="3"/>
  </w:num>
  <w:num w:numId="6">
    <w:abstractNumId w:val="1"/>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86CE4"/>
    <w:rsid w:val="00000BD2"/>
    <w:rsid w:val="00001F89"/>
    <w:rsid w:val="0000286E"/>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3FD6"/>
    <w:rsid w:val="0002416A"/>
    <w:rsid w:val="00024CCD"/>
    <w:rsid w:val="00024D20"/>
    <w:rsid w:val="000253DB"/>
    <w:rsid w:val="00027880"/>
    <w:rsid w:val="000278E7"/>
    <w:rsid w:val="00027A63"/>
    <w:rsid w:val="00027F9D"/>
    <w:rsid w:val="000307B5"/>
    <w:rsid w:val="00032457"/>
    <w:rsid w:val="0003413A"/>
    <w:rsid w:val="000349CA"/>
    <w:rsid w:val="0003557A"/>
    <w:rsid w:val="00035C06"/>
    <w:rsid w:val="000366DF"/>
    <w:rsid w:val="000376CD"/>
    <w:rsid w:val="00040A5C"/>
    <w:rsid w:val="00042A9E"/>
    <w:rsid w:val="00043005"/>
    <w:rsid w:val="0004345F"/>
    <w:rsid w:val="00044026"/>
    <w:rsid w:val="00046075"/>
    <w:rsid w:val="000463CB"/>
    <w:rsid w:val="00046CAD"/>
    <w:rsid w:val="00046F5C"/>
    <w:rsid w:val="00047385"/>
    <w:rsid w:val="00050554"/>
    <w:rsid w:val="00053706"/>
    <w:rsid w:val="00053E04"/>
    <w:rsid w:val="000579E6"/>
    <w:rsid w:val="00060E03"/>
    <w:rsid w:val="0006245F"/>
    <w:rsid w:val="000641CE"/>
    <w:rsid w:val="0006477B"/>
    <w:rsid w:val="00065271"/>
    <w:rsid w:val="00066176"/>
    <w:rsid w:val="0006618D"/>
    <w:rsid w:val="00066885"/>
    <w:rsid w:val="0006694E"/>
    <w:rsid w:val="00066A37"/>
    <w:rsid w:val="00066F05"/>
    <w:rsid w:val="00072628"/>
    <w:rsid w:val="000728ED"/>
    <w:rsid w:val="000733F5"/>
    <w:rsid w:val="000733FF"/>
    <w:rsid w:val="00074CE9"/>
    <w:rsid w:val="0007577A"/>
    <w:rsid w:val="000775D0"/>
    <w:rsid w:val="00077B6B"/>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2C93"/>
    <w:rsid w:val="0009302B"/>
    <w:rsid w:val="00093EC2"/>
    <w:rsid w:val="000958A2"/>
    <w:rsid w:val="000965E7"/>
    <w:rsid w:val="00097074"/>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1FE1"/>
    <w:rsid w:val="000B2382"/>
    <w:rsid w:val="000B3171"/>
    <w:rsid w:val="000B34A5"/>
    <w:rsid w:val="000B4746"/>
    <w:rsid w:val="000B7966"/>
    <w:rsid w:val="000B7CB1"/>
    <w:rsid w:val="000C01B5"/>
    <w:rsid w:val="000C0AE6"/>
    <w:rsid w:val="000C0D0D"/>
    <w:rsid w:val="000C2555"/>
    <w:rsid w:val="000C3545"/>
    <w:rsid w:val="000C498A"/>
    <w:rsid w:val="000C4C16"/>
    <w:rsid w:val="000C56FC"/>
    <w:rsid w:val="000C60FC"/>
    <w:rsid w:val="000C7907"/>
    <w:rsid w:val="000C7A11"/>
    <w:rsid w:val="000C7F5E"/>
    <w:rsid w:val="000D00AC"/>
    <w:rsid w:val="000D0AED"/>
    <w:rsid w:val="000D3018"/>
    <w:rsid w:val="000D3602"/>
    <w:rsid w:val="000D4D89"/>
    <w:rsid w:val="000D6269"/>
    <w:rsid w:val="000D6BBD"/>
    <w:rsid w:val="000D7751"/>
    <w:rsid w:val="000D7C23"/>
    <w:rsid w:val="000E0A16"/>
    <w:rsid w:val="000E1BFA"/>
    <w:rsid w:val="000E2142"/>
    <w:rsid w:val="000E21D0"/>
    <w:rsid w:val="000E28A9"/>
    <w:rsid w:val="000E2A38"/>
    <w:rsid w:val="000E2ACC"/>
    <w:rsid w:val="000E5509"/>
    <w:rsid w:val="000E585F"/>
    <w:rsid w:val="000E66F8"/>
    <w:rsid w:val="000E7DCB"/>
    <w:rsid w:val="000F054F"/>
    <w:rsid w:val="000F079D"/>
    <w:rsid w:val="000F0D9D"/>
    <w:rsid w:val="000F1D56"/>
    <w:rsid w:val="000F2534"/>
    <w:rsid w:val="000F28D9"/>
    <w:rsid w:val="000F2D43"/>
    <w:rsid w:val="000F2F9A"/>
    <w:rsid w:val="000F3AA0"/>
    <w:rsid w:val="000F3C84"/>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16E6"/>
    <w:rsid w:val="0011254D"/>
    <w:rsid w:val="001139C2"/>
    <w:rsid w:val="00114559"/>
    <w:rsid w:val="00114EA9"/>
    <w:rsid w:val="00115ED0"/>
    <w:rsid w:val="0011683C"/>
    <w:rsid w:val="00116DF6"/>
    <w:rsid w:val="001179E8"/>
    <w:rsid w:val="0012021B"/>
    <w:rsid w:val="0012222D"/>
    <w:rsid w:val="001245C3"/>
    <w:rsid w:val="001255E6"/>
    <w:rsid w:val="0013053A"/>
    <w:rsid w:val="0013066A"/>
    <w:rsid w:val="001315EF"/>
    <w:rsid w:val="00131F39"/>
    <w:rsid w:val="00132375"/>
    <w:rsid w:val="00132E73"/>
    <w:rsid w:val="00133505"/>
    <w:rsid w:val="00134188"/>
    <w:rsid w:val="00134211"/>
    <w:rsid w:val="00137403"/>
    <w:rsid w:val="0014045D"/>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3A42"/>
    <w:rsid w:val="0016425E"/>
    <w:rsid w:val="0016531E"/>
    <w:rsid w:val="0016565C"/>
    <w:rsid w:val="00166314"/>
    <w:rsid w:val="00166746"/>
    <w:rsid w:val="00167590"/>
    <w:rsid w:val="001678B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389F"/>
    <w:rsid w:val="00184479"/>
    <w:rsid w:val="0018472C"/>
    <w:rsid w:val="00184838"/>
    <w:rsid w:val="00185755"/>
    <w:rsid w:val="00185ECB"/>
    <w:rsid w:val="00187398"/>
    <w:rsid w:val="00187F73"/>
    <w:rsid w:val="00187FB0"/>
    <w:rsid w:val="001902E9"/>
    <w:rsid w:val="00190327"/>
    <w:rsid w:val="00190A0A"/>
    <w:rsid w:val="001926F2"/>
    <w:rsid w:val="00193BCE"/>
    <w:rsid w:val="00194B87"/>
    <w:rsid w:val="0019569A"/>
    <w:rsid w:val="001958A7"/>
    <w:rsid w:val="00195962"/>
    <w:rsid w:val="00197533"/>
    <w:rsid w:val="001977E7"/>
    <w:rsid w:val="00197CCA"/>
    <w:rsid w:val="001A0D8A"/>
    <w:rsid w:val="001A192D"/>
    <w:rsid w:val="001A2849"/>
    <w:rsid w:val="001A3607"/>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283"/>
    <w:rsid w:val="001C6608"/>
    <w:rsid w:val="001C6C7D"/>
    <w:rsid w:val="001D1CB1"/>
    <w:rsid w:val="001D2AC0"/>
    <w:rsid w:val="001D2DBA"/>
    <w:rsid w:val="001D2FD0"/>
    <w:rsid w:val="001D3830"/>
    <w:rsid w:val="001D3BA6"/>
    <w:rsid w:val="001D5564"/>
    <w:rsid w:val="001D6FAA"/>
    <w:rsid w:val="001D70FA"/>
    <w:rsid w:val="001D782D"/>
    <w:rsid w:val="001D7BA9"/>
    <w:rsid w:val="001E039D"/>
    <w:rsid w:val="001E22E7"/>
    <w:rsid w:val="001E2714"/>
    <w:rsid w:val="001E282F"/>
    <w:rsid w:val="001E398C"/>
    <w:rsid w:val="001E4456"/>
    <w:rsid w:val="001E4DDC"/>
    <w:rsid w:val="001E774F"/>
    <w:rsid w:val="001E7C1D"/>
    <w:rsid w:val="001F073F"/>
    <w:rsid w:val="001F3009"/>
    <w:rsid w:val="001F3358"/>
    <w:rsid w:val="001F35CB"/>
    <w:rsid w:val="001F390F"/>
    <w:rsid w:val="001F51FC"/>
    <w:rsid w:val="001F5CD1"/>
    <w:rsid w:val="001F7257"/>
    <w:rsid w:val="001F7739"/>
    <w:rsid w:val="0020011B"/>
    <w:rsid w:val="002014AA"/>
    <w:rsid w:val="0020187E"/>
    <w:rsid w:val="00201DC6"/>
    <w:rsid w:val="00202375"/>
    <w:rsid w:val="002025EA"/>
    <w:rsid w:val="00202884"/>
    <w:rsid w:val="00202E44"/>
    <w:rsid w:val="00203556"/>
    <w:rsid w:val="00204D0F"/>
    <w:rsid w:val="00204DB6"/>
    <w:rsid w:val="002056ED"/>
    <w:rsid w:val="00205C3A"/>
    <w:rsid w:val="00210445"/>
    <w:rsid w:val="00211793"/>
    <w:rsid w:val="00211C11"/>
    <w:rsid w:val="00212345"/>
    <w:rsid w:val="00214809"/>
    <w:rsid w:val="002149A1"/>
    <w:rsid w:val="00214E7A"/>
    <w:rsid w:val="00215BFE"/>
    <w:rsid w:val="00215C44"/>
    <w:rsid w:val="00216E73"/>
    <w:rsid w:val="0021774C"/>
    <w:rsid w:val="00217FF6"/>
    <w:rsid w:val="00221532"/>
    <w:rsid w:val="00222386"/>
    <w:rsid w:val="00222F51"/>
    <w:rsid w:val="002230E1"/>
    <w:rsid w:val="00223361"/>
    <w:rsid w:val="002236C0"/>
    <w:rsid w:val="002244BA"/>
    <w:rsid w:val="002247AA"/>
    <w:rsid w:val="00224DA7"/>
    <w:rsid w:val="00225FAF"/>
    <w:rsid w:val="002261CB"/>
    <w:rsid w:val="002268BF"/>
    <w:rsid w:val="00227BDE"/>
    <w:rsid w:val="00230045"/>
    <w:rsid w:val="0023014E"/>
    <w:rsid w:val="002308FA"/>
    <w:rsid w:val="0023132F"/>
    <w:rsid w:val="00231AA5"/>
    <w:rsid w:val="00232F90"/>
    <w:rsid w:val="0023339B"/>
    <w:rsid w:val="00233F4D"/>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502"/>
    <w:rsid w:val="00245D1D"/>
    <w:rsid w:val="00250BF5"/>
    <w:rsid w:val="00250EDA"/>
    <w:rsid w:val="00251502"/>
    <w:rsid w:val="002518E8"/>
    <w:rsid w:val="00251C10"/>
    <w:rsid w:val="00252284"/>
    <w:rsid w:val="00252E1E"/>
    <w:rsid w:val="002538BA"/>
    <w:rsid w:val="0025469D"/>
    <w:rsid w:val="002552B1"/>
    <w:rsid w:val="00255D01"/>
    <w:rsid w:val="00256306"/>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165"/>
    <w:rsid w:val="00287EDD"/>
    <w:rsid w:val="0029141B"/>
    <w:rsid w:val="002927D3"/>
    <w:rsid w:val="00294BDE"/>
    <w:rsid w:val="00295DB6"/>
    <w:rsid w:val="002969BE"/>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62CA"/>
    <w:rsid w:val="002D778E"/>
    <w:rsid w:val="002E04D7"/>
    <w:rsid w:val="002E06DD"/>
    <w:rsid w:val="002E171A"/>
    <w:rsid w:val="002E2A24"/>
    <w:rsid w:val="002E3D66"/>
    <w:rsid w:val="002E3F11"/>
    <w:rsid w:val="002E4B11"/>
    <w:rsid w:val="002E4F70"/>
    <w:rsid w:val="002E5886"/>
    <w:rsid w:val="002E5AD3"/>
    <w:rsid w:val="002E635D"/>
    <w:rsid w:val="002E6F98"/>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1FF7"/>
    <w:rsid w:val="003223CE"/>
    <w:rsid w:val="00322A2D"/>
    <w:rsid w:val="00322E80"/>
    <w:rsid w:val="00322F73"/>
    <w:rsid w:val="00324D5B"/>
    <w:rsid w:val="00325045"/>
    <w:rsid w:val="00325D91"/>
    <w:rsid w:val="003267B4"/>
    <w:rsid w:val="00331193"/>
    <w:rsid w:val="00331DD6"/>
    <w:rsid w:val="003333D4"/>
    <w:rsid w:val="00334951"/>
    <w:rsid w:val="00334BD0"/>
    <w:rsid w:val="0033591E"/>
    <w:rsid w:val="00336411"/>
    <w:rsid w:val="0033678D"/>
    <w:rsid w:val="0033720D"/>
    <w:rsid w:val="003373E8"/>
    <w:rsid w:val="003379D9"/>
    <w:rsid w:val="003443DD"/>
    <w:rsid w:val="00344680"/>
    <w:rsid w:val="00344D5A"/>
    <w:rsid w:val="00346EB6"/>
    <w:rsid w:val="00347EDB"/>
    <w:rsid w:val="00350797"/>
    <w:rsid w:val="00350E68"/>
    <w:rsid w:val="00351A85"/>
    <w:rsid w:val="003522E8"/>
    <w:rsid w:val="00353989"/>
    <w:rsid w:val="003542DA"/>
    <w:rsid w:val="003559AC"/>
    <w:rsid w:val="00355B7A"/>
    <w:rsid w:val="00355D1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08AB"/>
    <w:rsid w:val="00372221"/>
    <w:rsid w:val="00372CF2"/>
    <w:rsid w:val="00374C7E"/>
    <w:rsid w:val="00377353"/>
    <w:rsid w:val="0037736B"/>
    <w:rsid w:val="00381F57"/>
    <w:rsid w:val="0038216E"/>
    <w:rsid w:val="003822E5"/>
    <w:rsid w:val="003830B8"/>
    <w:rsid w:val="00383262"/>
    <w:rsid w:val="00387179"/>
    <w:rsid w:val="00393E7B"/>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07C2"/>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49E0"/>
    <w:rsid w:val="003D6376"/>
    <w:rsid w:val="003E1235"/>
    <w:rsid w:val="003E2A35"/>
    <w:rsid w:val="003E2B56"/>
    <w:rsid w:val="003E2CE1"/>
    <w:rsid w:val="003E2DCB"/>
    <w:rsid w:val="003E4C3F"/>
    <w:rsid w:val="003E4D7C"/>
    <w:rsid w:val="003E5FA8"/>
    <w:rsid w:val="003E6252"/>
    <w:rsid w:val="003F0343"/>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5933"/>
    <w:rsid w:val="004065D6"/>
    <w:rsid w:val="0040687D"/>
    <w:rsid w:val="0040709D"/>
    <w:rsid w:val="0040713F"/>
    <w:rsid w:val="004075A3"/>
    <w:rsid w:val="00410C48"/>
    <w:rsid w:val="00416277"/>
    <w:rsid w:val="00416748"/>
    <w:rsid w:val="00416E24"/>
    <w:rsid w:val="0042063D"/>
    <w:rsid w:val="00422B23"/>
    <w:rsid w:val="00423A60"/>
    <w:rsid w:val="0042651C"/>
    <w:rsid w:val="00426E9B"/>
    <w:rsid w:val="00427B7B"/>
    <w:rsid w:val="00427D55"/>
    <w:rsid w:val="0043233C"/>
    <w:rsid w:val="004345A6"/>
    <w:rsid w:val="00435B2F"/>
    <w:rsid w:val="00435E03"/>
    <w:rsid w:val="00436DEE"/>
    <w:rsid w:val="004373E1"/>
    <w:rsid w:val="004374A3"/>
    <w:rsid w:val="00437A7E"/>
    <w:rsid w:val="00437B6C"/>
    <w:rsid w:val="00440144"/>
    <w:rsid w:val="0044064E"/>
    <w:rsid w:val="00440805"/>
    <w:rsid w:val="004412E1"/>
    <w:rsid w:val="00441308"/>
    <w:rsid w:val="00441554"/>
    <w:rsid w:val="00442E48"/>
    <w:rsid w:val="00443DCD"/>
    <w:rsid w:val="00443E7E"/>
    <w:rsid w:val="00444C06"/>
    <w:rsid w:val="004454DF"/>
    <w:rsid w:val="00446804"/>
    <w:rsid w:val="004478D4"/>
    <w:rsid w:val="00450380"/>
    <w:rsid w:val="004505C6"/>
    <w:rsid w:val="004520CD"/>
    <w:rsid w:val="00452DF3"/>
    <w:rsid w:val="00452F3B"/>
    <w:rsid w:val="004534F5"/>
    <w:rsid w:val="00453765"/>
    <w:rsid w:val="004544D7"/>
    <w:rsid w:val="00454EC3"/>
    <w:rsid w:val="0045530A"/>
    <w:rsid w:val="004554AE"/>
    <w:rsid w:val="004554C3"/>
    <w:rsid w:val="00455FB6"/>
    <w:rsid w:val="00457197"/>
    <w:rsid w:val="00457555"/>
    <w:rsid w:val="00457971"/>
    <w:rsid w:val="00457DD8"/>
    <w:rsid w:val="00460126"/>
    <w:rsid w:val="004603D0"/>
    <w:rsid w:val="004624AE"/>
    <w:rsid w:val="0046250E"/>
    <w:rsid w:val="00462E9C"/>
    <w:rsid w:val="00463EF1"/>
    <w:rsid w:val="00464B48"/>
    <w:rsid w:val="00465231"/>
    <w:rsid w:val="00465520"/>
    <w:rsid w:val="004662AD"/>
    <w:rsid w:val="00466516"/>
    <w:rsid w:val="00467B65"/>
    <w:rsid w:val="00467F4E"/>
    <w:rsid w:val="004713B2"/>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31A"/>
    <w:rsid w:val="004955E7"/>
    <w:rsid w:val="0049589C"/>
    <w:rsid w:val="00495EF1"/>
    <w:rsid w:val="00496ED4"/>
    <w:rsid w:val="00497D4A"/>
    <w:rsid w:val="004A009A"/>
    <w:rsid w:val="004A0441"/>
    <w:rsid w:val="004A084C"/>
    <w:rsid w:val="004A15B3"/>
    <w:rsid w:val="004A1D01"/>
    <w:rsid w:val="004A2A54"/>
    <w:rsid w:val="004A2EF3"/>
    <w:rsid w:val="004A3B0D"/>
    <w:rsid w:val="004A3D4E"/>
    <w:rsid w:val="004A52F5"/>
    <w:rsid w:val="004A5D3A"/>
    <w:rsid w:val="004A6897"/>
    <w:rsid w:val="004A692B"/>
    <w:rsid w:val="004A6EB6"/>
    <w:rsid w:val="004A737A"/>
    <w:rsid w:val="004A794C"/>
    <w:rsid w:val="004B3EC7"/>
    <w:rsid w:val="004B4E7C"/>
    <w:rsid w:val="004B5664"/>
    <w:rsid w:val="004C2107"/>
    <w:rsid w:val="004C5FC6"/>
    <w:rsid w:val="004C6435"/>
    <w:rsid w:val="004C649B"/>
    <w:rsid w:val="004C7B9C"/>
    <w:rsid w:val="004C7D55"/>
    <w:rsid w:val="004D089A"/>
    <w:rsid w:val="004D0E1E"/>
    <w:rsid w:val="004D2CEA"/>
    <w:rsid w:val="004D3184"/>
    <w:rsid w:val="004D5030"/>
    <w:rsid w:val="004D6045"/>
    <w:rsid w:val="004D7546"/>
    <w:rsid w:val="004D7EC5"/>
    <w:rsid w:val="004E02B0"/>
    <w:rsid w:val="004E0B29"/>
    <w:rsid w:val="004E0C4F"/>
    <w:rsid w:val="004E0E11"/>
    <w:rsid w:val="004E0F08"/>
    <w:rsid w:val="004E1546"/>
    <w:rsid w:val="004E19DC"/>
    <w:rsid w:val="004E35E8"/>
    <w:rsid w:val="004E3C88"/>
    <w:rsid w:val="004E50F0"/>
    <w:rsid w:val="004E6A03"/>
    <w:rsid w:val="004E70F3"/>
    <w:rsid w:val="004F0070"/>
    <w:rsid w:val="004F01B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096D"/>
    <w:rsid w:val="00511460"/>
    <w:rsid w:val="00512BBC"/>
    <w:rsid w:val="005134FB"/>
    <w:rsid w:val="005135FD"/>
    <w:rsid w:val="0051366C"/>
    <w:rsid w:val="0051684F"/>
    <w:rsid w:val="00516A92"/>
    <w:rsid w:val="00516B9F"/>
    <w:rsid w:val="005170F7"/>
    <w:rsid w:val="00517693"/>
    <w:rsid w:val="005205AB"/>
    <w:rsid w:val="00520A7B"/>
    <w:rsid w:val="00521929"/>
    <w:rsid w:val="00523378"/>
    <w:rsid w:val="0052550F"/>
    <w:rsid w:val="00526C0F"/>
    <w:rsid w:val="0052702A"/>
    <w:rsid w:val="00530397"/>
    <w:rsid w:val="00530806"/>
    <w:rsid w:val="00530F73"/>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511"/>
    <w:rsid w:val="00554A44"/>
    <w:rsid w:val="00554C53"/>
    <w:rsid w:val="00554F18"/>
    <w:rsid w:val="00555220"/>
    <w:rsid w:val="005555F0"/>
    <w:rsid w:val="00555739"/>
    <w:rsid w:val="00556E75"/>
    <w:rsid w:val="0056069A"/>
    <w:rsid w:val="00560C3B"/>
    <w:rsid w:val="00561EA1"/>
    <w:rsid w:val="005622D1"/>
    <w:rsid w:val="00562799"/>
    <w:rsid w:val="00564804"/>
    <w:rsid w:val="00565598"/>
    <w:rsid w:val="00565B5A"/>
    <w:rsid w:val="00567E8F"/>
    <w:rsid w:val="005702D6"/>
    <w:rsid w:val="00572588"/>
    <w:rsid w:val="00573A50"/>
    <w:rsid w:val="005746D2"/>
    <w:rsid w:val="00574E8A"/>
    <w:rsid w:val="00577607"/>
    <w:rsid w:val="00577775"/>
    <w:rsid w:val="00577C1A"/>
    <w:rsid w:val="00580675"/>
    <w:rsid w:val="0058121A"/>
    <w:rsid w:val="00581863"/>
    <w:rsid w:val="00581EA3"/>
    <w:rsid w:val="0058205A"/>
    <w:rsid w:val="0058260B"/>
    <w:rsid w:val="00584D1E"/>
    <w:rsid w:val="00586795"/>
    <w:rsid w:val="00586B82"/>
    <w:rsid w:val="00587A21"/>
    <w:rsid w:val="00587E13"/>
    <w:rsid w:val="00590E11"/>
    <w:rsid w:val="00592A95"/>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3B7"/>
    <w:rsid w:val="005B76A4"/>
    <w:rsid w:val="005C04A7"/>
    <w:rsid w:val="005C0E5A"/>
    <w:rsid w:val="005C17A4"/>
    <w:rsid w:val="005C27CC"/>
    <w:rsid w:val="005C370D"/>
    <w:rsid w:val="005C504E"/>
    <w:rsid w:val="005C5C02"/>
    <w:rsid w:val="005C6153"/>
    <w:rsid w:val="005C78B0"/>
    <w:rsid w:val="005C7B95"/>
    <w:rsid w:val="005D01EB"/>
    <w:rsid w:val="005D0DFB"/>
    <w:rsid w:val="005D1112"/>
    <w:rsid w:val="005D1401"/>
    <w:rsid w:val="005D237C"/>
    <w:rsid w:val="005D25E2"/>
    <w:rsid w:val="005D25FF"/>
    <w:rsid w:val="005D2632"/>
    <w:rsid w:val="005D38E0"/>
    <w:rsid w:val="005D3F32"/>
    <w:rsid w:val="005D43CF"/>
    <w:rsid w:val="005D4E3E"/>
    <w:rsid w:val="005D67F7"/>
    <w:rsid w:val="005D7D7E"/>
    <w:rsid w:val="005E0225"/>
    <w:rsid w:val="005E0B59"/>
    <w:rsid w:val="005E1105"/>
    <w:rsid w:val="005E162F"/>
    <w:rsid w:val="005E2C60"/>
    <w:rsid w:val="005E31F6"/>
    <w:rsid w:val="005E3622"/>
    <w:rsid w:val="005E56AE"/>
    <w:rsid w:val="005E60B3"/>
    <w:rsid w:val="005E676C"/>
    <w:rsid w:val="005E6CB9"/>
    <w:rsid w:val="005E7F14"/>
    <w:rsid w:val="005F0154"/>
    <w:rsid w:val="005F0176"/>
    <w:rsid w:val="005F021D"/>
    <w:rsid w:val="005F1EAC"/>
    <w:rsid w:val="005F308F"/>
    <w:rsid w:val="005F4869"/>
    <w:rsid w:val="005F4BFD"/>
    <w:rsid w:val="005F5748"/>
    <w:rsid w:val="005F5834"/>
    <w:rsid w:val="005F5E11"/>
    <w:rsid w:val="005F62B3"/>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2EEC"/>
    <w:rsid w:val="00613A75"/>
    <w:rsid w:val="0061562E"/>
    <w:rsid w:val="00616D41"/>
    <w:rsid w:val="00617292"/>
    <w:rsid w:val="006200A9"/>
    <w:rsid w:val="00622225"/>
    <w:rsid w:val="00622D03"/>
    <w:rsid w:val="00622DCD"/>
    <w:rsid w:val="00622F57"/>
    <w:rsid w:val="0062321E"/>
    <w:rsid w:val="00623DD5"/>
    <w:rsid w:val="00624269"/>
    <w:rsid w:val="00624A34"/>
    <w:rsid w:val="0062568D"/>
    <w:rsid w:val="006256D3"/>
    <w:rsid w:val="006267F5"/>
    <w:rsid w:val="00626AC5"/>
    <w:rsid w:val="00627337"/>
    <w:rsid w:val="00630069"/>
    <w:rsid w:val="00630583"/>
    <w:rsid w:val="00630D2E"/>
    <w:rsid w:val="00630D39"/>
    <w:rsid w:val="00630FEE"/>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5776C"/>
    <w:rsid w:val="00660897"/>
    <w:rsid w:val="00661028"/>
    <w:rsid w:val="006617BD"/>
    <w:rsid w:val="0066194D"/>
    <w:rsid w:val="00664695"/>
    <w:rsid w:val="00664840"/>
    <w:rsid w:val="00664B44"/>
    <w:rsid w:val="006652BF"/>
    <w:rsid w:val="0066630C"/>
    <w:rsid w:val="006676EF"/>
    <w:rsid w:val="00667BBD"/>
    <w:rsid w:val="00671149"/>
    <w:rsid w:val="00671615"/>
    <w:rsid w:val="00671741"/>
    <w:rsid w:val="00671766"/>
    <w:rsid w:val="00671B27"/>
    <w:rsid w:val="00672914"/>
    <w:rsid w:val="006744C3"/>
    <w:rsid w:val="00675045"/>
    <w:rsid w:val="0067537F"/>
    <w:rsid w:val="00676410"/>
    <w:rsid w:val="00680509"/>
    <w:rsid w:val="006805CB"/>
    <w:rsid w:val="00681CC1"/>
    <w:rsid w:val="0068233B"/>
    <w:rsid w:val="00682E11"/>
    <w:rsid w:val="00683081"/>
    <w:rsid w:val="00684C95"/>
    <w:rsid w:val="006850D3"/>
    <w:rsid w:val="00685249"/>
    <w:rsid w:val="00685648"/>
    <w:rsid w:val="006856B9"/>
    <w:rsid w:val="00685BDE"/>
    <w:rsid w:val="00686085"/>
    <w:rsid w:val="00687C0D"/>
    <w:rsid w:val="00690CD7"/>
    <w:rsid w:val="00691237"/>
    <w:rsid w:val="006920E6"/>
    <w:rsid w:val="00692555"/>
    <w:rsid w:val="006963E1"/>
    <w:rsid w:val="00696566"/>
    <w:rsid w:val="006966BA"/>
    <w:rsid w:val="0069722D"/>
    <w:rsid w:val="006A0052"/>
    <w:rsid w:val="006A0A9E"/>
    <w:rsid w:val="006A1F1C"/>
    <w:rsid w:val="006A3836"/>
    <w:rsid w:val="006A3DD3"/>
    <w:rsid w:val="006A4625"/>
    <w:rsid w:val="006A47AE"/>
    <w:rsid w:val="006A5B5E"/>
    <w:rsid w:val="006A67CB"/>
    <w:rsid w:val="006A6A96"/>
    <w:rsid w:val="006B0368"/>
    <w:rsid w:val="006B0F6E"/>
    <w:rsid w:val="006B1D7B"/>
    <w:rsid w:val="006B27D4"/>
    <w:rsid w:val="006B2C9C"/>
    <w:rsid w:val="006B3B50"/>
    <w:rsid w:val="006B48EB"/>
    <w:rsid w:val="006B4C00"/>
    <w:rsid w:val="006B56FC"/>
    <w:rsid w:val="006B63D1"/>
    <w:rsid w:val="006B6DDA"/>
    <w:rsid w:val="006B73D9"/>
    <w:rsid w:val="006B7DF0"/>
    <w:rsid w:val="006B7E74"/>
    <w:rsid w:val="006C0D75"/>
    <w:rsid w:val="006C1C48"/>
    <w:rsid w:val="006C24BB"/>
    <w:rsid w:val="006C3C1D"/>
    <w:rsid w:val="006C41FF"/>
    <w:rsid w:val="006C5145"/>
    <w:rsid w:val="006C65A8"/>
    <w:rsid w:val="006C7019"/>
    <w:rsid w:val="006C78D6"/>
    <w:rsid w:val="006C7B01"/>
    <w:rsid w:val="006D05AD"/>
    <w:rsid w:val="006D0EC1"/>
    <w:rsid w:val="006D16F8"/>
    <w:rsid w:val="006D1813"/>
    <w:rsid w:val="006D2346"/>
    <w:rsid w:val="006D24A9"/>
    <w:rsid w:val="006D2AF3"/>
    <w:rsid w:val="006D4D79"/>
    <w:rsid w:val="006D4FBD"/>
    <w:rsid w:val="006D5879"/>
    <w:rsid w:val="006D63FD"/>
    <w:rsid w:val="006D65B4"/>
    <w:rsid w:val="006D754A"/>
    <w:rsid w:val="006D7B9C"/>
    <w:rsid w:val="006E04C6"/>
    <w:rsid w:val="006E04D7"/>
    <w:rsid w:val="006E0A65"/>
    <w:rsid w:val="006E1B01"/>
    <w:rsid w:val="006E1B73"/>
    <w:rsid w:val="006E3E3D"/>
    <w:rsid w:val="006E4836"/>
    <w:rsid w:val="006E5DDD"/>
    <w:rsid w:val="006E7811"/>
    <w:rsid w:val="006F04DA"/>
    <w:rsid w:val="006F0557"/>
    <w:rsid w:val="006F0EA3"/>
    <w:rsid w:val="006F1B5D"/>
    <w:rsid w:val="006F212B"/>
    <w:rsid w:val="006F37F7"/>
    <w:rsid w:val="006F3961"/>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2ED"/>
    <w:rsid w:val="00710A59"/>
    <w:rsid w:val="00710FDE"/>
    <w:rsid w:val="007114A8"/>
    <w:rsid w:val="007116C7"/>
    <w:rsid w:val="00711C5A"/>
    <w:rsid w:val="00712B66"/>
    <w:rsid w:val="00713C31"/>
    <w:rsid w:val="0071428D"/>
    <w:rsid w:val="007144C9"/>
    <w:rsid w:val="00715475"/>
    <w:rsid w:val="00716B3C"/>
    <w:rsid w:val="007170C2"/>
    <w:rsid w:val="00717EE4"/>
    <w:rsid w:val="00717F2D"/>
    <w:rsid w:val="00720453"/>
    <w:rsid w:val="00720853"/>
    <w:rsid w:val="00722129"/>
    <w:rsid w:val="00724173"/>
    <w:rsid w:val="00726730"/>
    <w:rsid w:val="00727319"/>
    <w:rsid w:val="00727574"/>
    <w:rsid w:val="00730598"/>
    <w:rsid w:val="00731C24"/>
    <w:rsid w:val="0073257E"/>
    <w:rsid w:val="00732A32"/>
    <w:rsid w:val="00733066"/>
    <w:rsid w:val="00733469"/>
    <w:rsid w:val="00733539"/>
    <w:rsid w:val="0073492C"/>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1E8F"/>
    <w:rsid w:val="007535C7"/>
    <w:rsid w:val="00756551"/>
    <w:rsid w:val="00757769"/>
    <w:rsid w:val="0076067E"/>
    <w:rsid w:val="00760C83"/>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A35"/>
    <w:rsid w:val="00786DB0"/>
    <w:rsid w:val="00787D47"/>
    <w:rsid w:val="0079014E"/>
    <w:rsid w:val="00791095"/>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14EF"/>
    <w:rsid w:val="007B26E1"/>
    <w:rsid w:val="007B2BC1"/>
    <w:rsid w:val="007B3045"/>
    <w:rsid w:val="007B4C0F"/>
    <w:rsid w:val="007B5E25"/>
    <w:rsid w:val="007B6E0E"/>
    <w:rsid w:val="007C27FB"/>
    <w:rsid w:val="007C2CBB"/>
    <w:rsid w:val="007C309C"/>
    <w:rsid w:val="007C4196"/>
    <w:rsid w:val="007C4209"/>
    <w:rsid w:val="007C5EB9"/>
    <w:rsid w:val="007C7449"/>
    <w:rsid w:val="007C7EA5"/>
    <w:rsid w:val="007D007F"/>
    <w:rsid w:val="007D1A95"/>
    <w:rsid w:val="007D245E"/>
    <w:rsid w:val="007D3764"/>
    <w:rsid w:val="007D4319"/>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1CCD"/>
    <w:rsid w:val="007F20F1"/>
    <w:rsid w:val="007F21ED"/>
    <w:rsid w:val="007F4224"/>
    <w:rsid w:val="007F4DD2"/>
    <w:rsid w:val="007F4FB9"/>
    <w:rsid w:val="007F7022"/>
    <w:rsid w:val="007F7690"/>
    <w:rsid w:val="008011CC"/>
    <w:rsid w:val="00801404"/>
    <w:rsid w:val="008017AA"/>
    <w:rsid w:val="00801CBA"/>
    <w:rsid w:val="00801D92"/>
    <w:rsid w:val="00804BCF"/>
    <w:rsid w:val="00804FA4"/>
    <w:rsid w:val="00805275"/>
    <w:rsid w:val="00805CD3"/>
    <w:rsid w:val="00806A62"/>
    <w:rsid w:val="00806E55"/>
    <w:rsid w:val="00807527"/>
    <w:rsid w:val="008075CE"/>
    <w:rsid w:val="00812179"/>
    <w:rsid w:val="008124E2"/>
    <w:rsid w:val="00812BE2"/>
    <w:rsid w:val="00813080"/>
    <w:rsid w:val="00813928"/>
    <w:rsid w:val="00815321"/>
    <w:rsid w:val="008166DB"/>
    <w:rsid w:val="008173E0"/>
    <w:rsid w:val="008175C1"/>
    <w:rsid w:val="008200D4"/>
    <w:rsid w:val="00820370"/>
    <w:rsid w:val="00820CC6"/>
    <w:rsid w:val="00822C41"/>
    <w:rsid w:val="00825043"/>
    <w:rsid w:val="00825267"/>
    <w:rsid w:val="008252E3"/>
    <w:rsid w:val="008264EC"/>
    <w:rsid w:val="00827886"/>
    <w:rsid w:val="00827C0D"/>
    <w:rsid w:val="00830642"/>
    <w:rsid w:val="00831250"/>
    <w:rsid w:val="00831D8D"/>
    <w:rsid w:val="008333B7"/>
    <w:rsid w:val="008336EC"/>
    <w:rsid w:val="008337B9"/>
    <w:rsid w:val="00834FD2"/>
    <w:rsid w:val="00835084"/>
    <w:rsid w:val="00835184"/>
    <w:rsid w:val="00835569"/>
    <w:rsid w:val="00835802"/>
    <w:rsid w:val="00836295"/>
    <w:rsid w:val="00836757"/>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3D69"/>
    <w:rsid w:val="00853E97"/>
    <w:rsid w:val="0085465C"/>
    <w:rsid w:val="00854967"/>
    <w:rsid w:val="0085540B"/>
    <w:rsid w:val="00855511"/>
    <w:rsid w:val="0085582C"/>
    <w:rsid w:val="00855FD3"/>
    <w:rsid w:val="00857086"/>
    <w:rsid w:val="00857572"/>
    <w:rsid w:val="008575A1"/>
    <w:rsid w:val="00860F4D"/>
    <w:rsid w:val="008611DE"/>
    <w:rsid w:val="00861375"/>
    <w:rsid w:val="00861C56"/>
    <w:rsid w:val="00861F29"/>
    <w:rsid w:val="008620A2"/>
    <w:rsid w:val="00862741"/>
    <w:rsid w:val="00862BBD"/>
    <w:rsid w:val="00863C9F"/>
    <w:rsid w:val="008645D6"/>
    <w:rsid w:val="0086552B"/>
    <w:rsid w:val="008655A2"/>
    <w:rsid w:val="0086584F"/>
    <w:rsid w:val="00866768"/>
    <w:rsid w:val="008671C7"/>
    <w:rsid w:val="0086745B"/>
    <w:rsid w:val="00867EB8"/>
    <w:rsid w:val="00870335"/>
    <w:rsid w:val="00870AA2"/>
    <w:rsid w:val="008732B6"/>
    <w:rsid w:val="00873D88"/>
    <w:rsid w:val="0087433B"/>
    <w:rsid w:val="0087621E"/>
    <w:rsid w:val="008767B2"/>
    <w:rsid w:val="00876B17"/>
    <w:rsid w:val="00877328"/>
    <w:rsid w:val="0087787A"/>
    <w:rsid w:val="008802F0"/>
    <w:rsid w:val="00880992"/>
    <w:rsid w:val="00881692"/>
    <w:rsid w:val="00883143"/>
    <w:rsid w:val="0088360B"/>
    <w:rsid w:val="00883EE0"/>
    <w:rsid w:val="00884364"/>
    <w:rsid w:val="008858FD"/>
    <w:rsid w:val="00886154"/>
    <w:rsid w:val="00890277"/>
    <w:rsid w:val="0089061A"/>
    <w:rsid w:val="008915C6"/>
    <w:rsid w:val="00891677"/>
    <w:rsid w:val="008922CF"/>
    <w:rsid w:val="00892DB5"/>
    <w:rsid w:val="00894B61"/>
    <w:rsid w:val="00894CD1"/>
    <w:rsid w:val="00895255"/>
    <w:rsid w:val="0089562A"/>
    <w:rsid w:val="00895DF1"/>
    <w:rsid w:val="00896645"/>
    <w:rsid w:val="008975D2"/>
    <w:rsid w:val="008A035B"/>
    <w:rsid w:val="008A0459"/>
    <w:rsid w:val="008A0C99"/>
    <w:rsid w:val="008A0CF3"/>
    <w:rsid w:val="008A1218"/>
    <w:rsid w:val="008A15B6"/>
    <w:rsid w:val="008A1A6E"/>
    <w:rsid w:val="008A1B50"/>
    <w:rsid w:val="008A202A"/>
    <w:rsid w:val="008A36C9"/>
    <w:rsid w:val="008A44F3"/>
    <w:rsid w:val="008A5AF9"/>
    <w:rsid w:val="008A721F"/>
    <w:rsid w:val="008B16DE"/>
    <w:rsid w:val="008B251F"/>
    <w:rsid w:val="008B2602"/>
    <w:rsid w:val="008B2727"/>
    <w:rsid w:val="008B316B"/>
    <w:rsid w:val="008B470F"/>
    <w:rsid w:val="008B5059"/>
    <w:rsid w:val="008B5BF2"/>
    <w:rsid w:val="008B6934"/>
    <w:rsid w:val="008B6CF8"/>
    <w:rsid w:val="008B72F6"/>
    <w:rsid w:val="008C119E"/>
    <w:rsid w:val="008C1E24"/>
    <w:rsid w:val="008C2892"/>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1D62"/>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631F"/>
    <w:rsid w:val="008E7209"/>
    <w:rsid w:val="008E7448"/>
    <w:rsid w:val="008F11BB"/>
    <w:rsid w:val="008F16FF"/>
    <w:rsid w:val="008F182F"/>
    <w:rsid w:val="008F1B6C"/>
    <w:rsid w:val="008F1E95"/>
    <w:rsid w:val="008F2304"/>
    <w:rsid w:val="008F57DD"/>
    <w:rsid w:val="008F5AEE"/>
    <w:rsid w:val="008F6EAA"/>
    <w:rsid w:val="008F7800"/>
    <w:rsid w:val="008F7BCA"/>
    <w:rsid w:val="00900F4D"/>
    <w:rsid w:val="0090167B"/>
    <w:rsid w:val="009017D3"/>
    <w:rsid w:val="00902DEC"/>
    <w:rsid w:val="0090342E"/>
    <w:rsid w:val="00903D3A"/>
    <w:rsid w:val="009044B9"/>
    <w:rsid w:val="009047B1"/>
    <w:rsid w:val="00904C86"/>
    <w:rsid w:val="0090680D"/>
    <w:rsid w:val="0091045D"/>
    <w:rsid w:val="00911B8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27BF8"/>
    <w:rsid w:val="009302D4"/>
    <w:rsid w:val="009307F2"/>
    <w:rsid w:val="00930CEC"/>
    <w:rsid w:val="00930F4A"/>
    <w:rsid w:val="0093375E"/>
    <w:rsid w:val="00933BEF"/>
    <w:rsid w:val="0093787E"/>
    <w:rsid w:val="00940262"/>
    <w:rsid w:val="009412CC"/>
    <w:rsid w:val="0094388B"/>
    <w:rsid w:val="00943D09"/>
    <w:rsid w:val="00944826"/>
    <w:rsid w:val="009457A1"/>
    <w:rsid w:val="0094644D"/>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7613"/>
    <w:rsid w:val="00957E23"/>
    <w:rsid w:val="00961487"/>
    <w:rsid w:val="00961BA7"/>
    <w:rsid w:val="00961F01"/>
    <w:rsid w:val="00962162"/>
    <w:rsid w:val="009623BC"/>
    <w:rsid w:val="009628BE"/>
    <w:rsid w:val="009631C8"/>
    <w:rsid w:val="00963AE4"/>
    <w:rsid w:val="00963C14"/>
    <w:rsid w:val="009645BE"/>
    <w:rsid w:val="009645CD"/>
    <w:rsid w:val="00965940"/>
    <w:rsid w:val="00965A4E"/>
    <w:rsid w:val="00965A9D"/>
    <w:rsid w:val="00966BE5"/>
    <w:rsid w:val="00966EB0"/>
    <w:rsid w:val="009676CF"/>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1A1"/>
    <w:rsid w:val="0099643A"/>
    <w:rsid w:val="00997959"/>
    <w:rsid w:val="009A09EF"/>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2ECE"/>
    <w:rsid w:val="009B4027"/>
    <w:rsid w:val="009B4975"/>
    <w:rsid w:val="009B4E30"/>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7D2"/>
    <w:rsid w:val="009D38C2"/>
    <w:rsid w:val="009D417F"/>
    <w:rsid w:val="009D45E5"/>
    <w:rsid w:val="009D4B85"/>
    <w:rsid w:val="009D535B"/>
    <w:rsid w:val="009D630B"/>
    <w:rsid w:val="009D6CAA"/>
    <w:rsid w:val="009D6CF6"/>
    <w:rsid w:val="009D6E69"/>
    <w:rsid w:val="009E02DC"/>
    <w:rsid w:val="009E09F6"/>
    <w:rsid w:val="009E2040"/>
    <w:rsid w:val="009E49AE"/>
    <w:rsid w:val="009E4DC7"/>
    <w:rsid w:val="009E660A"/>
    <w:rsid w:val="009E6B64"/>
    <w:rsid w:val="009E72E5"/>
    <w:rsid w:val="009E7C32"/>
    <w:rsid w:val="009F46C8"/>
    <w:rsid w:val="009F4F2A"/>
    <w:rsid w:val="009F660B"/>
    <w:rsid w:val="009F671E"/>
    <w:rsid w:val="009F7ED1"/>
    <w:rsid w:val="00A00A96"/>
    <w:rsid w:val="00A0149B"/>
    <w:rsid w:val="00A01607"/>
    <w:rsid w:val="00A018D4"/>
    <w:rsid w:val="00A01B58"/>
    <w:rsid w:val="00A02CD6"/>
    <w:rsid w:val="00A02F9D"/>
    <w:rsid w:val="00A03767"/>
    <w:rsid w:val="00A04834"/>
    <w:rsid w:val="00A05628"/>
    <w:rsid w:val="00A07DCF"/>
    <w:rsid w:val="00A12979"/>
    <w:rsid w:val="00A131A9"/>
    <w:rsid w:val="00A14742"/>
    <w:rsid w:val="00A1496E"/>
    <w:rsid w:val="00A14F84"/>
    <w:rsid w:val="00A16D6D"/>
    <w:rsid w:val="00A17C75"/>
    <w:rsid w:val="00A2110A"/>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0D55"/>
    <w:rsid w:val="00A51C19"/>
    <w:rsid w:val="00A51E04"/>
    <w:rsid w:val="00A522B5"/>
    <w:rsid w:val="00A52C31"/>
    <w:rsid w:val="00A52F37"/>
    <w:rsid w:val="00A533C5"/>
    <w:rsid w:val="00A5360C"/>
    <w:rsid w:val="00A5388C"/>
    <w:rsid w:val="00A5397B"/>
    <w:rsid w:val="00A53BE1"/>
    <w:rsid w:val="00A54644"/>
    <w:rsid w:val="00A54C2D"/>
    <w:rsid w:val="00A55921"/>
    <w:rsid w:val="00A560E3"/>
    <w:rsid w:val="00A5628F"/>
    <w:rsid w:val="00A564AF"/>
    <w:rsid w:val="00A566A8"/>
    <w:rsid w:val="00A56D0B"/>
    <w:rsid w:val="00A5775C"/>
    <w:rsid w:val="00A60E72"/>
    <w:rsid w:val="00A61F0C"/>
    <w:rsid w:val="00A61F18"/>
    <w:rsid w:val="00A61FF0"/>
    <w:rsid w:val="00A62580"/>
    <w:rsid w:val="00A63AC9"/>
    <w:rsid w:val="00A64502"/>
    <w:rsid w:val="00A64B5F"/>
    <w:rsid w:val="00A65EA0"/>
    <w:rsid w:val="00A66517"/>
    <w:rsid w:val="00A66729"/>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1AB0"/>
    <w:rsid w:val="00AB202A"/>
    <w:rsid w:val="00AB5555"/>
    <w:rsid w:val="00AB55AD"/>
    <w:rsid w:val="00AB5D1B"/>
    <w:rsid w:val="00AB6918"/>
    <w:rsid w:val="00AB6B40"/>
    <w:rsid w:val="00AB740A"/>
    <w:rsid w:val="00AC1DA5"/>
    <w:rsid w:val="00AC216B"/>
    <w:rsid w:val="00AC26B1"/>
    <w:rsid w:val="00AC303F"/>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4A97"/>
    <w:rsid w:val="00AE503A"/>
    <w:rsid w:val="00AE68E2"/>
    <w:rsid w:val="00AE7418"/>
    <w:rsid w:val="00AF0157"/>
    <w:rsid w:val="00AF2EC7"/>
    <w:rsid w:val="00AF3AC0"/>
    <w:rsid w:val="00AF3E83"/>
    <w:rsid w:val="00AF4F4A"/>
    <w:rsid w:val="00AF7985"/>
    <w:rsid w:val="00B00C24"/>
    <w:rsid w:val="00B00F93"/>
    <w:rsid w:val="00B01BBE"/>
    <w:rsid w:val="00B03F92"/>
    <w:rsid w:val="00B055D8"/>
    <w:rsid w:val="00B06CD6"/>
    <w:rsid w:val="00B06EBC"/>
    <w:rsid w:val="00B11D2D"/>
    <w:rsid w:val="00B123F0"/>
    <w:rsid w:val="00B124A5"/>
    <w:rsid w:val="00B12891"/>
    <w:rsid w:val="00B12AFD"/>
    <w:rsid w:val="00B146C1"/>
    <w:rsid w:val="00B146E7"/>
    <w:rsid w:val="00B156DF"/>
    <w:rsid w:val="00B15ABB"/>
    <w:rsid w:val="00B16973"/>
    <w:rsid w:val="00B2036A"/>
    <w:rsid w:val="00B21057"/>
    <w:rsid w:val="00B2202B"/>
    <w:rsid w:val="00B232BE"/>
    <w:rsid w:val="00B23422"/>
    <w:rsid w:val="00B24948"/>
    <w:rsid w:val="00B24CBD"/>
    <w:rsid w:val="00B25CA3"/>
    <w:rsid w:val="00B30028"/>
    <w:rsid w:val="00B31E8D"/>
    <w:rsid w:val="00B31EB6"/>
    <w:rsid w:val="00B3313B"/>
    <w:rsid w:val="00B331E8"/>
    <w:rsid w:val="00B331EA"/>
    <w:rsid w:val="00B34289"/>
    <w:rsid w:val="00B34732"/>
    <w:rsid w:val="00B353B8"/>
    <w:rsid w:val="00B35C56"/>
    <w:rsid w:val="00B36F17"/>
    <w:rsid w:val="00B372ED"/>
    <w:rsid w:val="00B40603"/>
    <w:rsid w:val="00B40AF6"/>
    <w:rsid w:val="00B41071"/>
    <w:rsid w:val="00B418B9"/>
    <w:rsid w:val="00B425C0"/>
    <w:rsid w:val="00B42DB6"/>
    <w:rsid w:val="00B43C65"/>
    <w:rsid w:val="00B44681"/>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003"/>
    <w:rsid w:val="00B814CB"/>
    <w:rsid w:val="00B818B6"/>
    <w:rsid w:val="00B81B6A"/>
    <w:rsid w:val="00B820F4"/>
    <w:rsid w:val="00B835E0"/>
    <w:rsid w:val="00B8396D"/>
    <w:rsid w:val="00B86E80"/>
    <w:rsid w:val="00B875DB"/>
    <w:rsid w:val="00B879ED"/>
    <w:rsid w:val="00B90331"/>
    <w:rsid w:val="00B903ED"/>
    <w:rsid w:val="00B90B2D"/>
    <w:rsid w:val="00B9173C"/>
    <w:rsid w:val="00B935A1"/>
    <w:rsid w:val="00B95DAD"/>
    <w:rsid w:val="00B96C0C"/>
    <w:rsid w:val="00B9734D"/>
    <w:rsid w:val="00B97732"/>
    <w:rsid w:val="00BA27F4"/>
    <w:rsid w:val="00BA2E40"/>
    <w:rsid w:val="00BA2EB3"/>
    <w:rsid w:val="00BA3CB7"/>
    <w:rsid w:val="00BA41DE"/>
    <w:rsid w:val="00BA556C"/>
    <w:rsid w:val="00BA6CE2"/>
    <w:rsid w:val="00BB0F31"/>
    <w:rsid w:val="00BB15AB"/>
    <w:rsid w:val="00BB189B"/>
    <w:rsid w:val="00BB1D21"/>
    <w:rsid w:val="00BB2E51"/>
    <w:rsid w:val="00BB4BEA"/>
    <w:rsid w:val="00BB4C1A"/>
    <w:rsid w:val="00BB50AB"/>
    <w:rsid w:val="00BB6664"/>
    <w:rsid w:val="00BC01FC"/>
    <w:rsid w:val="00BC1F79"/>
    <w:rsid w:val="00BC2201"/>
    <w:rsid w:val="00BC3C7A"/>
    <w:rsid w:val="00BC5CFB"/>
    <w:rsid w:val="00BC7DC6"/>
    <w:rsid w:val="00BD020F"/>
    <w:rsid w:val="00BD1039"/>
    <w:rsid w:val="00BD13B5"/>
    <w:rsid w:val="00BD2EFC"/>
    <w:rsid w:val="00BD340E"/>
    <w:rsid w:val="00BD60AD"/>
    <w:rsid w:val="00BD6C02"/>
    <w:rsid w:val="00BE1244"/>
    <w:rsid w:val="00BE13F1"/>
    <w:rsid w:val="00BE165D"/>
    <w:rsid w:val="00BE2394"/>
    <w:rsid w:val="00BE2702"/>
    <w:rsid w:val="00BE316C"/>
    <w:rsid w:val="00BE3FD2"/>
    <w:rsid w:val="00BE4326"/>
    <w:rsid w:val="00BE5F4F"/>
    <w:rsid w:val="00BE60DB"/>
    <w:rsid w:val="00BF0191"/>
    <w:rsid w:val="00BF13EC"/>
    <w:rsid w:val="00BF18B6"/>
    <w:rsid w:val="00BF1C07"/>
    <w:rsid w:val="00BF3DEE"/>
    <w:rsid w:val="00BF54AC"/>
    <w:rsid w:val="00BF54BD"/>
    <w:rsid w:val="00BF562B"/>
    <w:rsid w:val="00BF6B8E"/>
    <w:rsid w:val="00C025A5"/>
    <w:rsid w:val="00C03C78"/>
    <w:rsid w:val="00C04FD3"/>
    <w:rsid w:val="00C065A2"/>
    <w:rsid w:val="00C07919"/>
    <w:rsid w:val="00C07EFB"/>
    <w:rsid w:val="00C103F9"/>
    <w:rsid w:val="00C104AC"/>
    <w:rsid w:val="00C1056E"/>
    <w:rsid w:val="00C110E1"/>
    <w:rsid w:val="00C1198F"/>
    <w:rsid w:val="00C11FA1"/>
    <w:rsid w:val="00C129FB"/>
    <w:rsid w:val="00C12E21"/>
    <w:rsid w:val="00C12E65"/>
    <w:rsid w:val="00C13B27"/>
    <w:rsid w:val="00C13C20"/>
    <w:rsid w:val="00C13F74"/>
    <w:rsid w:val="00C146D3"/>
    <w:rsid w:val="00C1629A"/>
    <w:rsid w:val="00C16BE0"/>
    <w:rsid w:val="00C21C39"/>
    <w:rsid w:val="00C2325C"/>
    <w:rsid w:val="00C239ED"/>
    <w:rsid w:val="00C24D9D"/>
    <w:rsid w:val="00C25CF3"/>
    <w:rsid w:val="00C263E9"/>
    <w:rsid w:val="00C2690A"/>
    <w:rsid w:val="00C2775A"/>
    <w:rsid w:val="00C3063A"/>
    <w:rsid w:val="00C309C1"/>
    <w:rsid w:val="00C30BAD"/>
    <w:rsid w:val="00C31E8F"/>
    <w:rsid w:val="00C335DA"/>
    <w:rsid w:val="00C33D3E"/>
    <w:rsid w:val="00C3409F"/>
    <w:rsid w:val="00C362E0"/>
    <w:rsid w:val="00C36ED4"/>
    <w:rsid w:val="00C376CC"/>
    <w:rsid w:val="00C400F7"/>
    <w:rsid w:val="00C40EC6"/>
    <w:rsid w:val="00C419AD"/>
    <w:rsid w:val="00C41B5F"/>
    <w:rsid w:val="00C437BA"/>
    <w:rsid w:val="00C44395"/>
    <w:rsid w:val="00C443B3"/>
    <w:rsid w:val="00C45CE8"/>
    <w:rsid w:val="00C464D6"/>
    <w:rsid w:val="00C46F06"/>
    <w:rsid w:val="00C47DA6"/>
    <w:rsid w:val="00C50986"/>
    <w:rsid w:val="00C50ABF"/>
    <w:rsid w:val="00C50EF2"/>
    <w:rsid w:val="00C51256"/>
    <w:rsid w:val="00C51566"/>
    <w:rsid w:val="00C516B7"/>
    <w:rsid w:val="00C516C4"/>
    <w:rsid w:val="00C51C1F"/>
    <w:rsid w:val="00C5222C"/>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3C41"/>
    <w:rsid w:val="00C657B5"/>
    <w:rsid w:val="00C661E1"/>
    <w:rsid w:val="00C66686"/>
    <w:rsid w:val="00C678C4"/>
    <w:rsid w:val="00C70935"/>
    <w:rsid w:val="00C71215"/>
    <w:rsid w:val="00C7216B"/>
    <w:rsid w:val="00C727BE"/>
    <w:rsid w:val="00C732A9"/>
    <w:rsid w:val="00C73448"/>
    <w:rsid w:val="00C73E2E"/>
    <w:rsid w:val="00C74546"/>
    <w:rsid w:val="00C748E2"/>
    <w:rsid w:val="00C75B12"/>
    <w:rsid w:val="00C7776C"/>
    <w:rsid w:val="00C82F13"/>
    <w:rsid w:val="00C835CF"/>
    <w:rsid w:val="00C8398D"/>
    <w:rsid w:val="00C83F5C"/>
    <w:rsid w:val="00C84BC2"/>
    <w:rsid w:val="00C85139"/>
    <w:rsid w:val="00C85657"/>
    <w:rsid w:val="00C86237"/>
    <w:rsid w:val="00C904B9"/>
    <w:rsid w:val="00C91C88"/>
    <w:rsid w:val="00C939C3"/>
    <w:rsid w:val="00C94228"/>
    <w:rsid w:val="00C95C86"/>
    <w:rsid w:val="00C9698F"/>
    <w:rsid w:val="00C96D56"/>
    <w:rsid w:val="00C977E6"/>
    <w:rsid w:val="00CA0020"/>
    <w:rsid w:val="00CA0B2E"/>
    <w:rsid w:val="00CA18CA"/>
    <w:rsid w:val="00CA2557"/>
    <w:rsid w:val="00CA5413"/>
    <w:rsid w:val="00CA5674"/>
    <w:rsid w:val="00CA5BDA"/>
    <w:rsid w:val="00CA5C1A"/>
    <w:rsid w:val="00CA633F"/>
    <w:rsid w:val="00CA641E"/>
    <w:rsid w:val="00CA6EF6"/>
    <w:rsid w:val="00CA7558"/>
    <w:rsid w:val="00CA785F"/>
    <w:rsid w:val="00CA792A"/>
    <w:rsid w:val="00CA7949"/>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10E"/>
    <w:rsid w:val="00CD4A65"/>
    <w:rsid w:val="00CD531F"/>
    <w:rsid w:val="00CD6FA3"/>
    <w:rsid w:val="00CE2184"/>
    <w:rsid w:val="00CE3B7F"/>
    <w:rsid w:val="00CE3FA2"/>
    <w:rsid w:val="00CE41A0"/>
    <w:rsid w:val="00CE4958"/>
    <w:rsid w:val="00CE6189"/>
    <w:rsid w:val="00CE68E2"/>
    <w:rsid w:val="00CE706E"/>
    <w:rsid w:val="00CE70B1"/>
    <w:rsid w:val="00CE7AE4"/>
    <w:rsid w:val="00CF0A4C"/>
    <w:rsid w:val="00CF150A"/>
    <w:rsid w:val="00CF1CA6"/>
    <w:rsid w:val="00CF2225"/>
    <w:rsid w:val="00CF25E7"/>
    <w:rsid w:val="00CF3C77"/>
    <w:rsid w:val="00CF45A2"/>
    <w:rsid w:val="00CF52E7"/>
    <w:rsid w:val="00CF58CE"/>
    <w:rsid w:val="00CF64B5"/>
    <w:rsid w:val="00CF7853"/>
    <w:rsid w:val="00D004ED"/>
    <w:rsid w:val="00D00DC8"/>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069"/>
    <w:rsid w:val="00D42465"/>
    <w:rsid w:val="00D42E5B"/>
    <w:rsid w:val="00D439D1"/>
    <w:rsid w:val="00D43C68"/>
    <w:rsid w:val="00D444B2"/>
    <w:rsid w:val="00D453E4"/>
    <w:rsid w:val="00D47226"/>
    <w:rsid w:val="00D50B21"/>
    <w:rsid w:val="00D51349"/>
    <w:rsid w:val="00D51C05"/>
    <w:rsid w:val="00D527AF"/>
    <w:rsid w:val="00D529E1"/>
    <w:rsid w:val="00D534C2"/>
    <w:rsid w:val="00D5410F"/>
    <w:rsid w:val="00D54A94"/>
    <w:rsid w:val="00D564DF"/>
    <w:rsid w:val="00D576DD"/>
    <w:rsid w:val="00D57CB4"/>
    <w:rsid w:val="00D61477"/>
    <w:rsid w:val="00D619E2"/>
    <w:rsid w:val="00D62036"/>
    <w:rsid w:val="00D620CC"/>
    <w:rsid w:val="00D625EB"/>
    <w:rsid w:val="00D634B8"/>
    <w:rsid w:val="00D63EF3"/>
    <w:rsid w:val="00D63F26"/>
    <w:rsid w:val="00D64441"/>
    <w:rsid w:val="00D65497"/>
    <w:rsid w:val="00D654DA"/>
    <w:rsid w:val="00D6609E"/>
    <w:rsid w:val="00D67A9F"/>
    <w:rsid w:val="00D67C20"/>
    <w:rsid w:val="00D70C1B"/>
    <w:rsid w:val="00D70E5C"/>
    <w:rsid w:val="00D7146C"/>
    <w:rsid w:val="00D718CD"/>
    <w:rsid w:val="00D7416F"/>
    <w:rsid w:val="00D755F2"/>
    <w:rsid w:val="00D762AC"/>
    <w:rsid w:val="00D775E7"/>
    <w:rsid w:val="00D77A74"/>
    <w:rsid w:val="00D77B9E"/>
    <w:rsid w:val="00D81CA9"/>
    <w:rsid w:val="00D839D8"/>
    <w:rsid w:val="00D83F9E"/>
    <w:rsid w:val="00D840C2"/>
    <w:rsid w:val="00D84562"/>
    <w:rsid w:val="00D85C16"/>
    <w:rsid w:val="00D86169"/>
    <w:rsid w:val="00D8732E"/>
    <w:rsid w:val="00D91294"/>
    <w:rsid w:val="00D9186A"/>
    <w:rsid w:val="00D92173"/>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6168"/>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3781"/>
    <w:rsid w:val="00E04441"/>
    <w:rsid w:val="00E05F03"/>
    <w:rsid w:val="00E06370"/>
    <w:rsid w:val="00E067E5"/>
    <w:rsid w:val="00E06B7B"/>
    <w:rsid w:val="00E06E20"/>
    <w:rsid w:val="00E07DD9"/>
    <w:rsid w:val="00E102F8"/>
    <w:rsid w:val="00E12B7D"/>
    <w:rsid w:val="00E12FCF"/>
    <w:rsid w:val="00E13273"/>
    <w:rsid w:val="00E13379"/>
    <w:rsid w:val="00E139EE"/>
    <w:rsid w:val="00E14D83"/>
    <w:rsid w:val="00E14FA6"/>
    <w:rsid w:val="00E15A0D"/>
    <w:rsid w:val="00E16640"/>
    <w:rsid w:val="00E1740F"/>
    <w:rsid w:val="00E200CF"/>
    <w:rsid w:val="00E23DF6"/>
    <w:rsid w:val="00E24197"/>
    <w:rsid w:val="00E24287"/>
    <w:rsid w:val="00E26AFD"/>
    <w:rsid w:val="00E271FF"/>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6DFB"/>
    <w:rsid w:val="00E4723D"/>
    <w:rsid w:val="00E501D6"/>
    <w:rsid w:val="00E5077C"/>
    <w:rsid w:val="00E50EC8"/>
    <w:rsid w:val="00E5159B"/>
    <w:rsid w:val="00E515C6"/>
    <w:rsid w:val="00E52E0D"/>
    <w:rsid w:val="00E52FE2"/>
    <w:rsid w:val="00E54629"/>
    <w:rsid w:val="00E54715"/>
    <w:rsid w:val="00E54D6B"/>
    <w:rsid w:val="00E54E6F"/>
    <w:rsid w:val="00E55338"/>
    <w:rsid w:val="00E553C5"/>
    <w:rsid w:val="00E555BB"/>
    <w:rsid w:val="00E563F1"/>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571"/>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B02DE"/>
    <w:rsid w:val="00EB03F0"/>
    <w:rsid w:val="00EB0A07"/>
    <w:rsid w:val="00EB1B69"/>
    <w:rsid w:val="00EB1C78"/>
    <w:rsid w:val="00EB3B46"/>
    <w:rsid w:val="00EB4F08"/>
    <w:rsid w:val="00EC2E07"/>
    <w:rsid w:val="00EC43C7"/>
    <w:rsid w:val="00EC465D"/>
    <w:rsid w:val="00EC5C89"/>
    <w:rsid w:val="00EC66D2"/>
    <w:rsid w:val="00EC67E7"/>
    <w:rsid w:val="00ED0A1B"/>
    <w:rsid w:val="00ED1FA5"/>
    <w:rsid w:val="00ED21BC"/>
    <w:rsid w:val="00ED2FEC"/>
    <w:rsid w:val="00ED3427"/>
    <w:rsid w:val="00ED3F67"/>
    <w:rsid w:val="00ED440A"/>
    <w:rsid w:val="00ED7971"/>
    <w:rsid w:val="00EE0748"/>
    <w:rsid w:val="00EE29A0"/>
    <w:rsid w:val="00EE2CEA"/>
    <w:rsid w:val="00EE3365"/>
    <w:rsid w:val="00EE3EF7"/>
    <w:rsid w:val="00EE48DF"/>
    <w:rsid w:val="00EE4AB3"/>
    <w:rsid w:val="00EE692F"/>
    <w:rsid w:val="00EE7338"/>
    <w:rsid w:val="00EE7405"/>
    <w:rsid w:val="00EF033E"/>
    <w:rsid w:val="00EF06EC"/>
    <w:rsid w:val="00EF14FF"/>
    <w:rsid w:val="00EF2BFE"/>
    <w:rsid w:val="00EF2D85"/>
    <w:rsid w:val="00EF402C"/>
    <w:rsid w:val="00EF45E0"/>
    <w:rsid w:val="00EF4E6F"/>
    <w:rsid w:val="00EF5C82"/>
    <w:rsid w:val="00EF7A15"/>
    <w:rsid w:val="00F007F3"/>
    <w:rsid w:val="00F01F8C"/>
    <w:rsid w:val="00F035A6"/>
    <w:rsid w:val="00F04AD0"/>
    <w:rsid w:val="00F10033"/>
    <w:rsid w:val="00F10848"/>
    <w:rsid w:val="00F10B68"/>
    <w:rsid w:val="00F11770"/>
    <w:rsid w:val="00F11A7B"/>
    <w:rsid w:val="00F11F55"/>
    <w:rsid w:val="00F12DEC"/>
    <w:rsid w:val="00F13151"/>
    <w:rsid w:val="00F15523"/>
    <w:rsid w:val="00F16391"/>
    <w:rsid w:val="00F2062B"/>
    <w:rsid w:val="00F20D98"/>
    <w:rsid w:val="00F21193"/>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64EF"/>
    <w:rsid w:val="00F3662D"/>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7909"/>
    <w:rsid w:val="00F606E6"/>
    <w:rsid w:val="00F612D6"/>
    <w:rsid w:val="00F63400"/>
    <w:rsid w:val="00F636C6"/>
    <w:rsid w:val="00F6433D"/>
    <w:rsid w:val="00F6573E"/>
    <w:rsid w:val="00F662EB"/>
    <w:rsid w:val="00F67606"/>
    <w:rsid w:val="00F6792A"/>
    <w:rsid w:val="00F70051"/>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97853"/>
    <w:rsid w:val="00FA0890"/>
    <w:rsid w:val="00FA164A"/>
    <w:rsid w:val="00FA3F3E"/>
    <w:rsid w:val="00FA4272"/>
    <w:rsid w:val="00FA4855"/>
    <w:rsid w:val="00FA4ACD"/>
    <w:rsid w:val="00FA6428"/>
    <w:rsid w:val="00FA7144"/>
    <w:rsid w:val="00FA7184"/>
    <w:rsid w:val="00FB1D9D"/>
    <w:rsid w:val="00FB3304"/>
    <w:rsid w:val="00FB46B8"/>
    <w:rsid w:val="00FB4B38"/>
    <w:rsid w:val="00FB54B9"/>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3E64"/>
    <w:rsid w:val="00FD4876"/>
    <w:rsid w:val="00FD52A3"/>
    <w:rsid w:val="00FD68D4"/>
    <w:rsid w:val="00FD7452"/>
    <w:rsid w:val="00FD7700"/>
    <w:rsid w:val="00FE00D9"/>
    <w:rsid w:val="00FE1186"/>
    <w:rsid w:val="00FE166F"/>
    <w:rsid w:val="00FE177A"/>
    <w:rsid w:val="00FE1CD2"/>
    <w:rsid w:val="00FE240A"/>
    <w:rsid w:val="00FE39C1"/>
    <w:rsid w:val="00FE3E3C"/>
    <w:rsid w:val="00FE43E7"/>
    <w:rsid w:val="00FE4B66"/>
    <w:rsid w:val="00FE4F6E"/>
    <w:rsid w:val="00FE583F"/>
    <w:rsid w:val="00FE5CC4"/>
    <w:rsid w:val="00FE6999"/>
    <w:rsid w:val="00FE6B13"/>
    <w:rsid w:val="00FE7575"/>
    <w:rsid w:val="00FF0D41"/>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705F9C"/>
  <w15:docId w15:val="{BBB52783-46A6-45BF-901D-9F116C10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427"/>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tv2132">
    <w:name w:val="tv2132"/>
    <w:basedOn w:val="Normal"/>
    <w:rsid w:val="00D625EB"/>
    <w:pPr>
      <w:spacing w:line="360" w:lineRule="auto"/>
      <w:ind w:firstLine="300"/>
    </w:pPr>
    <w:rPr>
      <w:color w:val="414142"/>
      <w:sz w:val="20"/>
      <w:szCs w:val="20"/>
      <w:lang w:val="en-GB" w:eastAsia="en-GB"/>
    </w:rPr>
  </w:style>
  <w:style w:type="paragraph" w:customStyle="1" w:styleId="pamattekststabul">
    <w:name w:val="pamattekststabul"/>
    <w:basedOn w:val="Normal"/>
    <w:rsid w:val="008A1B50"/>
    <w:pPr>
      <w:spacing w:before="100" w:beforeAutospacing="1" w:after="100" w:afterAutospacing="1"/>
    </w:pPr>
    <w:rPr>
      <w:lang w:val="en-US" w:eastAsia="en-US"/>
    </w:rPr>
  </w:style>
  <w:style w:type="character" w:customStyle="1" w:styleId="UnresolvedMention1">
    <w:name w:val="Unresolved Mention1"/>
    <w:uiPriority w:val="99"/>
    <w:semiHidden/>
    <w:unhideWhenUsed/>
    <w:rsid w:val="00E12B7D"/>
    <w:rPr>
      <w:color w:val="808080"/>
      <w:shd w:val="clear" w:color="auto" w:fill="E6E6E6"/>
    </w:rPr>
  </w:style>
  <w:style w:type="paragraph" w:styleId="NoSpacing">
    <w:name w:val="No Spacing"/>
    <w:uiPriority w:val="1"/>
    <w:qFormat/>
    <w:rsid w:val="009B4E3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01969">
      <w:bodyDiv w:val="1"/>
      <w:marLeft w:val="0"/>
      <w:marRight w:val="0"/>
      <w:marTop w:val="0"/>
      <w:marBottom w:val="0"/>
      <w:divBdr>
        <w:top w:val="none" w:sz="0" w:space="0" w:color="auto"/>
        <w:left w:val="none" w:sz="0" w:space="0" w:color="auto"/>
        <w:bottom w:val="none" w:sz="0" w:space="0" w:color="auto"/>
        <w:right w:val="none" w:sz="0" w:space="0" w:color="auto"/>
      </w:divBdr>
    </w:div>
    <w:div w:id="404256619">
      <w:bodyDiv w:val="1"/>
      <w:marLeft w:val="0"/>
      <w:marRight w:val="0"/>
      <w:marTop w:val="0"/>
      <w:marBottom w:val="0"/>
      <w:divBdr>
        <w:top w:val="none" w:sz="0" w:space="0" w:color="auto"/>
        <w:left w:val="none" w:sz="0" w:space="0" w:color="auto"/>
        <w:bottom w:val="none" w:sz="0" w:space="0" w:color="auto"/>
        <w:right w:val="none" w:sz="0" w:space="0" w:color="auto"/>
      </w:divBdr>
      <w:divsChild>
        <w:div w:id="1463886456">
          <w:marLeft w:val="0"/>
          <w:marRight w:val="0"/>
          <w:marTop w:val="0"/>
          <w:marBottom w:val="0"/>
          <w:divBdr>
            <w:top w:val="none" w:sz="0" w:space="0" w:color="auto"/>
            <w:left w:val="none" w:sz="0" w:space="0" w:color="auto"/>
            <w:bottom w:val="none" w:sz="0" w:space="0" w:color="auto"/>
            <w:right w:val="none" w:sz="0" w:space="0" w:color="auto"/>
          </w:divBdr>
        </w:div>
        <w:div w:id="1824468125">
          <w:marLeft w:val="0"/>
          <w:marRight w:val="0"/>
          <w:marTop w:val="0"/>
          <w:marBottom w:val="0"/>
          <w:divBdr>
            <w:top w:val="none" w:sz="0" w:space="0" w:color="auto"/>
            <w:left w:val="none" w:sz="0" w:space="0" w:color="auto"/>
            <w:bottom w:val="none" w:sz="0" w:space="0" w:color="auto"/>
            <w:right w:val="none" w:sz="0" w:space="0" w:color="auto"/>
          </w:divBdr>
        </w:div>
      </w:divsChild>
    </w:div>
    <w:div w:id="417023689">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491717535">
      <w:bodyDiv w:val="1"/>
      <w:marLeft w:val="0"/>
      <w:marRight w:val="0"/>
      <w:marTop w:val="0"/>
      <w:marBottom w:val="0"/>
      <w:divBdr>
        <w:top w:val="none" w:sz="0" w:space="0" w:color="auto"/>
        <w:left w:val="none" w:sz="0" w:space="0" w:color="auto"/>
        <w:bottom w:val="none" w:sz="0" w:space="0" w:color="auto"/>
        <w:right w:val="none" w:sz="0" w:space="0" w:color="auto"/>
      </w:divBdr>
      <w:divsChild>
        <w:div w:id="1064529148">
          <w:marLeft w:val="0"/>
          <w:marRight w:val="0"/>
          <w:marTop w:val="0"/>
          <w:marBottom w:val="0"/>
          <w:divBdr>
            <w:top w:val="none" w:sz="0" w:space="0" w:color="auto"/>
            <w:left w:val="none" w:sz="0" w:space="0" w:color="auto"/>
            <w:bottom w:val="none" w:sz="0" w:space="0" w:color="auto"/>
            <w:right w:val="none" w:sz="0" w:space="0" w:color="auto"/>
          </w:divBdr>
        </w:div>
        <w:div w:id="1864325518">
          <w:marLeft w:val="0"/>
          <w:marRight w:val="0"/>
          <w:marTop w:val="0"/>
          <w:marBottom w:val="0"/>
          <w:divBdr>
            <w:top w:val="none" w:sz="0" w:space="0" w:color="auto"/>
            <w:left w:val="none" w:sz="0" w:space="0" w:color="auto"/>
            <w:bottom w:val="none" w:sz="0" w:space="0" w:color="auto"/>
            <w:right w:val="none" w:sz="0" w:space="0" w:color="auto"/>
          </w:divBdr>
        </w:div>
      </w:divsChild>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95674314">
      <w:bodyDiv w:val="1"/>
      <w:marLeft w:val="0"/>
      <w:marRight w:val="0"/>
      <w:marTop w:val="0"/>
      <w:marBottom w:val="0"/>
      <w:divBdr>
        <w:top w:val="none" w:sz="0" w:space="0" w:color="auto"/>
        <w:left w:val="none" w:sz="0" w:space="0" w:color="auto"/>
        <w:bottom w:val="none" w:sz="0" w:space="0" w:color="auto"/>
        <w:right w:val="none" w:sz="0" w:space="0" w:color="auto"/>
      </w:divBdr>
    </w:div>
    <w:div w:id="595788784">
      <w:bodyDiv w:val="1"/>
      <w:marLeft w:val="0"/>
      <w:marRight w:val="0"/>
      <w:marTop w:val="0"/>
      <w:marBottom w:val="0"/>
      <w:divBdr>
        <w:top w:val="none" w:sz="0" w:space="0" w:color="auto"/>
        <w:left w:val="none" w:sz="0" w:space="0" w:color="auto"/>
        <w:bottom w:val="none" w:sz="0" w:space="0" w:color="auto"/>
        <w:right w:val="none" w:sz="0" w:space="0" w:color="auto"/>
      </w:divBdr>
      <w:divsChild>
        <w:div w:id="382288264">
          <w:marLeft w:val="0"/>
          <w:marRight w:val="0"/>
          <w:marTop w:val="0"/>
          <w:marBottom w:val="0"/>
          <w:divBdr>
            <w:top w:val="none" w:sz="0" w:space="0" w:color="auto"/>
            <w:left w:val="none" w:sz="0" w:space="0" w:color="auto"/>
            <w:bottom w:val="none" w:sz="0" w:space="0" w:color="auto"/>
            <w:right w:val="none" w:sz="0" w:space="0" w:color="auto"/>
          </w:divBdr>
        </w:div>
        <w:div w:id="930242781">
          <w:marLeft w:val="0"/>
          <w:marRight w:val="0"/>
          <w:marTop w:val="0"/>
          <w:marBottom w:val="0"/>
          <w:divBdr>
            <w:top w:val="none" w:sz="0" w:space="0" w:color="auto"/>
            <w:left w:val="none" w:sz="0" w:space="0" w:color="auto"/>
            <w:bottom w:val="none" w:sz="0" w:space="0" w:color="auto"/>
            <w:right w:val="none" w:sz="0" w:space="0" w:color="auto"/>
          </w:divBdr>
        </w:div>
      </w:divsChild>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48631747">
      <w:bodyDiv w:val="1"/>
      <w:marLeft w:val="0"/>
      <w:marRight w:val="0"/>
      <w:marTop w:val="0"/>
      <w:marBottom w:val="0"/>
      <w:divBdr>
        <w:top w:val="none" w:sz="0" w:space="0" w:color="auto"/>
        <w:left w:val="none" w:sz="0" w:space="0" w:color="auto"/>
        <w:bottom w:val="none" w:sz="0" w:space="0" w:color="auto"/>
        <w:right w:val="none" w:sz="0" w:space="0" w:color="auto"/>
      </w:divBdr>
      <w:divsChild>
        <w:div w:id="1192917415">
          <w:marLeft w:val="0"/>
          <w:marRight w:val="0"/>
          <w:marTop w:val="0"/>
          <w:marBottom w:val="0"/>
          <w:divBdr>
            <w:top w:val="none" w:sz="0" w:space="0" w:color="auto"/>
            <w:left w:val="none" w:sz="0" w:space="0" w:color="auto"/>
            <w:bottom w:val="none" w:sz="0" w:space="0" w:color="auto"/>
            <w:right w:val="none" w:sz="0" w:space="0" w:color="auto"/>
          </w:divBdr>
          <w:divsChild>
            <w:div w:id="1799251396">
              <w:marLeft w:val="0"/>
              <w:marRight w:val="0"/>
              <w:marTop w:val="0"/>
              <w:marBottom w:val="0"/>
              <w:divBdr>
                <w:top w:val="none" w:sz="0" w:space="0" w:color="auto"/>
                <w:left w:val="none" w:sz="0" w:space="0" w:color="auto"/>
                <w:bottom w:val="none" w:sz="0" w:space="0" w:color="auto"/>
                <w:right w:val="none" w:sz="0" w:space="0" w:color="auto"/>
              </w:divBdr>
              <w:divsChild>
                <w:div w:id="1553270263">
                  <w:marLeft w:val="0"/>
                  <w:marRight w:val="0"/>
                  <w:marTop w:val="0"/>
                  <w:marBottom w:val="0"/>
                  <w:divBdr>
                    <w:top w:val="none" w:sz="0" w:space="0" w:color="auto"/>
                    <w:left w:val="none" w:sz="0" w:space="0" w:color="auto"/>
                    <w:bottom w:val="none" w:sz="0" w:space="0" w:color="auto"/>
                    <w:right w:val="none" w:sz="0" w:space="0" w:color="auto"/>
                  </w:divBdr>
                  <w:divsChild>
                    <w:div w:id="815486454">
                      <w:marLeft w:val="0"/>
                      <w:marRight w:val="0"/>
                      <w:marTop w:val="0"/>
                      <w:marBottom w:val="0"/>
                      <w:divBdr>
                        <w:top w:val="none" w:sz="0" w:space="0" w:color="auto"/>
                        <w:left w:val="none" w:sz="0" w:space="0" w:color="auto"/>
                        <w:bottom w:val="none" w:sz="0" w:space="0" w:color="auto"/>
                        <w:right w:val="none" w:sz="0" w:space="0" w:color="auto"/>
                      </w:divBdr>
                      <w:divsChild>
                        <w:div w:id="1422491031">
                          <w:marLeft w:val="0"/>
                          <w:marRight w:val="0"/>
                          <w:marTop w:val="0"/>
                          <w:marBottom w:val="0"/>
                          <w:divBdr>
                            <w:top w:val="none" w:sz="0" w:space="0" w:color="auto"/>
                            <w:left w:val="none" w:sz="0" w:space="0" w:color="auto"/>
                            <w:bottom w:val="none" w:sz="0" w:space="0" w:color="auto"/>
                            <w:right w:val="none" w:sz="0" w:space="0" w:color="auto"/>
                          </w:divBdr>
                          <w:divsChild>
                            <w:div w:id="24919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341205">
      <w:bodyDiv w:val="1"/>
      <w:marLeft w:val="0"/>
      <w:marRight w:val="0"/>
      <w:marTop w:val="0"/>
      <w:marBottom w:val="0"/>
      <w:divBdr>
        <w:top w:val="none" w:sz="0" w:space="0" w:color="auto"/>
        <w:left w:val="none" w:sz="0" w:space="0" w:color="auto"/>
        <w:bottom w:val="none" w:sz="0" w:space="0" w:color="auto"/>
        <w:right w:val="none" w:sz="0" w:space="0" w:color="auto"/>
      </w:divBdr>
      <w:divsChild>
        <w:div w:id="831215599">
          <w:marLeft w:val="0"/>
          <w:marRight w:val="0"/>
          <w:marTop w:val="0"/>
          <w:marBottom w:val="0"/>
          <w:divBdr>
            <w:top w:val="none" w:sz="0" w:space="0" w:color="auto"/>
            <w:left w:val="none" w:sz="0" w:space="0" w:color="auto"/>
            <w:bottom w:val="none" w:sz="0" w:space="0" w:color="auto"/>
            <w:right w:val="none" w:sz="0" w:space="0" w:color="auto"/>
          </w:divBdr>
        </w:div>
        <w:div w:id="2099329059">
          <w:marLeft w:val="0"/>
          <w:marRight w:val="0"/>
          <w:marTop w:val="0"/>
          <w:marBottom w:val="0"/>
          <w:divBdr>
            <w:top w:val="none" w:sz="0" w:space="0" w:color="auto"/>
            <w:left w:val="none" w:sz="0" w:space="0" w:color="auto"/>
            <w:bottom w:val="none" w:sz="0" w:space="0" w:color="auto"/>
            <w:right w:val="none" w:sz="0" w:space="0" w:color="auto"/>
          </w:divBdr>
        </w:div>
      </w:divsChild>
    </w:div>
    <w:div w:id="681736854">
      <w:bodyDiv w:val="1"/>
      <w:marLeft w:val="0"/>
      <w:marRight w:val="0"/>
      <w:marTop w:val="0"/>
      <w:marBottom w:val="0"/>
      <w:divBdr>
        <w:top w:val="none" w:sz="0" w:space="0" w:color="auto"/>
        <w:left w:val="none" w:sz="0" w:space="0" w:color="auto"/>
        <w:bottom w:val="none" w:sz="0" w:space="0" w:color="auto"/>
        <w:right w:val="none" w:sz="0" w:space="0" w:color="auto"/>
      </w:divBdr>
    </w:div>
    <w:div w:id="750197611">
      <w:bodyDiv w:val="1"/>
      <w:marLeft w:val="0"/>
      <w:marRight w:val="0"/>
      <w:marTop w:val="0"/>
      <w:marBottom w:val="0"/>
      <w:divBdr>
        <w:top w:val="none" w:sz="0" w:space="0" w:color="auto"/>
        <w:left w:val="none" w:sz="0" w:space="0" w:color="auto"/>
        <w:bottom w:val="none" w:sz="0" w:space="0" w:color="auto"/>
        <w:right w:val="none" w:sz="0" w:space="0" w:color="auto"/>
      </w:divBdr>
    </w:div>
    <w:div w:id="815031162">
      <w:bodyDiv w:val="1"/>
      <w:marLeft w:val="0"/>
      <w:marRight w:val="0"/>
      <w:marTop w:val="0"/>
      <w:marBottom w:val="0"/>
      <w:divBdr>
        <w:top w:val="none" w:sz="0" w:space="0" w:color="auto"/>
        <w:left w:val="none" w:sz="0" w:space="0" w:color="auto"/>
        <w:bottom w:val="none" w:sz="0" w:space="0" w:color="auto"/>
        <w:right w:val="none" w:sz="0" w:space="0" w:color="auto"/>
      </w:divBdr>
    </w:div>
    <w:div w:id="980041232">
      <w:bodyDiv w:val="1"/>
      <w:marLeft w:val="0"/>
      <w:marRight w:val="0"/>
      <w:marTop w:val="0"/>
      <w:marBottom w:val="0"/>
      <w:divBdr>
        <w:top w:val="none" w:sz="0" w:space="0" w:color="auto"/>
        <w:left w:val="none" w:sz="0" w:space="0" w:color="auto"/>
        <w:bottom w:val="none" w:sz="0" w:space="0" w:color="auto"/>
        <w:right w:val="none" w:sz="0" w:space="0" w:color="auto"/>
      </w:divBdr>
      <w:divsChild>
        <w:div w:id="2124877823">
          <w:marLeft w:val="0"/>
          <w:marRight w:val="0"/>
          <w:marTop w:val="0"/>
          <w:marBottom w:val="0"/>
          <w:divBdr>
            <w:top w:val="none" w:sz="0" w:space="0" w:color="auto"/>
            <w:left w:val="none" w:sz="0" w:space="0" w:color="auto"/>
            <w:bottom w:val="none" w:sz="0" w:space="0" w:color="auto"/>
            <w:right w:val="none" w:sz="0" w:space="0" w:color="auto"/>
          </w:divBdr>
        </w:div>
        <w:div w:id="2141149107">
          <w:marLeft w:val="0"/>
          <w:marRight w:val="0"/>
          <w:marTop w:val="0"/>
          <w:marBottom w:val="0"/>
          <w:divBdr>
            <w:top w:val="none" w:sz="0" w:space="0" w:color="auto"/>
            <w:left w:val="none" w:sz="0" w:space="0" w:color="auto"/>
            <w:bottom w:val="none" w:sz="0" w:space="0" w:color="auto"/>
            <w:right w:val="none" w:sz="0" w:space="0" w:color="auto"/>
          </w:divBdr>
        </w:div>
      </w:divsChild>
    </w:div>
    <w:div w:id="1036003808">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65826440">
      <w:bodyDiv w:val="1"/>
      <w:marLeft w:val="0"/>
      <w:marRight w:val="0"/>
      <w:marTop w:val="0"/>
      <w:marBottom w:val="0"/>
      <w:divBdr>
        <w:top w:val="none" w:sz="0" w:space="0" w:color="auto"/>
        <w:left w:val="none" w:sz="0" w:space="0" w:color="auto"/>
        <w:bottom w:val="none" w:sz="0" w:space="0" w:color="auto"/>
        <w:right w:val="none" w:sz="0" w:space="0" w:color="auto"/>
      </w:divBdr>
    </w:div>
    <w:div w:id="1273635498">
      <w:bodyDiv w:val="1"/>
      <w:marLeft w:val="0"/>
      <w:marRight w:val="0"/>
      <w:marTop w:val="0"/>
      <w:marBottom w:val="0"/>
      <w:divBdr>
        <w:top w:val="none" w:sz="0" w:space="0" w:color="auto"/>
        <w:left w:val="none" w:sz="0" w:space="0" w:color="auto"/>
        <w:bottom w:val="none" w:sz="0" w:space="0" w:color="auto"/>
        <w:right w:val="none" w:sz="0" w:space="0" w:color="auto"/>
      </w:divBdr>
      <w:divsChild>
        <w:div w:id="388842281">
          <w:marLeft w:val="0"/>
          <w:marRight w:val="0"/>
          <w:marTop w:val="0"/>
          <w:marBottom w:val="0"/>
          <w:divBdr>
            <w:top w:val="none" w:sz="0" w:space="0" w:color="auto"/>
            <w:left w:val="none" w:sz="0" w:space="0" w:color="auto"/>
            <w:bottom w:val="none" w:sz="0" w:space="0" w:color="auto"/>
            <w:right w:val="none" w:sz="0" w:space="0" w:color="auto"/>
          </w:divBdr>
        </w:div>
        <w:div w:id="405616786">
          <w:marLeft w:val="0"/>
          <w:marRight w:val="0"/>
          <w:marTop w:val="0"/>
          <w:marBottom w:val="0"/>
          <w:divBdr>
            <w:top w:val="none" w:sz="0" w:space="0" w:color="auto"/>
            <w:left w:val="none" w:sz="0" w:space="0" w:color="auto"/>
            <w:bottom w:val="none" w:sz="0" w:space="0" w:color="auto"/>
            <w:right w:val="none" w:sz="0" w:space="0" w:color="auto"/>
          </w:divBdr>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04571966">
      <w:bodyDiv w:val="1"/>
      <w:marLeft w:val="0"/>
      <w:marRight w:val="0"/>
      <w:marTop w:val="0"/>
      <w:marBottom w:val="0"/>
      <w:divBdr>
        <w:top w:val="none" w:sz="0" w:space="0" w:color="auto"/>
        <w:left w:val="none" w:sz="0" w:space="0" w:color="auto"/>
        <w:bottom w:val="none" w:sz="0" w:space="0" w:color="auto"/>
        <w:right w:val="none" w:sz="0" w:space="0" w:color="auto"/>
      </w:divBdr>
    </w:div>
    <w:div w:id="1471746226">
      <w:bodyDiv w:val="1"/>
      <w:marLeft w:val="0"/>
      <w:marRight w:val="0"/>
      <w:marTop w:val="0"/>
      <w:marBottom w:val="0"/>
      <w:divBdr>
        <w:top w:val="none" w:sz="0" w:space="0" w:color="auto"/>
        <w:left w:val="none" w:sz="0" w:space="0" w:color="auto"/>
        <w:bottom w:val="none" w:sz="0" w:space="0" w:color="auto"/>
        <w:right w:val="none" w:sz="0" w:space="0" w:color="auto"/>
      </w:divBdr>
      <w:divsChild>
        <w:div w:id="766970086">
          <w:marLeft w:val="0"/>
          <w:marRight w:val="0"/>
          <w:marTop w:val="0"/>
          <w:marBottom w:val="0"/>
          <w:divBdr>
            <w:top w:val="none" w:sz="0" w:space="0" w:color="auto"/>
            <w:left w:val="none" w:sz="0" w:space="0" w:color="auto"/>
            <w:bottom w:val="none" w:sz="0" w:space="0" w:color="auto"/>
            <w:right w:val="none" w:sz="0" w:space="0" w:color="auto"/>
          </w:divBdr>
        </w:div>
        <w:div w:id="1001391919">
          <w:marLeft w:val="0"/>
          <w:marRight w:val="0"/>
          <w:marTop w:val="0"/>
          <w:marBottom w:val="0"/>
          <w:divBdr>
            <w:top w:val="none" w:sz="0" w:space="0" w:color="auto"/>
            <w:left w:val="none" w:sz="0" w:space="0" w:color="auto"/>
            <w:bottom w:val="none" w:sz="0" w:space="0" w:color="auto"/>
            <w:right w:val="none" w:sz="0" w:space="0" w:color="auto"/>
          </w:divBdr>
        </w:div>
      </w:divsChild>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76470069">
      <w:bodyDiv w:val="1"/>
      <w:marLeft w:val="0"/>
      <w:marRight w:val="0"/>
      <w:marTop w:val="0"/>
      <w:marBottom w:val="0"/>
      <w:divBdr>
        <w:top w:val="none" w:sz="0" w:space="0" w:color="auto"/>
        <w:left w:val="none" w:sz="0" w:space="0" w:color="auto"/>
        <w:bottom w:val="none" w:sz="0" w:space="0" w:color="auto"/>
        <w:right w:val="none" w:sz="0" w:space="0" w:color="auto"/>
      </w:divBdr>
      <w:divsChild>
        <w:div w:id="638924980">
          <w:marLeft w:val="0"/>
          <w:marRight w:val="0"/>
          <w:marTop w:val="0"/>
          <w:marBottom w:val="0"/>
          <w:divBdr>
            <w:top w:val="none" w:sz="0" w:space="0" w:color="auto"/>
            <w:left w:val="none" w:sz="0" w:space="0" w:color="auto"/>
            <w:bottom w:val="none" w:sz="0" w:space="0" w:color="auto"/>
            <w:right w:val="none" w:sz="0" w:space="0" w:color="auto"/>
          </w:divBdr>
        </w:div>
        <w:div w:id="1514302571">
          <w:marLeft w:val="0"/>
          <w:marRight w:val="0"/>
          <w:marTop w:val="0"/>
          <w:marBottom w:val="0"/>
          <w:divBdr>
            <w:top w:val="none" w:sz="0" w:space="0" w:color="auto"/>
            <w:left w:val="none" w:sz="0" w:space="0" w:color="auto"/>
            <w:bottom w:val="none" w:sz="0" w:space="0" w:color="auto"/>
            <w:right w:val="none" w:sz="0" w:space="0" w:color="auto"/>
          </w:divBdr>
        </w:div>
      </w:divsChild>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58148963">
      <w:bodyDiv w:val="1"/>
      <w:marLeft w:val="0"/>
      <w:marRight w:val="0"/>
      <w:marTop w:val="0"/>
      <w:marBottom w:val="0"/>
      <w:divBdr>
        <w:top w:val="none" w:sz="0" w:space="0" w:color="auto"/>
        <w:left w:val="none" w:sz="0" w:space="0" w:color="auto"/>
        <w:bottom w:val="none" w:sz="0" w:space="0" w:color="auto"/>
        <w:right w:val="none" w:sz="0" w:space="0" w:color="auto"/>
      </w:divBdr>
      <w:divsChild>
        <w:div w:id="209807977">
          <w:marLeft w:val="0"/>
          <w:marRight w:val="0"/>
          <w:marTop w:val="0"/>
          <w:marBottom w:val="0"/>
          <w:divBdr>
            <w:top w:val="none" w:sz="0" w:space="0" w:color="auto"/>
            <w:left w:val="none" w:sz="0" w:space="0" w:color="auto"/>
            <w:bottom w:val="none" w:sz="0" w:space="0" w:color="auto"/>
            <w:right w:val="none" w:sz="0" w:space="0" w:color="auto"/>
          </w:divBdr>
        </w:div>
        <w:div w:id="1781336198">
          <w:marLeft w:val="0"/>
          <w:marRight w:val="0"/>
          <w:marTop w:val="0"/>
          <w:marBottom w:val="0"/>
          <w:divBdr>
            <w:top w:val="none" w:sz="0" w:space="0" w:color="auto"/>
            <w:left w:val="none" w:sz="0" w:space="0" w:color="auto"/>
            <w:bottom w:val="none" w:sz="0" w:space="0" w:color="auto"/>
            <w:right w:val="none" w:sz="0" w:space="0" w:color="auto"/>
          </w:divBdr>
        </w:div>
      </w:divsChild>
    </w:div>
    <w:div w:id="1670868689">
      <w:bodyDiv w:val="1"/>
      <w:marLeft w:val="0"/>
      <w:marRight w:val="0"/>
      <w:marTop w:val="0"/>
      <w:marBottom w:val="0"/>
      <w:divBdr>
        <w:top w:val="none" w:sz="0" w:space="0" w:color="auto"/>
        <w:left w:val="none" w:sz="0" w:space="0" w:color="auto"/>
        <w:bottom w:val="none" w:sz="0" w:space="0" w:color="auto"/>
        <w:right w:val="none" w:sz="0" w:space="0" w:color="auto"/>
      </w:divBdr>
    </w:div>
    <w:div w:id="188451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515EB-D5A0-4FCA-8D68-4006998B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6852</Words>
  <Characters>3907</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
  <LinksUpToDate>false</LinksUpToDate>
  <CharactersWithSpaces>10738</CharactersWithSpaces>
  <SharedDoc>false</SharedDoc>
  <HLinks>
    <vt:vector size="12" baseType="variant">
      <vt:variant>
        <vt:i4>2359340</vt:i4>
      </vt:variant>
      <vt:variant>
        <vt:i4>3</vt:i4>
      </vt:variant>
      <vt:variant>
        <vt:i4>0</vt:i4>
      </vt:variant>
      <vt:variant>
        <vt:i4>5</vt:i4>
      </vt:variant>
      <vt:variant>
        <vt:lpwstr>http://tezaurs.lv/</vt:lpwstr>
      </vt:variant>
      <vt:variant>
        <vt:lpwstr>/sv/noform%C4%93t</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
  <dc:creator>Artūrs Grīgs</dc:creator>
  <cp:keywords/>
  <dc:description>Grīgs,  67876116_x000d_
Arturs.Grigs@vm.gov.lv</dc:description>
  <cp:lastModifiedBy>Artūrs Grīgs</cp:lastModifiedBy>
  <cp:revision>3</cp:revision>
  <cp:lastPrinted>2009-04-08T08:39:00Z</cp:lastPrinted>
  <dcterms:created xsi:type="dcterms:W3CDTF">2019-05-14T08:54:00Z</dcterms:created>
  <dcterms:modified xsi:type="dcterms:W3CDTF">2019-05-14T09:28:00Z</dcterms:modified>
</cp:coreProperties>
</file>