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9825" w14:textId="77777777" w:rsidR="00453E27" w:rsidRPr="00A0363F" w:rsidRDefault="00067907" w:rsidP="00453E27">
      <w:pPr>
        <w:pStyle w:val="naisnod"/>
        <w:spacing w:before="0" w:after="0"/>
        <w:rPr>
          <w:sz w:val="28"/>
          <w:szCs w:val="28"/>
        </w:rPr>
      </w:pPr>
      <w:r w:rsidRPr="00A0363F">
        <w:rPr>
          <w:sz w:val="28"/>
          <w:szCs w:val="28"/>
        </w:rPr>
        <w:t>Izziņa par atzinumos sniegtajiem iebildumiem</w:t>
      </w:r>
    </w:p>
    <w:tbl>
      <w:tblPr>
        <w:tblW w:w="0" w:type="auto"/>
        <w:jc w:val="center"/>
        <w:tblLook w:val="00A0" w:firstRow="1" w:lastRow="0" w:firstColumn="1" w:lastColumn="0" w:noHBand="0" w:noVBand="0"/>
      </w:tblPr>
      <w:tblGrid>
        <w:gridCol w:w="10188"/>
      </w:tblGrid>
      <w:tr w:rsidR="00067907" w:rsidRPr="00A0363F" w14:paraId="4DF61B0E" w14:textId="77777777" w:rsidTr="00067907">
        <w:trPr>
          <w:jc w:val="center"/>
        </w:trPr>
        <w:tc>
          <w:tcPr>
            <w:tcW w:w="10188" w:type="dxa"/>
            <w:tcBorders>
              <w:bottom w:val="single" w:sz="6" w:space="0" w:color="000000"/>
            </w:tcBorders>
          </w:tcPr>
          <w:p w14:paraId="664E9796" w14:textId="7B590A56" w:rsidR="00290BAC" w:rsidRPr="00A0363F" w:rsidRDefault="00AC5AAF" w:rsidP="00290BAC">
            <w:pPr>
              <w:jc w:val="center"/>
              <w:rPr>
                <w:b/>
                <w:sz w:val="28"/>
                <w:szCs w:val="28"/>
              </w:rPr>
            </w:pPr>
            <w:r w:rsidRPr="00A0363F">
              <w:rPr>
                <w:b/>
                <w:sz w:val="28"/>
                <w:szCs w:val="28"/>
              </w:rPr>
              <w:t xml:space="preserve">Ministru kabineta </w:t>
            </w:r>
            <w:r w:rsidR="007B4815" w:rsidRPr="00A0363F">
              <w:rPr>
                <w:b/>
                <w:sz w:val="28"/>
                <w:szCs w:val="28"/>
              </w:rPr>
              <w:t>likum</w:t>
            </w:r>
            <w:r w:rsidRPr="00A0363F">
              <w:rPr>
                <w:b/>
                <w:sz w:val="28"/>
                <w:szCs w:val="28"/>
              </w:rPr>
              <w:t>projekt</w:t>
            </w:r>
            <w:r w:rsidR="00CE4218" w:rsidRPr="00A0363F">
              <w:rPr>
                <w:b/>
                <w:sz w:val="28"/>
                <w:szCs w:val="28"/>
              </w:rPr>
              <w:t>am</w:t>
            </w:r>
            <w:r w:rsidR="00FE57BA" w:rsidRPr="00A0363F">
              <w:rPr>
                <w:b/>
                <w:sz w:val="28"/>
                <w:szCs w:val="28"/>
              </w:rPr>
              <w:t xml:space="preserve"> </w:t>
            </w:r>
            <w:r w:rsidR="00290BAC" w:rsidRPr="00A0363F">
              <w:rPr>
                <w:b/>
                <w:sz w:val="28"/>
                <w:szCs w:val="28"/>
              </w:rPr>
              <w:t xml:space="preserve">Grozījumi Augu </w:t>
            </w:r>
            <w:r w:rsidR="007B4815" w:rsidRPr="00A0363F">
              <w:rPr>
                <w:b/>
                <w:sz w:val="28"/>
                <w:szCs w:val="28"/>
              </w:rPr>
              <w:t>aizsardzības likumā (VSS-72)</w:t>
            </w:r>
            <w:r w:rsidR="00290BAC" w:rsidRPr="00A0363F">
              <w:rPr>
                <w:b/>
                <w:sz w:val="28"/>
                <w:szCs w:val="28"/>
              </w:rPr>
              <w:t xml:space="preserve"> </w:t>
            </w:r>
          </w:p>
          <w:p w14:paraId="2D23B57C" w14:textId="31CED1AD" w:rsidR="00067907" w:rsidRPr="00A0363F" w:rsidRDefault="00067907" w:rsidP="00453E27">
            <w:pPr>
              <w:jc w:val="center"/>
              <w:rPr>
                <w:sz w:val="28"/>
                <w:szCs w:val="28"/>
              </w:rPr>
            </w:pPr>
          </w:p>
        </w:tc>
      </w:tr>
    </w:tbl>
    <w:p w14:paraId="7578CD16" w14:textId="77777777" w:rsidR="00067907" w:rsidRPr="00827BF0" w:rsidRDefault="00067907" w:rsidP="00453E27">
      <w:pPr>
        <w:pStyle w:val="naisc"/>
        <w:spacing w:before="0" w:after="0"/>
        <w:ind w:firstLine="1080"/>
      </w:pPr>
      <w:r w:rsidRPr="00827BF0">
        <w:t>(dokumenta veids un nosaukums)</w:t>
      </w:r>
    </w:p>
    <w:p w14:paraId="3660BF80" w14:textId="77777777" w:rsidR="00067907" w:rsidRDefault="00067907" w:rsidP="00453E27">
      <w:pPr>
        <w:pStyle w:val="naisf"/>
        <w:numPr>
          <w:ilvl w:val="0"/>
          <w:numId w:val="23"/>
        </w:numPr>
        <w:spacing w:before="0" w:after="0"/>
        <w:jc w:val="center"/>
        <w:rPr>
          <w:b/>
        </w:rPr>
      </w:pPr>
      <w:r w:rsidRPr="00827BF0">
        <w:rPr>
          <w:b/>
        </w:rPr>
        <w:t>Jautājumi, par kuriem saskaņošanā vienošanās nav panākta</w:t>
      </w:r>
    </w:p>
    <w:p w14:paraId="389F6ABE" w14:textId="77777777" w:rsidR="00011B2B" w:rsidRPr="00453E27" w:rsidRDefault="00011B2B" w:rsidP="00457F6D">
      <w:pPr>
        <w:pStyle w:val="naisf"/>
        <w:spacing w:before="0" w:after="0"/>
        <w:ind w:left="1080" w:firstLine="0"/>
        <w:rPr>
          <w:b/>
        </w:rPr>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278"/>
        <w:gridCol w:w="2977"/>
        <w:gridCol w:w="1559"/>
        <w:gridCol w:w="1559"/>
      </w:tblGrid>
      <w:tr w:rsidR="00245CDB" w:rsidRPr="00827BF0" w14:paraId="616CD70C" w14:textId="77777777" w:rsidTr="00E96DF9">
        <w:tc>
          <w:tcPr>
            <w:tcW w:w="708" w:type="dxa"/>
            <w:tcBorders>
              <w:top w:val="single" w:sz="6" w:space="0" w:color="000000"/>
              <w:left w:val="single" w:sz="6" w:space="0" w:color="000000"/>
              <w:bottom w:val="single" w:sz="6" w:space="0" w:color="000000"/>
              <w:right w:val="single" w:sz="6" w:space="0" w:color="000000"/>
            </w:tcBorders>
            <w:vAlign w:val="center"/>
          </w:tcPr>
          <w:p w14:paraId="56CEBB50" w14:textId="77777777" w:rsidR="00245CDB" w:rsidRPr="00827BF0" w:rsidRDefault="00245CDB" w:rsidP="00453E27">
            <w:pPr>
              <w:pStyle w:val="naisc"/>
              <w:spacing w:before="0" w:after="0"/>
            </w:pPr>
            <w:r w:rsidRPr="00827BF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3F4C00E" w14:textId="77777777" w:rsidR="00245CDB" w:rsidRPr="00827BF0" w:rsidRDefault="00245CDB" w:rsidP="00453E27">
            <w:pPr>
              <w:pStyle w:val="naisc"/>
              <w:spacing w:before="0" w:after="0"/>
              <w:ind w:firstLine="12"/>
            </w:pPr>
            <w:r w:rsidRPr="00827BF0">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6F78CAAD" w14:textId="77777777" w:rsidR="00245CDB" w:rsidRPr="00827BF0" w:rsidRDefault="00245CDB" w:rsidP="00453E27">
            <w:pPr>
              <w:pStyle w:val="naisc"/>
              <w:spacing w:before="0" w:after="0"/>
              <w:ind w:right="3"/>
            </w:pPr>
            <w:r w:rsidRPr="00827BF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80436C7" w14:textId="77777777" w:rsidR="00245CDB" w:rsidRPr="00827BF0" w:rsidRDefault="00245CDB" w:rsidP="00453E27">
            <w:pPr>
              <w:pStyle w:val="naisc"/>
              <w:spacing w:before="0" w:after="0"/>
              <w:ind w:firstLine="21"/>
            </w:pPr>
            <w:r w:rsidRPr="00827BF0">
              <w:t>Atbildīgās ministrijas pamatojums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14:paraId="24B6215F" w14:textId="77777777" w:rsidR="00245CDB" w:rsidRPr="00827BF0" w:rsidRDefault="00245CDB" w:rsidP="00453E27">
            <w:pPr>
              <w:jc w:val="center"/>
            </w:pPr>
            <w:r w:rsidRPr="00827BF0">
              <w:t>Atzinuma sniedzēja uzturētais iebildums, ja tas atšķiras no atzinumā norādītā iebilduma pamatojuma</w:t>
            </w:r>
          </w:p>
        </w:tc>
        <w:tc>
          <w:tcPr>
            <w:tcW w:w="1559" w:type="dxa"/>
            <w:tcBorders>
              <w:top w:val="single" w:sz="4" w:space="0" w:color="auto"/>
              <w:left w:val="single" w:sz="4" w:space="0" w:color="auto"/>
              <w:bottom w:val="single" w:sz="4" w:space="0" w:color="auto"/>
            </w:tcBorders>
            <w:vAlign w:val="center"/>
          </w:tcPr>
          <w:p w14:paraId="7A2B1260" w14:textId="77777777" w:rsidR="00245CDB" w:rsidRPr="00827BF0" w:rsidRDefault="00245CDB" w:rsidP="00453E27">
            <w:pPr>
              <w:jc w:val="center"/>
            </w:pPr>
            <w:r w:rsidRPr="00827BF0">
              <w:t>Projekta attiecīgā punkta (panta) galīgā redakcija</w:t>
            </w:r>
          </w:p>
        </w:tc>
      </w:tr>
      <w:tr w:rsidR="00245CDB" w:rsidRPr="00827BF0" w14:paraId="322EEC41" w14:textId="77777777" w:rsidTr="00E96DF9">
        <w:trPr>
          <w:trHeight w:val="53"/>
        </w:trPr>
        <w:tc>
          <w:tcPr>
            <w:tcW w:w="708" w:type="dxa"/>
            <w:tcBorders>
              <w:left w:val="single" w:sz="6" w:space="0" w:color="000000"/>
              <w:right w:val="single" w:sz="6" w:space="0" w:color="000000"/>
            </w:tcBorders>
          </w:tcPr>
          <w:p w14:paraId="2782D009" w14:textId="4BFAF0D3" w:rsidR="00245CDB" w:rsidRPr="00827BF0" w:rsidRDefault="00245CDB" w:rsidP="00453E27">
            <w:pPr>
              <w:jc w:val="both"/>
            </w:pPr>
          </w:p>
        </w:tc>
        <w:tc>
          <w:tcPr>
            <w:tcW w:w="3086" w:type="dxa"/>
            <w:tcBorders>
              <w:left w:val="single" w:sz="6" w:space="0" w:color="000000"/>
              <w:right w:val="single" w:sz="6" w:space="0" w:color="000000"/>
            </w:tcBorders>
          </w:tcPr>
          <w:p w14:paraId="6073B997" w14:textId="29280EC0" w:rsidR="00245CDB" w:rsidRPr="008D0283" w:rsidRDefault="00245CDB" w:rsidP="00453E27">
            <w:pPr>
              <w:jc w:val="both"/>
              <w:rPr>
                <w:iCs/>
              </w:rPr>
            </w:pPr>
          </w:p>
        </w:tc>
        <w:tc>
          <w:tcPr>
            <w:tcW w:w="4278" w:type="dxa"/>
            <w:tcBorders>
              <w:left w:val="single" w:sz="6" w:space="0" w:color="000000"/>
              <w:right w:val="single" w:sz="6" w:space="0" w:color="000000"/>
            </w:tcBorders>
          </w:tcPr>
          <w:p w14:paraId="70B9E1BE" w14:textId="59F94C8F" w:rsidR="00245CDB" w:rsidRPr="00E96DF9" w:rsidRDefault="00245CDB" w:rsidP="007B4815">
            <w:pPr>
              <w:jc w:val="both"/>
            </w:pPr>
          </w:p>
        </w:tc>
        <w:tc>
          <w:tcPr>
            <w:tcW w:w="2977" w:type="dxa"/>
            <w:tcBorders>
              <w:left w:val="single" w:sz="6" w:space="0" w:color="000000"/>
              <w:right w:val="single" w:sz="6" w:space="0" w:color="000000"/>
            </w:tcBorders>
          </w:tcPr>
          <w:p w14:paraId="26162166" w14:textId="40AEAF27" w:rsidR="00245CDB" w:rsidRPr="00E96DF9" w:rsidRDefault="00245CDB" w:rsidP="00E96DF9">
            <w:pPr>
              <w:pStyle w:val="naispant"/>
              <w:ind w:left="0" w:firstLine="0"/>
              <w:jc w:val="left"/>
              <w:rPr>
                <w:b w:val="0"/>
              </w:rPr>
            </w:pPr>
          </w:p>
        </w:tc>
        <w:tc>
          <w:tcPr>
            <w:tcW w:w="1559" w:type="dxa"/>
            <w:tcBorders>
              <w:top w:val="single" w:sz="4" w:space="0" w:color="auto"/>
              <w:left w:val="single" w:sz="4" w:space="0" w:color="auto"/>
              <w:bottom w:val="single" w:sz="4" w:space="0" w:color="auto"/>
              <w:right w:val="single" w:sz="4" w:space="0" w:color="auto"/>
            </w:tcBorders>
          </w:tcPr>
          <w:p w14:paraId="3A0C04C5" w14:textId="77777777" w:rsidR="00245CDB" w:rsidRPr="00827BF0" w:rsidRDefault="00245CDB" w:rsidP="00453E27"/>
        </w:tc>
        <w:tc>
          <w:tcPr>
            <w:tcW w:w="1559" w:type="dxa"/>
            <w:tcBorders>
              <w:top w:val="single" w:sz="4" w:space="0" w:color="auto"/>
              <w:left w:val="single" w:sz="4" w:space="0" w:color="auto"/>
              <w:bottom w:val="single" w:sz="4" w:space="0" w:color="auto"/>
            </w:tcBorders>
          </w:tcPr>
          <w:p w14:paraId="7A1FD4AD" w14:textId="77777777" w:rsidR="00245CDB" w:rsidRPr="00827BF0" w:rsidRDefault="00245CDB" w:rsidP="00453E27"/>
        </w:tc>
      </w:tr>
    </w:tbl>
    <w:p w14:paraId="33EF66D5" w14:textId="77777777" w:rsidR="00011B2B" w:rsidRDefault="00011B2B" w:rsidP="00453E27">
      <w:pPr>
        <w:pStyle w:val="naisf"/>
        <w:spacing w:before="0" w:after="0"/>
        <w:ind w:firstLine="0"/>
        <w:rPr>
          <w:b/>
        </w:rPr>
      </w:pPr>
    </w:p>
    <w:p w14:paraId="3D85CC68" w14:textId="77777777" w:rsidR="00067907" w:rsidRPr="00827BF0" w:rsidRDefault="00067907" w:rsidP="00453E27">
      <w:pPr>
        <w:pStyle w:val="naisf"/>
        <w:spacing w:before="0" w:after="0"/>
        <w:ind w:firstLine="0"/>
        <w:rPr>
          <w:b/>
        </w:rPr>
      </w:pPr>
      <w:r w:rsidRPr="00827BF0">
        <w:rPr>
          <w:b/>
        </w:rPr>
        <w:t>Informācija par starpministriju (starpinstitūciju) sanāksmi vai elektronisko saskaņošanu</w:t>
      </w:r>
    </w:p>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067907" w:rsidRPr="00827BF0" w14:paraId="7C72A2CD" w14:textId="77777777" w:rsidTr="00067907">
        <w:tc>
          <w:tcPr>
            <w:tcW w:w="6345" w:type="dxa"/>
          </w:tcPr>
          <w:p w14:paraId="50FF82DB" w14:textId="77777777" w:rsidR="00067907" w:rsidRPr="00827BF0" w:rsidRDefault="00067907" w:rsidP="00453E27">
            <w:pPr>
              <w:pStyle w:val="naisf"/>
              <w:spacing w:before="0" w:after="0"/>
              <w:ind w:firstLine="0"/>
            </w:pPr>
            <w:r w:rsidRPr="00827BF0">
              <w:t xml:space="preserve">Datums: </w:t>
            </w:r>
          </w:p>
        </w:tc>
        <w:tc>
          <w:tcPr>
            <w:tcW w:w="6237" w:type="dxa"/>
            <w:tcBorders>
              <w:bottom w:val="single" w:sz="4" w:space="0" w:color="auto"/>
            </w:tcBorders>
          </w:tcPr>
          <w:p w14:paraId="754BEA91" w14:textId="23845F90" w:rsidR="00067907" w:rsidRPr="00827BF0" w:rsidRDefault="003C58DA" w:rsidP="00245CDB">
            <w:pPr>
              <w:pStyle w:val="Paraststmeklis"/>
              <w:spacing w:before="0" w:beforeAutospacing="0" w:after="0" w:afterAutospacing="0"/>
              <w:ind w:firstLine="720"/>
            </w:pPr>
            <w:r>
              <w:t>24</w:t>
            </w:r>
            <w:r w:rsidR="00565BAB" w:rsidRPr="00E052B6">
              <w:t>.</w:t>
            </w:r>
            <w:r w:rsidR="00290BAC">
              <w:t>01</w:t>
            </w:r>
            <w:r w:rsidR="00CB6CFB" w:rsidRPr="00E052B6">
              <w:t>.201</w:t>
            </w:r>
            <w:r>
              <w:t>9</w:t>
            </w:r>
            <w:r w:rsidR="008B49A8" w:rsidRPr="00E052B6">
              <w:t>-</w:t>
            </w:r>
            <w:r w:rsidR="00ED2EEC">
              <w:t xml:space="preserve"> </w:t>
            </w:r>
            <w:r w:rsidR="003A240C">
              <w:t>1</w:t>
            </w:r>
            <w:r w:rsidR="00C40CF9">
              <w:t>0</w:t>
            </w:r>
            <w:r w:rsidR="00F60790">
              <w:t>.</w:t>
            </w:r>
            <w:r w:rsidR="00C40CF9">
              <w:t>0</w:t>
            </w:r>
            <w:r w:rsidR="003A240C">
              <w:t>5</w:t>
            </w:r>
            <w:r w:rsidR="00F60790">
              <w:t>.201</w:t>
            </w:r>
            <w:r w:rsidR="003A240C">
              <w:t>9</w:t>
            </w:r>
          </w:p>
        </w:tc>
      </w:tr>
      <w:tr w:rsidR="00067907" w:rsidRPr="00827BF0" w14:paraId="13F9F732" w14:textId="77777777" w:rsidTr="00067907">
        <w:tc>
          <w:tcPr>
            <w:tcW w:w="6345" w:type="dxa"/>
          </w:tcPr>
          <w:p w14:paraId="54DC827D" w14:textId="77777777" w:rsidR="00067907" w:rsidRPr="00827BF0" w:rsidRDefault="00067907" w:rsidP="00453E27">
            <w:pPr>
              <w:pStyle w:val="naisf"/>
              <w:spacing w:before="0" w:after="0"/>
              <w:ind w:firstLine="0"/>
            </w:pPr>
          </w:p>
        </w:tc>
        <w:tc>
          <w:tcPr>
            <w:tcW w:w="6237" w:type="dxa"/>
            <w:tcBorders>
              <w:top w:val="single" w:sz="4" w:space="0" w:color="auto"/>
            </w:tcBorders>
          </w:tcPr>
          <w:p w14:paraId="2A86E488" w14:textId="77777777" w:rsidR="00067907" w:rsidRPr="00827BF0" w:rsidRDefault="00067907" w:rsidP="00453E27">
            <w:pPr>
              <w:pStyle w:val="Paraststmeklis"/>
              <w:spacing w:before="0" w:beforeAutospacing="0" w:after="0" w:afterAutospacing="0"/>
              <w:ind w:firstLine="720"/>
            </w:pPr>
          </w:p>
        </w:tc>
      </w:tr>
      <w:tr w:rsidR="00067907" w:rsidRPr="00827BF0" w14:paraId="78352EBD" w14:textId="77777777" w:rsidTr="00827BF0">
        <w:trPr>
          <w:trHeight w:val="722"/>
        </w:trPr>
        <w:tc>
          <w:tcPr>
            <w:tcW w:w="6345" w:type="dxa"/>
          </w:tcPr>
          <w:p w14:paraId="778CFF12" w14:textId="77777777" w:rsidR="00067907" w:rsidRPr="00827BF0" w:rsidRDefault="00067907" w:rsidP="00453E27">
            <w:pPr>
              <w:pStyle w:val="naiskr"/>
              <w:spacing w:before="0" w:after="0"/>
            </w:pPr>
            <w:r w:rsidRPr="00827BF0">
              <w:t xml:space="preserve">Saskaņošanas dalībnieki: </w:t>
            </w:r>
          </w:p>
        </w:tc>
        <w:tc>
          <w:tcPr>
            <w:tcW w:w="6237" w:type="dxa"/>
          </w:tcPr>
          <w:p w14:paraId="7722416F" w14:textId="15A67E2B" w:rsidR="00067907" w:rsidRPr="00827BF0" w:rsidRDefault="00565BAB" w:rsidP="00245CDB">
            <w:pPr>
              <w:pStyle w:val="Pamatteksts"/>
              <w:spacing w:after="0"/>
              <w:jc w:val="both"/>
              <w:rPr>
                <w:rFonts w:eastAsia="Calibri"/>
                <w:lang w:eastAsia="en-US"/>
              </w:rPr>
            </w:pPr>
            <w:r w:rsidRPr="00827BF0">
              <w:t>Tieslietu ministrija</w:t>
            </w:r>
            <w:r w:rsidR="007B4815">
              <w:t>,</w:t>
            </w:r>
            <w:r w:rsidR="00245CDB">
              <w:t xml:space="preserve"> </w:t>
            </w:r>
            <w:r w:rsidR="00CE300D" w:rsidRPr="00827BF0">
              <w:t>Finanšu ministrija</w:t>
            </w:r>
            <w:r w:rsidR="007B4815">
              <w:t>, Vides aizsardzības un reģionālās attīstības ministrija, Valsts kanceleja</w:t>
            </w:r>
            <w:r w:rsidR="006D5B21">
              <w:t>, Pārtikas un Veterinārais dienests, Dabas aizsardzības pārvalde.</w:t>
            </w:r>
          </w:p>
        </w:tc>
      </w:tr>
    </w:tbl>
    <w:p w14:paraId="2B4F0CC3" w14:textId="77777777" w:rsidR="00067907" w:rsidRPr="00827BF0" w:rsidRDefault="00067907" w:rsidP="00453E27"/>
    <w:tbl>
      <w:tblPr>
        <w:tblW w:w="12582" w:type="dxa"/>
        <w:tblLook w:val="00A0" w:firstRow="1" w:lastRow="0" w:firstColumn="1" w:lastColumn="0" w:noHBand="0" w:noVBand="0"/>
      </w:tblPr>
      <w:tblGrid>
        <w:gridCol w:w="6708"/>
        <w:gridCol w:w="840"/>
        <w:gridCol w:w="5034"/>
      </w:tblGrid>
      <w:tr w:rsidR="00067907" w:rsidRPr="00827BF0" w14:paraId="66838583" w14:textId="77777777" w:rsidTr="00067907">
        <w:trPr>
          <w:trHeight w:val="285"/>
        </w:trPr>
        <w:tc>
          <w:tcPr>
            <w:tcW w:w="6708" w:type="dxa"/>
          </w:tcPr>
          <w:p w14:paraId="12A9514F" w14:textId="77777777" w:rsidR="00067907" w:rsidRPr="00827BF0" w:rsidRDefault="00067907" w:rsidP="00453E27">
            <w:pPr>
              <w:pStyle w:val="naiskr"/>
              <w:spacing w:before="0" w:after="0"/>
            </w:pPr>
            <w:r w:rsidRPr="00827BF0">
              <w:t>Saskaņošanas dalībnieki izskatīja šādu ministriju (citu institūciju) iebildumus</w:t>
            </w:r>
          </w:p>
        </w:tc>
        <w:tc>
          <w:tcPr>
            <w:tcW w:w="840" w:type="dxa"/>
          </w:tcPr>
          <w:p w14:paraId="04A10D95" w14:textId="77777777" w:rsidR="00067907" w:rsidRPr="00827BF0" w:rsidRDefault="00067907" w:rsidP="00453E27">
            <w:pPr>
              <w:pStyle w:val="naiskr"/>
              <w:spacing w:before="0" w:after="0"/>
              <w:ind w:firstLine="720"/>
            </w:pPr>
          </w:p>
        </w:tc>
        <w:tc>
          <w:tcPr>
            <w:tcW w:w="5034" w:type="dxa"/>
          </w:tcPr>
          <w:p w14:paraId="3192C45A" w14:textId="77777777" w:rsidR="00067907" w:rsidRPr="00827BF0" w:rsidRDefault="00067907" w:rsidP="00453E27">
            <w:pPr>
              <w:pStyle w:val="naiskr"/>
              <w:spacing w:before="0" w:after="0"/>
              <w:ind w:firstLine="12"/>
            </w:pPr>
          </w:p>
        </w:tc>
      </w:tr>
      <w:tr w:rsidR="00067907" w:rsidRPr="00827BF0" w14:paraId="58EBFAB0" w14:textId="77777777" w:rsidTr="00067907">
        <w:trPr>
          <w:trHeight w:val="465"/>
        </w:trPr>
        <w:tc>
          <w:tcPr>
            <w:tcW w:w="6708" w:type="dxa"/>
          </w:tcPr>
          <w:p w14:paraId="5EA5E41B" w14:textId="77777777" w:rsidR="00067907" w:rsidRPr="00827BF0" w:rsidRDefault="00067907" w:rsidP="00453E27">
            <w:pPr>
              <w:pStyle w:val="naiskr"/>
              <w:spacing w:before="0" w:after="0"/>
              <w:ind w:firstLine="720"/>
            </w:pPr>
          </w:p>
        </w:tc>
        <w:tc>
          <w:tcPr>
            <w:tcW w:w="5874" w:type="dxa"/>
            <w:gridSpan w:val="2"/>
            <w:tcBorders>
              <w:top w:val="single" w:sz="6" w:space="0" w:color="000000"/>
              <w:bottom w:val="single" w:sz="6" w:space="0" w:color="000000"/>
            </w:tcBorders>
          </w:tcPr>
          <w:p w14:paraId="1D2CC0C5" w14:textId="255C62E6" w:rsidR="00067907" w:rsidRPr="00827BF0" w:rsidRDefault="00067907" w:rsidP="00245CDB">
            <w:pPr>
              <w:pStyle w:val="Paraststmeklis"/>
              <w:spacing w:before="0" w:beforeAutospacing="0" w:after="0" w:afterAutospacing="0"/>
            </w:pPr>
          </w:p>
        </w:tc>
      </w:tr>
      <w:tr w:rsidR="00067907" w:rsidRPr="00827BF0" w14:paraId="5E3A4F1B" w14:textId="77777777" w:rsidTr="00067907">
        <w:trPr>
          <w:trHeight w:val="465"/>
        </w:trPr>
        <w:tc>
          <w:tcPr>
            <w:tcW w:w="12582" w:type="dxa"/>
            <w:gridSpan w:val="3"/>
          </w:tcPr>
          <w:p w14:paraId="6FFD29D2" w14:textId="77777777" w:rsidR="00067907" w:rsidRPr="00827BF0" w:rsidRDefault="00067907" w:rsidP="00453E27">
            <w:pPr>
              <w:pStyle w:val="naisc"/>
              <w:spacing w:before="0" w:after="0"/>
              <w:ind w:left="4820" w:firstLine="720"/>
            </w:pPr>
          </w:p>
        </w:tc>
      </w:tr>
      <w:tr w:rsidR="00067907" w:rsidRPr="00827BF0" w14:paraId="323FC22C" w14:textId="77777777" w:rsidTr="00067907">
        <w:tc>
          <w:tcPr>
            <w:tcW w:w="6708" w:type="dxa"/>
          </w:tcPr>
          <w:p w14:paraId="7DF99559" w14:textId="77777777" w:rsidR="00067907" w:rsidRPr="00827BF0" w:rsidRDefault="00067907" w:rsidP="00453E27">
            <w:pPr>
              <w:pStyle w:val="naiskr"/>
              <w:spacing w:before="0" w:after="0"/>
            </w:pPr>
            <w:r w:rsidRPr="00827BF0">
              <w:t>Ministrijas (citas institūcijas), kuras nav ieradušās uz sanāksmi vai kuras nav atbildējušas uz uzaicinājumu piedalīties elektroniskajā saskaņošanā</w:t>
            </w:r>
          </w:p>
        </w:tc>
        <w:tc>
          <w:tcPr>
            <w:tcW w:w="5874" w:type="dxa"/>
            <w:gridSpan w:val="2"/>
          </w:tcPr>
          <w:p w14:paraId="6AE36FAA" w14:textId="77777777" w:rsidR="00067907" w:rsidRPr="00827BF0" w:rsidRDefault="00067907" w:rsidP="00453E27">
            <w:pPr>
              <w:pStyle w:val="naiskr"/>
              <w:spacing w:before="0" w:after="0"/>
              <w:ind w:firstLine="720"/>
            </w:pPr>
          </w:p>
        </w:tc>
      </w:tr>
      <w:tr w:rsidR="00457F6D" w:rsidRPr="00827BF0" w14:paraId="33A7B919" w14:textId="77777777" w:rsidTr="00067907">
        <w:trPr>
          <w:gridAfter w:val="2"/>
          <w:wAfter w:w="5874" w:type="dxa"/>
        </w:trPr>
        <w:tc>
          <w:tcPr>
            <w:tcW w:w="6708" w:type="dxa"/>
          </w:tcPr>
          <w:p w14:paraId="5308DDBC" w14:textId="77777777" w:rsidR="00457F6D" w:rsidRPr="00827BF0" w:rsidRDefault="00457F6D" w:rsidP="00453E27">
            <w:pPr>
              <w:pStyle w:val="naiskr"/>
              <w:spacing w:before="0" w:after="0"/>
              <w:ind w:firstLine="720"/>
            </w:pPr>
            <w:r w:rsidRPr="00827BF0">
              <w:lastRenderedPageBreak/>
              <w:t>  </w:t>
            </w:r>
          </w:p>
        </w:tc>
      </w:tr>
      <w:tr w:rsidR="00457F6D" w:rsidRPr="00827BF0" w14:paraId="7B1E18EE" w14:textId="77777777" w:rsidTr="00067907">
        <w:trPr>
          <w:gridAfter w:val="2"/>
          <w:wAfter w:w="5874" w:type="dxa"/>
        </w:trPr>
        <w:tc>
          <w:tcPr>
            <w:tcW w:w="6708" w:type="dxa"/>
          </w:tcPr>
          <w:p w14:paraId="4474C89A" w14:textId="77777777" w:rsidR="00457F6D" w:rsidRPr="00827BF0" w:rsidRDefault="00457F6D" w:rsidP="00453E27">
            <w:pPr>
              <w:pStyle w:val="naiskr"/>
              <w:spacing w:before="0" w:after="0"/>
              <w:ind w:firstLine="720"/>
            </w:pPr>
            <w:r w:rsidRPr="00827BF0">
              <w:t>  </w:t>
            </w:r>
          </w:p>
        </w:tc>
      </w:tr>
    </w:tbl>
    <w:p w14:paraId="4CAF62D0" w14:textId="77777777" w:rsidR="00067907" w:rsidRPr="00453E27" w:rsidRDefault="00066804" w:rsidP="00453E27">
      <w:pPr>
        <w:pStyle w:val="naisf"/>
        <w:spacing w:before="0" w:after="0"/>
        <w:ind w:firstLine="0"/>
        <w:jc w:val="center"/>
        <w:rPr>
          <w:b/>
        </w:rPr>
      </w:pPr>
      <w:r>
        <w:rPr>
          <w:b/>
        </w:rPr>
        <w:t>II.</w:t>
      </w:r>
      <w:r w:rsidR="00825962">
        <w:rPr>
          <w:b/>
        </w:rPr>
        <w:t xml:space="preserve"> </w:t>
      </w:r>
      <w:r w:rsidR="00067907" w:rsidRPr="00827BF0">
        <w:rPr>
          <w:b/>
        </w:rPr>
        <w:t>Jautājumi, par kuriem saskaņošanā vienošanās ir panākta</w:t>
      </w:r>
    </w:p>
    <w:tbl>
      <w:tblPr>
        <w:tblpPr w:leftFromText="180" w:rightFromText="180" w:vertAnchor="text" w:tblpY="1"/>
        <w:tblOverlap w:val="never"/>
        <w:tblW w:w="14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3086"/>
        <w:gridCol w:w="4751"/>
        <w:gridCol w:w="2247"/>
        <w:gridCol w:w="3000"/>
      </w:tblGrid>
      <w:tr w:rsidR="00067907" w:rsidRPr="00827BF0" w14:paraId="21FF8E24" w14:textId="77777777" w:rsidTr="005D1D6D">
        <w:tc>
          <w:tcPr>
            <w:tcW w:w="944" w:type="dxa"/>
            <w:tcBorders>
              <w:top w:val="single" w:sz="6" w:space="0" w:color="000000"/>
              <w:left w:val="single" w:sz="6" w:space="0" w:color="000000"/>
              <w:bottom w:val="single" w:sz="6" w:space="0" w:color="000000"/>
              <w:right w:val="single" w:sz="6" w:space="0" w:color="000000"/>
            </w:tcBorders>
            <w:vAlign w:val="center"/>
          </w:tcPr>
          <w:p w14:paraId="7F6EA53E" w14:textId="77777777" w:rsidR="00067907" w:rsidRPr="00827BF0" w:rsidRDefault="00067907" w:rsidP="00453E27">
            <w:pPr>
              <w:pStyle w:val="naisc"/>
              <w:spacing w:before="0" w:after="0"/>
            </w:pPr>
            <w:r w:rsidRPr="00827BF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2C63A00" w14:textId="77777777" w:rsidR="00067907" w:rsidRPr="00827BF0" w:rsidRDefault="00067907" w:rsidP="00453E27">
            <w:pPr>
              <w:pStyle w:val="naisc"/>
              <w:spacing w:before="0" w:after="0"/>
              <w:ind w:firstLine="12"/>
            </w:pPr>
            <w:r w:rsidRPr="00827BF0">
              <w:t>Saskaņošanai nosūtītā projekta redakcija (konkrēta punkta (panta) redakcija)</w:t>
            </w:r>
          </w:p>
        </w:tc>
        <w:tc>
          <w:tcPr>
            <w:tcW w:w="4751" w:type="dxa"/>
            <w:tcBorders>
              <w:top w:val="single" w:sz="6" w:space="0" w:color="000000"/>
              <w:left w:val="single" w:sz="6" w:space="0" w:color="000000"/>
              <w:bottom w:val="single" w:sz="6" w:space="0" w:color="000000"/>
              <w:right w:val="single" w:sz="6" w:space="0" w:color="000000"/>
            </w:tcBorders>
            <w:vAlign w:val="center"/>
          </w:tcPr>
          <w:p w14:paraId="19AC0338" w14:textId="77777777" w:rsidR="00067907" w:rsidRPr="00827BF0" w:rsidRDefault="00067907" w:rsidP="00453E27">
            <w:pPr>
              <w:pStyle w:val="naisc"/>
              <w:spacing w:before="0" w:after="0"/>
              <w:ind w:right="3"/>
            </w:pPr>
            <w:r w:rsidRPr="00827BF0">
              <w:t>Atzinumā norādītais ministrijas (citas institūcijas) iebildums, kā arī saskaņošanā papildus izteiktais iebildums par projekta konkrēto punktu (pantu)</w:t>
            </w:r>
          </w:p>
        </w:tc>
        <w:tc>
          <w:tcPr>
            <w:tcW w:w="2247" w:type="dxa"/>
            <w:tcBorders>
              <w:top w:val="single" w:sz="6" w:space="0" w:color="000000"/>
              <w:left w:val="single" w:sz="6" w:space="0" w:color="000000"/>
              <w:bottom w:val="single" w:sz="6" w:space="0" w:color="000000"/>
              <w:right w:val="single" w:sz="6" w:space="0" w:color="000000"/>
            </w:tcBorders>
            <w:vAlign w:val="center"/>
          </w:tcPr>
          <w:p w14:paraId="7704406D" w14:textId="77777777" w:rsidR="00067907" w:rsidRPr="00827BF0" w:rsidRDefault="00067907" w:rsidP="00453E27">
            <w:pPr>
              <w:pStyle w:val="naisc"/>
              <w:spacing w:before="0" w:after="0"/>
              <w:ind w:firstLine="21"/>
            </w:pPr>
            <w:r w:rsidRPr="00827BF0">
              <w:t>Atbildīgās ministrijas norāde par to, ka iebildums ir ņemts vērā, vai informācija par saskaņošanā panākto alternatīvo risinājumu</w:t>
            </w:r>
          </w:p>
        </w:tc>
        <w:tc>
          <w:tcPr>
            <w:tcW w:w="3000" w:type="dxa"/>
            <w:tcBorders>
              <w:top w:val="single" w:sz="4" w:space="0" w:color="auto"/>
              <w:left w:val="single" w:sz="4" w:space="0" w:color="auto"/>
              <w:bottom w:val="single" w:sz="4" w:space="0" w:color="auto"/>
            </w:tcBorders>
            <w:vAlign w:val="center"/>
          </w:tcPr>
          <w:p w14:paraId="79288191" w14:textId="77777777" w:rsidR="00067907" w:rsidRPr="00827BF0" w:rsidRDefault="00067907" w:rsidP="00453E27">
            <w:pPr>
              <w:jc w:val="center"/>
            </w:pPr>
            <w:r w:rsidRPr="00827BF0">
              <w:t>Projekta attiecīgā punkta (panta) galīgā redakcija</w:t>
            </w:r>
          </w:p>
        </w:tc>
      </w:tr>
      <w:tr w:rsidR="00067907" w:rsidRPr="00827BF0" w14:paraId="1337C5F0" w14:textId="77777777" w:rsidTr="005D1D6D">
        <w:tc>
          <w:tcPr>
            <w:tcW w:w="944" w:type="dxa"/>
            <w:tcBorders>
              <w:top w:val="single" w:sz="6" w:space="0" w:color="000000"/>
              <w:left w:val="single" w:sz="6" w:space="0" w:color="000000"/>
              <w:bottom w:val="single" w:sz="6" w:space="0" w:color="000000"/>
              <w:right w:val="single" w:sz="6" w:space="0" w:color="000000"/>
            </w:tcBorders>
          </w:tcPr>
          <w:p w14:paraId="63FCB54C" w14:textId="77777777" w:rsidR="00067907" w:rsidRPr="00827BF0" w:rsidRDefault="00067907" w:rsidP="00453E27">
            <w:pPr>
              <w:pStyle w:val="naisc"/>
              <w:spacing w:before="0" w:after="0"/>
            </w:pPr>
            <w:r w:rsidRPr="00827BF0">
              <w:t>1</w:t>
            </w:r>
          </w:p>
        </w:tc>
        <w:tc>
          <w:tcPr>
            <w:tcW w:w="3086" w:type="dxa"/>
            <w:tcBorders>
              <w:top w:val="single" w:sz="6" w:space="0" w:color="000000"/>
              <w:left w:val="single" w:sz="6" w:space="0" w:color="000000"/>
              <w:bottom w:val="single" w:sz="6" w:space="0" w:color="000000"/>
              <w:right w:val="single" w:sz="6" w:space="0" w:color="000000"/>
            </w:tcBorders>
          </w:tcPr>
          <w:p w14:paraId="70C4039E" w14:textId="77777777" w:rsidR="00067907" w:rsidRPr="00827BF0" w:rsidRDefault="00067907" w:rsidP="00453E27">
            <w:pPr>
              <w:pStyle w:val="naisc"/>
              <w:spacing w:before="0" w:after="0"/>
              <w:ind w:firstLine="720"/>
            </w:pPr>
            <w:r w:rsidRPr="00827BF0">
              <w:t>2</w:t>
            </w:r>
          </w:p>
        </w:tc>
        <w:tc>
          <w:tcPr>
            <w:tcW w:w="4751" w:type="dxa"/>
            <w:tcBorders>
              <w:top w:val="single" w:sz="6" w:space="0" w:color="000000"/>
              <w:left w:val="single" w:sz="6" w:space="0" w:color="000000"/>
              <w:bottom w:val="single" w:sz="6" w:space="0" w:color="000000"/>
              <w:right w:val="single" w:sz="6" w:space="0" w:color="000000"/>
            </w:tcBorders>
          </w:tcPr>
          <w:p w14:paraId="2ACBAA87" w14:textId="77777777" w:rsidR="00067907" w:rsidRPr="00827BF0" w:rsidRDefault="00067907" w:rsidP="00453E27">
            <w:pPr>
              <w:pStyle w:val="naisc"/>
              <w:spacing w:before="0" w:after="0"/>
              <w:ind w:firstLine="720"/>
            </w:pPr>
            <w:r w:rsidRPr="00827BF0">
              <w:t>3</w:t>
            </w:r>
          </w:p>
        </w:tc>
        <w:tc>
          <w:tcPr>
            <w:tcW w:w="2247" w:type="dxa"/>
            <w:tcBorders>
              <w:top w:val="single" w:sz="6" w:space="0" w:color="000000"/>
              <w:left w:val="single" w:sz="6" w:space="0" w:color="000000"/>
              <w:bottom w:val="single" w:sz="6" w:space="0" w:color="000000"/>
              <w:right w:val="single" w:sz="6" w:space="0" w:color="000000"/>
            </w:tcBorders>
          </w:tcPr>
          <w:p w14:paraId="6259C6B2" w14:textId="77777777" w:rsidR="00067907" w:rsidRPr="00827BF0" w:rsidRDefault="00067907" w:rsidP="00453E27">
            <w:pPr>
              <w:pStyle w:val="naisc"/>
              <w:spacing w:before="0" w:after="0"/>
              <w:ind w:firstLine="720"/>
            </w:pPr>
            <w:r w:rsidRPr="00827BF0">
              <w:t>4</w:t>
            </w:r>
          </w:p>
        </w:tc>
        <w:tc>
          <w:tcPr>
            <w:tcW w:w="3000" w:type="dxa"/>
            <w:tcBorders>
              <w:top w:val="single" w:sz="4" w:space="0" w:color="auto"/>
              <w:left w:val="single" w:sz="4" w:space="0" w:color="auto"/>
              <w:bottom w:val="single" w:sz="4" w:space="0" w:color="auto"/>
            </w:tcBorders>
          </w:tcPr>
          <w:p w14:paraId="292889B6" w14:textId="77777777" w:rsidR="00067907" w:rsidRPr="00827BF0" w:rsidRDefault="00067907" w:rsidP="00453E27">
            <w:pPr>
              <w:jc w:val="center"/>
            </w:pPr>
            <w:r w:rsidRPr="00827BF0">
              <w:t>5</w:t>
            </w:r>
          </w:p>
        </w:tc>
      </w:tr>
      <w:tr w:rsidR="006D5B21" w:rsidRPr="00827BF0" w14:paraId="1552F5CE" w14:textId="77777777" w:rsidTr="005D1D6D">
        <w:tc>
          <w:tcPr>
            <w:tcW w:w="944" w:type="dxa"/>
            <w:tcBorders>
              <w:top w:val="single" w:sz="6" w:space="0" w:color="000000"/>
              <w:left w:val="single" w:sz="6" w:space="0" w:color="000000"/>
              <w:bottom w:val="single" w:sz="6" w:space="0" w:color="000000"/>
              <w:right w:val="single" w:sz="6" w:space="0" w:color="000000"/>
            </w:tcBorders>
          </w:tcPr>
          <w:p w14:paraId="095ED815" w14:textId="53CDA74D" w:rsidR="006D5B21" w:rsidRPr="00827BF0" w:rsidRDefault="006D5B21" w:rsidP="006D5B21">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14:paraId="16945FF1" w14:textId="77777777" w:rsidR="006D5B21" w:rsidRPr="00827BF0" w:rsidRDefault="006D5B21" w:rsidP="006D5B21">
            <w:pPr>
              <w:pStyle w:val="naisc"/>
              <w:spacing w:before="0" w:after="0"/>
              <w:ind w:firstLine="720"/>
            </w:pPr>
          </w:p>
        </w:tc>
        <w:tc>
          <w:tcPr>
            <w:tcW w:w="4751" w:type="dxa"/>
            <w:tcBorders>
              <w:top w:val="single" w:sz="6" w:space="0" w:color="000000"/>
              <w:left w:val="single" w:sz="6" w:space="0" w:color="000000"/>
              <w:bottom w:val="single" w:sz="6" w:space="0" w:color="000000"/>
              <w:right w:val="single" w:sz="6" w:space="0" w:color="000000"/>
            </w:tcBorders>
          </w:tcPr>
          <w:p w14:paraId="15A0A92A" w14:textId="77777777" w:rsidR="006D5B21" w:rsidRPr="00827BF0" w:rsidRDefault="006D5B21" w:rsidP="006D5B21">
            <w:pPr>
              <w:jc w:val="center"/>
              <w:rPr>
                <w:b/>
                <w:u w:val="single"/>
              </w:rPr>
            </w:pPr>
            <w:r>
              <w:rPr>
                <w:b/>
                <w:u w:val="single"/>
              </w:rPr>
              <w:t>Vides aizsardzības un reģionālās attīstības ministrija</w:t>
            </w:r>
            <w:r w:rsidRPr="00827BF0">
              <w:rPr>
                <w:b/>
                <w:u w:val="single"/>
              </w:rPr>
              <w:t>:</w:t>
            </w:r>
          </w:p>
          <w:p w14:paraId="4F865D5E" w14:textId="77777777" w:rsidR="006D5B21" w:rsidRDefault="006D5B21" w:rsidP="006D5B21">
            <w:pPr>
              <w:jc w:val="both"/>
            </w:pPr>
            <w:r>
              <w:t xml:space="preserve">Ministrija vērš uzmanību, ka administratīvā atbildība, kas izriet no izstrādātā likumprojekta, likumprojekta "Ģenētisko resursu izmantošanas likums" (VSS-852) un likumprojekta "Grozījumi Sēklu un šķirņu aprites likumā" (VSS-93) praksē var savstarpēji pārklāties, jo viena administratīvā pārkāpuma ietvaros invazīva svešzemju augu suga var būt gan ģenētiskais resurss, gan arī invazīva svešzemju augu sugas sēklas Sēklu un šķirņu aprites likuma izpratnē. </w:t>
            </w:r>
          </w:p>
          <w:p w14:paraId="553170DF" w14:textId="70B8B6F6" w:rsidR="006D5B21" w:rsidRPr="00827BF0" w:rsidRDefault="006D5B21" w:rsidP="006D5B21">
            <w:pPr>
              <w:pStyle w:val="naisc"/>
              <w:spacing w:before="0" w:after="0"/>
              <w:ind w:firstLine="720"/>
              <w:jc w:val="both"/>
            </w:pPr>
            <w:r>
              <w:t xml:space="preserve">Ņemot vērā minēto, lai nodrošinātu vienotu izpratni par šo likumu piemērošanu un sadarbību, ierosinām organizēt tikšanos ar Vides aizsardzības un reģionālās attīstības ministrijas, Zemkopības ministrijas, Valsts augu aizsardzības dienesta,  Pārtikas un </w:t>
            </w:r>
            <w:r>
              <w:lastRenderedPageBreak/>
              <w:t>veterinārā dienesta, Valsts ieņēmumu dienesta Muitas pārvaldes un Pārvaldes pārstāvjiem.</w:t>
            </w:r>
          </w:p>
        </w:tc>
        <w:tc>
          <w:tcPr>
            <w:tcW w:w="2247" w:type="dxa"/>
            <w:tcBorders>
              <w:top w:val="single" w:sz="6" w:space="0" w:color="000000"/>
              <w:left w:val="single" w:sz="6" w:space="0" w:color="000000"/>
              <w:bottom w:val="single" w:sz="6" w:space="0" w:color="000000"/>
              <w:right w:val="single" w:sz="6" w:space="0" w:color="000000"/>
            </w:tcBorders>
          </w:tcPr>
          <w:p w14:paraId="64C4106C" w14:textId="12D39C2F" w:rsidR="006D5B21" w:rsidRPr="00827BF0" w:rsidRDefault="006D5B21" w:rsidP="006D5B21">
            <w:pPr>
              <w:pStyle w:val="naisc"/>
              <w:spacing w:before="0" w:after="0"/>
              <w:jc w:val="both"/>
            </w:pPr>
            <w:r>
              <w:lastRenderedPageBreak/>
              <w:t>Panākta vienošanās.</w:t>
            </w:r>
          </w:p>
        </w:tc>
        <w:tc>
          <w:tcPr>
            <w:tcW w:w="3000" w:type="dxa"/>
            <w:tcBorders>
              <w:top w:val="single" w:sz="4" w:space="0" w:color="auto"/>
              <w:left w:val="single" w:sz="4" w:space="0" w:color="auto"/>
              <w:bottom w:val="single" w:sz="4" w:space="0" w:color="auto"/>
            </w:tcBorders>
          </w:tcPr>
          <w:p w14:paraId="50B6F146" w14:textId="77777777" w:rsidR="006D5B21" w:rsidRPr="00827BF0" w:rsidRDefault="006D5B21" w:rsidP="006D5B21">
            <w:pPr>
              <w:jc w:val="center"/>
            </w:pPr>
          </w:p>
        </w:tc>
      </w:tr>
      <w:tr w:rsidR="006D5B21" w:rsidRPr="00827BF0" w14:paraId="476836CD" w14:textId="77777777" w:rsidTr="005D1D6D">
        <w:tc>
          <w:tcPr>
            <w:tcW w:w="944" w:type="dxa"/>
            <w:tcBorders>
              <w:top w:val="single" w:sz="6" w:space="0" w:color="000000"/>
              <w:left w:val="single" w:sz="6" w:space="0" w:color="000000"/>
              <w:bottom w:val="single" w:sz="6" w:space="0" w:color="000000"/>
              <w:right w:val="single" w:sz="6" w:space="0" w:color="000000"/>
            </w:tcBorders>
          </w:tcPr>
          <w:p w14:paraId="6E3EC5D5" w14:textId="04D66120" w:rsidR="006D5B21" w:rsidRPr="00827BF0" w:rsidRDefault="006D5B21" w:rsidP="006D5B21">
            <w:pPr>
              <w:pStyle w:val="naisc"/>
              <w:spacing w:before="0" w:after="0"/>
            </w:pPr>
            <w:r>
              <w:t>2.</w:t>
            </w:r>
          </w:p>
        </w:tc>
        <w:tc>
          <w:tcPr>
            <w:tcW w:w="3086" w:type="dxa"/>
            <w:tcBorders>
              <w:top w:val="single" w:sz="6" w:space="0" w:color="000000"/>
              <w:left w:val="single" w:sz="6" w:space="0" w:color="000000"/>
              <w:bottom w:val="single" w:sz="6" w:space="0" w:color="000000"/>
              <w:right w:val="single" w:sz="6" w:space="0" w:color="000000"/>
            </w:tcBorders>
          </w:tcPr>
          <w:p w14:paraId="79386EA4" w14:textId="55CBEB03" w:rsidR="006D5B21" w:rsidRPr="00827BF0" w:rsidRDefault="006D5B21" w:rsidP="006D5B21">
            <w:pPr>
              <w:pStyle w:val="naisc"/>
              <w:spacing w:before="0" w:after="0"/>
              <w:ind w:firstLine="720"/>
            </w:pPr>
            <w:r w:rsidRPr="00792F23">
              <w:t>Skat.  anotāciju</w:t>
            </w:r>
          </w:p>
        </w:tc>
        <w:tc>
          <w:tcPr>
            <w:tcW w:w="4751" w:type="dxa"/>
            <w:tcBorders>
              <w:top w:val="single" w:sz="6" w:space="0" w:color="000000"/>
              <w:left w:val="single" w:sz="6" w:space="0" w:color="000000"/>
              <w:bottom w:val="single" w:sz="6" w:space="0" w:color="000000"/>
              <w:right w:val="single" w:sz="6" w:space="0" w:color="000000"/>
            </w:tcBorders>
          </w:tcPr>
          <w:p w14:paraId="0B03B30D" w14:textId="77777777" w:rsidR="006D5B21" w:rsidRPr="00827BF0" w:rsidRDefault="006D5B21" w:rsidP="006D5B21">
            <w:pPr>
              <w:jc w:val="center"/>
              <w:rPr>
                <w:b/>
                <w:u w:val="single"/>
              </w:rPr>
            </w:pPr>
            <w:r>
              <w:rPr>
                <w:b/>
                <w:u w:val="single"/>
              </w:rPr>
              <w:t>Valsts kanceleja</w:t>
            </w:r>
            <w:r w:rsidRPr="00827BF0">
              <w:rPr>
                <w:b/>
                <w:u w:val="single"/>
              </w:rPr>
              <w:t>:</w:t>
            </w:r>
          </w:p>
          <w:p w14:paraId="27F8AED9" w14:textId="77777777" w:rsidR="006D5B21" w:rsidRPr="00047F34" w:rsidRDefault="006D5B21" w:rsidP="006D5B21">
            <w:pPr>
              <w:tabs>
                <w:tab w:val="left" w:pos="0"/>
                <w:tab w:val="left" w:pos="709"/>
              </w:tabs>
              <w:ind w:firstLine="709"/>
              <w:jc w:val="both"/>
              <w:rPr>
                <w:bCs/>
                <w:iCs/>
              </w:rPr>
            </w:pPr>
            <w:r w:rsidRPr="00047F34">
              <w:t>1.</w:t>
            </w:r>
            <w:r w:rsidRPr="00047F34">
              <w:tab/>
            </w:r>
            <w:r w:rsidRPr="00047F34">
              <w:rPr>
                <w:bCs/>
                <w:iCs/>
              </w:rPr>
              <w:t xml:space="preserve"> </w:t>
            </w:r>
            <w:r>
              <w:t xml:space="preserve"> </w:t>
            </w:r>
            <w:r w:rsidRPr="007B4815">
              <w:rPr>
                <w:bCs/>
                <w:iCs/>
              </w:rPr>
              <w:t>1.</w:t>
            </w:r>
            <w:r w:rsidRPr="007B4815">
              <w:rPr>
                <w:bCs/>
                <w:iCs/>
              </w:rPr>
              <w:tab/>
              <w:t>Anotācijas VI sadaļas “Sabiedrības līdzdalība un komunikācijas aktivitātes” 1.punktā “Plānotās sabiedrības līdzdalības un komunikācijas aktivitātes saistībā ar projektu” tiek norādīts, ka “Projekts elektroniski tika nosūtīts Latvijas augu aizsardzības līdzekļu ražotāju un tirgotāju asociācijai, kā arī biedrībām “Zemnieku saeima”, “Lauksaimnieku Organizāciju Sadarbības Padome” un “Latvijas Lauksaimniecības kooperatīvu asociācija””. Valsts kanceleja vērš uzmanību, ka likumprojekts pirms tā iesniegšanas Valsts sekretāru sanāksmē jāievieto iestādes tīmekļa vietnē, lai informētu sabiedrību par likumprojektu un nodrošinātu iespēju izteikt viedokli. Līdz ar to, lūdzam anotācijas VI sadaļas 1. punktu papildināt, norādot atsauci uz projekta publicēšanas vietu un norādīt laiku, kad projekts tika publicēts.</w:t>
            </w:r>
          </w:p>
          <w:p w14:paraId="04F989EF" w14:textId="77777777" w:rsidR="006D5B21" w:rsidRPr="00827BF0" w:rsidRDefault="006D5B21" w:rsidP="006D5B21">
            <w:pPr>
              <w:pStyle w:val="naisc"/>
              <w:spacing w:before="0" w:after="0"/>
              <w:ind w:firstLine="720"/>
            </w:pPr>
          </w:p>
        </w:tc>
        <w:tc>
          <w:tcPr>
            <w:tcW w:w="2247" w:type="dxa"/>
            <w:tcBorders>
              <w:top w:val="single" w:sz="6" w:space="0" w:color="000000"/>
              <w:left w:val="single" w:sz="6" w:space="0" w:color="000000"/>
              <w:bottom w:val="single" w:sz="6" w:space="0" w:color="000000"/>
              <w:right w:val="single" w:sz="6" w:space="0" w:color="000000"/>
            </w:tcBorders>
          </w:tcPr>
          <w:p w14:paraId="0A588C5C" w14:textId="5559008D" w:rsidR="006D5B21" w:rsidRDefault="00634676" w:rsidP="006D5B21">
            <w:pPr>
              <w:pStyle w:val="naisc"/>
              <w:spacing w:before="0" w:after="0"/>
              <w:jc w:val="both"/>
            </w:pPr>
            <w:r>
              <w:t>Ņ</w:t>
            </w:r>
            <w:r w:rsidR="006D5B21" w:rsidRPr="004F77DC">
              <w:t>emts vērā.</w:t>
            </w:r>
          </w:p>
          <w:p w14:paraId="020D4A84" w14:textId="77777777" w:rsidR="006D5B21" w:rsidRDefault="006D5B21" w:rsidP="006D5B21">
            <w:pPr>
              <w:pStyle w:val="naisc"/>
              <w:spacing w:before="0" w:after="0"/>
              <w:jc w:val="both"/>
            </w:pPr>
            <w:r>
              <w:t xml:space="preserve">Anotācijas </w:t>
            </w:r>
            <w:r w:rsidRPr="007B4815">
              <w:rPr>
                <w:bCs/>
                <w:iCs/>
              </w:rPr>
              <w:t>VI sadaļa</w:t>
            </w:r>
            <w:r>
              <w:t xml:space="preserve"> ir precizēta.</w:t>
            </w:r>
          </w:p>
          <w:p w14:paraId="52F05A0E" w14:textId="77777777" w:rsidR="006D5B21" w:rsidRPr="004F77DC" w:rsidRDefault="006D5B21" w:rsidP="006D5B21">
            <w:pPr>
              <w:pStyle w:val="naisc"/>
              <w:spacing w:before="0" w:after="0"/>
              <w:jc w:val="both"/>
            </w:pPr>
            <w:r>
              <w:t xml:space="preserve"> </w:t>
            </w:r>
            <w:r w:rsidRPr="00BE6615">
              <w:t xml:space="preserve"> </w:t>
            </w:r>
          </w:p>
          <w:p w14:paraId="69BBBC74" w14:textId="77777777" w:rsidR="006D5B21" w:rsidRPr="00827BF0" w:rsidRDefault="006D5B21" w:rsidP="006D5B21">
            <w:pPr>
              <w:pStyle w:val="naisc"/>
              <w:spacing w:before="0" w:after="0"/>
              <w:jc w:val="both"/>
            </w:pPr>
          </w:p>
          <w:p w14:paraId="6239982A" w14:textId="77777777" w:rsidR="006D5B21" w:rsidRPr="00827BF0" w:rsidRDefault="006D5B21" w:rsidP="006D5B21">
            <w:pPr>
              <w:pStyle w:val="naisc"/>
              <w:spacing w:before="0" w:after="0"/>
              <w:jc w:val="both"/>
            </w:pPr>
          </w:p>
          <w:p w14:paraId="742D4F24" w14:textId="77777777" w:rsidR="006D5B21" w:rsidRPr="00827BF0" w:rsidRDefault="006D5B21" w:rsidP="006D5B21">
            <w:pPr>
              <w:pStyle w:val="naisc"/>
              <w:spacing w:before="0" w:after="0"/>
              <w:ind w:firstLine="720"/>
            </w:pPr>
          </w:p>
        </w:tc>
        <w:tc>
          <w:tcPr>
            <w:tcW w:w="3000" w:type="dxa"/>
            <w:tcBorders>
              <w:top w:val="single" w:sz="4" w:space="0" w:color="auto"/>
              <w:left w:val="single" w:sz="4" w:space="0" w:color="auto"/>
              <w:bottom w:val="single" w:sz="4" w:space="0" w:color="auto"/>
            </w:tcBorders>
          </w:tcPr>
          <w:p w14:paraId="09421690" w14:textId="568F5DEC" w:rsidR="006D5B21" w:rsidRPr="00827BF0" w:rsidRDefault="006D5B21" w:rsidP="006D5B21">
            <w:pPr>
              <w:jc w:val="center"/>
            </w:pPr>
            <w:r w:rsidRPr="00792F23">
              <w:t>Skat.  anotāciju</w:t>
            </w:r>
          </w:p>
        </w:tc>
      </w:tr>
      <w:tr w:rsidR="006D5B21" w:rsidRPr="00827BF0" w14:paraId="041F18C1" w14:textId="77777777" w:rsidTr="005D1D6D">
        <w:tc>
          <w:tcPr>
            <w:tcW w:w="944" w:type="dxa"/>
            <w:tcBorders>
              <w:top w:val="single" w:sz="6" w:space="0" w:color="000000"/>
              <w:left w:val="single" w:sz="6" w:space="0" w:color="000000"/>
              <w:bottom w:val="single" w:sz="6" w:space="0" w:color="000000"/>
              <w:right w:val="single" w:sz="6" w:space="0" w:color="000000"/>
            </w:tcBorders>
          </w:tcPr>
          <w:p w14:paraId="6BC0520C" w14:textId="7899F59C" w:rsidR="006D5B21" w:rsidRPr="00827BF0" w:rsidRDefault="006D5B21" w:rsidP="006D5B21">
            <w:pPr>
              <w:pStyle w:val="naisc"/>
              <w:spacing w:before="0" w:after="0"/>
            </w:pPr>
            <w:r>
              <w:t>3.</w:t>
            </w:r>
          </w:p>
        </w:tc>
        <w:tc>
          <w:tcPr>
            <w:tcW w:w="3086" w:type="dxa"/>
            <w:tcBorders>
              <w:top w:val="single" w:sz="6" w:space="0" w:color="000000"/>
              <w:left w:val="single" w:sz="6" w:space="0" w:color="000000"/>
              <w:bottom w:val="single" w:sz="6" w:space="0" w:color="000000"/>
              <w:right w:val="single" w:sz="6" w:space="0" w:color="000000"/>
            </w:tcBorders>
          </w:tcPr>
          <w:p w14:paraId="4C1892F7" w14:textId="7FDE2601" w:rsidR="006D5B21" w:rsidRPr="00827BF0" w:rsidRDefault="00EF0F1B" w:rsidP="00EF0F1B">
            <w:pPr>
              <w:pStyle w:val="naisc"/>
              <w:spacing w:before="0" w:after="0"/>
              <w:ind w:firstLine="720"/>
              <w:jc w:val="both"/>
            </w:pPr>
            <w:r w:rsidRPr="00EF0F1B">
              <w:t>Šā likuma 25. panta pirmajā daļā minēto sodu piemērošanai administratīvo pārkāpumu procesu īsteno pašvaldības policija, pašvaldības administratīvā komisija</w:t>
            </w:r>
            <w:r>
              <w:t>,</w:t>
            </w:r>
            <w:r w:rsidRPr="00EF0F1B">
              <w:t xml:space="preserve"> </w:t>
            </w:r>
            <w:r>
              <w:t xml:space="preserve"> </w:t>
            </w:r>
            <w:r w:rsidRPr="00EF0F1B">
              <w:t xml:space="preserve">Valsts vides dienests, Dabas aizsardzības </w:t>
            </w:r>
            <w:r w:rsidRPr="00EF0F1B">
              <w:lastRenderedPageBreak/>
              <w:t>pārvalde un Valsts augu aizsardzības dienests.</w:t>
            </w:r>
          </w:p>
        </w:tc>
        <w:tc>
          <w:tcPr>
            <w:tcW w:w="4751" w:type="dxa"/>
            <w:tcBorders>
              <w:top w:val="single" w:sz="6" w:space="0" w:color="000000"/>
              <w:left w:val="single" w:sz="6" w:space="0" w:color="000000"/>
              <w:bottom w:val="single" w:sz="6" w:space="0" w:color="000000"/>
              <w:right w:val="single" w:sz="6" w:space="0" w:color="000000"/>
            </w:tcBorders>
          </w:tcPr>
          <w:p w14:paraId="1F0324C8" w14:textId="77777777" w:rsidR="006D5B21" w:rsidRPr="006D5B21" w:rsidRDefault="006D5B21" w:rsidP="006D5B21">
            <w:pPr>
              <w:pStyle w:val="naisc"/>
              <w:spacing w:before="0" w:after="0"/>
              <w:ind w:firstLine="720"/>
              <w:rPr>
                <w:b/>
                <w:u w:val="single"/>
              </w:rPr>
            </w:pPr>
            <w:r w:rsidRPr="006D5B21">
              <w:rPr>
                <w:b/>
                <w:u w:val="single"/>
              </w:rPr>
              <w:lastRenderedPageBreak/>
              <w:t>Tieslietu ministrija:</w:t>
            </w:r>
          </w:p>
          <w:p w14:paraId="65CAEA44" w14:textId="6D8A5930" w:rsidR="006D5B21" w:rsidRPr="00827BF0" w:rsidRDefault="006D5B21" w:rsidP="006D5B21">
            <w:pPr>
              <w:pStyle w:val="naisc"/>
              <w:spacing w:before="0" w:after="0"/>
              <w:jc w:val="both"/>
            </w:pPr>
            <w:r w:rsidRPr="006D5B21">
              <w:t>Augu aizsardzības likumā var paredzēt tikai Pārtikas un veterinār</w:t>
            </w:r>
            <w:r w:rsidR="003A240C">
              <w:t>ā</w:t>
            </w:r>
            <w:r w:rsidRPr="006D5B21">
              <w:t xml:space="preserve"> dienesta kompetenci sodu piemērošanā par invazīvo augu sugu ievešanu no trešajām valstīm (MK not.Nr.467/2008 15 punkts). Citu iestāžu kompetenci invazīvo augu pārkāpumu sodīšanā, tai skaitā speciālo kompetenci </w:t>
            </w:r>
            <w:r w:rsidRPr="006D5B21">
              <w:lastRenderedPageBreak/>
              <w:t xml:space="preserve">noteiktās teritorijās paredzēt nevar, piemēram, Dabas aizsardzības pārvaldes kompetenci aizsargājamās teritorijās, ja viņi paši veic Saeimas un Ministru kabineta izveidoto īpaši aizsargājamo dabas teritoriju pārvaldīšanu (viņu nolikuma 2.1.apakšpunkts). Tas būs iestādes interešu konflikts.  </w:t>
            </w:r>
            <w:r>
              <w:t xml:space="preserve"> Ievērojot minēto, </w:t>
            </w:r>
            <w:r w:rsidRPr="006D5B21">
              <w:t>piedāvājam likumprojektā paredzētajā 26.panta trešajā daļā izslēgt vārdus “Valsts vides dienests, Dabas aizsardzības pārvalde”.</w:t>
            </w:r>
          </w:p>
        </w:tc>
        <w:tc>
          <w:tcPr>
            <w:tcW w:w="2247" w:type="dxa"/>
            <w:tcBorders>
              <w:top w:val="single" w:sz="6" w:space="0" w:color="000000"/>
              <w:left w:val="single" w:sz="6" w:space="0" w:color="000000"/>
              <w:bottom w:val="single" w:sz="6" w:space="0" w:color="000000"/>
              <w:right w:val="single" w:sz="6" w:space="0" w:color="000000"/>
            </w:tcBorders>
          </w:tcPr>
          <w:p w14:paraId="53640168" w14:textId="77777777" w:rsidR="003A240C" w:rsidRDefault="003A240C" w:rsidP="003A240C">
            <w:pPr>
              <w:pStyle w:val="naisc"/>
              <w:spacing w:before="0" w:after="0"/>
              <w:jc w:val="both"/>
            </w:pPr>
            <w:r>
              <w:lastRenderedPageBreak/>
              <w:t>Ņ</w:t>
            </w:r>
            <w:r w:rsidRPr="004F77DC">
              <w:t>emts vērā.</w:t>
            </w:r>
          </w:p>
          <w:p w14:paraId="348A190E" w14:textId="412CDC79" w:rsidR="006D5B21" w:rsidRPr="00827BF0" w:rsidRDefault="006D5B21" w:rsidP="006D5B21">
            <w:pPr>
              <w:pStyle w:val="naisc"/>
              <w:spacing w:before="0" w:after="0"/>
              <w:jc w:val="left"/>
            </w:pPr>
          </w:p>
        </w:tc>
        <w:tc>
          <w:tcPr>
            <w:tcW w:w="3000" w:type="dxa"/>
            <w:tcBorders>
              <w:top w:val="single" w:sz="4" w:space="0" w:color="auto"/>
              <w:left w:val="single" w:sz="4" w:space="0" w:color="auto"/>
              <w:bottom w:val="single" w:sz="4" w:space="0" w:color="auto"/>
            </w:tcBorders>
          </w:tcPr>
          <w:p w14:paraId="30F00C92" w14:textId="550A5CCE" w:rsidR="006D5B21" w:rsidRPr="00827BF0" w:rsidRDefault="00EF0F1B" w:rsidP="00EF0F1B">
            <w:pPr>
              <w:jc w:val="both"/>
            </w:pPr>
            <w:r w:rsidRPr="00EF0F1B">
              <w:t>Šā likuma 25. panta pirmajā daļā minēto sodu piemērošanai administratīvo pārkāpumu procesu īsteno pašvaldības policija, pašvaldības administratīvā komisija un Valsts augu aizsardzības dienests.</w:t>
            </w:r>
          </w:p>
        </w:tc>
      </w:tr>
      <w:tr w:rsidR="006D5B21" w:rsidRPr="00827BF0" w14:paraId="305349D5" w14:textId="77777777" w:rsidTr="005D1D6D">
        <w:tc>
          <w:tcPr>
            <w:tcW w:w="944" w:type="dxa"/>
            <w:tcBorders>
              <w:left w:val="single" w:sz="6" w:space="0" w:color="000000"/>
              <w:bottom w:val="single" w:sz="4" w:space="0" w:color="auto"/>
              <w:right w:val="single" w:sz="6" w:space="0" w:color="000000"/>
            </w:tcBorders>
          </w:tcPr>
          <w:p w14:paraId="5DB15237" w14:textId="670A8150" w:rsidR="006D5B21" w:rsidRPr="00827BF0" w:rsidRDefault="006D5B21" w:rsidP="006D5B21">
            <w:pPr>
              <w:pStyle w:val="naisc"/>
              <w:spacing w:before="0" w:after="0"/>
              <w:jc w:val="left"/>
            </w:pPr>
            <w:r>
              <w:t>4.</w:t>
            </w:r>
          </w:p>
        </w:tc>
        <w:tc>
          <w:tcPr>
            <w:tcW w:w="3086" w:type="dxa"/>
            <w:tcBorders>
              <w:left w:val="single" w:sz="6" w:space="0" w:color="000000"/>
              <w:bottom w:val="single" w:sz="4" w:space="0" w:color="auto"/>
              <w:right w:val="single" w:sz="6" w:space="0" w:color="000000"/>
            </w:tcBorders>
          </w:tcPr>
          <w:p w14:paraId="76ABF380" w14:textId="69701BC3" w:rsidR="006D5B21" w:rsidRPr="00827BF0" w:rsidRDefault="006D5B21" w:rsidP="006D5B21">
            <w:pPr>
              <w:ind w:firstLine="360"/>
              <w:jc w:val="both"/>
            </w:pPr>
            <w:r w:rsidRPr="006D5B21">
              <w:t xml:space="preserve">Likums stājas spēkā </w:t>
            </w:r>
            <w:r>
              <w:t>2020.gada 1.janvārī.</w:t>
            </w:r>
          </w:p>
        </w:tc>
        <w:tc>
          <w:tcPr>
            <w:tcW w:w="4751" w:type="dxa"/>
            <w:tcBorders>
              <w:left w:val="single" w:sz="6" w:space="0" w:color="000000"/>
              <w:bottom w:val="single" w:sz="4" w:space="0" w:color="auto"/>
              <w:right w:val="single" w:sz="6" w:space="0" w:color="000000"/>
            </w:tcBorders>
          </w:tcPr>
          <w:p w14:paraId="09D2E551" w14:textId="77777777" w:rsidR="006D5B21" w:rsidRPr="006D5B21" w:rsidRDefault="006D5B21" w:rsidP="006D5B21">
            <w:pPr>
              <w:pStyle w:val="naisc"/>
              <w:spacing w:before="0" w:after="0"/>
              <w:ind w:firstLine="720"/>
              <w:rPr>
                <w:b/>
                <w:u w:val="single"/>
              </w:rPr>
            </w:pPr>
            <w:r w:rsidRPr="006D5B21">
              <w:rPr>
                <w:b/>
                <w:u w:val="single"/>
              </w:rPr>
              <w:t>Tieslietu ministrija:</w:t>
            </w:r>
          </w:p>
          <w:p w14:paraId="726A644B" w14:textId="19619623" w:rsidR="006D5B21" w:rsidRPr="00EF4A88" w:rsidRDefault="006D5B21" w:rsidP="006D5B21">
            <w:pPr>
              <w:shd w:val="clear" w:color="auto" w:fill="FFFFFF"/>
              <w:tabs>
                <w:tab w:val="left" w:pos="993"/>
              </w:tabs>
              <w:contextualSpacing/>
              <w:jc w:val="both"/>
            </w:pPr>
            <w:r>
              <w:t>N</w:t>
            </w:r>
            <w:r w:rsidRPr="006D5B21">
              <w:t>ozaru kodifikācijas projektos zem likuma teksta norādē par likuma spēkā stāšanos nerakstām datumu, bet vispārēju atsauci uz jauno likumu, proti –</w:t>
            </w:r>
            <w:r>
              <w:t xml:space="preserve"> </w:t>
            </w:r>
            <w:r w:rsidRPr="006D5B21">
              <w:t>“Likums stājas spēkā vienlaikus ar Administratīvās atbildības likumu”</w:t>
            </w:r>
          </w:p>
        </w:tc>
        <w:tc>
          <w:tcPr>
            <w:tcW w:w="2247" w:type="dxa"/>
            <w:tcBorders>
              <w:left w:val="single" w:sz="6" w:space="0" w:color="000000"/>
              <w:bottom w:val="single" w:sz="4" w:space="0" w:color="auto"/>
              <w:right w:val="single" w:sz="6" w:space="0" w:color="000000"/>
            </w:tcBorders>
          </w:tcPr>
          <w:p w14:paraId="33B8CB82" w14:textId="77777777" w:rsidR="003A240C" w:rsidRDefault="003A240C" w:rsidP="003A240C">
            <w:pPr>
              <w:pStyle w:val="naisc"/>
              <w:spacing w:before="0" w:after="0"/>
              <w:jc w:val="both"/>
            </w:pPr>
            <w:r>
              <w:t>Ņ</w:t>
            </w:r>
            <w:r w:rsidRPr="004F77DC">
              <w:t>emts vērā.</w:t>
            </w:r>
          </w:p>
          <w:p w14:paraId="5D42BB0F" w14:textId="77777777" w:rsidR="006D5B21" w:rsidRPr="00827BF0" w:rsidRDefault="006D5B21" w:rsidP="006D5B21">
            <w:pPr>
              <w:pStyle w:val="naisc"/>
              <w:spacing w:before="0" w:after="0"/>
              <w:jc w:val="both"/>
            </w:pPr>
          </w:p>
        </w:tc>
        <w:tc>
          <w:tcPr>
            <w:tcW w:w="3000" w:type="dxa"/>
            <w:tcBorders>
              <w:top w:val="single" w:sz="4" w:space="0" w:color="auto"/>
              <w:left w:val="single" w:sz="4" w:space="0" w:color="auto"/>
              <w:bottom w:val="single" w:sz="4" w:space="0" w:color="auto"/>
            </w:tcBorders>
          </w:tcPr>
          <w:p w14:paraId="640F0C2F" w14:textId="0864E68F" w:rsidR="006D5B21" w:rsidRPr="00827BF0" w:rsidRDefault="006D5B21" w:rsidP="006D5B21">
            <w:pPr>
              <w:ind w:firstLine="360"/>
              <w:jc w:val="both"/>
            </w:pPr>
            <w:r w:rsidRPr="006D5B21">
              <w:t>Likums stājas spēkā vienlaikus ar Administratīvās atbildības likumu</w:t>
            </w:r>
            <w:r w:rsidR="00EF0F1B">
              <w:t>.</w:t>
            </w:r>
          </w:p>
        </w:tc>
      </w:tr>
      <w:tr w:rsidR="00AE4C1F" w:rsidRPr="00827BF0" w14:paraId="3118EEF3" w14:textId="77777777" w:rsidTr="005D1D6D">
        <w:tc>
          <w:tcPr>
            <w:tcW w:w="944" w:type="dxa"/>
            <w:tcBorders>
              <w:left w:val="single" w:sz="6" w:space="0" w:color="000000"/>
              <w:bottom w:val="single" w:sz="4" w:space="0" w:color="auto"/>
              <w:right w:val="single" w:sz="6" w:space="0" w:color="000000"/>
            </w:tcBorders>
          </w:tcPr>
          <w:p w14:paraId="3CC87353" w14:textId="50C294CE" w:rsidR="00AE4C1F" w:rsidRDefault="00AE4C1F" w:rsidP="006D5B21">
            <w:pPr>
              <w:pStyle w:val="naisc"/>
              <w:spacing w:before="0" w:after="0"/>
              <w:jc w:val="left"/>
            </w:pPr>
            <w:r>
              <w:t>5.</w:t>
            </w:r>
          </w:p>
        </w:tc>
        <w:tc>
          <w:tcPr>
            <w:tcW w:w="3086" w:type="dxa"/>
            <w:tcBorders>
              <w:left w:val="single" w:sz="6" w:space="0" w:color="000000"/>
              <w:bottom w:val="single" w:sz="4" w:space="0" w:color="auto"/>
              <w:right w:val="single" w:sz="6" w:space="0" w:color="000000"/>
            </w:tcBorders>
          </w:tcPr>
          <w:p w14:paraId="70FD1197" w14:textId="246B8D31" w:rsidR="00AE4C1F" w:rsidRPr="006D5B21" w:rsidRDefault="00AE4C1F" w:rsidP="006D5B21">
            <w:pPr>
              <w:ind w:firstLine="360"/>
              <w:jc w:val="both"/>
            </w:pPr>
            <w:r w:rsidRPr="00792F23">
              <w:t>Skat.  anotāciju</w:t>
            </w:r>
          </w:p>
        </w:tc>
        <w:tc>
          <w:tcPr>
            <w:tcW w:w="4751" w:type="dxa"/>
            <w:tcBorders>
              <w:left w:val="single" w:sz="6" w:space="0" w:color="000000"/>
              <w:bottom w:val="single" w:sz="4" w:space="0" w:color="auto"/>
              <w:right w:val="single" w:sz="6" w:space="0" w:color="000000"/>
            </w:tcBorders>
          </w:tcPr>
          <w:p w14:paraId="14A67F24" w14:textId="77777777" w:rsidR="00AE4C1F" w:rsidRPr="00827BF0" w:rsidRDefault="00AE4C1F" w:rsidP="00AE4C1F">
            <w:pPr>
              <w:jc w:val="center"/>
              <w:rPr>
                <w:b/>
                <w:u w:val="single"/>
              </w:rPr>
            </w:pPr>
            <w:r>
              <w:rPr>
                <w:b/>
                <w:u w:val="single"/>
              </w:rPr>
              <w:t>Vides aizsardzības un reģionālās attīstības ministrija</w:t>
            </w:r>
            <w:r w:rsidRPr="00827BF0">
              <w:rPr>
                <w:b/>
                <w:u w:val="single"/>
              </w:rPr>
              <w:t>:</w:t>
            </w:r>
          </w:p>
          <w:p w14:paraId="3E413900" w14:textId="77777777" w:rsidR="00AE4C1F" w:rsidRPr="004A79CD" w:rsidRDefault="00AE4C1F" w:rsidP="00AE4C1F">
            <w:pPr>
              <w:contextualSpacing/>
              <w:jc w:val="both"/>
            </w:pPr>
            <w:r w:rsidRPr="004A79CD">
              <w:t xml:space="preserve">Lūdzam anotācijas I sadaļas 2.punkta 6.apakšpunkta 1. teikumā izteikt šādā redakcijā: “Administratīvo atbildību par augu karantīnas organismu, augu, augu produktu, ar tiem saskarē nonākušo priekšmetu un augu aizsardzības līdzekļu, </w:t>
            </w:r>
            <w:r w:rsidRPr="004A79CD">
              <w:rPr>
                <w:b/>
              </w:rPr>
              <w:t>kā arī invazīvo augu</w:t>
            </w:r>
            <w:r w:rsidRPr="004A79CD">
              <w:t xml:space="preserve"> ievešanas Latvijā prasību pārkāpšanu paredzēts noteikt atsevišķā pantā.”</w:t>
            </w:r>
          </w:p>
          <w:p w14:paraId="3798B0E9" w14:textId="0AD23B7F" w:rsidR="00AE4C1F" w:rsidRPr="006D5B21" w:rsidRDefault="00AE4C1F" w:rsidP="00AE4C1F">
            <w:pPr>
              <w:pStyle w:val="naisc"/>
              <w:spacing w:before="0" w:after="0"/>
              <w:ind w:firstLine="720"/>
              <w:jc w:val="both"/>
              <w:rPr>
                <w:b/>
                <w:u w:val="single"/>
              </w:rPr>
            </w:pPr>
          </w:p>
        </w:tc>
        <w:tc>
          <w:tcPr>
            <w:tcW w:w="2247" w:type="dxa"/>
            <w:tcBorders>
              <w:left w:val="single" w:sz="6" w:space="0" w:color="000000"/>
              <w:bottom w:val="single" w:sz="4" w:space="0" w:color="auto"/>
              <w:right w:val="single" w:sz="6" w:space="0" w:color="000000"/>
            </w:tcBorders>
          </w:tcPr>
          <w:p w14:paraId="6F4CC0DD" w14:textId="77777777" w:rsidR="00634676" w:rsidRDefault="00634676" w:rsidP="00634676">
            <w:pPr>
              <w:pStyle w:val="naisc"/>
              <w:spacing w:before="0" w:after="0"/>
              <w:jc w:val="both"/>
            </w:pPr>
            <w:r>
              <w:t>Ņ</w:t>
            </w:r>
            <w:r w:rsidRPr="004F77DC">
              <w:t>emts vērā.</w:t>
            </w:r>
          </w:p>
          <w:p w14:paraId="6E8FD6EB" w14:textId="4A8D7EE1" w:rsidR="00634676" w:rsidRDefault="00634676" w:rsidP="00634676">
            <w:pPr>
              <w:pStyle w:val="naisc"/>
              <w:spacing w:before="0" w:after="0"/>
              <w:jc w:val="both"/>
            </w:pPr>
            <w:r>
              <w:t xml:space="preserve">Anotācijas </w:t>
            </w:r>
            <w:r w:rsidRPr="007B4815">
              <w:rPr>
                <w:bCs/>
                <w:iCs/>
              </w:rPr>
              <w:t>I sadaļa</w:t>
            </w:r>
            <w:r>
              <w:t xml:space="preserve"> ir precizēta.</w:t>
            </w:r>
          </w:p>
          <w:p w14:paraId="77C7B993" w14:textId="77777777" w:rsidR="00AE4C1F" w:rsidRPr="00827BF0" w:rsidRDefault="00AE4C1F" w:rsidP="006D5B21">
            <w:pPr>
              <w:pStyle w:val="naisc"/>
              <w:spacing w:before="0" w:after="0"/>
              <w:jc w:val="both"/>
            </w:pPr>
          </w:p>
        </w:tc>
        <w:tc>
          <w:tcPr>
            <w:tcW w:w="3000" w:type="dxa"/>
            <w:tcBorders>
              <w:top w:val="single" w:sz="4" w:space="0" w:color="auto"/>
              <w:left w:val="single" w:sz="4" w:space="0" w:color="auto"/>
              <w:bottom w:val="single" w:sz="4" w:space="0" w:color="auto"/>
            </w:tcBorders>
          </w:tcPr>
          <w:p w14:paraId="442741ED" w14:textId="4D144F4A" w:rsidR="00AE4C1F" w:rsidRPr="006D5B21" w:rsidRDefault="00AE4C1F" w:rsidP="006D5B21">
            <w:pPr>
              <w:ind w:firstLine="360"/>
              <w:jc w:val="both"/>
            </w:pPr>
            <w:r w:rsidRPr="00792F23">
              <w:t>Skat.  anotāciju</w:t>
            </w:r>
          </w:p>
        </w:tc>
      </w:tr>
      <w:tr w:rsidR="00AE4C1F" w:rsidRPr="00827BF0" w14:paraId="4BA9FF47" w14:textId="77777777" w:rsidTr="00D27428">
        <w:tc>
          <w:tcPr>
            <w:tcW w:w="944" w:type="dxa"/>
            <w:tcBorders>
              <w:left w:val="single" w:sz="6" w:space="0" w:color="000000"/>
              <w:bottom w:val="single" w:sz="4" w:space="0" w:color="auto"/>
              <w:right w:val="single" w:sz="6" w:space="0" w:color="000000"/>
            </w:tcBorders>
          </w:tcPr>
          <w:p w14:paraId="4C7DAD6F" w14:textId="77777777" w:rsidR="00AE4C1F" w:rsidRDefault="00AE4C1F" w:rsidP="00AE4C1F">
            <w:pPr>
              <w:pStyle w:val="naisc"/>
              <w:spacing w:before="0" w:after="0"/>
              <w:jc w:val="left"/>
            </w:pPr>
            <w:r>
              <w:t xml:space="preserve">6. </w:t>
            </w:r>
          </w:p>
        </w:tc>
        <w:tc>
          <w:tcPr>
            <w:tcW w:w="3086" w:type="dxa"/>
            <w:tcBorders>
              <w:left w:val="single" w:sz="6" w:space="0" w:color="000000"/>
              <w:bottom w:val="single" w:sz="4" w:space="0" w:color="auto"/>
              <w:right w:val="single" w:sz="6" w:space="0" w:color="000000"/>
            </w:tcBorders>
          </w:tcPr>
          <w:p w14:paraId="0C734F3F" w14:textId="1012F26B" w:rsidR="00AE4C1F" w:rsidRPr="006D5B21" w:rsidRDefault="00634676" w:rsidP="00AE4C1F">
            <w:pPr>
              <w:ind w:firstLine="360"/>
              <w:jc w:val="both"/>
            </w:pPr>
            <w:r w:rsidRPr="00792F23">
              <w:t>Skat.  anotāciju</w:t>
            </w:r>
          </w:p>
        </w:tc>
        <w:tc>
          <w:tcPr>
            <w:tcW w:w="4751" w:type="dxa"/>
            <w:tcBorders>
              <w:left w:val="single" w:sz="6" w:space="0" w:color="000000"/>
              <w:bottom w:val="single" w:sz="4" w:space="0" w:color="auto"/>
              <w:right w:val="single" w:sz="6" w:space="0" w:color="000000"/>
            </w:tcBorders>
          </w:tcPr>
          <w:p w14:paraId="3EB3E826" w14:textId="77777777" w:rsidR="00AE4C1F" w:rsidRPr="00827BF0" w:rsidRDefault="00AE4C1F" w:rsidP="00AE4C1F">
            <w:pPr>
              <w:jc w:val="center"/>
              <w:rPr>
                <w:b/>
                <w:u w:val="single"/>
              </w:rPr>
            </w:pPr>
            <w:r>
              <w:rPr>
                <w:b/>
                <w:u w:val="single"/>
              </w:rPr>
              <w:t>Vides aizsardzības un reģionālās attīstības ministrija</w:t>
            </w:r>
            <w:r w:rsidRPr="00827BF0">
              <w:rPr>
                <w:b/>
                <w:u w:val="single"/>
              </w:rPr>
              <w:t>:</w:t>
            </w:r>
          </w:p>
          <w:p w14:paraId="16DDBF7E" w14:textId="77777777" w:rsidR="00AE4C1F" w:rsidRPr="00AE4C1F" w:rsidRDefault="00AE4C1F" w:rsidP="00AE4C1F">
            <w:pPr>
              <w:contextualSpacing/>
              <w:jc w:val="both"/>
            </w:pPr>
            <w:r w:rsidRPr="004A79CD">
              <w:t xml:space="preserve">Vēršam uzmanību, ka anotācijas I sadaļas 6.punktā minēta administratīvā atbildība par </w:t>
            </w:r>
            <w:r w:rsidRPr="004A79CD">
              <w:lastRenderedPageBreak/>
              <w:t>pārkāpumiem veicot pārvietošanu pāri Latvijas valsts robežai, savukārt anotācijas redakcijā minēts: “ar jēdzienu “ievešana Latvijā” tiek saprasta Latvijas ģeogrāfiskās robežas šķērsošana”. Lūdzam labot jēdzienu ģeogrāfiskā robeža uz valsts robeža, kas izriet no konteksta.</w:t>
            </w:r>
          </w:p>
        </w:tc>
        <w:tc>
          <w:tcPr>
            <w:tcW w:w="2247" w:type="dxa"/>
            <w:tcBorders>
              <w:left w:val="single" w:sz="6" w:space="0" w:color="000000"/>
              <w:bottom w:val="single" w:sz="4" w:space="0" w:color="auto"/>
              <w:right w:val="single" w:sz="6" w:space="0" w:color="000000"/>
            </w:tcBorders>
          </w:tcPr>
          <w:p w14:paraId="561C541E" w14:textId="77777777" w:rsidR="00634676" w:rsidRDefault="00634676" w:rsidP="00634676">
            <w:pPr>
              <w:pStyle w:val="naisc"/>
              <w:spacing w:before="0" w:after="0"/>
              <w:jc w:val="both"/>
            </w:pPr>
            <w:r>
              <w:lastRenderedPageBreak/>
              <w:t>Ņ</w:t>
            </w:r>
            <w:r w:rsidRPr="004F77DC">
              <w:t>emts vērā.</w:t>
            </w:r>
          </w:p>
          <w:p w14:paraId="17D3E009" w14:textId="77777777" w:rsidR="00634676" w:rsidRDefault="00634676" w:rsidP="00634676">
            <w:pPr>
              <w:pStyle w:val="naisc"/>
              <w:spacing w:before="0" w:after="0"/>
              <w:jc w:val="both"/>
            </w:pPr>
            <w:r>
              <w:t xml:space="preserve">Anotācijas </w:t>
            </w:r>
            <w:r w:rsidRPr="007B4815">
              <w:rPr>
                <w:bCs/>
                <w:iCs/>
              </w:rPr>
              <w:t>I sadaļa</w:t>
            </w:r>
            <w:r>
              <w:t xml:space="preserve"> ir precizēta.</w:t>
            </w:r>
          </w:p>
          <w:p w14:paraId="5407F567" w14:textId="77777777" w:rsidR="00AE4C1F" w:rsidRPr="00827BF0" w:rsidRDefault="00AE4C1F" w:rsidP="00AE4C1F">
            <w:pPr>
              <w:pStyle w:val="naisc"/>
              <w:spacing w:before="0" w:after="0"/>
              <w:jc w:val="both"/>
            </w:pPr>
          </w:p>
        </w:tc>
        <w:tc>
          <w:tcPr>
            <w:tcW w:w="3000" w:type="dxa"/>
            <w:tcBorders>
              <w:top w:val="single" w:sz="4" w:space="0" w:color="auto"/>
              <w:left w:val="single" w:sz="4" w:space="0" w:color="auto"/>
              <w:bottom w:val="single" w:sz="4" w:space="0" w:color="auto"/>
            </w:tcBorders>
          </w:tcPr>
          <w:p w14:paraId="505E45D6" w14:textId="41EAA3F3" w:rsidR="00AE4C1F" w:rsidRPr="006D5B21" w:rsidRDefault="00634676" w:rsidP="00AE4C1F">
            <w:pPr>
              <w:ind w:firstLine="360"/>
              <w:jc w:val="both"/>
            </w:pPr>
            <w:r w:rsidRPr="00792F23">
              <w:t>Skat.  anotāciju</w:t>
            </w:r>
          </w:p>
        </w:tc>
      </w:tr>
      <w:tr w:rsidR="00AE4C1F" w:rsidRPr="00827BF0" w14:paraId="61D8AA63" w14:textId="77777777" w:rsidTr="005D1D6D">
        <w:tc>
          <w:tcPr>
            <w:tcW w:w="944" w:type="dxa"/>
            <w:tcBorders>
              <w:left w:val="single" w:sz="6" w:space="0" w:color="000000"/>
              <w:bottom w:val="single" w:sz="4" w:space="0" w:color="auto"/>
              <w:right w:val="single" w:sz="6" w:space="0" w:color="000000"/>
            </w:tcBorders>
          </w:tcPr>
          <w:p w14:paraId="41F3BF2E" w14:textId="6186C740" w:rsidR="00AE4C1F" w:rsidRDefault="00AE4C1F" w:rsidP="006D5B21">
            <w:pPr>
              <w:pStyle w:val="naisc"/>
              <w:spacing w:before="0" w:after="0"/>
              <w:jc w:val="left"/>
            </w:pPr>
            <w:r>
              <w:t xml:space="preserve">7. </w:t>
            </w:r>
          </w:p>
        </w:tc>
        <w:tc>
          <w:tcPr>
            <w:tcW w:w="3086" w:type="dxa"/>
            <w:tcBorders>
              <w:left w:val="single" w:sz="6" w:space="0" w:color="000000"/>
              <w:bottom w:val="single" w:sz="4" w:space="0" w:color="auto"/>
              <w:right w:val="single" w:sz="6" w:space="0" w:color="000000"/>
            </w:tcBorders>
          </w:tcPr>
          <w:p w14:paraId="3EFA1A5B" w14:textId="77777777" w:rsidR="00AE4C1F" w:rsidRPr="006D5B21" w:rsidRDefault="00AE4C1F" w:rsidP="006D5B21">
            <w:pPr>
              <w:ind w:firstLine="360"/>
              <w:jc w:val="both"/>
            </w:pPr>
          </w:p>
        </w:tc>
        <w:tc>
          <w:tcPr>
            <w:tcW w:w="4751" w:type="dxa"/>
            <w:tcBorders>
              <w:left w:val="single" w:sz="6" w:space="0" w:color="000000"/>
              <w:bottom w:val="single" w:sz="4" w:space="0" w:color="auto"/>
              <w:right w:val="single" w:sz="6" w:space="0" w:color="000000"/>
            </w:tcBorders>
          </w:tcPr>
          <w:p w14:paraId="662BC546" w14:textId="77777777" w:rsidR="00AE4C1F" w:rsidRPr="00827BF0" w:rsidRDefault="00AE4C1F" w:rsidP="00AE4C1F">
            <w:pPr>
              <w:jc w:val="center"/>
              <w:rPr>
                <w:b/>
                <w:u w:val="single"/>
              </w:rPr>
            </w:pPr>
            <w:r>
              <w:rPr>
                <w:b/>
                <w:u w:val="single"/>
              </w:rPr>
              <w:t>Vides aizsardzības un reģionālās attīstības ministrija</w:t>
            </w:r>
            <w:r w:rsidRPr="00827BF0">
              <w:rPr>
                <w:b/>
                <w:u w:val="single"/>
              </w:rPr>
              <w:t>:</w:t>
            </w:r>
          </w:p>
          <w:p w14:paraId="1BD1FC50" w14:textId="46E7CADF" w:rsidR="00AE4C1F" w:rsidRPr="00AE4C1F" w:rsidRDefault="00AE4C1F" w:rsidP="00AE4C1F">
            <w:pPr>
              <w:contextualSpacing/>
              <w:jc w:val="both"/>
            </w:pPr>
            <w:r w:rsidRPr="004A79CD">
              <w:t xml:space="preserve">Nepieciešams papildināt anotācijas I sadaļas 2.punkta 6.apakšpunktu, nosakot administratīvo atbildību kā par invazīvo augu ievešanu Latvijas valsts teritorijā, tā arī par izvešanu un pārvietošanu Latvijas teritorijā. Šāds papildinājums nepieciešams saskaņā ar Eiropas Parlamenta un Padomes 2014. gada 22. oktobra Regulas Nr. 1143/2014 </w:t>
            </w:r>
            <w:r w:rsidRPr="004A79CD">
              <w:rPr>
                <w:i/>
              </w:rPr>
              <w:t>par invazīvu svešzemju sugu introdukcijas un izplatīšanās profilaksi un pārvaldību</w:t>
            </w:r>
            <w:r w:rsidRPr="004A79CD">
              <w:t xml:space="preserve"> 7.panta 1.punkta d) apakšpunktu: Invazīvas svešzemju sugas, kas rada bažas Savienībai, apzināti netransportē uz Savienību, no tās vai tajā, izņemot sugas transportēšanu uz objektu saistībā ar izskaušanu.</w:t>
            </w:r>
          </w:p>
        </w:tc>
        <w:tc>
          <w:tcPr>
            <w:tcW w:w="2247" w:type="dxa"/>
            <w:tcBorders>
              <w:left w:val="single" w:sz="6" w:space="0" w:color="000000"/>
              <w:bottom w:val="single" w:sz="4" w:space="0" w:color="auto"/>
              <w:right w:val="single" w:sz="6" w:space="0" w:color="000000"/>
            </w:tcBorders>
          </w:tcPr>
          <w:p w14:paraId="6D16BC06" w14:textId="77777777" w:rsidR="00A823E0" w:rsidRDefault="00A823E0" w:rsidP="00A823E0">
            <w:pPr>
              <w:pStyle w:val="naisc"/>
              <w:spacing w:before="0" w:after="0"/>
              <w:jc w:val="both"/>
            </w:pPr>
            <w:r>
              <w:t>Ņ</w:t>
            </w:r>
            <w:r w:rsidRPr="004F77DC">
              <w:t>emts vērā.</w:t>
            </w:r>
          </w:p>
          <w:p w14:paraId="1C382DF7" w14:textId="77777777" w:rsidR="00A823E0" w:rsidRDefault="00A823E0" w:rsidP="00A823E0">
            <w:pPr>
              <w:pStyle w:val="naisc"/>
              <w:spacing w:before="0" w:after="0"/>
              <w:jc w:val="both"/>
            </w:pPr>
            <w:r>
              <w:t xml:space="preserve">Anotācijas </w:t>
            </w:r>
            <w:r w:rsidRPr="007B4815">
              <w:rPr>
                <w:bCs/>
                <w:iCs/>
              </w:rPr>
              <w:t>I sadaļa</w:t>
            </w:r>
            <w:r>
              <w:t xml:space="preserve"> ir precizēta.</w:t>
            </w:r>
          </w:p>
          <w:p w14:paraId="61C94813" w14:textId="77777777" w:rsidR="00AE4C1F" w:rsidRPr="00827BF0" w:rsidRDefault="00AE4C1F" w:rsidP="006D5B21">
            <w:pPr>
              <w:pStyle w:val="naisc"/>
              <w:spacing w:before="0" w:after="0"/>
              <w:jc w:val="both"/>
            </w:pPr>
          </w:p>
        </w:tc>
        <w:tc>
          <w:tcPr>
            <w:tcW w:w="3000" w:type="dxa"/>
            <w:tcBorders>
              <w:top w:val="single" w:sz="4" w:space="0" w:color="auto"/>
              <w:left w:val="single" w:sz="4" w:space="0" w:color="auto"/>
              <w:bottom w:val="single" w:sz="4" w:space="0" w:color="auto"/>
            </w:tcBorders>
          </w:tcPr>
          <w:p w14:paraId="01DEF7E5" w14:textId="77777777" w:rsidR="00AE4C1F" w:rsidRPr="006D5B21" w:rsidRDefault="00AE4C1F" w:rsidP="006D5B21">
            <w:pPr>
              <w:ind w:firstLine="360"/>
              <w:jc w:val="both"/>
            </w:pPr>
          </w:p>
        </w:tc>
      </w:tr>
      <w:tr w:rsidR="00AE4C1F" w:rsidRPr="00827BF0" w14:paraId="03B1AAF5" w14:textId="77777777" w:rsidTr="005D1D6D">
        <w:tc>
          <w:tcPr>
            <w:tcW w:w="944" w:type="dxa"/>
            <w:tcBorders>
              <w:left w:val="single" w:sz="6" w:space="0" w:color="000000"/>
              <w:bottom w:val="single" w:sz="4" w:space="0" w:color="auto"/>
              <w:right w:val="single" w:sz="6" w:space="0" w:color="000000"/>
            </w:tcBorders>
          </w:tcPr>
          <w:p w14:paraId="70F9C85B" w14:textId="78F39B1B" w:rsidR="00AE4C1F" w:rsidRDefault="00AE4C1F" w:rsidP="006D5B21">
            <w:pPr>
              <w:pStyle w:val="naisc"/>
              <w:spacing w:before="0" w:after="0"/>
              <w:jc w:val="left"/>
            </w:pPr>
            <w:r>
              <w:t>8.</w:t>
            </w:r>
          </w:p>
        </w:tc>
        <w:tc>
          <w:tcPr>
            <w:tcW w:w="3086" w:type="dxa"/>
            <w:tcBorders>
              <w:left w:val="single" w:sz="6" w:space="0" w:color="000000"/>
              <w:bottom w:val="single" w:sz="4" w:space="0" w:color="auto"/>
              <w:right w:val="single" w:sz="6" w:space="0" w:color="000000"/>
            </w:tcBorders>
          </w:tcPr>
          <w:p w14:paraId="398831F0" w14:textId="77777777" w:rsidR="00AE4C1F" w:rsidRPr="006D5B21" w:rsidRDefault="00AE4C1F" w:rsidP="006D5B21">
            <w:pPr>
              <w:ind w:firstLine="360"/>
              <w:jc w:val="both"/>
            </w:pPr>
          </w:p>
        </w:tc>
        <w:tc>
          <w:tcPr>
            <w:tcW w:w="4751" w:type="dxa"/>
            <w:tcBorders>
              <w:left w:val="single" w:sz="6" w:space="0" w:color="000000"/>
              <w:bottom w:val="single" w:sz="4" w:space="0" w:color="auto"/>
              <w:right w:val="single" w:sz="6" w:space="0" w:color="000000"/>
            </w:tcBorders>
          </w:tcPr>
          <w:p w14:paraId="2C8F9E37" w14:textId="77777777" w:rsidR="00AE4C1F" w:rsidRPr="00827BF0" w:rsidRDefault="00AE4C1F" w:rsidP="00AE4C1F">
            <w:pPr>
              <w:jc w:val="center"/>
              <w:rPr>
                <w:b/>
                <w:u w:val="single"/>
              </w:rPr>
            </w:pPr>
            <w:r>
              <w:rPr>
                <w:b/>
                <w:u w:val="single"/>
              </w:rPr>
              <w:t>Vides aizsardzības un reģionālās attīstības ministrija</w:t>
            </w:r>
            <w:r w:rsidRPr="00827BF0">
              <w:rPr>
                <w:b/>
                <w:u w:val="single"/>
              </w:rPr>
              <w:t>:</w:t>
            </w:r>
          </w:p>
          <w:p w14:paraId="38F086CD" w14:textId="2B6081F5" w:rsidR="00AE4C1F" w:rsidRPr="00AE4C1F" w:rsidRDefault="00AE4C1F" w:rsidP="00AE4C1F">
            <w:pPr>
              <w:contextualSpacing/>
              <w:jc w:val="both"/>
            </w:pPr>
            <w:r w:rsidRPr="004A79CD">
              <w:t>Lūdzam likumprojekta 2.pantā izteiktās VI nodaļas 26.panta nosaukumā iekļaut jēdzienu “invazīvo augu”.</w:t>
            </w:r>
          </w:p>
        </w:tc>
        <w:tc>
          <w:tcPr>
            <w:tcW w:w="2247" w:type="dxa"/>
            <w:tcBorders>
              <w:left w:val="single" w:sz="6" w:space="0" w:color="000000"/>
              <w:bottom w:val="single" w:sz="4" w:space="0" w:color="auto"/>
              <w:right w:val="single" w:sz="6" w:space="0" w:color="000000"/>
            </w:tcBorders>
          </w:tcPr>
          <w:p w14:paraId="324812E8" w14:textId="77777777" w:rsidR="00A823E0" w:rsidRDefault="00A823E0" w:rsidP="00A823E0">
            <w:pPr>
              <w:pStyle w:val="naisc"/>
              <w:spacing w:before="0" w:after="0"/>
              <w:jc w:val="both"/>
            </w:pPr>
            <w:r>
              <w:t>Ņ</w:t>
            </w:r>
            <w:r w:rsidRPr="004F77DC">
              <w:t>emts vērā.</w:t>
            </w:r>
          </w:p>
          <w:p w14:paraId="7E702C4D" w14:textId="6CA93BEF" w:rsidR="00AE4C1F" w:rsidRPr="00827BF0" w:rsidRDefault="00AE4C1F" w:rsidP="00A823E0">
            <w:pPr>
              <w:pStyle w:val="naisc"/>
              <w:spacing w:before="0" w:after="0"/>
              <w:jc w:val="both"/>
            </w:pPr>
          </w:p>
        </w:tc>
        <w:tc>
          <w:tcPr>
            <w:tcW w:w="3000" w:type="dxa"/>
            <w:tcBorders>
              <w:top w:val="single" w:sz="4" w:space="0" w:color="auto"/>
              <w:left w:val="single" w:sz="4" w:space="0" w:color="auto"/>
              <w:bottom w:val="single" w:sz="4" w:space="0" w:color="auto"/>
            </w:tcBorders>
          </w:tcPr>
          <w:p w14:paraId="30609144" w14:textId="77777777" w:rsidR="00AE4C1F" w:rsidRPr="006D5B21" w:rsidRDefault="00AE4C1F" w:rsidP="006D5B21">
            <w:pPr>
              <w:ind w:firstLine="360"/>
              <w:jc w:val="both"/>
            </w:pPr>
          </w:p>
        </w:tc>
      </w:tr>
      <w:tr w:rsidR="00AE4C1F" w:rsidRPr="00827BF0" w14:paraId="0B6A0F1E" w14:textId="77777777" w:rsidTr="00D27428">
        <w:tc>
          <w:tcPr>
            <w:tcW w:w="944" w:type="dxa"/>
            <w:tcBorders>
              <w:left w:val="single" w:sz="6" w:space="0" w:color="000000"/>
              <w:bottom w:val="single" w:sz="4" w:space="0" w:color="auto"/>
              <w:right w:val="single" w:sz="6" w:space="0" w:color="000000"/>
            </w:tcBorders>
          </w:tcPr>
          <w:p w14:paraId="586FFB4F" w14:textId="77777777" w:rsidR="00AE4C1F" w:rsidRDefault="00AE4C1F" w:rsidP="00AE4C1F">
            <w:pPr>
              <w:pStyle w:val="naisc"/>
              <w:spacing w:before="0" w:after="0"/>
              <w:jc w:val="left"/>
            </w:pPr>
            <w:r>
              <w:t>9.</w:t>
            </w:r>
          </w:p>
        </w:tc>
        <w:tc>
          <w:tcPr>
            <w:tcW w:w="3086" w:type="dxa"/>
            <w:tcBorders>
              <w:left w:val="single" w:sz="6" w:space="0" w:color="000000"/>
              <w:bottom w:val="single" w:sz="4" w:space="0" w:color="auto"/>
              <w:right w:val="single" w:sz="6" w:space="0" w:color="000000"/>
            </w:tcBorders>
          </w:tcPr>
          <w:p w14:paraId="5B08EB4D" w14:textId="77777777" w:rsidR="00AE4C1F" w:rsidRPr="006D5B21" w:rsidRDefault="00AE4C1F" w:rsidP="00AE4C1F">
            <w:pPr>
              <w:ind w:firstLine="360"/>
              <w:jc w:val="both"/>
            </w:pPr>
          </w:p>
        </w:tc>
        <w:tc>
          <w:tcPr>
            <w:tcW w:w="4751" w:type="dxa"/>
            <w:tcBorders>
              <w:left w:val="single" w:sz="6" w:space="0" w:color="000000"/>
              <w:bottom w:val="single" w:sz="4" w:space="0" w:color="auto"/>
              <w:right w:val="single" w:sz="6" w:space="0" w:color="000000"/>
            </w:tcBorders>
          </w:tcPr>
          <w:p w14:paraId="0037CE81" w14:textId="77777777" w:rsidR="00AE4C1F" w:rsidRPr="00827BF0" w:rsidRDefault="00AE4C1F" w:rsidP="00AE4C1F">
            <w:pPr>
              <w:jc w:val="center"/>
              <w:rPr>
                <w:b/>
                <w:u w:val="single"/>
              </w:rPr>
            </w:pPr>
            <w:r>
              <w:rPr>
                <w:b/>
                <w:u w:val="single"/>
              </w:rPr>
              <w:t>Vides aizsardzības un reģionālās attīstības ministrija</w:t>
            </w:r>
            <w:r w:rsidRPr="00827BF0">
              <w:rPr>
                <w:b/>
                <w:u w:val="single"/>
              </w:rPr>
              <w:t>:</w:t>
            </w:r>
          </w:p>
          <w:p w14:paraId="77F9E30E" w14:textId="77777777" w:rsidR="00AE4C1F" w:rsidRDefault="00AE4C1F" w:rsidP="00AE4C1F">
            <w:pPr>
              <w:jc w:val="both"/>
              <w:rPr>
                <w:b/>
                <w:u w:val="single"/>
              </w:rPr>
            </w:pPr>
            <w:r w:rsidRPr="004A79CD">
              <w:lastRenderedPageBreak/>
              <w:t>Regulas 7.panta 1.punktā ir uzskaitītas darbības, ko attiecībā uz invazīvajām sugām aizliegts apzināti veikt (ievest Eiropas Savienības teritorijā, nepieļaut vairošanos, neizplatīt vidē u.tml.). Atšķirībā no Regulas 7.panta 1.punktā paredzētiem aizliegumiem, likumprojekta 2.pantā izteiktās VI nodaļas 26.panta trešajā daļā paredzētā atbildība ir attiecināta ne tikai uz apzinātām darbībām, bet arī uz neapzinātām darbībām. Šāda pretruna potenciāli var novest pie personu (piemēram, kuģa kapteiņa, kurš ar kuģa kravu neapzināti ieved invazīvu svešzemju sugu Latvijas teritorijā) nepamatotas sodīšanas</w:t>
            </w:r>
          </w:p>
        </w:tc>
        <w:tc>
          <w:tcPr>
            <w:tcW w:w="2247" w:type="dxa"/>
            <w:tcBorders>
              <w:left w:val="single" w:sz="6" w:space="0" w:color="000000"/>
              <w:bottom w:val="single" w:sz="4" w:space="0" w:color="auto"/>
              <w:right w:val="single" w:sz="6" w:space="0" w:color="000000"/>
            </w:tcBorders>
          </w:tcPr>
          <w:p w14:paraId="48889922" w14:textId="6F8C886F" w:rsidR="00AE4C1F" w:rsidRPr="00827BF0" w:rsidRDefault="003A240C" w:rsidP="00AE4C1F">
            <w:pPr>
              <w:pStyle w:val="naisc"/>
              <w:spacing w:before="0" w:after="0"/>
              <w:jc w:val="both"/>
            </w:pPr>
            <w:r>
              <w:lastRenderedPageBreak/>
              <w:t>Panākta vienošanās.</w:t>
            </w:r>
          </w:p>
        </w:tc>
        <w:tc>
          <w:tcPr>
            <w:tcW w:w="3000" w:type="dxa"/>
            <w:tcBorders>
              <w:top w:val="single" w:sz="4" w:space="0" w:color="auto"/>
              <w:left w:val="single" w:sz="4" w:space="0" w:color="auto"/>
              <w:bottom w:val="single" w:sz="4" w:space="0" w:color="auto"/>
            </w:tcBorders>
          </w:tcPr>
          <w:p w14:paraId="3B6777C2" w14:textId="77777777" w:rsidR="00AE4C1F" w:rsidRPr="006D5B21" w:rsidRDefault="00AE4C1F" w:rsidP="00AE4C1F">
            <w:pPr>
              <w:ind w:firstLine="360"/>
              <w:jc w:val="both"/>
            </w:pPr>
          </w:p>
        </w:tc>
      </w:tr>
      <w:tr w:rsidR="00AE4C1F" w:rsidRPr="00827BF0" w14:paraId="5ECC09E9" w14:textId="77777777" w:rsidTr="00D27428">
        <w:tc>
          <w:tcPr>
            <w:tcW w:w="944" w:type="dxa"/>
            <w:tcBorders>
              <w:left w:val="single" w:sz="6" w:space="0" w:color="000000"/>
              <w:bottom w:val="single" w:sz="4" w:space="0" w:color="auto"/>
              <w:right w:val="single" w:sz="6" w:space="0" w:color="000000"/>
            </w:tcBorders>
          </w:tcPr>
          <w:p w14:paraId="03B553FF" w14:textId="77777777" w:rsidR="00AE4C1F" w:rsidRDefault="00AE4C1F" w:rsidP="00AE4C1F">
            <w:pPr>
              <w:pStyle w:val="naisc"/>
              <w:spacing w:before="0" w:after="0"/>
              <w:jc w:val="left"/>
            </w:pPr>
            <w:r>
              <w:t>10.</w:t>
            </w:r>
          </w:p>
        </w:tc>
        <w:tc>
          <w:tcPr>
            <w:tcW w:w="3086" w:type="dxa"/>
            <w:tcBorders>
              <w:left w:val="single" w:sz="6" w:space="0" w:color="000000"/>
              <w:bottom w:val="single" w:sz="4" w:space="0" w:color="auto"/>
              <w:right w:val="single" w:sz="6" w:space="0" w:color="000000"/>
            </w:tcBorders>
          </w:tcPr>
          <w:p w14:paraId="5E641C46" w14:textId="77777777" w:rsidR="00AE4C1F" w:rsidRPr="006D5B21" w:rsidRDefault="00AE4C1F" w:rsidP="00AE4C1F">
            <w:pPr>
              <w:ind w:firstLine="360"/>
              <w:jc w:val="both"/>
            </w:pPr>
          </w:p>
        </w:tc>
        <w:tc>
          <w:tcPr>
            <w:tcW w:w="4751" w:type="dxa"/>
            <w:tcBorders>
              <w:left w:val="single" w:sz="6" w:space="0" w:color="000000"/>
              <w:bottom w:val="single" w:sz="4" w:space="0" w:color="auto"/>
              <w:right w:val="single" w:sz="6" w:space="0" w:color="000000"/>
            </w:tcBorders>
          </w:tcPr>
          <w:p w14:paraId="419DA3F0" w14:textId="77777777" w:rsidR="00AE4C1F" w:rsidRPr="00827BF0" w:rsidRDefault="00AE4C1F" w:rsidP="00AE4C1F">
            <w:pPr>
              <w:jc w:val="center"/>
              <w:rPr>
                <w:b/>
                <w:u w:val="single"/>
              </w:rPr>
            </w:pPr>
            <w:r>
              <w:rPr>
                <w:b/>
                <w:u w:val="single"/>
              </w:rPr>
              <w:t>Vides aizsardzības un reģionālās attīstības ministrija</w:t>
            </w:r>
            <w:r w:rsidRPr="00827BF0">
              <w:rPr>
                <w:b/>
                <w:u w:val="single"/>
              </w:rPr>
              <w:t>:</w:t>
            </w:r>
          </w:p>
          <w:p w14:paraId="57A7075A" w14:textId="77777777" w:rsidR="00AE4C1F" w:rsidRDefault="00AE4C1F" w:rsidP="00AE4C1F">
            <w:pPr>
              <w:jc w:val="both"/>
              <w:rPr>
                <w:b/>
                <w:u w:val="single"/>
              </w:rPr>
            </w:pPr>
            <w:r w:rsidRPr="004A79CD">
              <w:t xml:space="preserve">Norādām, ka ZM 2019. gada 19. martā izteiktajos iebildumos, vēstules nr. 2.3-2e/648/2019 par VARAM izstrādāto likumprojektu “Grozījumi Augu aizsardzības likumā” VSS-159 tika norādīts, ka nepieciešams papildināt visu likumprojektu ar VI nodaļu </w:t>
            </w:r>
            <w:r w:rsidRPr="004A79CD">
              <w:rPr>
                <w:i/>
              </w:rPr>
              <w:t>Administratīvā atbildība un kompetence sodu piemērošanā</w:t>
            </w:r>
            <w:r w:rsidRPr="004A79CD">
              <w:t xml:space="preserve">, iekļaujot 20.pantu </w:t>
            </w:r>
            <w:r w:rsidRPr="004A79CD">
              <w:rPr>
                <w:i/>
              </w:rPr>
              <w:t>Administratīvā atbildība par invazīvo augu sugu izplatības pieļaušanu</w:t>
            </w:r>
            <w:r w:rsidRPr="004A79CD">
              <w:t xml:space="preserve"> un 21. pantu </w:t>
            </w:r>
            <w:r w:rsidRPr="004A79CD">
              <w:rPr>
                <w:i/>
              </w:rPr>
              <w:t>Kompetence sodu piemērošanā</w:t>
            </w:r>
            <w:r w:rsidRPr="004A79CD">
              <w:t xml:space="preserve">. Uzskatām, ka ir lietderīgi un efektīvi veikt izmaiņas vienā likumā par vienu tēmu ar vienu likumprojektu, lai saglabātu tiesību akta projektu viennozīmīgi skaidru un vienotā stilistikā. Līdz ar to uzskatām, ka 2019. gada 19. marta vēstulē </w:t>
            </w:r>
            <w:r w:rsidRPr="004A79CD">
              <w:lastRenderedPageBreak/>
              <w:t>nr. 2.3-2e/648/2019 minētie ZM iebildumi par administratīvo atbildību un kompetenci sodu piemērošanā būtu jāiekļauj likumprojektā “Grozījumi Augu aizsardzības likumā” (VSS-72).</w:t>
            </w:r>
          </w:p>
        </w:tc>
        <w:tc>
          <w:tcPr>
            <w:tcW w:w="2247" w:type="dxa"/>
            <w:tcBorders>
              <w:left w:val="single" w:sz="6" w:space="0" w:color="000000"/>
              <w:bottom w:val="single" w:sz="4" w:space="0" w:color="auto"/>
              <w:right w:val="single" w:sz="6" w:space="0" w:color="000000"/>
            </w:tcBorders>
          </w:tcPr>
          <w:p w14:paraId="3E96E20D" w14:textId="77777777" w:rsidR="003A240C" w:rsidRDefault="003A240C" w:rsidP="003A240C">
            <w:pPr>
              <w:pStyle w:val="naisc"/>
              <w:spacing w:before="0" w:after="0"/>
              <w:jc w:val="both"/>
            </w:pPr>
            <w:r>
              <w:lastRenderedPageBreak/>
              <w:t>Ņ</w:t>
            </w:r>
            <w:r w:rsidRPr="004F77DC">
              <w:t>emts vērā.</w:t>
            </w:r>
          </w:p>
          <w:p w14:paraId="3DD1E761" w14:textId="77777777" w:rsidR="00AE4C1F" w:rsidRPr="00827BF0" w:rsidRDefault="00AE4C1F" w:rsidP="00AE4C1F">
            <w:pPr>
              <w:pStyle w:val="naisc"/>
              <w:spacing w:before="0" w:after="0"/>
              <w:jc w:val="both"/>
            </w:pPr>
          </w:p>
        </w:tc>
        <w:tc>
          <w:tcPr>
            <w:tcW w:w="3000" w:type="dxa"/>
            <w:tcBorders>
              <w:top w:val="single" w:sz="4" w:space="0" w:color="auto"/>
              <w:left w:val="single" w:sz="4" w:space="0" w:color="auto"/>
              <w:bottom w:val="single" w:sz="4" w:space="0" w:color="auto"/>
            </w:tcBorders>
          </w:tcPr>
          <w:p w14:paraId="38A64C5B" w14:textId="77777777" w:rsidR="00AE4C1F" w:rsidRPr="006D5B21" w:rsidRDefault="00AE4C1F" w:rsidP="00AE4C1F">
            <w:pPr>
              <w:ind w:firstLine="360"/>
              <w:jc w:val="both"/>
            </w:pPr>
          </w:p>
        </w:tc>
      </w:tr>
      <w:tr w:rsidR="00AE4C1F" w:rsidRPr="00827BF0" w14:paraId="419AF519" w14:textId="77777777" w:rsidTr="005D1D6D">
        <w:tc>
          <w:tcPr>
            <w:tcW w:w="944" w:type="dxa"/>
            <w:tcBorders>
              <w:left w:val="single" w:sz="6" w:space="0" w:color="000000"/>
              <w:bottom w:val="single" w:sz="4" w:space="0" w:color="auto"/>
              <w:right w:val="single" w:sz="6" w:space="0" w:color="000000"/>
            </w:tcBorders>
          </w:tcPr>
          <w:p w14:paraId="329A41FF" w14:textId="5D90BF8A" w:rsidR="00AE4C1F" w:rsidRDefault="00AE4C1F" w:rsidP="006D5B21">
            <w:pPr>
              <w:pStyle w:val="naisc"/>
              <w:spacing w:before="0" w:after="0"/>
              <w:jc w:val="left"/>
            </w:pPr>
            <w:r>
              <w:t>11.</w:t>
            </w:r>
          </w:p>
        </w:tc>
        <w:tc>
          <w:tcPr>
            <w:tcW w:w="3086" w:type="dxa"/>
            <w:tcBorders>
              <w:left w:val="single" w:sz="6" w:space="0" w:color="000000"/>
              <w:bottom w:val="single" w:sz="4" w:space="0" w:color="auto"/>
              <w:right w:val="single" w:sz="6" w:space="0" w:color="000000"/>
            </w:tcBorders>
          </w:tcPr>
          <w:p w14:paraId="01EDB6EA" w14:textId="77777777" w:rsidR="003A240C" w:rsidRDefault="003A240C" w:rsidP="003A240C">
            <w:pPr>
              <w:ind w:firstLine="360"/>
              <w:jc w:val="both"/>
            </w:pPr>
            <w:r>
              <w:t xml:space="preserve">25. pants. Administratīvā atbildība par invazīvo augu sugu izplatības ierobežošanas pasākumu neīstenošanu </w:t>
            </w:r>
          </w:p>
          <w:p w14:paraId="5DEFD39A" w14:textId="77777777" w:rsidR="003A240C" w:rsidRDefault="003A240C" w:rsidP="003A240C">
            <w:pPr>
              <w:ind w:firstLine="360"/>
              <w:jc w:val="both"/>
            </w:pPr>
            <w:r>
              <w:t xml:space="preserve">(1) Par invazīvo augu sugu izplatības ierobežošanas pasākumu neīstenošanu — </w:t>
            </w:r>
          </w:p>
          <w:p w14:paraId="54959F33" w14:textId="6EA3281B" w:rsidR="003A240C" w:rsidRDefault="003A240C" w:rsidP="003A240C">
            <w:pPr>
              <w:ind w:firstLine="360"/>
              <w:jc w:val="both"/>
            </w:pPr>
            <w:r>
              <w:t>piemēro brīdinājumu vai naudas sodu fiziskajām personām no desmit</w:t>
            </w:r>
            <w:proofErr w:type="gramStart"/>
            <w:r>
              <w:t xml:space="preserve"> līdz trīssimt naudas soda vienībām</w:t>
            </w:r>
            <w:proofErr w:type="gramEnd"/>
            <w:r>
              <w:t xml:space="preserve">, bet juridiskajām personām — no sešdesmit līdz sešsimt naudas soda vienībām. </w:t>
            </w:r>
          </w:p>
          <w:p w14:paraId="7D51427D" w14:textId="77777777" w:rsidR="003A240C" w:rsidRDefault="003A240C" w:rsidP="003A240C">
            <w:pPr>
              <w:ind w:firstLine="360"/>
              <w:jc w:val="both"/>
            </w:pPr>
            <w:r>
              <w:t xml:space="preserve">(2) Par informācijas nesniegšanu Valsts augu aizsardzības dienestam par invazīvo augu sugu </w:t>
            </w:r>
            <w:proofErr w:type="spellStart"/>
            <w:r>
              <w:t>invadētajām</w:t>
            </w:r>
            <w:proofErr w:type="spellEnd"/>
            <w:r>
              <w:t xml:space="preserve"> platībām — </w:t>
            </w:r>
          </w:p>
          <w:p w14:paraId="3170B7B6" w14:textId="77777777" w:rsidR="003A240C" w:rsidRDefault="003A240C" w:rsidP="003A240C">
            <w:pPr>
              <w:ind w:firstLine="360"/>
              <w:jc w:val="both"/>
            </w:pPr>
            <w:r>
              <w:t>piemēro brīdinājumu vai naudas sodu fiziskajām personām no divām</w:t>
            </w:r>
            <w:proofErr w:type="gramStart"/>
            <w:r>
              <w:t xml:space="preserve"> līdz divdesmit naudas soda vienībām</w:t>
            </w:r>
            <w:proofErr w:type="gramEnd"/>
            <w:r>
              <w:t xml:space="preserve">, bet juridiskajām personām — no desmit līdz </w:t>
            </w:r>
            <w:r>
              <w:lastRenderedPageBreak/>
              <w:t>četrdesmit naudas soda vienībām.</w:t>
            </w:r>
          </w:p>
          <w:p w14:paraId="2B93D396" w14:textId="77777777" w:rsidR="003A240C" w:rsidRDefault="003A240C" w:rsidP="003A240C">
            <w:pPr>
              <w:ind w:firstLine="360"/>
              <w:jc w:val="both"/>
            </w:pPr>
          </w:p>
          <w:p w14:paraId="7E4182F3" w14:textId="25BBAACA" w:rsidR="003A240C" w:rsidRDefault="003A240C" w:rsidP="003A240C">
            <w:pPr>
              <w:ind w:firstLine="360"/>
              <w:jc w:val="both"/>
            </w:pPr>
            <w:r>
              <w:t xml:space="preserve">26. pants. Administratīvā atbildība par augu karantīnas organismu, augu, augu produktu un ar tiem saskarē nonākušo priekšmetu un augu aizsardzības līdzekļu ievešanas prasību pārkāpšanu </w:t>
            </w:r>
          </w:p>
          <w:p w14:paraId="4D6E9D7C" w14:textId="77777777" w:rsidR="003A240C" w:rsidRDefault="003A240C" w:rsidP="003A240C">
            <w:pPr>
              <w:ind w:firstLine="360"/>
              <w:jc w:val="both"/>
            </w:pPr>
            <w:r>
              <w:t xml:space="preserve">(1) Par augu aizsardzības līdzekļu ievešanai Latvijā noteikto prasību pārkāpšanu — </w:t>
            </w:r>
          </w:p>
          <w:p w14:paraId="279C6BF9" w14:textId="77777777" w:rsidR="003A240C" w:rsidRDefault="003A240C" w:rsidP="003A240C">
            <w:pPr>
              <w:ind w:firstLine="360"/>
              <w:jc w:val="both"/>
            </w:pPr>
            <w:r>
              <w:t>piemēro brīdinājumu vai naudas sodu fiziskām personām no sešām</w:t>
            </w:r>
            <w:proofErr w:type="gramStart"/>
            <w:r>
              <w:t xml:space="preserve"> līdz četrsimt naudas soda vienībām</w:t>
            </w:r>
            <w:proofErr w:type="gramEnd"/>
            <w:r>
              <w:t>, bet juridiskām personām — no četrpadsmit līdz divtūkstoš naudas soda vienībām.</w:t>
            </w:r>
          </w:p>
          <w:p w14:paraId="57D2807D" w14:textId="77777777" w:rsidR="003A240C" w:rsidRDefault="003A240C" w:rsidP="003A240C">
            <w:pPr>
              <w:ind w:firstLine="360"/>
              <w:jc w:val="both"/>
            </w:pPr>
            <w:r>
              <w:t>(2) Par augu karantīnas organismu, kā arī augu, augu produktu un ar tiem saskarē nonākušo priekšmetu ievešanu Latvijā, ja tie neatbilst fitosanitārajām prasībām</w:t>
            </w:r>
            <w:proofErr w:type="gramStart"/>
            <w:r>
              <w:t xml:space="preserve"> vai ir ar neatbilstošiem dokumentiem vai bez tiem</w:t>
            </w:r>
            <w:proofErr w:type="gramEnd"/>
            <w:r>
              <w:t xml:space="preserve"> —</w:t>
            </w:r>
          </w:p>
          <w:p w14:paraId="41981ACB" w14:textId="77777777" w:rsidR="003A240C" w:rsidRDefault="003A240C" w:rsidP="003A240C">
            <w:pPr>
              <w:ind w:firstLine="360"/>
              <w:jc w:val="both"/>
            </w:pPr>
            <w:r>
              <w:lastRenderedPageBreak/>
              <w:t>piemēro naudas sodu fiziskajām personām no divdesmit</w:t>
            </w:r>
            <w:proofErr w:type="gramStart"/>
            <w:r>
              <w:t xml:space="preserve"> līdz četrsimt naudas soda vienībām</w:t>
            </w:r>
            <w:proofErr w:type="gramEnd"/>
            <w:r>
              <w:t>, bet juridiskajām personām — no sešdesmit līdz tūkstoš četrsimt naudas soda vienībām.</w:t>
            </w:r>
          </w:p>
          <w:p w14:paraId="19081809" w14:textId="77777777" w:rsidR="003A240C" w:rsidRDefault="003A240C" w:rsidP="003A240C">
            <w:pPr>
              <w:ind w:firstLine="360"/>
              <w:jc w:val="both"/>
            </w:pPr>
            <w:r>
              <w:t xml:space="preserve">(3) Par invazīvo augu sugu sarakstā iekļauto augu sugu ievešanu Latvijā — </w:t>
            </w:r>
          </w:p>
          <w:p w14:paraId="62E2AE73" w14:textId="668ED4DB" w:rsidR="00AE4C1F" w:rsidRPr="006D5B21" w:rsidRDefault="003A240C" w:rsidP="003A240C">
            <w:pPr>
              <w:ind w:firstLine="360"/>
              <w:jc w:val="both"/>
            </w:pPr>
            <w:r>
              <w:t>piemēro naudas sodu fiziskajām personām no divdesmit līdz simt četrdesmit naudas soda vienībām, bet juridiskajām personām — no sešdesmit naudas soda vienībām līdz sešsimt naudas soda vienībām.</w:t>
            </w:r>
          </w:p>
        </w:tc>
        <w:tc>
          <w:tcPr>
            <w:tcW w:w="4751" w:type="dxa"/>
            <w:tcBorders>
              <w:left w:val="single" w:sz="6" w:space="0" w:color="000000"/>
              <w:bottom w:val="single" w:sz="4" w:space="0" w:color="auto"/>
              <w:right w:val="single" w:sz="6" w:space="0" w:color="000000"/>
            </w:tcBorders>
          </w:tcPr>
          <w:p w14:paraId="7641AF35" w14:textId="77777777" w:rsidR="00AE4C1F" w:rsidRPr="00827BF0" w:rsidRDefault="00AE4C1F" w:rsidP="00AE4C1F">
            <w:pPr>
              <w:jc w:val="center"/>
              <w:rPr>
                <w:b/>
                <w:u w:val="single"/>
              </w:rPr>
            </w:pPr>
            <w:r>
              <w:rPr>
                <w:b/>
                <w:u w:val="single"/>
              </w:rPr>
              <w:lastRenderedPageBreak/>
              <w:t>Vides aizsardzības un reģionālās attīstības ministrija</w:t>
            </w:r>
            <w:r w:rsidRPr="00827BF0">
              <w:rPr>
                <w:b/>
                <w:u w:val="single"/>
              </w:rPr>
              <w:t>:</w:t>
            </w:r>
          </w:p>
          <w:p w14:paraId="37E8B66F" w14:textId="77777777" w:rsidR="00AE4C1F" w:rsidRPr="004A79CD" w:rsidRDefault="00AE4C1F" w:rsidP="00AE4C1F">
            <w:pPr>
              <w:contextualSpacing/>
              <w:jc w:val="both"/>
            </w:pPr>
            <w:r w:rsidRPr="004A79CD">
              <w:t xml:space="preserve">Ņemot vērā 4., 5., un 6. iebildumā minēto, uzskatām, ka nepieciešams papildināt likumprojekta 2. pantā izteikto VI nodaļu šādā redakcijā: </w:t>
            </w:r>
          </w:p>
          <w:p w14:paraId="75AB81CF" w14:textId="77777777" w:rsidR="00AE4C1F" w:rsidRPr="004A79CD" w:rsidRDefault="00AE4C1F" w:rsidP="00AE4C1F">
            <w:pPr>
              <w:ind w:left="720"/>
              <w:contextualSpacing/>
              <w:jc w:val="both"/>
            </w:pPr>
          </w:p>
          <w:p w14:paraId="4F9FD8F6" w14:textId="77777777" w:rsidR="00AE4C1F" w:rsidRPr="004A79CD" w:rsidRDefault="00AE4C1F" w:rsidP="00AE4C1F">
            <w:pPr>
              <w:contextualSpacing/>
              <w:jc w:val="both"/>
            </w:pPr>
            <w:r w:rsidRPr="004A79CD">
              <w:t>“25. pants. Administratīvā atbildība par invazīvo augu sugu izplatības pieļaušanu.</w:t>
            </w:r>
          </w:p>
          <w:p w14:paraId="42532B76" w14:textId="17B78EF9" w:rsidR="00AE4C1F" w:rsidRPr="004A79CD" w:rsidRDefault="00AE4C1F" w:rsidP="00AE4C1F">
            <w:pPr>
              <w:numPr>
                <w:ilvl w:val="0"/>
                <w:numId w:val="25"/>
              </w:numPr>
              <w:ind w:left="539"/>
              <w:contextualSpacing/>
              <w:jc w:val="both"/>
            </w:pPr>
            <w:r w:rsidRPr="004A79CD">
              <w:t xml:space="preserve">Par invazīvo augu sugu, izņemot ūdensaugus, izplatības pieļaušanu (izplatības ierobežošanas pasākumu neīstenošanu, audzēšanu, vairošanās pieļaušanu) — piemēro brīdinājumu vai naudas sodu fiziskajām personām no </w:t>
            </w:r>
            <w:r w:rsidR="003A240C">
              <w:t>desmit</w:t>
            </w:r>
            <w:proofErr w:type="gramStart"/>
            <w:r w:rsidRPr="004A79CD">
              <w:t xml:space="preserve"> līdz trīssimt naudas soda vienībām</w:t>
            </w:r>
            <w:proofErr w:type="gramEnd"/>
            <w:r w:rsidRPr="004A79CD">
              <w:t>, bet juridiskajām personām — no sešdesmit līdz sešsimt naudas soda vienībām;</w:t>
            </w:r>
          </w:p>
          <w:p w14:paraId="0BB71C65" w14:textId="77777777" w:rsidR="00AE4C1F" w:rsidRPr="004A79CD" w:rsidRDefault="00AE4C1F" w:rsidP="00AE4C1F">
            <w:pPr>
              <w:numPr>
                <w:ilvl w:val="0"/>
                <w:numId w:val="26"/>
              </w:numPr>
              <w:ind w:left="539"/>
              <w:contextualSpacing/>
              <w:jc w:val="both"/>
            </w:pPr>
            <w:r w:rsidRPr="004A79CD">
              <w:t xml:space="preserve">Par atļaujas, kas izsniegta saskaņā ar normatīvajiem aktiem par atļauju izsniegšanu invazīvajām sugām, nosacījumu neievērošanu, veicot darbības zinātniskos vai pētnieciskos nolūkos: piemēro naudas sodu fiziskajām personām no četrpadsmit līdz simt četrdesmit, bet juridiskajām personām – </w:t>
            </w:r>
            <w:r w:rsidRPr="004A79CD">
              <w:lastRenderedPageBreak/>
              <w:t>no divdesmit astoņām līdz pieci simti astoņdesmit naudas soda vienībām;</w:t>
            </w:r>
          </w:p>
          <w:p w14:paraId="0AC90FF5" w14:textId="6128F0EA" w:rsidR="00AE4C1F" w:rsidRDefault="00AE4C1F" w:rsidP="00AE4C1F">
            <w:pPr>
              <w:numPr>
                <w:ilvl w:val="0"/>
                <w:numId w:val="26"/>
              </w:numPr>
              <w:ind w:left="539"/>
              <w:contextualSpacing/>
              <w:jc w:val="both"/>
            </w:pPr>
            <w:r w:rsidRPr="004A79CD">
              <w:t>Par invazīvo augu sugu tirdzniecību vai nodošanu citām personām: piemēro naudas sodu fiziskajām personām no divdesmit līdz simt četrdesmit naudas soda vienībām, bet juridiskajām personām — no sešdesmit naudas soda vienībām līdz sešsimt naudas soda vienībām.</w:t>
            </w:r>
          </w:p>
          <w:p w14:paraId="7AAF2F86" w14:textId="77777777" w:rsidR="003A240C" w:rsidRPr="004A79CD" w:rsidRDefault="003A240C" w:rsidP="003A240C">
            <w:pPr>
              <w:ind w:left="539"/>
              <w:contextualSpacing/>
              <w:jc w:val="both"/>
            </w:pPr>
          </w:p>
          <w:p w14:paraId="5E75E57F" w14:textId="77777777" w:rsidR="00AE4C1F" w:rsidRPr="004A79CD" w:rsidRDefault="00AE4C1F" w:rsidP="00AE4C1F">
            <w:pPr>
              <w:contextualSpacing/>
              <w:jc w:val="both"/>
            </w:pPr>
            <w:r w:rsidRPr="004A79CD">
              <w:t>26. pants. Administratīvā atbildība par augu karantīnas organismu, augu, augu produktu, ar tiem saskarē nonākušo priekšmetu un augu aizsardzības līdzekļu, kā arī invazīvo augu ievešanas prasību pārkāpšanu</w:t>
            </w:r>
          </w:p>
          <w:p w14:paraId="6BF21B84" w14:textId="77777777" w:rsidR="00AE4C1F" w:rsidRPr="004A79CD" w:rsidRDefault="00AE4C1F" w:rsidP="00AE4C1F">
            <w:pPr>
              <w:numPr>
                <w:ilvl w:val="0"/>
                <w:numId w:val="27"/>
              </w:numPr>
              <w:ind w:left="539"/>
              <w:contextualSpacing/>
              <w:jc w:val="both"/>
            </w:pPr>
            <w:r w:rsidRPr="004A79CD">
              <w:t>Par invazīvo augu sugu sarakstā iekļauto augu apzinātu ievešanu un transportēšanu (izņemot sugas transportēšanu uz objektu saistībā ar izskaušanu) Latvijā, vešanu tranzītā vai transportēšanu uz citām valstīm: piemēro naudas sodu fiziskajām personām no divdesmit līdz simt četrdesmit naudas soda vienībām, bet juridiskajām personām — no sešdesmit naudas soda vienībām līdz sešsimt naudas soda vienībām.”</w:t>
            </w:r>
          </w:p>
          <w:p w14:paraId="2D4B5150" w14:textId="6A0E0BD4" w:rsidR="00AE4C1F" w:rsidRDefault="00AE4C1F" w:rsidP="00AE4C1F">
            <w:pPr>
              <w:jc w:val="both"/>
              <w:rPr>
                <w:b/>
                <w:u w:val="single"/>
              </w:rPr>
            </w:pPr>
          </w:p>
        </w:tc>
        <w:tc>
          <w:tcPr>
            <w:tcW w:w="2247" w:type="dxa"/>
            <w:tcBorders>
              <w:left w:val="single" w:sz="6" w:space="0" w:color="000000"/>
              <w:bottom w:val="single" w:sz="4" w:space="0" w:color="auto"/>
              <w:right w:val="single" w:sz="6" w:space="0" w:color="000000"/>
            </w:tcBorders>
          </w:tcPr>
          <w:p w14:paraId="3D6ADC72" w14:textId="77777777" w:rsidR="003A240C" w:rsidRDefault="003A240C" w:rsidP="003A240C">
            <w:pPr>
              <w:pStyle w:val="naisc"/>
              <w:spacing w:before="0" w:after="0"/>
              <w:jc w:val="both"/>
            </w:pPr>
            <w:r>
              <w:lastRenderedPageBreak/>
              <w:t>Ņ</w:t>
            </w:r>
            <w:r w:rsidRPr="004F77DC">
              <w:t>emts vērā.</w:t>
            </w:r>
          </w:p>
          <w:p w14:paraId="3D7B343E" w14:textId="77777777" w:rsidR="00AE4C1F" w:rsidRPr="00827BF0" w:rsidRDefault="00AE4C1F" w:rsidP="006D5B21">
            <w:pPr>
              <w:pStyle w:val="naisc"/>
              <w:spacing w:before="0" w:after="0"/>
              <w:jc w:val="both"/>
            </w:pPr>
          </w:p>
        </w:tc>
        <w:tc>
          <w:tcPr>
            <w:tcW w:w="3000" w:type="dxa"/>
            <w:tcBorders>
              <w:top w:val="single" w:sz="4" w:space="0" w:color="auto"/>
              <w:left w:val="single" w:sz="4" w:space="0" w:color="auto"/>
              <w:bottom w:val="single" w:sz="4" w:space="0" w:color="auto"/>
            </w:tcBorders>
          </w:tcPr>
          <w:p w14:paraId="046B40B2" w14:textId="77777777" w:rsidR="003A240C" w:rsidRDefault="003A240C" w:rsidP="003A240C">
            <w:pPr>
              <w:ind w:firstLine="360"/>
              <w:jc w:val="both"/>
            </w:pPr>
            <w:r>
              <w:t xml:space="preserve">25. pants. Administratīvā atbildība par invazīvo augu sugu izplatības pieļaušanu </w:t>
            </w:r>
          </w:p>
          <w:p w14:paraId="360FC285" w14:textId="77777777" w:rsidR="003A240C" w:rsidRDefault="003A240C" w:rsidP="003A240C">
            <w:pPr>
              <w:ind w:firstLine="360"/>
              <w:jc w:val="both"/>
            </w:pPr>
            <w:r>
              <w:t xml:space="preserve">(1) Par invazīvo augu sugu, izņemot ūdensaugus, izplatības pieļaušanu, tajā skaitā audzēšanu, ierobežošanas pasākumu neīstenošanu, vairošanās pieļaušanu un pārvietošanu, izņemot pārvietošanu saistībā ar izskaušanu — </w:t>
            </w:r>
          </w:p>
          <w:p w14:paraId="15A63918" w14:textId="77777777" w:rsidR="003A240C" w:rsidRDefault="003A240C" w:rsidP="003A240C">
            <w:pPr>
              <w:ind w:firstLine="360"/>
              <w:jc w:val="both"/>
            </w:pPr>
            <w:r>
              <w:t>piemēro brīdinājumu vai naudas sodu fiziskajām personām no desmit</w:t>
            </w:r>
            <w:proofErr w:type="gramStart"/>
            <w:r>
              <w:t xml:space="preserve"> līdz trīssimt naudas soda vienībām</w:t>
            </w:r>
            <w:proofErr w:type="gramEnd"/>
            <w:r>
              <w:t xml:space="preserve">, bet juridiskajām personām — no sešdesmit līdz sešsimt naudas soda vienībām. </w:t>
            </w:r>
          </w:p>
          <w:p w14:paraId="18C5F983" w14:textId="77777777" w:rsidR="003A240C" w:rsidRDefault="003A240C" w:rsidP="003A240C">
            <w:pPr>
              <w:ind w:firstLine="360"/>
              <w:jc w:val="both"/>
            </w:pPr>
            <w:r>
              <w:t xml:space="preserve">(2) Par invazīvo augu sugu tirdzniecību, laišanu tirgū, maiņu vai jebkādu citādu nodošanu citām personām — </w:t>
            </w:r>
          </w:p>
          <w:p w14:paraId="7E01DDD8" w14:textId="77777777" w:rsidR="003A240C" w:rsidRDefault="003A240C" w:rsidP="003A240C">
            <w:pPr>
              <w:ind w:firstLine="360"/>
              <w:jc w:val="both"/>
            </w:pPr>
            <w:r>
              <w:t xml:space="preserve">piemēro naudas sodu fiziskajām personām no </w:t>
            </w:r>
            <w:r>
              <w:lastRenderedPageBreak/>
              <w:t xml:space="preserve">divdesmit līdz simt četrdesmit naudas soda vienībām, bet juridiskajām personām — no sešdesmit līdz sešsimt naudas soda vienībām. </w:t>
            </w:r>
          </w:p>
          <w:p w14:paraId="67B6F481" w14:textId="77777777" w:rsidR="003A240C" w:rsidRDefault="003A240C" w:rsidP="003A240C">
            <w:pPr>
              <w:ind w:firstLine="360"/>
              <w:jc w:val="both"/>
            </w:pPr>
            <w:r>
              <w:t>(3) Par atļaujas darbībām ar invazīvām sugām nosacījumu neievērošanu – uzliek naudas sodu fiziskajām personām no četrpadsmit līdz simt četrdesmit, bet juridiskajām personām – no divdesmit astoņām līdz pieci simti astoņdesmit naudas soda vienībām</w:t>
            </w:r>
          </w:p>
          <w:p w14:paraId="4D220AC6" w14:textId="77777777" w:rsidR="003A240C" w:rsidRDefault="003A240C" w:rsidP="003A240C">
            <w:pPr>
              <w:ind w:firstLine="360"/>
              <w:jc w:val="both"/>
            </w:pPr>
            <w:r>
              <w:t xml:space="preserve">(4) Par informācijas nesniegšanu Valsts augu aizsardzības dienestam par invazīvo augu sugu, izņemot ūdensaugus, </w:t>
            </w:r>
            <w:proofErr w:type="spellStart"/>
            <w:r>
              <w:t>invadētajām</w:t>
            </w:r>
            <w:proofErr w:type="spellEnd"/>
            <w:r>
              <w:t xml:space="preserve"> platībām — </w:t>
            </w:r>
          </w:p>
          <w:p w14:paraId="2E042286" w14:textId="77777777" w:rsidR="003A240C" w:rsidRDefault="003A240C" w:rsidP="003A240C">
            <w:pPr>
              <w:ind w:firstLine="360"/>
              <w:jc w:val="both"/>
            </w:pPr>
            <w:r>
              <w:t>piemēro brīdinājumu vai naudas sodu fiziskajām personām no divām</w:t>
            </w:r>
            <w:proofErr w:type="gramStart"/>
            <w:r>
              <w:t xml:space="preserve"> līdz divdesmit naudas soda vienībām</w:t>
            </w:r>
            <w:proofErr w:type="gramEnd"/>
            <w:r>
              <w:t>, bet juridiskajām personām — no desmit līdz četrdesmit naudas soda vienībām.</w:t>
            </w:r>
          </w:p>
          <w:p w14:paraId="6FAD4B4A" w14:textId="77777777" w:rsidR="003A240C" w:rsidRDefault="003A240C" w:rsidP="003A240C">
            <w:pPr>
              <w:ind w:firstLine="360"/>
              <w:jc w:val="both"/>
            </w:pPr>
          </w:p>
          <w:p w14:paraId="662E4334" w14:textId="77777777" w:rsidR="003A240C" w:rsidRDefault="003A240C" w:rsidP="003A240C">
            <w:pPr>
              <w:ind w:firstLine="360"/>
              <w:jc w:val="both"/>
            </w:pPr>
            <w:r>
              <w:lastRenderedPageBreak/>
              <w:t xml:space="preserve">26. pants. Administratīvā atbildība par augu karantīnas organismu, augu, augu produktu un ar tiem saskarē nonākušo priekšmetu un augu aizsardzības līdzekļu, kā arī invazīvo augu ievešanas prasību pārkāpšanu </w:t>
            </w:r>
          </w:p>
          <w:p w14:paraId="60E10592" w14:textId="77777777" w:rsidR="003A240C" w:rsidRDefault="003A240C" w:rsidP="003A240C">
            <w:pPr>
              <w:ind w:firstLine="360"/>
              <w:jc w:val="both"/>
            </w:pPr>
            <w:r>
              <w:t xml:space="preserve">(1) Par augu aizsardzības līdzekļu ievešanai Latvijā noteikto prasību pārkāpšanu — </w:t>
            </w:r>
          </w:p>
          <w:p w14:paraId="339F90D3" w14:textId="77777777" w:rsidR="003A240C" w:rsidRDefault="003A240C" w:rsidP="003A240C">
            <w:pPr>
              <w:ind w:firstLine="360"/>
              <w:jc w:val="both"/>
            </w:pPr>
            <w:r>
              <w:t>piemēro brīdinājumu vai naudas sodu fiziskām personām no sešām</w:t>
            </w:r>
            <w:proofErr w:type="gramStart"/>
            <w:r>
              <w:t xml:space="preserve"> līdz četrsimt naudas soda vienībām</w:t>
            </w:r>
            <w:proofErr w:type="gramEnd"/>
            <w:r>
              <w:t>, bet juridiskām personām — no četrpadsmit līdz divtūkstoš naudas soda vienībām.</w:t>
            </w:r>
          </w:p>
          <w:p w14:paraId="5864CA51" w14:textId="77777777" w:rsidR="003A240C" w:rsidRDefault="003A240C" w:rsidP="003A240C">
            <w:pPr>
              <w:ind w:firstLine="360"/>
              <w:jc w:val="both"/>
            </w:pPr>
            <w:r>
              <w:t>(2) Par augu karantīnas organismu, kā arī augu, augu produktu un ar tiem saskarē nonākušo priekšmetu ievešanu Latvijā, ja tie neatbilst fitosanitārajām prasībām</w:t>
            </w:r>
            <w:proofErr w:type="gramStart"/>
            <w:r>
              <w:t xml:space="preserve"> vai ir ar neatbilstošiem dokumentiem vai bez tiem</w:t>
            </w:r>
            <w:proofErr w:type="gramEnd"/>
            <w:r>
              <w:t xml:space="preserve"> —</w:t>
            </w:r>
          </w:p>
          <w:p w14:paraId="2DB26C61" w14:textId="77777777" w:rsidR="003A240C" w:rsidRDefault="003A240C" w:rsidP="003A240C">
            <w:pPr>
              <w:ind w:firstLine="360"/>
              <w:jc w:val="both"/>
            </w:pPr>
            <w:r>
              <w:t xml:space="preserve">piemēro naudas sodu fiziskajām personām no </w:t>
            </w:r>
            <w:r>
              <w:lastRenderedPageBreak/>
              <w:t>divdesmit</w:t>
            </w:r>
            <w:proofErr w:type="gramStart"/>
            <w:r>
              <w:t xml:space="preserve"> līdz četrsimt naudas soda vienībām</w:t>
            </w:r>
            <w:proofErr w:type="gramEnd"/>
            <w:r>
              <w:t>, bet juridiskajām personām — no sešdesmit līdz tūkstoš četrsimt naudas soda vienībām.</w:t>
            </w:r>
          </w:p>
          <w:p w14:paraId="3114F022" w14:textId="77777777" w:rsidR="003A240C" w:rsidRDefault="003A240C" w:rsidP="003A240C">
            <w:pPr>
              <w:ind w:firstLine="360"/>
              <w:jc w:val="both"/>
            </w:pPr>
            <w:r>
              <w:t xml:space="preserve">(3) Par invazīvo augu sugu sarakstā iekļauto augu sugu ievešanu Latvijā — </w:t>
            </w:r>
          </w:p>
          <w:p w14:paraId="3A90019F" w14:textId="0B4D0B6A" w:rsidR="00AE4C1F" w:rsidRPr="006D5B21" w:rsidRDefault="003A240C" w:rsidP="003A240C">
            <w:pPr>
              <w:ind w:firstLine="360"/>
              <w:jc w:val="both"/>
            </w:pPr>
            <w:r>
              <w:t>piemēro naudas sodu fiziskajām personām no divdesmit līdz simt četrdesmit naudas soda vienībām, bet juridiskajām personām — no sešdesmit naudas soda vienībām līdz sešsimt naudas soda vienībām.</w:t>
            </w:r>
          </w:p>
        </w:tc>
      </w:tr>
    </w:tbl>
    <w:tbl>
      <w:tblPr>
        <w:tblW w:w="7951" w:type="dxa"/>
        <w:tblInd w:w="-492" w:type="dxa"/>
        <w:tblLayout w:type="fixed"/>
        <w:tblLook w:val="00A0" w:firstRow="1" w:lastRow="0" w:firstColumn="1" w:lastColumn="0" w:noHBand="0" w:noVBand="0"/>
      </w:tblPr>
      <w:tblGrid>
        <w:gridCol w:w="2619"/>
        <w:gridCol w:w="5332"/>
      </w:tblGrid>
      <w:tr w:rsidR="00453E27" w:rsidRPr="00A376FC" w14:paraId="53DB984C" w14:textId="77777777" w:rsidTr="00A0363F">
        <w:tc>
          <w:tcPr>
            <w:tcW w:w="2619" w:type="dxa"/>
          </w:tcPr>
          <w:p w14:paraId="6B401187" w14:textId="77777777" w:rsidR="00457F6D" w:rsidRDefault="00457F6D" w:rsidP="00A819FB">
            <w:pPr>
              <w:pStyle w:val="naiskr"/>
              <w:spacing w:before="0" w:after="0"/>
              <w:jc w:val="both"/>
            </w:pPr>
          </w:p>
          <w:p w14:paraId="0644334B" w14:textId="1C650A12" w:rsidR="00453E27" w:rsidRPr="00A376FC" w:rsidRDefault="00453E27" w:rsidP="00A819FB">
            <w:pPr>
              <w:pStyle w:val="naiskr"/>
              <w:spacing w:before="0" w:after="0"/>
              <w:jc w:val="both"/>
            </w:pPr>
            <w:r w:rsidRPr="00A376FC">
              <w:t>Atbildīgā amatpersona</w:t>
            </w:r>
          </w:p>
        </w:tc>
        <w:tc>
          <w:tcPr>
            <w:tcW w:w="5332" w:type="dxa"/>
          </w:tcPr>
          <w:p w14:paraId="01707F98" w14:textId="77777777" w:rsidR="00453E27" w:rsidRPr="00A376FC" w:rsidRDefault="00453E27" w:rsidP="00A0363F">
            <w:pPr>
              <w:pStyle w:val="naiskr"/>
              <w:spacing w:before="0" w:after="0"/>
              <w:ind w:left="-730" w:right="688"/>
              <w:jc w:val="both"/>
            </w:pPr>
          </w:p>
        </w:tc>
      </w:tr>
      <w:tr w:rsidR="00453E27" w:rsidRPr="00A376FC" w14:paraId="72A19DB0" w14:textId="77777777" w:rsidTr="00A0363F">
        <w:tc>
          <w:tcPr>
            <w:tcW w:w="2619" w:type="dxa"/>
          </w:tcPr>
          <w:p w14:paraId="2A6E90A6" w14:textId="77777777" w:rsidR="00453E27" w:rsidRPr="00A376FC" w:rsidRDefault="00453E27" w:rsidP="00A819FB">
            <w:pPr>
              <w:pStyle w:val="naiskr"/>
              <w:spacing w:before="0" w:after="0"/>
              <w:ind w:firstLine="720"/>
              <w:jc w:val="both"/>
            </w:pPr>
          </w:p>
        </w:tc>
        <w:tc>
          <w:tcPr>
            <w:tcW w:w="5332" w:type="dxa"/>
            <w:tcBorders>
              <w:top w:val="single" w:sz="6" w:space="0" w:color="000000"/>
            </w:tcBorders>
          </w:tcPr>
          <w:p w14:paraId="6EB00AF7" w14:textId="77777777" w:rsidR="00453E27" w:rsidRPr="00A376FC" w:rsidRDefault="00453E27" w:rsidP="00A0363F">
            <w:pPr>
              <w:pStyle w:val="naisc"/>
              <w:spacing w:before="0" w:after="0"/>
              <w:ind w:firstLine="1876"/>
              <w:jc w:val="both"/>
            </w:pPr>
            <w:r w:rsidRPr="00A376FC">
              <w:t>(paraksts)*</w:t>
            </w:r>
          </w:p>
        </w:tc>
      </w:tr>
    </w:tbl>
    <w:p w14:paraId="3D2B61CC" w14:textId="68485982" w:rsidR="00453E27" w:rsidRDefault="00A0363F" w:rsidP="00453E27">
      <w:pPr>
        <w:pStyle w:val="naisf"/>
        <w:spacing w:before="0" w:after="0"/>
        <w:ind w:firstLine="0"/>
      </w:pPr>
      <w:r>
        <w:tab/>
      </w:r>
      <w:r w:rsidR="00067907" w:rsidRPr="00827BF0">
        <w:t>Piezīme. * Dokumenta rekvizītu "paraksts" neaizpilda, ja elektroniskais dokuments ir sagatavots atbilstoši normatīvajiem aktiem par elektronisko dokumentu noformēšanu.</w:t>
      </w:r>
    </w:p>
    <w:p w14:paraId="5689390E" w14:textId="77777777" w:rsidR="00457F6D" w:rsidRDefault="00457F6D" w:rsidP="00453E27">
      <w:pPr>
        <w:pStyle w:val="naisf"/>
        <w:spacing w:before="0" w:after="0"/>
        <w:ind w:firstLine="0"/>
      </w:pPr>
    </w:p>
    <w:p w14:paraId="4453A880" w14:textId="06860204" w:rsidR="007A0349" w:rsidRPr="00827BF0" w:rsidRDefault="0046391F" w:rsidP="00A0363F">
      <w:pPr>
        <w:pStyle w:val="naisf"/>
        <w:spacing w:before="0" w:after="0"/>
        <w:ind w:firstLine="3828"/>
      </w:pPr>
      <w:r>
        <w:t xml:space="preserve">Kristīne </w:t>
      </w:r>
      <w:proofErr w:type="spellStart"/>
      <w:r>
        <w:t>Lifānova</w:t>
      </w:r>
      <w:proofErr w:type="spellEnd"/>
    </w:p>
    <w:tbl>
      <w:tblPr>
        <w:tblpPr w:leftFromText="180" w:rightFromText="180" w:vertAnchor="text" w:horzAnchor="page" w:tblpX="1609" w:tblpY="18"/>
        <w:tblW w:w="0" w:type="auto"/>
        <w:tblLook w:val="00A0" w:firstRow="1" w:lastRow="0" w:firstColumn="1" w:lastColumn="0" w:noHBand="0" w:noVBand="0"/>
      </w:tblPr>
      <w:tblGrid>
        <w:gridCol w:w="8268"/>
      </w:tblGrid>
      <w:tr w:rsidR="007A0349" w:rsidRPr="00827BF0" w14:paraId="75E61F52" w14:textId="77777777" w:rsidTr="00453E27">
        <w:tc>
          <w:tcPr>
            <w:tcW w:w="8268" w:type="dxa"/>
            <w:tcBorders>
              <w:top w:val="single" w:sz="4" w:space="0" w:color="000000"/>
            </w:tcBorders>
          </w:tcPr>
          <w:p w14:paraId="587404B9" w14:textId="77777777" w:rsidR="007A0349" w:rsidRPr="00827BF0" w:rsidRDefault="007A0349" w:rsidP="00A0363F">
            <w:pPr>
              <w:jc w:val="center"/>
            </w:pPr>
            <w:r w:rsidRPr="00827BF0">
              <w:t>(par projektu atbildīgās amatpersonas vārds un uzvārds)</w:t>
            </w:r>
          </w:p>
        </w:tc>
      </w:tr>
      <w:tr w:rsidR="007A0349" w:rsidRPr="00827BF0" w14:paraId="49B5F605" w14:textId="77777777" w:rsidTr="00453E27">
        <w:tc>
          <w:tcPr>
            <w:tcW w:w="8268" w:type="dxa"/>
            <w:tcBorders>
              <w:bottom w:val="single" w:sz="4" w:space="0" w:color="000000"/>
            </w:tcBorders>
          </w:tcPr>
          <w:p w14:paraId="184C7F22" w14:textId="5934232D" w:rsidR="007A0349" w:rsidRPr="00827BF0" w:rsidRDefault="007A0349" w:rsidP="00A0363F">
            <w:pPr>
              <w:widowControl w:val="0"/>
              <w:jc w:val="center"/>
            </w:pPr>
            <w:r w:rsidRPr="00827BF0">
              <w:t>Valsts augu aizsardzības dienesta direktor</w:t>
            </w:r>
            <w:r w:rsidR="0046391F">
              <w:t>e</w:t>
            </w:r>
          </w:p>
        </w:tc>
      </w:tr>
      <w:tr w:rsidR="007A0349" w:rsidRPr="00827BF0" w14:paraId="35934AD5" w14:textId="77777777" w:rsidTr="00453E27">
        <w:tc>
          <w:tcPr>
            <w:tcW w:w="8268" w:type="dxa"/>
            <w:tcBorders>
              <w:top w:val="single" w:sz="4" w:space="0" w:color="000000"/>
            </w:tcBorders>
          </w:tcPr>
          <w:p w14:paraId="64AC0045" w14:textId="77777777" w:rsidR="007A0349" w:rsidRPr="00827BF0" w:rsidRDefault="007A0349" w:rsidP="00A0363F">
            <w:pPr>
              <w:jc w:val="center"/>
            </w:pPr>
            <w:r w:rsidRPr="00827BF0">
              <w:t>(amats)</w:t>
            </w:r>
          </w:p>
        </w:tc>
      </w:tr>
      <w:tr w:rsidR="007A0349" w:rsidRPr="00827BF0" w14:paraId="21C45934" w14:textId="77777777" w:rsidTr="00453E27">
        <w:tc>
          <w:tcPr>
            <w:tcW w:w="8268" w:type="dxa"/>
            <w:tcBorders>
              <w:bottom w:val="single" w:sz="4" w:space="0" w:color="000000"/>
            </w:tcBorders>
          </w:tcPr>
          <w:p w14:paraId="6EAA9934" w14:textId="77777777" w:rsidR="007A0349" w:rsidRPr="00827BF0" w:rsidRDefault="007A0349" w:rsidP="00A0363F">
            <w:pPr>
              <w:widowControl w:val="0"/>
              <w:jc w:val="center"/>
            </w:pPr>
            <w:r w:rsidRPr="00827BF0">
              <w:t xml:space="preserve">Tālr.: 67027309, </w:t>
            </w:r>
            <w:r w:rsidR="00A35F4B">
              <w:t>f</w:t>
            </w:r>
            <w:r w:rsidRPr="00827BF0">
              <w:t>akss: 67027302</w:t>
            </w:r>
          </w:p>
        </w:tc>
      </w:tr>
      <w:tr w:rsidR="007A0349" w:rsidRPr="00827BF0" w14:paraId="5C9289A5" w14:textId="77777777" w:rsidTr="00453E27">
        <w:tc>
          <w:tcPr>
            <w:tcW w:w="8268" w:type="dxa"/>
            <w:tcBorders>
              <w:top w:val="single" w:sz="4" w:space="0" w:color="000000"/>
            </w:tcBorders>
          </w:tcPr>
          <w:p w14:paraId="049ED65E" w14:textId="77777777" w:rsidR="007A0349" w:rsidRPr="00827BF0" w:rsidRDefault="007A0349" w:rsidP="00A0363F">
            <w:pPr>
              <w:jc w:val="center"/>
            </w:pPr>
            <w:r w:rsidRPr="00827BF0">
              <w:t>(tālruņa un faksa numurs)</w:t>
            </w:r>
          </w:p>
        </w:tc>
      </w:tr>
      <w:tr w:rsidR="007A0349" w:rsidRPr="00827BF0" w14:paraId="24CF548C" w14:textId="77777777" w:rsidTr="00453E27">
        <w:tc>
          <w:tcPr>
            <w:tcW w:w="8268" w:type="dxa"/>
            <w:tcBorders>
              <w:bottom w:val="single" w:sz="4" w:space="0" w:color="000000"/>
            </w:tcBorders>
          </w:tcPr>
          <w:p w14:paraId="7CB7734D" w14:textId="76018CAA" w:rsidR="007A0349" w:rsidRPr="00827BF0" w:rsidRDefault="00E76659" w:rsidP="00A0363F">
            <w:pPr>
              <w:widowControl w:val="0"/>
              <w:jc w:val="center"/>
            </w:pPr>
            <w:r>
              <w:t>kristine.l</w:t>
            </w:r>
            <w:r w:rsidR="00D32AC0">
              <w:t>ifanova</w:t>
            </w:r>
            <w:r w:rsidR="007A0349" w:rsidRPr="00827BF0">
              <w:t>@vaad.gov.lv</w:t>
            </w:r>
          </w:p>
        </w:tc>
      </w:tr>
      <w:tr w:rsidR="007A0349" w:rsidRPr="00827BF0" w14:paraId="1F7D1F4A" w14:textId="77777777" w:rsidTr="00453E27">
        <w:tc>
          <w:tcPr>
            <w:tcW w:w="8268" w:type="dxa"/>
            <w:tcBorders>
              <w:top w:val="single" w:sz="4" w:space="0" w:color="000000"/>
            </w:tcBorders>
          </w:tcPr>
          <w:p w14:paraId="40EB5733" w14:textId="77777777" w:rsidR="007A0349" w:rsidRPr="00827BF0" w:rsidRDefault="007A0349" w:rsidP="00A0363F">
            <w:pPr>
              <w:jc w:val="center"/>
            </w:pPr>
            <w:r w:rsidRPr="00827BF0">
              <w:t>(e-pasta adrese)</w:t>
            </w:r>
          </w:p>
        </w:tc>
      </w:tr>
    </w:tbl>
    <w:p w14:paraId="1E26129B" w14:textId="77777777" w:rsidR="00DE17BB" w:rsidRPr="00453E27" w:rsidRDefault="00DE17BB" w:rsidP="00453E27">
      <w:bookmarkStart w:id="0" w:name="_GoBack"/>
      <w:bookmarkEnd w:id="0"/>
    </w:p>
    <w:sectPr w:rsidR="00DE17BB" w:rsidRPr="00453E27" w:rsidSect="00A0363F">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35A2" w14:textId="77777777" w:rsidR="00CA7940" w:rsidRDefault="00CA7940">
      <w:r>
        <w:separator/>
      </w:r>
    </w:p>
  </w:endnote>
  <w:endnote w:type="continuationSeparator" w:id="0">
    <w:p w14:paraId="6D3B2E60" w14:textId="77777777" w:rsidR="00CA7940" w:rsidRDefault="00CA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84A3" w14:textId="484A5FC1" w:rsidR="00B32BCB" w:rsidRPr="00A0363F" w:rsidRDefault="00A0363F" w:rsidP="00A0363F">
    <w:pPr>
      <w:pStyle w:val="Kjene"/>
    </w:pPr>
    <w:r w:rsidRPr="00A0363F">
      <w:rPr>
        <w:sz w:val="20"/>
        <w:szCs w:val="20"/>
      </w:rPr>
      <w:t>ZMizz_200519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22DE" w14:textId="1324ABC1" w:rsidR="00B32BCB" w:rsidRPr="00A0363F" w:rsidRDefault="00A0363F" w:rsidP="00A0363F">
    <w:pPr>
      <w:pStyle w:val="Kjene"/>
    </w:pPr>
    <w:r w:rsidRPr="00A0363F">
      <w:rPr>
        <w:sz w:val="20"/>
        <w:szCs w:val="20"/>
      </w:rPr>
      <w:t>ZMizz_200519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DA10A" w14:textId="77777777" w:rsidR="00CA7940" w:rsidRDefault="00CA7940">
      <w:r>
        <w:separator/>
      </w:r>
    </w:p>
  </w:footnote>
  <w:footnote w:type="continuationSeparator" w:id="0">
    <w:p w14:paraId="71A48113" w14:textId="77777777" w:rsidR="00CA7940" w:rsidRDefault="00CA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6666" w14:textId="77777777" w:rsidR="00B32BCB" w:rsidRDefault="00B32BCB" w:rsidP="000679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752F05" w14:textId="77777777" w:rsidR="00B32BCB" w:rsidRDefault="00B32BC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AA68" w14:textId="6E3AED33" w:rsidR="00B32BCB" w:rsidRDefault="00B32BCB" w:rsidP="000679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363F">
      <w:rPr>
        <w:rStyle w:val="Lappusesnumurs"/>
        <w:noProof/>
      </w:rPr>
      <w:t>10</w:t>
    </w:r>
    <w:r>
      <w:rPr>
        <w:rStyle w:val="Lappusesnumurs"/>
      </w:rPr>
      <w:fldChar w:fldCharType="end"/>
    </w:r>
  </w:p>
  <w:p w14:paraId="27F54301" w14:textId="77777777" w:rsidR="00B32BCB" w:rsidRDefault="00B32B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73A"/>
    <w:multiLevelType w:val="hybridMultilevel"/>
    <w:tmpl w:val="1552404C"/>
    <w:lvl w:ilvl="0" w:tplc="BBFC68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1">
    <w:nsid w:val="011D51F9"/>
    <w:multiLevelType w:val="hybridMultilevel"/>
    <w:tmpl w:val="23328D18"/>
    <w:lvl w:ilvl="0" w:tplc="1D467516">
      <w:start w:val="3"/>
      <w:numFmt w:val="decimal"/>
      <w:lvlText w:val="(%1)"/>
      <w:lvlJc w:val="left"/>
      <w:pPr>
        <w:ind w:left="1215" w:hanging="495"/>
      </w:pPr>
      <w:rPr>
        <w:rFonts w:hint="default"/>
      </w:rPr>
    </w:lvl>
    <w:lvl w:ilvl="1" w:tplc="5016D730" w:tentative="1">
      <w:start w:val="1"/>
      <w:numFmt w:val="lowerLetter"/>
      <w:lvlText w:val="%2."/>
      <w:lvlJc w:val="left"/>
      <w:pPr>
        <w:ind w:left="1440" w:hanging="360"/>
      </w:pPr>
    </w:lvl>
    <w:lvl w:ilvl="2" w:tplc="F594DD7C" w:tentative="1">
      <w:start w:val="1"/>
      <w:numFmt w:val="lowerRoman"/>
      <w:lvlText w:val="%3."/>
      <w:lvlJc w:val="right"/>
      <w:pPr>
        <w:ind w:left="2160" w:hanging="180"/>
      </w:pPr>
    </w:lvl>
    <w:lvl w:ilvl="3" w:tplc="86B6952E" w:tentative="1">
      <w:start w:val="1"/>
      <w:numFmt w:val="decimal"/>
      <w:lvlText w:val="%4."/>
      <w:lvlJc w:val="left"/>
      <w:pPr>
        <w:ind w:left="2880" w:hanging="360"/>
      </w:pPr>
    </w:lvl>
    <w:lvl w:ilvl="4" w:tplc="726871F0" w:tentative="1">
      <w:start w:val="1"/>
      <w:numFmt w:val="lowerLetter"/>
      <w:lvlText w:val="%5."/>
      <w:lvlJc w:val="left"/>
      <w:pPr>
        <w:ind w:left="3600" w:hanging="360"/>
      </w:pPr>
    </w:lvl>
    <w:lvl w:ilvl="5" w:tplc="6ABE5B14" w:tentative="1">
      <w:start w:val="1"/>
      <w:numFmt w:val="lowerRoman"/>
      <w:lvlText w:val="%6."/>
      <w:lvlJc w:val="right"/>
      <w:pPr>
        <w:ind w:left="4320" w:hanging="180"/>
      </w:pPr>
    </w:lvl>
    <w:lvl w:ilvl="6" w:tplc="64AC8D48" w:tentative="1">
      <w:start w:val="1"/>
      <w:numFmt w:val="decimal"/>
      <w:lvlText w:val="%7."/>
      <w:lvlJc w:val="left"/>
      <w:pPr>
        <w:ind w:left="5040" w:hanging="360"/>
      </w:pPr>
    </w:lvl>
    <w:lvl w:ilvl="7" w:tplc="A342AEB8" w:tentative="1">
      <w:start w:val="1"/>
      <w:numFmt w:val="lowerLetter"/>
      <w:lvlText w:val="%8."/>
      <w:lvlJc w:val="left"/>
      <w:pPr>
        <w:ind w:left="5760" w:hanging="360"/>
      </w:pPr>
    </w:lvl>
    <w:lvl w:ilvl="8" w:tplc="518E3574" w:tentative="1">
      <w:start w:val="1"/>
      <w:numFmt w:val="lowerRoman"/>
      <w:lvlText w:val="%9."/>
      <w:lvlJc w:val="right"/>
      <w:pPr>
        <w:ind w:left="6480" w:hanging="180"/>
      </w:pPr>
    </w:lvl>
  </w:abstractNum>
  <w:abstractNum w:abstractNumId="2" w15:restartNumberingAfterBreak="1">
    <w:nsid w:val="01BF352A"/>
    <w:multiLevelType w:val="hybridMultilevel"/>
    <w:tmpl w:val="93CC6CD0"/>
    <w:lvl w:ilvl="0" w:tplc="E606273E">
      <w:start w:val="1"/>
      <w:numFmt w:val="decimal"/>
      <w:lvlText w:val="(%1)"/>
      <w:lvlJc w:val="left"/>
      <w:pPr>
        <w:ind w:left="1215" w:hanging="495"/>
      </w:pPr>
      <w:rPr>
        <w:rFonts w:hint="default"/>
      </w:rPr>
    </w:lvl>
    <w:lvl w:ilvl="1" w:tplc="CE10FB7C" w:tentative="1">
      <w:start w:val="1"/>
      <w:numFmt w:val="lowerLetter"/>
      <w:lvlText w:val="%2."/>
      <w:lvlJc w:val="left"/>
      <w:pPr>
        <w:ind w:left="1800" w:hanging="360"/>
      </w:pPr>
    </w:lvl>
    <w:lvl w:ilvl="2" w:tplc="4D0E9A5E" w:tentative="1">
      <w:start w:val="1"/>
      <w:numFmt w:val="lowerRoman"/>
      <w:lvlText w:val="%3."/>
      <w:lvlJc w:val="right"/>
      <w:pPr>
        <w:ind w:left="2520" w:hanging="180"/>
      </w:pPr>
    </w:lvl>
    <w:lvl w:ilvl="3" w:tplc="8B20D814" w:tentative="1">
      <w:start w:val="1"/>
      <w:numFmt w:val="decimal"/>
      <w:lvlText w:val="%4."/>
      <w:lvlJc w:val="left"/>
      <w:pPr>
        <w:ind w:left="3240" w:hanging="360"/>
      </w:pPr>
    </w:lvl>
    <w:lvl w:ilvl="4" w:tplc="1ED2B772" w:tentative="1">
      <w:start w:val="1"/>
      <w:numFmt w:val="lowerLetter"/>
      <w:lvlText w:val="%5."/>
      <w:lvlJc w:val="left"/>
      <w:pPr>
        <w:ind w:left="3960" w:hanging="360"/>
      </w:pPr>
    </w:lvl>
    <w:lvl w:ilvl="5" w:tplc="29E21306" w:tentative="1">
      <w:start w:val="1"/>
      <w:numFmt w:val="lowerRoman"/>
      <w:lvlText w:val="%6."/>
      <w:lvlJc w:val="right"/>
      <w:pPr>
        <w:ind w:left="4680" w:hanging="180"/>
      </w:pPr>
    </w:lvl>
    <w:lvl w:ilvl="6" w:tplc="145A4872" w:tentative="1">
      <w:start w:val="1"/>
      <w:numFmt w:val="decimal"/>
      <w:lvlText w:val="%7."/>
      <w:lvlJc w:val="left"/>
      <w:pPr>
        <w:ind w:left="5400" w:hanging="360"/>
      </w:pPr>
    </w:lvl>
    <w:lvl w:ilvl="7" w:tplc="8E78F7FA" w:tentative="1">
      <w:start w:val="1"/>
      <w:numFmt w:val="lowerLetter"/>
      <w:lvlText w:val="%8."/>
      <w:lvlJc w:val="left"/>
      <w:pPr>
        <w:ind w:left="6120" w:hanging="360"/>
      </w:pPr>
    </w:lvl>
    <w:lvl w:ilvl="8" w:tplc="D8861D36" w:tentative="1">
      <w:start w:val="1"/>
      <w:numFmt w:val="lowerRoman"/>
      <w:lvlText w:val="%9."/>
      <w:lvlJc w:val="right"/>
      <w:pPr>
        <w:ind w:left="6840" w:hanging="180"/>
      </w:pPr>
    </w:lvl>
  </w:abstractNum>
  <w:abstractNum w:abstractNumId="3" w15:restartNumberingAfterBreak="0">
    <w:nsid w:val="0227490A"/>
    <w:multiLevelType w:val="multilevel"/>
    <w:tmpl w:val="760041C2"/>
    <w:lvl w:ilvl="0">
      <w:start w:val="1"/>
      <w:numFmt w:val="decimal"/>
      <w:lvlText w:val="%1"/>
      <w:lvlJc w:val="left"/>
      <w:pPr>
        <w:ind w:left="990" w:hanging="990"/>
      </w:pPr>
      <w:rPr>
        <w:rFonts w:hint="default"/>
      </w:rPr>
    </w:lvl>
    <w:lvl w:ilvl="1">
      <w:start w:val="1"/>
      <w:numFmt w:val="decimal"/>
      <w:lvlText w:val="%1.%2"/>
      <w:lvlJc w:val="left"/>
      <w:pPr>
        <w:ind w:left="1350" w:hanging="990"/>
      </w:pPr>
      <w:rPr>
        <w:rFonts w:hint="default"/>
      </w:rPr>
    </w:lvl>
    <w:lvl w:ilvl="2">
      <w:start w:val="1"/>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023F6C"/>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1233"/>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234151E"/>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1A22341C"/>
    <w:multiLevelType w:val="hybridMultilevel"/>
    <w:tmpl w:val="16B6C5D8"/>
    <w:lvl w:ilvl="0" w:tplc="D0A6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35B62"/>
    <w:multiLevelType w:val="hybridMultilevel"/>
    <w:tmpl w:val="D6BC7534"/>
    <w:lvl w:ilvl="0" w:tplc="1E62DE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AA77838"/>
    <w:multiLevelType w:val="multilevel"/>
    <w:tmpl w:val="BEE04DAA"/>
    <w:lvl w:ilvl="0">
      <w:start w:val="1"/>
      <w:numFmt w:val="decimal"/>
      <w:lvlText w:val="%1."/>
      <w:lvlJc w:val="left"/>
      <w:pPr>
        <w:ind w:left="1080" w:hanging="360"/>
      </w:pPr>
      <w:rPr>
        <w:rFonts w:hint="default"/>
        <w:sz w:val="28"/>
        <w:szCs w:val="28"/>
      </w:rPr>
    </w:lvl>
    <w:lvl w:ilvl="1">
      <w:start w:val="1"/>
      <w:numFmt w:val="decimal"/>
      <w:isLgl/>
      <w:lvlText w:val="%1.%2."/>
      <w:lvlJc w:val="left"/>
      <w:pPr>
        <w:ind w:left="148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32036956"/>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D565FF0"/>
    <w:multiLevelType w:val="hybridMultilevel"/>
    <w:tmpl w:val="045A6C4E"/>
    <w:lvl w:ilvl="0" w:tplc="44D643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753C86"/>
    <w:multiLevelType w:val="hybridMultilevel"/>
    <w:tmpl w:val="D71CD898"/>
    <w:lvl w:ilvl="0" w:tplc="34B8E0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11650A"/>
    <w:multiLevelType w:val="hybridMultilevel"/>
    <w:tmpl w:val="F278A7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AC2935"/>
    <w:multiLevelType w:val="hybridMultilevel"/>
    <w:tmpl w:val="B6EAB370"/>
    <w:lvl w:ilvl="0" w:tplc="5CA24EFE">
      <w:start w:val="1"/>
      <w:numFmt w:val="decimal"/>
      <w:lvlText w:val="%1."/>
      <w:lvlJc w:val="left"/>
      <w:pPr>
        <w:ind w:left="360" w:hanging="360"/>
      </w:pPr>
      <w:rPr>
        <w:rFonts w:cs="Times New Roman"/>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15:restartNumberingAfterBreak="1">
    <w:nsid w:val="4EB371FF"/>
    <w:multiLevelType w:val="multilevel"/>
    <w:tmpl w:val="7BC833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FC32F21"/>
    <w:multiLevelType w:val="hybridMultilevel"/>
    <w:tmpl w:val="B7221234"/>
    <w:lvl w:ilvl="0" w:tplc="4B28CA40">
      <w:start w:val="9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1EA556E"/>
    <w:multiLevelType w:val="multilevel"/>
    <w:tmpl w:val="006219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69854E0"/>
    <w:multiLevelType w:val="hybridMultilevel"/>
    <w:tmpl w:val="0A98DEAC"/>
    <w:lvl w:ilvl="0" w:tplc="7E947684">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9" w15:restartNumberingAfterBreak="0">
    <w:nsid w:val="570A519E"/>
    <w:multiLevelType w:val="multilevel"/>
    <w:tmpl w:val="006219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1">
    <w:nsid w:val="5C1314ED"/>
    <w:multiLevelType w:val="hybridMultilevel"/>
    <w:tmpl w:val="15325E20"/>
    <w:lvl w:ilvl="0" w:tplc="978EAC8A">
      <w:start w:val="3"/>
      <w:numFmt w:val="decimal"/>
      <w:lvlText w:val="(%1)"/>
      <w:lvlJc w:val="left"/>
      <w:pPr>
        <w:ind w:left="1215" w:hanging="495"/>
      </w:pPr>
      <w:rPr>
        <w:rFonts w:hint="default"/>
      </w:rPr>
    </w:lvl>
    <w:lvl w:ilvl="1" w:tplc="C0E230B8" w:tentative="1">
      <w:start w:val="1"/>
      <w:numFmt w:val="lowerLetter"/>
      <w:lvlText w:val="%2."/>
      <w:lvlJc w:val="left"/>
      <w:pPr>
        <w:ind w:left="1440" w:hanging="360"/>
      </w:pPr>
    </w:lvl>
    <w:lvl w:ilvl="2" w:tplc="4BA2E882" w:tentative="1">
      <w:start w:val="1"/>
      <w:numFmt w:val="lowerRoman"/>
      <w:lvlText w:val="%3."/>
      <w:lvlJc w:val="right"/>
      <w:pPr>
        <w:ind w:left="2160" w:hanging="180"/>
      </w:pPr>
    </w:lvl>
    <w:lvl w:ilvl="3" w:tplc="81DC3662" w:tentative="1">
      <w:start w:val="1"/>
      <w:numFmt w:val="decimal"/>
      <w:lvlText w:val="%4."/>
      <w:lvlJc w:val="left"/>
      <w:pPr>
        <w:ind w:left="2880" w:hanging="360"/>
      </w:pPr>
    </w:lvl>
    <w:lvl w:ilvl="4" w:tplc="B51207DE" w:tentative="1">
      <w:start w:val="1"/>
      <w:numFmt w:val="lowerLetter"/>
      <w:lvlText w:val="%5."/>
      <w:lvlJc w:val="left"/>
      <w:pPr>
        <w:ind w:left="3600" w:hanging="360"/>
      </w:pPr>
    </w:lvl>
    <w:lvl w:ilvl="5" w:tplc="303AB186" w:tentative="1">
      <w:start w:val="1"/>
      <w:numFmt w:val="lowerRoman"/>
      <w:lvlText w:val="%6."/>
      <w:lvlJc w:val="right"/>
      <w:pPr>
        <w:ind w:left="4320" w:hanging="180"/>
      </w:pPr>
    </w:lvl>
    <w:lvl w:ilvl="6" w:tplc="CEEAA256" w:tentative="1">
      <w:start w:val="1"/>
      <w:numFmt w:val="decimal"/>
      <w:lvlText w:val="%7."/>
      <w:lvlJc w:val="left"/>
      <w:pPr>
        <w:ind w:left="5040" w:hanging="360"/>
      </w:pPr>
    </w:lvl>
    <w:lvl w:ilvl="7" w:tplc="5E1E2C88" w:tentative="1">
      <w:start w:val="1"/>
      <w:numFmt w:val="lowerLetter"/>
      <w:lvlText w:val="%8."/>
      <w:lvlJc w:val="left"/>
      <w:pPr>
        <w:ind w:left="5760" w:hanging="360"/>
      </w:pPr>
    </w:lvl>
    <w:lvl w:ilvl="8" w:tplc="B8007232" w:tentative="1">
      <w:start w:val="1"/>
      <w:numFmt w:val="lowerRoman"/>
      <w:lvlText w:val="%9."/>
      <w:lvlJc w:val="right"/>
      <w:pPr>
        <w:ind w:left="6480" w:hanging="180"/>
      </w:pPr>
    </w:lvl>
  </w:abstractNum>
  <w:abstractNum w:abstractNumId="21" w15:restartNumberingAfterBreak="0">
    <w:nsid w:val="5F562F18"/>
    <w:multiLevelType w:val="multilevel"/>
    <w:tmpl w:val="E9D420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E77AE6"/>
    <w:multiLevelType w:val="hybridMultilevel"/>
    <w:tmpl w:val="1552404C"/>
    <w:lvl w:ilvl="0" w:tplc="BBFC68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9826639"/>
    <w:multiLevelType w:val="multilevel"/>
    <w:tmpl w:val="AC98D6A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58425F4"/>
    <w:multiLevelType w:val="hybridMultilevel"/>
    <w:tmpl w:val="1552404C"/>
    <w:lvl w:ilvl="0" w:tplc="BBFC68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B5D640D"/>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1"/>
  </w:num>
  <w:num w:numId="2">
    <w:abstractNumId w:val="18"/>
  </w:num>
  <w:num w:numId="3">
    <w:abstractNumId w:val="9"/>
  </w:num>
  <w:num w:numId="4">
    <w:abstractNumId w:val="14"/>
  </w:num>
  <w:num w:numId="5">
    <w:abstractNumId w:val="7"/>
  </w:num>
  <w:num w:numId="6">
    <w:abstractNumId w:val="13"/>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6"/>
  </w:num>
  <w:num w:numId="10">
    <w:abstractNumId w:val="10"/>
  </w:num>
  <w:num w:numId="11">
    <w:abstractNumId w:val="5"/>
  </w:num>
  <w:num w:numId="12">
    <w:abstractNumId w:val="23"/>
  </w:num>
  <w:num w:numId="13">
    <w:abstractNumId w:val="19"/>
  </w:num>
  <w:num w:numId="14">
    <w:abstractNumId w:val="17"/>
  </w:num>
  <w:num w:numId="15">
    <w:abstractNumId w:val="4"/>
  </w:num>
  <w:num w:numId="16">
    <w:abstractNumId w:val="16"/>
  </w:num>
  <w:num w:numId="17">
    <w:abstractNumId w:val="8"/>
  </w:num>
  <w:num w:numId="18">
    <w:abstractNumId w:val="0"/>
  </w:num>
  <w:num w:numId="19">
    <w:abstractNumId w:val="22"/>
  </w:num>
  <w:num w:numId="20">
    <w:abstractNumId w:val="24"/>
  </w:num>
  <w:num w:numId="21">
    <w:abstractNumId w:val="12"/>
  </w:num>
  <w:num w:numId="22">
    <w:abstractNumId w:val="3"/>
  </w:num>
  <w:num w:numId="23">
    <w:abstractNumId w:val="11"/>
  </w:num>
  <w:num w:numId="24">
    <w:abstractNumId w:val="15"/>
  </w:num>
  <w:num w:numId="25">
    <w:abstractNumId w:val="2"/>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7"/>
    <w:rsid w:val="00004D74"/>
    <w:rsid w:val="00011B2B"/>
    <w:rsid w:val="00017A3C"/>
    <w:rsid w:val="00030F1A"/>
    <w:rsid w:val="00037532"/>
    <w:rsid w:val="000416EE"/>
    <w:rsid w:val="0004318D"/>
    <w:rsid w:val="00047F34"/>
    <w:rsid w:val="00054496"/>
    <w:rsid w:val="000575D1"/>
    <w:rsid w:val="00066804"/>
    <w:rsid w:val="00067907"/>
    <w:rsid w:val="00092748"/>
    <w:rsid w:val="000931CD"/>
    <w:rsid w:val="000969EA"/>
    <w:rsid w:val="000A79F2"/>
    <w:rsid w:val="000B1207"/>
    <w:rsid w:val="000B2B65"/>
    <w:rsid w:val="000B4171"/>
    <w:rsid w:val="000B49E9"/>
    <w:rsid w:val="000B515A"/>
    <w:rsid w:val="000C0281"/>
    <w:rsid w:val="000C0658"/>
    <w:rsid w:val="000C2011"/>
    <w:rsid w:val="000C28DE"/>
    <w:rsid w:val="000C3220"/>
    <w:rsid w:val="000C550F"/>
    <w:rsid w:val="000D5FC7"/>
    <w:rsid w:val="000E08E3"/>
    <w:rsid w:val="000E4579"/>
    <w:rsid w:val="000F2F9B"/>
    <w:rsid w:val="000F5218"/>
    <w:rsid w:val="00103924"/>
    <w:rsid w:val="00112236"/>
    <w:rsid w:val="001160FB"/>
    <w:rsid w:val="001220E7"/>
    <w:rsid w:val="00134AFB"/>
    <w:rsid w:val="00153C2A"/>
    <w:rsid w:val="00156725"/>
    <w:rsid w:val="00164095"/>
    <w:rsid w:val="001901B8"/>
    <w:rsid w:val="00191E7E"/>
    <w:rsid w:val="001927AA"/>
    <w:rsid w:val="001A31C8"/>
    <w:rsid w:val="001A5021"/>
    <w:rsid w:val="001D0CE8"/>
    <w:rsid w:val="001E6714"/>
    <w:rsid w:val="001F2B1D"/>
    <w:rsid w:val="00200176"/>
    <w:rsid w:val="002131E2"/>
    <w:rsid w:val="002147C7"/>
    <w:rsid w:val="002203DF"/>
    <w:rsid w:val="002370E4"/>
    <w:rsid w:val="00245CDB"/>
    <w:rsid w:val="00260BED"/>
    <w:rsid w:val="00270477"/>
    <w:rsid w:val="0027231B"/>
    <w:rsid w:val="00290BAC"/>
    <w:rsid w:val="002923EC"/>
    <w:rsid w:val="00293A29"/>
    <w:rsid w:val="00295F57"/>
    <w:rsid w:val="002A2355"/>
    <w:rsid w:val="002B3E83"/>
    <w:rsid w:val="002B636C"/>
    <w:rsid w:val="002C3506"/>
    <w:rsid w:val="002D4334"/>
    <w:rsid w:val="002D7314"/>
    <w:rsid w:val="002D763F"/>
    <w:rsid w:val="002F6001"/>
    <w:rsid w:val="00306193"/>
    <w:rsid w:val="0031011E"/>
    <w:rsid w:val="003102EB"/>
    <w:rsid w:val="00310CFC"/>
    <w:rsid w:val="00322762"/>
    <w:rsid w:val="00322EAB"/>
    <w:rsid w:val="00326B7D"/>
    <w:rsid w:val="00330C30"/>
    <w:rsid w:val="00342423"/>
    <w:rsid w:val="00347A4C"/>
    <w:rsid w:val="003649DE"/>
    <w:rsid w:val="00371D97"/>
    <w:rsid w:val="00377E67"/>
    <w:rsid w:val="00387E91"/>
    <w:rsid w:val="00391A7A"/>
    <w:rsid w:val="003A240C"/>
    <w:rsid w:val="003B5668"/>
    <w:rsid w:val="003C00D1"/>
    <w:rsid w:val="003C58DA"/>
    <w:rsid w:val="003D12DC"/>
    <w:rsid w:val="003E68F2"/>
    <w:rsid w:val="003F6C47"/>
    <w:rsid w:val="00400A45"/>
    <w:rsid w:val="00405C11"/>
    <w:rsid w:val="00411C27"/>
    <w:rsid w:val="0041229A"/>
    <w:rsid w:val="0042079A"/>
    <w:rsid w:val="00422071"/>
    <w:rsid w:val="00424F49"/>
    <w:rsid w:val="00427017"/>
    <w:rsid w:val="00440100"/>
    <w:rsid w:val="00442880"/>
    <w:rsid w:val="00447CA7"/>
    <w:rsid w:val="00453E27"/>
    <w:rsid w:val="00457F6D"/>
    <w:rsid w:val="004636D9"/>
    <w:rsid w:val="0046391F"/>
    <w:rsid w:val="00463B02"/>
    <w:rsid w:val="00463D62"/>
    <w:rsid w:val="0047085D"/>
    <w:rsid w:val="00472FC3"/>
    <w:rsid w:val="00481A02"/>
    <w:rsid w:val="00493D6E"/>
    <w:rsid w:val="0049701A"/>
    <w:rsid w:val="004A1650"/>
    <w:rsid w:val="004A3381"/>
    <w:rsid w:val="004A6937"/>
    <w:rsid w:val="004B09FF"/>
    <w:rsid w:val="004B10D7"/>
    <w:rsid w:val="004B6A48"/>
    <w:rsid w:val="004C2181"/>
    <w:rsid w:val="004D1FE6"/>
    <w:rsid w:val="004D2762"/>
    <w:rsid w:val="004E3706"/>
    <w:rsid w:val="004E6E7F"/>
    <w:rsid w:val="004F77DC"/>
    <w:rsid w:val="00514995"/>
    <w:rsid w:val="005178E0"/>
    <w:rsid w:val="00517B11"/>
    <w:rsid w:val="00532497"/>
    <w:rsid w:val="0055237F"/>
    <w:rsid w:val="00560B0D"/>
    <w:rsid w:val="00563B1F"/>
    <w:rsid w:val="00565BAB"/>
    <w:rsid w:val="0057175B"/>
    <w:rsid w:val="005863D1"/>
    <w:rsid w:val="005A35A0"/>
    <w:rsid w:val="005B71DA"/>
    <w:rsid w:val="005B79D1"/>
    <w:rsid w:val="005C448C"/>
    <w:rsid w:val="005C671E"/>
    <w:rsid w:val="005C6AA6"/>
    <w:rsid w:val="005D0E85"/>
    <w:rsid w:val="005D10C6"/>
    <w:rsid w:val="005D1D6D"/>
    <w:rsid w:val="005E2491"/>
    <w:rsid w:val="005F34AB"/>
    <w:rsid w:val="005F6FF2"/>
    <w:rsid w:val="00600068"/>
    <w:rsid w:val="00607430"/>
    <w:rsid w:val="00616DF4"/>
    <w:rsid w:val="006209C0"/>
    <w:rsid w:val="00623CBE"/>
    <w:rsid w:val="00624156"/>
    <w:rsid w:val="0063360D"/>
    <w:rsid w:val="00634676"/>
    <w:rsid w:val="00637703"/>
    <w:rsid w:val="0064116E"/>
    <w:rsid w:val="00644357"/>
    <w:rsid w:val="00646BA7"/>
    <w:rsid w:val="006577D9"/>
    <w:rsid w:val="00661D56"/>
    <w:rsid w:val="00662147"/>
    <w:rsid w:val="006639A4"/>
    <w:rsid w:val="00665526"/>
    <w:rsid w:val="00672688"/>
    <w:rsid w:val="00677004"/>
    <w:rsid w:val="00680AFF"/>
    <w:rsid w:val="00686B88"/>
    <w:rsid w:val="0069008A"/>
    <w:rsid w:val="0069458C"/>
    <w:rsid w:val="006A7131"/>
    <w:rsid w:val="006B353D"/>
    <w:rsid w:val="006B5C04"/>
    <w:rsid w:val="006C2CC5"/>
    <w:rsid w:val="006C5160"/>
    <w:rsid w:val="006C7B56"/>
    <w:rsid w:val="006D5B21"/>
    <w:rsid w:val="006E19F6"/>
    <w:rsid w:val="006E2D05"/>
    <w:rsid w:val="006E6D83"/>
    <w:rsid w:val="006E7C74"/>
    <w:rsid w:val="006F406D"/>
    <w:rsid w:val="006F48C8"/>
    <w:rsid w:val="00700B36"/>
    <w:rsid w:val="00705258"/>
    <w:rsid w:val="00707ED6"/>
    <w:rsid w:val="00722C09"/>
    <w:rsid w:val="0072495D"/>
    <w:rsid w:val="007305CD"/>
    <w:rsid w:val="00730F37"/>
    <w:rsid w:val="00732E68"/>
    <w:rsid w:val="00735391"/>
    <w:rsid w:val="00743134"/>
    <w:rsid w:val="00751434"/>
    <w:rsid w:val="0076298A"/>
    <w:rsid w:val="007753B9"/>
    <w:rsid w:val="0078620C"/>
    <w:rsid w:val="00796AA5"/>
    <w:rsid w:val="007A0349"/>
    <w:rsid w:val="007A0AB1"/>
    <w:rsid w:val="007A7DE0"/>
    <w:rsid w:val="007B4815"/>
    <w:rsid w:val="007C6B7C"/>
    <w:rsid w:val="007C714C"/>
    <w:rsid w:val="007D0C40"/>
    <w:rsid w:val="007D1FFD"/>
    <w:rsid w:val="007E303F"/>
    <w:rsid w:val="007E67E5"/>
    <w:rsid w:val="00810739"/>
    <w:rsid w:val="00815C58"/>
    <w:rsid w:val="008168BF"/>
    <w:rsid w:val="008170B7"/>
    <w:rsid w:val="0082261F"/>
    <w:rsid w:val="00825962"/>
    <w:rsid w:val="00827BF0"/>
    <w:rsid w:val="008419D4"/>
    <w:rsid w:val="00860C97"/>
    <w:rsid w:val="00863E1D"/>
    <w:rsid w:val="00876E56"/>
    <w:rsid w:val="00881318"/>
    <w:rsid w:val="008845A8"/>
    <w:rsid w:val="008936D2"/>
    <w:rsid w:val="00894A6F"/>
    <w:rsid w:val="00895A83"/>
    <w:rsid w:val="00896C49"/>
    <w:rsid w:val="008A0BFF"/>
    <w:rsid w:val="008A1EF5"/>
    <w:rsid w:val="008A40A3"/>
    <w:rsid w:val="008B34ED"/>
    <w:rsid w:val="008B49A8"/>
    <w:rsid w:val="008B7919"/>
    <w:rsid w:val="008B7DEC"/>
    <w:rsid w:val="008C5EBD"/>
    <w:rsid w:val="008D0283"/>
    <w:rsid w:val="008D3E0C"/>
    <w:rsid w:val="008D6951"/>
    <w:rsid w:val="008E541C"/>
    <w:rsid w:val="008F147C"/>
    <w:rsid w:val="008F43C5"/>
    <w:rsid w:val="008F756E"/>
    <w:rsid w:val="008F7EC6"/>
    <w:rsid w:val="00900394"/>
    <w:rsid w:val="00914D40"/>
    <w:rsid w:val="00937CA4"/>
    <w:rsid w:val="009415DA"/>
    <w:rsid w:val="00950B1E"/>
    <w:rsid w:val="009652AD"/>
    <w:rsid w:val="00972A23"/>
    <w:rsid w:val="0097438F"/>
    <w:rsid w:val="00977765"/>
    <w:rsid w:val="009863C4"/>
    <w:rsid w:val="00992B95"/>
    <w:rsid w:val="009934E5"/>
    <w:rsid w:val="009A0081"/>
    <w:rsid w:val="009A219E"/>
    <w:rsid w:val="009B6495"/>
    <w:rsid w:val="009C350B"/>
    <w:rsid w:val="009C7FD4"/>
    <w:rsid w:val="009F12C0"/>
    <w:rsid w:val="00A0363F"/>
    <w:rsid w:val="00A04B69"/>
    <w:rsid w:val="00A04FE1"/>
    <w:rsid w:val="00A10225"/>
    <w:rsid w:val="00A131F3"/>
    <w:rsid w:val="00A15602"/>
    <w:rsid w:val="00A162BC"/>
    <w:rsid w:val="00A2362E"/>
    <w:rsid w:val="00A334D5"/>
    <w:rsid w:val="00A35F4B"/>
    <w:rsid w:val="00A361AA"/>
    <w:rsid w:val="00A365C6"/>
    <w:rsid w:val="00A46BD4"/>
    <w:rsid w:val="00A513DB"/>
    <w:rsid w:val="00A523CA"/>
    <w:rsid w:val="00A528B3"/>
    <w:rsid w:val="00A52FB4"/>
    <w:rsid w:val="00A62BE4"/>
    <w:rsid w:val="00A73EC5"/>
    <w:rsid w:val="00A769A2"/>
    <w:rsid w:val="00A819FB"/>
    <w:rsid w:val="00A823E0"/>
    <w:rsid w:val="00A845BE"/>
    <w:rsid w:val="00A85D7E"/>
    <w:rsid w:val="00A86E8F"/>
    <w:rsid w:val="00A93DA3"/>
    <w:rsid w:val="00AA56F8"/>
    <w:rsid w:val="00AA6730"/>
    <w:rsid w:val="00AC5AAF"/>
    <w:rsid w:val="00AC5CAA"/>
    <w:rsid w:val="00AE4C1F"/>
    <w:rsid w:val="00AF18B5"/>
    <w:rsid w:val="00AF1AE1"/>
    <w:rsid w:val="00B1218A"/>
    <w:rsid w:val="00B32BCB"/>
    <w:rsid w:val="00B45745"/>
    <w:rsid w:val="00B46C04"/>
    <w:rsid w:val="00B55115"/>
    <w:rsid w:val="00B61580"/>
    <w:rsid w:val="00B63343"/>
    <w:rsid w:val="00B71286"/>
    <w:rsid w:val="00B75FCC"/>
    <w:rsid w:val="00B772D3"/>
    <w:rsid w:val="00B7783F"/>
    <w:rsid w:val="00B83CFE"/>
    <w:rsid w:val="00B94FFC"/>
    <w:rsid w:val="00B95A56"/>
    <w:rsid w:val="00B97272"/>
    <w:rsid w:val="00BB306E"/>
    <w:rsid w:val="00BC144E"/>
    <w:rsid w:val="00BC5FF4"/>
    <w:rsid w:val="00BD472E"/>
    <w:rsid w:val="00BD6120"/>
    <w:rsid w:val="00BD660C"/>
    <w:rsid w:val="00BE3897"/>
    <w:rsid w:val="00BE5533"/>
    <w:rsid w:val="00BE6DB6"/>
    <w:rsid w:val="00BE735B"/>
    <w:rsid w:val="00BF403B"/>
    <w:rsid w:val="00BF7B8C"/>
    <w:rsid w:val="00C07329"/>
    <w:rsid w:val="00C074C9"/>
    <w:rsid w:val="00C13502"/>
    <w:rsid w:val="00C201C9"/>
    <w:rsid w:val="00C23B46"/>
    <w:rsid w:val="00C25BE5"/>
    <w:rsid w:val="00C31A96"/>
    <w:rsid w:val="00C35E7A"/>
    <w:rsid w:val="00C40CF9"/>
    <w:rsid w:val="00C5172C"/>
    <w:rsid w:val="00C5578C"/>
    <w:rsid w:val="00C62300"/>
    <w:rsid w:val="00C73D69"/>
    <w:rsid w:val="00C77D61"/>
    <w:rsid w:val="00CA3882"/>
    <w:rsid w:val="00CA7940"/>
    <w:rsid w:val="00CB417D"/>
    <w:rsid w:val="00CB49A3"/>
    <w:rsid w:val="00CB5889"/>
    <w:rsid w:val="00CB6CFB"/>
    <w:rsid w:val="00CC7A1F"/>
    <w:rsid w:val="00CC7C15"/>
    <w:rsid w:val="00CD7D46"/>
    <w:rsid w:val="00CE2534"/>
    <w:rsid w:val="00CE300D"/>
    <w:rsid w:val="00CE4218"/>
    <w:rsid w:val="00CF626C"/>
    <w:rsid w:val="00D11DCF"/>
    <w:rsid w:val="00D12756"/>
    <w:rsid w:val="00D14660"/>
    <w:rsid w:val="00D24E73"/>
    <w:rsid w:val="00D31AF8"/>
    <w:rsid w:val="00D32AC0"/>
    <w:rsid w:val="00D40210"/>
    <w:rsid w:val="00D40F2D"/>
    <w:rsid w:val="00D477AC"/>
    <w:rsid w:val="00D50E6B"/>
    <w:rsid w:val="00D66DE9"/>
    <w:rsid w:val="00D727D0"/>
    <w:rsid w:val="00D84218"/>
    <w:rsid w:val="00DA546C"/>
    <w:rsid w:val="00DC2646"/>
    <w:rsid w:val="00DD048D"/>
    <w:rsid w:val="00DE17BB"/>
    <w:rsid w:val="00E01B35"/>
    <w:rsid w:val="00E052B6"/>
    <w:rsid w:val="00E117E8"/>
    <w:rsid w:val="00E13AF4"/>
    <w:rsid w:val="00E2396D"/>
    <w:rsid w:val="00E27D75"/>
    <w:rsid w:val="00E552E5"/>
    <w:rsid w:val="00E633EC"/>
    <w:rsid w:val="00E65549"/>
    <w:rsid w:val="00E720BD"/>
    <w:rsid w:val="00E7287F"/>
    <w:rsid w:val="00E752E4"/>
    <w:rsid w:val="00E76659"/>
    <w:rsid w:val="00E91040"/>
    <w:rsid w:val="00E930A1"/>
    <w:rsid w:val="00E93382"/>
    <w:rsid w:val="00E956AD"/>
    <w:rsid w:val="00E96DF9"/>
    <w:rsid w:val="00E96F3A"/>
    <w:rsid w:val="00EB11BE"/>
    <w:rsid w:val="00EB63FD"/>
    <w:rsid w:val="00EC0FE0"/>
    <w:rsid w:val="00EC7122"/>
    <w:rsid w:val="00EC74A1"/>
    <w:rsid w:val="00EC7A98"/>
    <w:rsid w:val="00ED2EEC"/>
    <w:rsid w:val="00ED714F"/>
    <w:rsid w:val="00EE1624"/>
    <w:rsid w:val="00EE3332"/>
    <w:rsid w:val="00EE378C"/>
    <w:rsid w:val="00EF046E"/>
    <w:rsid w:val="00EF0BD0"/>
    <w:rsid w:val="00EF0F1B"/>
    <w:rsid w:val="00EF3FB3"/>
    <w:rsid w:val="00EF4A88"/>
    <w:rsid w:val="00F05166"/>
    <w:rsid w:val="00F102A1"/>
    <w:rsid w:val="00F1644E"/>
    <w:rsid w:val="00F302FA"/>
    <w:rsid w:val="00F320D5"/>
    <w:rsid w:val="00F35E9C"/>
    <w:rsid w:val="00F47484"/>
    <w:rsid w:val="00F47BDF"/>
    <w:rsid w:val="00F5370B"/>
    <w:rsid w:val="00F60790"/>
    <w:rsid w:val="00F64732"/>
    <w:rsid w:val="00F67C0E"/>
    <w:rsid w:val="00F73C19"/>
    <w:rsid w:val="00F80808"/>
    <w:rsid w:val="00F81045"/>
    <w:rsid w:val="00FA0B87"/>
    <w:rsid w:val="00FA1467"/>
    <w:rsid w:val="00FA242E"/>
    <w:rsid w:val="00FA4601"/>
    <w:rsid w:val="00FA757E"/>
    <w:rsid w:val="00FB465F"/>
    <w:rsid w:val="00FB4A40"/>
    <w:rsid w:val="00FD7484"/>
    <w:rsid w:val="00FE52FC"/>
    <w:rsid w:val="00FE57BA"/>
    <w:rsid w:val="00FF09C6"/>
    <w:rsid w:val="00FF3732"/>
    <w:rsid w:val="00FF5277"/>
    <w:rsid w:val="00FF5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DF12B68"/>
  <w15:chartTrackingRefBased/>
  <w15:docId w15:val="{F97EB673-5630-45D8-9FDA-A1AF54A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790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067907"/>
    <w:pPr>
      <w:spacing w:before="100" w:beforeAutospacing="1" w:after="100" w:afterAutospacing="1"/>
    </w:pPr>
  </w:style>
  <w:style w:type="paragraph" w:customStyle="1" w:styleId="naisf">
    <w:name w:val="naisf"/>
    <w:basedOn w:val="Parasts"/>
    <w:rsid w:val="00067907"/>
    <w:pPr>
      <w:spacing w:before="75" w:after="75"/>
      <w:ind w:firstLine="375"/>
      <w:jc w:val="both"/>
    </w:pPr>
  </w:style>
  <w:style w:type="paragraph" w:customStyle="1" w:styleId="naispant">
    <w:name w:val="naispant"/>
    <w:basedOn w:val="Parasts"/>
    <w:rsid w:val="00067907"/>
    <w:pPr>
      <w:spacing w:before="75" w:after="75"/>
      <w:ind w:left="375" w:firstLine="375"/>
      <w:jc w:val="both"/>
    </w:pPr>
    <w:rPr>
      <w:b/>
      <w:bCs/>
    </w:rPr>
  </w:style>
  <w:style w:type="paragraph" w:customStyle="1" w:styleId="naisnod">
    <w:name w:val="naisnod"/>
    <w:basedOn w:val="Parasts"/>
    <w:rsid w:val="00067907"/>
    <w:pPr>
      <w:spacing w:before="150" w:after="150"/>
      <w:jc w:val="center"/>
    </w:pPr>
    <w:rPr>
      <w:b/>
      <w:bCs/>
    </w:rPr>
  </w:style>
  <w:style w:type="paragraph" w:customStyle="1" w:styleId="naiskr">
    <w:name w:val="naiskr"/>
    <w:basedOn w:val="Parasts"/>
    <w:rsid w:val="00067907"/>
    <w:pPr>
      <w:spacing w:before="75" w:after="75"/>
    </w:pPr>
  </w:style>
  <w:style w:type="paragraph" w:customStyle="1" w:styleId="naisc">
    <w:name w:val="naisc"/>
    <w:basedOn w:val="Parasts"/>
    <w:rsid w:val="00067907"/>
    <w:pPr>
      <w:spacing w:before="75" w:after="75"/>
      <w:jc w:val="center"/>
    </w:pPr>
  </w:style>
  <w:style w:type="character" w:styleId="Izteiksmgs">
    <w:name w:val="Strong"/>
    <w:qFormat/>
    <w:rsid w:val="00067907"/>
    <w:rPr>
      <w:rFonts w:cs="Times New Roman"/>
      <w:b/>
      <w:bCs/>
    </w:rPr>
  </w:style>
  <w:style w:type="paragraph" w:styleId="Galvene">
    <w:name w:val="header"/>
    <w:basedOn w:val="Parasts"/>
    <w:link w:val="GalveneRakstz"/>
    <w:rsid w:val="00067907"/>
    <w:pPr>
      <w:tabs>
        <w:tab w:val="center" w:pos="4153"/>
        <w:tab w:val="right" w:pos="8306"/>
      </w:tabs>
    </w:pPr>
  </w:style>
  <w:style w:type="character" w:customStyle="1" w:styleId="GalveneRakstz">
    <w:name w:val="Galvene Rakstz."/>
    <w:link w:val="Galvene"/>
    <w:semiHidden/>
    <w:locked/>
    <w:rsid w:val="00067907"/>
    <w:rPr>
      <w:sz w:val="24"/>
      <w:szCs w:val="24"/>
      <w:lang w:val="lv-LV" w:eastAsia="lv-LV" w:bidi="ar-SA"/>
    </w:rPr>
  </w:style>
  <w:style w:type="character" w:styleId="Lappusesnumurs">
    <w:name w:val="page number"/>
    <w:rsid w:val="00067907"/>
    <w:rPr>
      <w:rFonts w:cs="Times New Roman"/>
    </w:rPr>
  </w:style>
  <w:style w:type="paragraph" w:styleId="Kjene">
    <w:name w:val="footer"/>
    <w:basedOn w:val="Parasts"/>
    <w:link w:val="KjeneRakstz"/>
    <w:rsid w:val="00067907"/>
    <w:pPr>
      <w:tabs>
        <w:tab w:val="center" w:pos="4153"/>
        <w:tab w:val="right" w:pos="8306"/>
      </w:tabs>
    </w:pPr>
  </w:style>
  <w:style w:type="character" w:customStyle="1" w:styleId="KjeneRakstz">
    <w:name w:val="Kājene Rakstz."/>
    <w:link w:val="Kjene"/>
    <w:locked/>
    <w:rsid w:val="00067907"/>
    <w:rPr>
      <w:sz w:val="24"/>
      <w:szCs w:val="24"/>
      <w:lang w:val="lv-LV" w:eastAsia="lv-LV" w:bidi="ar-SA"/>
    </w:rPr>
  </w:style>
  <w:style w:type="paragraph" w:styleId="Pamatteksts">
    <w:name w:val="Body Text"/>
    <w:basedOn w:val="Parasts"/>
    <w:rsid w:val="00067907"/>
    <w:pPr>
      <w:spacing w:after="120"/>
    </w:pPr>
  </w:style>
  <w:style w:type="paragraph" w:styleId="Vienkrsteksts">
    <w:name w:val="Plain Text"/>
    <w:basedOn w:val="Parasts"/>
    <w:unhideWhenUsed/>
    <w:rsid w:val="00067907"/>
    <w:rPr>
      <w:rFonts w:eastAsia="Calibri"/>
      <w:lang w:val="en-US" w:eastAsia="en-US"/>
    </w:rPr>
  </w:style>
  <w:style w:type="paragraph" w:styleId="Sarakstarindkopa">
    <w:name w:val="List Paragraph"/>
    <w:basedOn w:val="Parasts"/>
    <w:uiPriority w:val="34"/>
    <w:qFormat/>
    <w:rsid w:val="00067907"/>
    <w:pPr>
      <w:ind w:left="720"/>
    </w:pPr>
    <w:rPr>
      <w:rFonts w:ascii="Calibri" w:eastAsia="Calibri" w:hAnsi="Calibri" w:cs="Calibri"/>
      <w:sz w:val="22"/>
      <w:szCs w:val="22"/>
      <w:lang w:eastAsia="en-US"/>
    </w:rPr>
  </w:style>
  <w:style w:type="character" w:customStyle="1" w:styleId="CharChar">
    <w:name w:val="Char Char"/>
    <w:semiHidden/>
    <w:rsid w:val="00B772D3"/>
    <w:rPr>
      <w:noProof/>
      <w:sz w:val="28"/>
      <w:lang w:val="lv-LV" w:eastAsia="en-US" w:bidi="ar-SA"/>
    </w:rPr>
  </w:style>
  <w:style w:type="paragraph" w:styleId="Pamatteksts2">
    <w:name w:val="Body Text 2"/>
    <w:basedOn w:val="Parasts"/>
    <w:rsid w:val="008D6951"/>
    <w:pPr>
      <w:spacing w:after="120" w:line="480" w:lineRule="auto"/>
    </w:pPr>
  </w:style>
  <w:style w:type="character" w:styleId="Komentraatsauce">
    <w:name w:val="annotation reference"/>
    <w:semiHidden/>
    <w:rsid w:val="00DA546C"/>
    <w:rPr>
      <w:sz w:val="16"/>
      <w:szCs w:val="16"/>
    </w:rPr>
  </w:style>
  <w:style w:type="paragraph" w:styleId="Komentrateksts">
    <w:name w:val="annotation text"/>
    <w:basedOn w:val="Parasts"/>
    <w:semiHidden/>
    <w:rsid w:val="00DA546C"/>
    <w:rPr>
      <w:sz w:val="20"/>
      <w:szCs w:val="20"/>
    </w:rPr>
  </w:style>
  <w:style w:type="paragraph" w:styleId="Komentratma">
    <w:name w:val="annotation subject"/>
    <w:basedOn w:val="Komentrateksts"/>
    <w:next w:val="Komentrateksts"/>
    <w:semiHidden/>
    <w:rsid w:val="00DA546C"/>
    <w:rPr>
      <w:b/>
      <w:bCs/>
    </w:rPr>
  </w:style>
  <w:style w:type="paragraph" w:styleId="Balonteksts">
    <w:name w:val="Balloon Text"/>
    <w:basedOn w:val="Parasts"/>
    <w:semiHidden/>
    <w:rsid w:val="00DA546C"/>
    <w:rPr>
      <w:rFonts w:ascii="Tahoma" w:hAnsi="Tahoma" w:cs="Tahoma"/>
      <w:sz w:val="16"/>
      <w:szCs w:val="16"/>
    </w:rPr>
  </w:style>
  <w:style w:type="character" w:styleId="Hipersaite">
    <w:name w:val="Hyperlink"/>
    <w:rsid w:val="00156725"/>
    <w:rPr>
      <w:color w:val="0000FF"/>
      <w:u w:val="single"/>
    </w:rPr>
  </w:style>
  <w:style w:type="paragraph" w:customStyle="1" w:styleId="Default">
    <w:name w:val="Default"/>
    <w:rsid w:val="003D12DC"/>
    <w:pPr>
      <w:autoSpaceDE w:val="0"/>
      <w:autoSpaceDN w:val="0"/>
      <w:adjustRightInd w:val="0"/>
    </w:pPr>
    <w:rPr>
      <w:color w:val="000000"/>
      <w:sz w:val="24"/>
      <w:szCs w:val="24"/>
    </w:rPr>
  </w:style>
  <w:style w:type="paragraph" w:customStyle="1" w:styleId="tv20687921">
    <w:name w:val="tv206_87_921"/>
    <w:basedOn w:val="Parasts"/>
    <w:uiPriority w:val="99"/>
    <w:rsid w:val="00427017"/>
    <w:pPr>
      <w:spacing w:before="480" w:after="240" w:line="360" w:lineRule="auto"/>
      <w:ind w:firstLine="300"/>
      <w:jc w:val="right"/>
    </w:pPr>
    <w:rPr>
      <w:rFonts w:ascii="Verdana" w:eastAsia="Calibri" w:hAnsi="Verdana"/>
      <w:sz w:val="18"/>
      <w:szCs w:val="18"/>
    </w:rPr>
  </w:style>
  <w:style w:type="paragraph" w:customStyle="1" w:styleId="tv2131">
    <w:name w:val="tv2131"/>
    <w:basedOn w:val="Parasts"/>
    <w:rsid w:val="00895A83"/>
    <w:pPr>
      <w:spacing w:line="360" w:lineRule="auto"/>
      <w:ind w:firstLine="300"/>
    </w:pPr>
    <w:rPr>
      <w:color w:val="414142"/>
      <w:sz w:val="20"/>
      <w:szCs w:val="20"/>
    </w:rPr>
  </w:style>
  <w:style w:type="numbering" w:customStyle="1" w:styleId="WWNum9">
    <w:name w:val="WWNum9"/>
    <w:basedOn w:val="Bezsaraksta"/>
    <w:rsid w:val="004A338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76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650">
          <w:marLeft w:val="0"/>
          <w:marRight w:val="0"/>
          <w:marTop w:val="0"/>
          <w:marBottom w:val="0"/>
          <w:divBdr>
            <w:top w:val="none" w:sz="0" w:space="0" w:color="auto"/>
            <w:left w:val="none" w:sz="0" w:space="0" w:color="auto"/>
            <w:bottom w:val="none" w:sz="0" w:space="0" w:color="auto"/>
            <w:right w:val="none" w:sz="0" w:space="0" w:color="auto"/>
          </w:divBdr>
          <w:divsChild>
            <w:div w:id="367681652">
              <w:marLeft w:val="0"/>
              <w:marRight w:val="0"/>
              <w:marTop w:val="0"/>
              <w:marBottom w:val="0"/>
              <w:divBdr>
                <w:top w:val="none" w:sz="0" w:space="0" w:color="auto"/>
                <w:left w:val="none" w:sz="0" w:space="0" w:color="auto"/>
                <w:bottom w:val="none" w:sz="0" w:space="0" w:color="auto"/>
                <w:right w:val="none" w:sz="0" w:space="0" w:color="auto"/>
              </w:divBdr>
              <w:divsChild>
                <w:div w:id="2029212194">
                  <w:marLeft w:val="0"/>
                  <w:marRight w:val="0"/>
                  <w:marTop w:val="0"/>
                  <w:marBottom w:val="0"/>
                  <w:divBdr>
                    <w:top w:val="none" w:sz="0" w:space="0" w:color="auto"/>
                    <w:left w:val="none" w:sz="0" w:space="0" w:color="auto"/>
                    <w:bottom w:val="none" w:sz="0" w:space="0" w:color="auto"/>
                    <w:right w:val="none" w:sz="0" w:space="0" w:color="auto"/>
                  </w:divBdr>
                  <w:divsChild>
                    <w:div w:id="742727395">
                      <w:marLeft w:val="0"/>
                      <w:marRight w:val="0"/>
                      <w:marTop w:val="0"/>
                      <w:marBottom w:val="0"/>
                      <w:divBdr>
                        <w:top w:val="none" w:sz="0" w:space="0" w:color="auto"/>
                        <w:left w:val="none" w:sz="0" w:space="0" w:color="auto"/>
                        <w:bottom w:val="none" w:sz="0" w:space="0" w:color="auto"/>
                        <w:right w:val="none" w:sz="0" w:space="0" w:color="auto"/>
                      </w:divBdr>
                      <w:divsChild>
                        <w:div w:id="1252085423">
                          <w:marLeft w:val="0"/>
                          <w:marRight w:val="0"/>
                          <w:marTop w:val="300"/>
                          <w:marBottom w:val="0"/>
                          <w:divBdr>
                            <w:top w:val="none" w:sz="0" w:space="0" w:color="auto"/>
                            <w:left w:val="none" w:sz="0" w:space="0" w:color="auto"/>
                            <w:bottom w:val="none" w:sz="0" w:space="0" w:color="auto"/>
                            <w:right w:val="none" w:sz="0" w:space="0" w:color="auto"/>
                          </w:divBdr>
                          <w:divsChild>
                            <w:div w:id="1839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485">
      <w:bodyDiv w:val="1"/>
      <w:marLeft w:val="0"/>
      <w:marRight w:val="0"/>
      <w:marTop w:val="0"/>
      <w:marBottom w:val="0"/>
      <w:divBdr>
        <w:top w:val="none" w:sz="0" w:space="0" w:color="auto"/>
        <w:left w:val="none" w:sz="0" w:space="0" w:color="auto"/>
        <w:bottom w:val="none" w:sz="0" w:space="0" w:color="auto"/>
        <w:right w:val="none" w:sz="0" w:space="0" w:color="auto"/>
      </w:divBdr>
    </w:div>
    <w:div w:id="231430362">
      <w:bodyDiv w:val="1"/>
      <w:marLeft w:val="0"/>
      <w:marRight w:val="0"/>
      <w:marTop w:val="0"/>
      <w:marBottom w:val="0"/>
      <w:divBdr>
        <w:top w:val="none" w:sz="0" w:space="0" w:color="auto"/>
        <w:left w:val="none" w:sz="0" w:space="0" w:color="auto"/>
        <w:bottom w:val="none" w:sz="0" w:space="0" w:color="auto"/>
        <w:right w:val="none" w:sz="0" w:space="0" w:color="auto"/>
      </w:divBdr>
    </w:div>
    <w:div w:id="327367513">
      <w:bodyDiv w:val="1"/>
      <w:marLeft w:val="0"/>
      <w:marRight w:val="0"/>
      <w:marTop w:val="0"/>
      <w:marBottom w:val="0"/>
      <w:divBdr>
        <w:top w:val="none" w:sz="0" w:space="0" w:color="auto"/>
        <w:left w:val="none" w:sz="0" w:space="0" w:color="auto"/>
        <w:bottom w:val="none" w:sz="0" w:space="0" w:color="auto"/>
        <w:right w:val="none" w:sz="0" w:space="0" w:color="auto"/>
      </w:divBdr>
    </w:div>
    <w:div w:id="612054923">
      <w:bodyDiv w:val="1"/>
      <w:marLeft w:val="0"/>
      <w:marRight w:val="0"/>
      <w:marTop w:val="0"/>
      <w:marBottom w:val="0"/>
      <w:divBdr>
        <w:top w:val="none" w:sz="0" w:space="0" w:color="auto"/>
        <w:left w:val="none" w:sz="0" w:space="0" w:color="auto"/>
        <w:bottom w:val="none" w:sz="0" w:space="0" w:color="auto"/>
        <w:right w:val="none" w:sz="0" w:space="0" w:color="auto"/>
      </w:divBdr>
    </w:div>
    <w:div w:id="1084109189">
      <w:bodyDiv w:val="1"/>
      <w:marLeft w:val="0"/>
      <w:marRight w:val="0"/>
      <w:marTop w:val="0"/>
      <w:marBottom w:val="0"/>
      <w:divBdr>
        <w:top w:val="none" w:sz="0" w:space="0" w:color="auto"/>
        <w:left w:val="none" w:sz="0" w:space="0" w:color="auto"/>
        <w:bottom w:val="none" w:sz="0" w:space="0" w:color="auto"/>
        <w:right w:val="none" w:sz="0" w:space="0" w:color="auto"/>
      </w:divBdr>
    </w:div>
    <w:div w:id="1217549056">
      <w:bodyDiv w:val="1"/>
      <w:marLeft w:val="0"/>
      <w:marRight w:val="0"/>
      <w:marTop w:val="0"/>
      <w:marBottom w:val="0"/>
      <w:divBdr>
        <w:top w:val="none" w:sz="0" w:space="0" w:color="auto"/>
        <w:left w:val="none" w:sz="0" w:space="0" w:color="auto"/>
        <w:bottom w:val="none" w:sz="0" w:space="0" w:color="auto"/>
        <w:right w:val="none" w:sz="0" w:space="0" w:color="auto"/>
      </w:divBdr>
    </w:div>
    <w:div w:id="1270620865">
      <w:bodyDiv w:val="1"/>
      <w:marLeft w:val="0"/>
      <w:marRight w:val="0"/>
      <w:marTop w:val="0"/>
      <w:marBottom w:val="0"/>
      <w:divBdr>
        <w:top w:val="none" w:sz="0" w:space="0" w:color="auto"/>
        <w:left w:val="none" w:sz="0" w:space="0" w:color="auto"/>
        <w:bottom w:val="none" w:sz="0" w:space="0" w:color="auto"/>
        <w:right w:val="none" w:sz="0" w:space="0" w:color="auto"/>
      </w:divBdr>
    </w:div>
    <w:div w:id="1880119359">
      <w:bodyDiv w:val="1"/>
      <w:marLeft w:val="0"/>
      <w:marRight w:val="0"/>
      <w:marTop w:val="0"/>
      <w:marBottom w:val="0"/>
      <w:divBdr>
        <w:top w:val="none" w:sz="0" w:space="0" w:color="auto"/>
        <w:left w:val="none" w:sz="0" w:space="0" w:color="auto"/>
        <w:bottom w:val="none" w:sz="0" w:space="0" w:color="auto"/>
        <w:right w:val="none" w:sz="0" w:space="0" w:color="auto"/>
      </w:divBdr>
      <w:divsChild>
        <w:div w:id="1799715225">
          <w:marLeft w:val="0"/>
          <w:marRight w:val="0"/>
          <w:marTop w:val="0"/>
          <w:marBottom w:val="0"/>
          <w:divBdr>
            <w:top w:val="none" w:sz="0" w:space="0" w:color="auto"/>
            <w:left w:val="none" w:sz="0" w:space="0" w:color="auto"/>
            <w:bottom w:val="none" w:sz="0" w:space="0" w:color="auto"/>
            <w:right w:val="none" w:sz="0" w:space="0" w:color="auto"/>
          </w:divBdr>
        </w:div>
        <w:div w:id="2108113961">
          <w:marLeft w:val="0"/>
          <w:marRight w:val="0"/>
          <w:marTop w:val="0"/>
          <w:marBottom w:val="0"/>
          <w:divBdr>
            <w:top w:val="none" w:sz="0" w:space="0" w:color="auto"/>
            <w:left w:val="none" w:sz="0" w:space="0" w:color="auto"/>
            <w:bottom w:val="none" w:sz="0" w:space="0" w:color="auto"/>
            <w:right w:val="none" w:sz="0" w:space="0" w:color="auto"/>
          </w:divBdr>
        </w:div>
      </w:divsChild>
    </w:div>
    <w:div w:id="1899048198">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E648-87DC-452F-8DFF-9B92852F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1880</Words>
  <Characters>13211</Characters>
  <Application>Microsoft Office Word</Application>
  <DocSecurity>0</DocSecurity>
  <Lines>110</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Augu</dc:title>
  <dc:subject>Izziņa</dc:subject>
  <dc:creator>Kristīne Lifānova</dc:creator>
  <cp:keywords/>
  <dc:description>Lifānova 29481704_x000d_
kristine.lifanova@vaad.gov.lv</dc:description>
  <cp:lastModifiedBy>Kristiāna Sebre</cp:lastModifiedBy>
  <cp:revision>15</cp:revision>
  <cp:lastPrinted>2017-10-17T13:35:00Z</cp:lastPrinted>
  <dcterms:created xsi:type="dcterms:W3CDTF">2018-02-05T09:23:00Z</dcterms:created>
  <dcterms:modified xsi:type="dcterms:W3CDTF">2019-05-20T13:33:00Z</dcterms:modified>
</cp:coreProperties>
</file>