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6021" w14:textId="41BFE3F4" w:rsidR="002C2B13" w:rsidRPr="00D367E3" w:rsidRDefault="00F15799" w:rsidP="002C2B13">
      <w:pPr>
        <w:pStyle w:val="Heading3"/>
        <w:shd w:val="clear" w:color="auto" w:fill="FFFFFF"/>
        <w:jc w:val="center"/>
        <w:rPr>
          <w:rFonts w:ascii="Times New Roman" w:hAnsi="Times New Roman" w:cs="Times New Roman"/>
          <w:sz w:val="28"/>
          <w:szCs w:val="28"/>
          <w:lang w:eastAsia="lv-LV"/>
        </w:rPr>
      </w:pPr>
      <w:r w:rsidRPr="00D367E3">
        <w:rPr>
          <w:rFonts w:ascii="Times New Roman" w:hAnsi="Times New Roman" w:cs="Times New Roman"/>
          <w:sz w:val="28"/>
          <w:szCs w:val="28"/>
        </w:rPr>
        <w:t>Ministru kabineta rīkojuma</w:t>
      </w:r>
      <w:r w:rsidR="00171DE8" w:rsidRPr="00D367E3">
        <w:rPr>
          <w:rFonts w:ascii="Times New Roman" w:hAnsi="Times New Roman" w:cs="Times New Roman"/>
          <w:sz w:val="28"/>
          <w:szCs w:val="28"/>
        </w:rPr>
        <w:t xml:space="preserve"> </w:t>
      </w:r>
      <w:r w:rsidRPr="00D367E3">
        <w:rPr>
          <w:rFonts w:ascii="Times New Roman" w:hAnsi="Times New Roman" w:cs="Times New Roman"/>
          <w:sz w:val="28"/>
          <w:szCs w:val="28"/>
        </w:rPr>
        <w:t xml:space="preserve">projekta </w:t>
      </w:r>
      <w:r w:rsidR="003338DA" w:rsidRPr="00D367E3">
        <w:rPr>
          <w:rFonts w:ascii="Times New Roman" w:hAnsi="Times New Roman" w:cs="Times New Roman"/>
          <w:b w:val="0"/>
          <w:sz w:val="28"/>
          <w:szCs w:val="28"/>
        </w:rPr>
        <w:t>„</w:t>
      </w:r>
      <w:r w:rsidR="002C2B13" w:rsidRPr="00D367E3">
        <w:rPr>
          <w:rFonts w:ascii="Times New Roman" w:hAnsi="Times New Roman" w:cs="Times New Roman"/>
          <w:sz w:val="28"/>
          <w:szCs w:val="28"/>
        </w:rPr>
        <w:t>Grozījums Ministru kabineta 2016. gada 13. oktobra rīkojumā Nr. 596 “Par informācijas sabiedrības attīstības pamatnostādņu ieviešanu publiskās pārvaldes informācijas sistēmu jomā (</w:t>
      </w:r>
      <w:proofErr w:type="spellStart"/>
      <w:r w:rsidR="002C2B13" w:rsidRPr="00D367E3">
        <w:rPr>
          <w:rFonts w:ascii="Times New Roman" w:hAnsi="Times New Roman" w:cs="Times New Roman"/>
          <w:sz w:val="28"/>
          <w:szCs w:val="28"/>
        </w:rPr>
        <w:t>mērķarhitektūras</w:t>
      </w:r>
      <w:proofErr w:type="spellEnd"/>
      <w:r w:rsidR="002C2B13" w:rsidRPr="00D367E3">
        <w:rPr>
          <w:rFonts w:ascii="Times New Roman" w:hAnsi="Times New Roman" w:cs="Times New Roman"/>
          <w:sz w:val="28"/>
          <w:szCs w:val="28"/>
        </w:rPr>
        <w:t xml:space="preserve"> 3.0. versija)”</w:t>
      </w:r>
    </w:p>
    <w:p w14:paraId="0DE03F95" w14:textId="3240DDA9" w:rsidR="00B559D5" w:rsidRPr="00D367E3" w:rsidRDefault="001114E0" w:rsidP="00B559D5">
      <w:pPr>
        <w:spacing w:after="120"/>
        <w:jc w:val="center"/>
        <w:rPr>
          <w:b/>
          <w:bCs/>
          <w:sz w:val="28"/>
          <w:szCs w:val="28"/>
          <w:lang w:eastAsia="en-US"/>
        </w:rPr>
      </w:pPr>
      <w:r w:rsidRPr="00D367E3">
        <w:rPr>
          <w:b/>
          <w:bCs/>
          <w:sz w:val="28"/>
          <w:szCs w:val="28"/>
        </w:rPr>
        <w:t xml:space="preserve"> </w:t>
      </w:r>
      <w:r w:rsidR="00F15799" w:rsidRPr="00D367E3">
        <w:rPr>
          <w:b/>
          <w:bCs/>
          <w:sz w:val="28"/>
          <w:szCs w:val="28"/>
        </w:rPr>
        <w:t>sākotnējās</w:t>
      </w:r>
      <w:r w:rsidR="00F15799" w:rsidRPr="00D367E3">
        <w:rPr>
          <w:b/>
          <w:bCs/>
          <w:sz w:val="28"/>
          <w:szCs w:val="28"/>
          <w:lang w:eastAsia="en-US"/>
        </w:rPr>
        <w:t xml:space="preserve"> ietekmes novērtējuma ziņojums (anotācija) </w:t>
      </w:r>
    </w:p>
    <w:tbl>
      <w:tblPr>
        <w:tblW w:w="5726"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9"/>
        <w:gridCol w:w="6698"/>
      </w:tblGrid>
      <w:tr w:rsidR="00D367E3" w:rsidRPr="00D367E3" w14:paraId="2033DA32" w14:textId="77777777" w:rsidTr="00BB67B6">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6EF3F611" w14:textId="77777777" w:rsidR="00B559D5" w:rsidRPr="00D367E3" w:rsidRDefault="00F15799" w:rsidP="00262DE5">
            <w:pPr>
              <w:jc w:val="center"/>
              <w:rPr>
                <w:b/>
                <w:bCs/>
                <w:iCs/>
                <w:lang w:eastAsia="lv-LV"/>
              </w:rPr>
            </w:pPr>
            <w:r w:rsidRPr="00D367E3">
              <w:rPr>
                <w:b/>
                <w:bCs/>
                <w:iCs/>
                <w:lang w:eastAsia="lv-LV"/>
              </w:rPr>
              <w:t>Tiesību akta projekta anotācijas kopsavilkums</w:t>
            </w:r>
          </w:p>
        </w:tc>
      </w:tr>
      <w:tr w:rsidR="00D367E3" w:rsidRPr="00D367E3" w14:paraId="4E3A55C6" w14:textId="77777777" w:rsidTr="00BB67B6">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14:paraId="004678EC" w14:textId="77777777" w:rsidR="00B559D5" w:rsidRPr="00D367E3" w:rsidRDefault="00F15799" w:rsidP="00262DE5">
            <w:pPr>
              <w:rPr>
                <w:iCs/>
                <w:lang w:eastAsia="lv-LV"/>
              </w:rPr>
            </w:pPr>
            <w:r w:rsidRPr="00D367E3">
              <w:rPr>
                <w:iCs/>
                <w:lang w:eastAsia="lv-LV"/>
              </w:rPr>
              <w:t>Mērķis, risinājums un projekta spēkā stāšanās laiks (500 zīmes bez atstarpēm)</w:t>
            </w:r>
          </w:p>
        </w:tc>
        <w:tc>
          <w:tcPr>
            <w:tcW w:w="3254" w:type="pct"/>
            <w:tcBorders>
              <w:top w:val="outset" w:sz="6" w:space="0" w:color="auto"/>
              <w:left w:val="outset" w:sz="6" w:space="0" w:color="auto"/>
              <w:bottom w:val="outset" w:sz="6" w:space="0" w:color="auto"/>
              <w:right w:val="outset" w:sz="6" w:space="0" w:color="auto"/>
            </w:tcBorders>
          </w:tcPr>
          <w:p w14:paraId="66225596" w14:textId="3D50552B" w:rsidR="00B559D5" w:rsidRPr="00D367E3" w:rsidRDefault="001B0801" w:rsidP="00262DE5">
            <w:pPr>
              <w:rPr>
                <w:iCs/>
                <w:lang w:eastAsia="lv-LV"/>
              </w:rPr>
            </w:pPr>
            <w:r w:rsidRPr="00D367E3">
              <w:rPr>
                <w:iCs/>
                <w:lang w:eastAsia="lv-LV"/>
              </w:rPr>
              <w:t>Nav</w:t>
            </w:r>
          </w:p>
        </w:tc>
      </w:tr>
    </w:tbl>
    <w:p w14:paraId="2EF9778E" w14:textId="77777777" w:rsidR="00B559D5" w:rsidRPr="00D367E3" w:rsidRDefault="00B559D5" w:rsidP="00B559D5">
      <w:pPr>
        <w:jc w:val="center"/>
        <w:rPr>
          <w:b/>
          <w:bCs/>
          <w:lang w:eastAsia="en-US"/>
        </w:rPr>
      </w:pPr>
    </w:p>
    <w:tbl>
      <w:tblPr>
        <w:tblW w:w="10256" w:type="dxa"/>
        <w:tblInd w:w="-456" w:type="dxa"/>
        <w:tblLayout w:type="fixed"/>
        <w:tblCellMar>
          <w:left w:w="57" w:type="dxa"/>
          <w:right w:w="57" w:type="dxa"/>
        </w:tblCellMar>
        <w:tblLook w:val="0000" w:firstRow="0" w:lastRow="0" w:firstColumn="0" w:lastColumn="0" w:noHBand="0" w:noVBand="0"/>
      </w:tblPr>
      <w:tblGrid>
        <w:gridCol w:w="1163"/>
        <w:gridCol w:w="1986"/>
        <w:gridCol w:w="7107"/>
      </w:tblGrid>
      <w:tr w:rsidR="00D367E3" w:rsidRPr="00D367E3" w14:paraId="5C1D560F" w14:textId="77777777" w:rsidTr="009C4C51">
        <w:trPr>
          <w:trHeight w:val="557"/>
        </w:trPr>
        <w:tc>
          <w:tcPr>
            <w:tcW w:w="102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336C4845" w14:textId="77777777" w:rsidR="00B559D5" w:rsidRPr="00D367E3" w:rsidRDefault="00F15799" w:rsidP="00262DE5">
            <w:pPr>
              <w:jc w:val="center"/>
            </w:pPr>
            <w:r w:rsidRPr="00D367E3">
              <w:rPr>
                <w:b/>
                <w:bCs/>
                <w:lang w:eastAsia="en-US"/>
              </w:rPr>
              <w:t> I. Tiesību akta izstrādes nepieciešamība</w:t>
            </w:r>
          </w:p>
        </w:tc>
      </w:tr>
      <w:tr w:rsidR="00D367E3" w:rsidRPr="00D367E3" w14:paraId="390DFED0" w14:textId="77777777" w:rsidTr="009C4C51">
        <w:trPr>
          <w:trHeight w:val="271"/>
        </w:trPr>
        <w:tc>
          <w:tcPr>
            <w:tcW w:w="1163" w:type="dxa"/>
            <w:tcBorders>
              <w:top w:val="thickThinLargeGap" w:sz="6" w:space="0" w:color="C0C0C0"/>
              <w:left w:val="thickThinLargeGap" w:sz="6" w:space="0" w:color="C0C0C0"/>
              <w:bottom w:val="thickThinLargeGap" w:sz="6" w:space="0" w:color="C0C0C0"/>
            </w:tcBorders>
          </w:tcPr>
          <w:p w14:paraId="6C7B52DD" w14:textId="77777777" w:rsidR="00B559D5" w:rsidRPr="00D367E3" w:rsidRDefault="00F15799" w:rsidP="00262DE5">
            <w:r w:rsidRPr="00D367E3">
              <w:rPr>
                <w:lang w:eastAsia="en-US"/>
              </w:rPr>
              <w:t> 1.</w:t>
            </w:r>
          </w:p>
        </w:tc>
        <w:tc>
          <w:tcPr>
            <w:tcW w:w="1986" w:type="dxa"/>
            <w:tcBorders>
              <w:top w:val="thickThinLargeGap" w:sz="6" w:space="0" w:color="C0C0C0"/>
              <w:left w:val="thickThinLargeGap" w:sz="6" w:space="0" w:color="C0C0C0"/>
              <w:bottom w:val="thickThinLargeGap" w:sz="6" w:space="0" w:color="C0C0C0"/>
            </w:tcBorders>
          </w:tcPr>
          <w:p w14:paraId="5226EB2F" w14:textId="77777777" w:rsidR="00B559D5" w:rsidRPr="00D367E3" w:rsidRDefault="00F15799" w:rsidP="00262DE5">
            <w:r w:rsidRPr="00D367E3">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5A55C083" w14:textId="77777777" w:rsidR="002C2B13" w:rsidRPr="00D367E3" w:rsidRDefault="002C2B13" w:rsidP="002B68B8">
            <w:pPr>
              <w:numPr>
                <w:ilvl w:val="0"/>
                <w:numId w:val="8"/>
              </w:numPr>
              <w:suppressAutoHyphens w:val="0"/>
              <w:ind w:right="212"/>
              <w:jc w:val="both"/>
              <w:rPr>
                <w:lang w:eastAsia="lv-LV"/>
              </w:rPr>
            </w:pPr>
            <w:r w:rsidRPr="00D367E3">
              <w:rPr>
                <w:lang w:eastAsia="lv-LV"/>
              </w:rPr>
              <w:t xml:space="preserve">2015. gada 17. novembra Ministru kabineta noteikumu Nr. 653 „Darbības programmas „Izaugsme un nodarbinātība” 2.2.1. specifiskā atbalsta mērķa „Nodrošināt publisko datu </w:t>
            </w:r>
            <w:proofErr w:type="spellStart"/>
            <w:r w:rsidRPr="00D367E3">
              <w:rPr>
                <w:lang w:eastAsia="lv-LV"/>
              </w:rPr>
              <w:t>atkalizmantošanas</w:t>
            </w:r>
            <w:proofErr w:type="spellEnd"/>
            <w:r w:rsidRPr="00D367E3">
              <w:rPr>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14:paraId="59B3BE0B" w14:textId="77777777" w:rsidR="002B68B8" w:rsidRPr="00836FE4" w:rsidRDefault="002B68B8" w:rsidP="002B68B8">
            <w:pPr>
              <w:pStyle w:val="ListParagraph"/>
              <w:numPr>
                <w:ilvl w:val="0"/>
                <w:numId w:val="8"/>
              </w:numPr>
              <w:spacing w:line="20" w:lineRule="atLeast"/>
              <w:jc w:val="both"/>
            </w:pPr>
            <w:r w:rsidRPr="00836FE4">
              <w:t>Ministru kabineta 2016.gada 10. februāra rīkojuma Nr.136 “Par informācijas sabiedrības attīstības pamatnostādņu ieviešanu publiskās pārvaldes informācijas sistēmu jomā” 4.</w:t>
            </w:r>
            <w:r w:rsidRPr="00446113">
              <w:t>1</w:t>
            </w:r>
            <w:r w:rsidRPr="00836FE4">
              <w:t xml:space="preserve"> punkts</w:t>
            </w:r>
            <w:r w:rsidRPr="00446113">
              <w:t>.</w:t>
            </w:r>
            <w:r w:rsidRPr="00836FE4">
              <w:t xml:space="preserve"> </w:t>
            </w:r>
          </w:p>
          <w:p w14:paraId="75181C99" w14:textId="53127196" w:rsidR="001D603F" w:rsidRPr="00D367E3" w:rsidRDefault="001D603F" w:rsidP="002B68B8">
            <w:pPr>
              <w:suppressAutoHyphens w:val="0"/>
              <w:ind w:left="360" w:right="212"/>
              <w:jc w:val="both"/>
              <w:rPr>
                <w:lang w:eastAsia="lv-LV"/>
              </w:rPr>
            </w:pPr>
          </w:p>
        </w:tc>
      </w:tr>
      <w:tr w:rsidR="00D367E3" w:rsidRPr="00D367E3" w14:paraId="62537BCC" w14:textId="77777777" w:rsidTr="009C4C51">
        <w:trPr>
          <w:trHeight w:val="1545"/>
        </w:trPr>
        <w:tc>
          <w:tcPr>
            <w:tcW w:w="1163" w:type="dxa"/>
            <w:tcBorders>
              <w:top w:val="thickThinLargeGap" w:sz="6" w:space="0" w:color="C0C0C0"/>
              <w:left w:val="thickThinLargeGap" w:sz="6" w:space="0" w:color="C0C0C0"/>
              <w:bottom w:val="thickThinLargeGap" w:sz="6" w:space="0" w:color="C0C0C0"/>
            </w:tcBorders>
          </w:tcPr>
          <w:p w14:paraId="68F53452" w14:textId="77777777" w:rsidR="00B559D5" w:rsidRPr="00D367E3" w:rsidRDefault="00F15799" w:rsidP="00262DE5">
            <w:r w:rsidRPr="00D367E3">
              <w:rPr>
                <w:lang w:eastAsia="en-US"/>
              </w:rPr>
              <w:t> 2.</w:t>
            </w:r>
          </w:p>
        </w:tc>
        <w:tc>
          <w:tcPr>
            <w:tcW w:w="1986" w:type="dxa"/>
            <w:tcBorders>
              <w:top w:val="thickThinLargeGap" w:sz="6" w:space="0" w:color="C0C0C0"/>
              <w:left w:val="thickThinLargeGap" w:sz="6" w:space="0" w:color="C0C0C0"/>
              <w:bottom w:val="thickThinLargeGap" w:sz="6" w:space="0" w:color="C0C0C0"/>
            </w:tcBorders>
          </w:tcPr>
          <w:p w14:paraId="473A5928" w14:textId="77777777" w:rsidR="00B559D5" w:rsidRDefault="00F15799" w:rsidP="00262DE5">
            <w:pPr>
              <w:rPr>
                <w:lang w:eastAsia="en-US"/>
              </w:rPr>
            </w:pPr>
            <w:r w:rsidRPr="00D367E3">
              <w:rPr>
                <w:lang w:eastAsia="en-US"/>
              </w:rPr>
              <w:t>Pašreizējā situācija un problēmas, kuru risināšanai tiesību akta projekts izstrādāts, tiesiskā regulējuma mērķis un būtība</w:t>
            </w:r>
          </w:p>
          <w:p w14:paraId="2218A340" w14:textId="77777777" w:rsidR="00AA7509" w:rsidRPr="00AA7509" w:rsidRDefault="00AA7509" w:rsidP="00AA7509"/>
          <w:p w14:paraId="55A45A74" w14:textId="77777777" w:rsidR="00AA7509" w:rsidRPr="00AA7509" w:rsidRDefault="00AA7509" w:rsidP="00AA7509"/>
          <w:p w14:paraId="2F9A0342" w14:textId="77777777" w:rsidR="00AA7509" w:rsidRPr="00AA7509" w:rsidRDefault="00AA7509" w:rsidP="00AA7509"/>
          <w:p w14:paraId="2141A2E3" w14:textId="77777777" w:rsidR="00AA7509" w:rsidRPr="00AA7509" w:rsidRDefault="00AA7509" w:rsidP="00AA7509"/>
          <w:p w14:paraId="5D3890E6" w14:textId="77777777" w:rsidR="00AA7509" w:rsidRPr="00AA7509" w:rsidRDefault="00AA7509" w:rsidP="00AA7509"/>
          <w:p w14:paraId="6511311A" w14:textId="77777777" w:rsidR="00AA7509" w:rsidRPr="00AA7509" w:rsidRDefault="00AA7509" w:rsidP="00AA7509"/>
          <w:p w14:paraId="0BA5EAFB" w14:textId="77777777" w:rsidR="00AA7509" w:rsidRPr="00AA7509" w:rsidRDefault="00AA7509" w:rsidP="00AA7509"/>
          <w:p w14:paraId="2FE91153" w14:textId="77777777" w:rsidR="00AA7509" w:rsidRPr="00AA7509" w:rsidRDefault="00AA7509" w:rsidP="00AA7509"/>
          <w:p w14:paraId="0EA1EF8A" w14:textId="77777777" w:rsidR="00AA7509" w:rsidRPr="00AA7509" w:rsidRDefault="00AA7509" w:rsidP="00AA7509"/>
          <w:p w14:paraId="493EB3F1" w14:textId="77777777" w:rsidR="00AA7509" w:rsidRPr="00AA7509" w:rsidRDefault="00AA7509" w:rsidP="00AA7509"/>
          <w:p w14:paraId="1C527896" w14:textId="561DD29B" w:rsidR="00AA7509" w:rsidRDefault="00AA7509" w:rsidP="00AA7509"/>
          <w:p w14:paraId="51257945" w14:textId="25AA3AAA" w:rsidR="00DA43C3" w:rsidRPr="00DA43C3" w:rsidRDefault="00DA43C3" w:rsidP="00DA43C3"/>
          <w:p w14:paraId="0E994322" w14:textId="28B12BBF" w:rsidR="00DA43C3" w:rsidRPr="00DA43C3" w:rsidRDefault="00DA43C3" w:rsidP="00DA43C3"/>
          <w:p w14:paraId="2FE8014D" w14:textId="7286A250" w:rsidR="00DA43C3" w:rsidRPr="00DA43C3" w:rsidRDefault="00DA43C3" w:rsidP="00DA43C3"/>
          <w:p w14:paraId="320DD1DF" w14:textId="573926C3" w:rsidR="00DA43C3" w:rsidRPr="00DA43C3" w:rsidRDefault="00DA43C3" w:rsidP="00DA43C3"/>
          <w:p w14:paraId="4690DD02" w14:textId="77777777" w:rsidR="00DA43C3" w:rsidRPr="00DA43C3" w:rsidRDefault="00DA43C3" w:rsidP="00DA43C3"/>
          <w:p w14:paraId="5FD60822" w14:textId="3102EEF2" w:rsidR="00DA43C3" w:rsidRPr="00DA43C3" w:rsidRDefault="00DA43C3" w:rsidP="00DA43C3"/>
          <w:p w14:paraId="589597A6" w14:textId="7DE79E0F" w:rsidR="00DA43C3" w:rsidRPr="00DA43C3" w:rsidRDefault="00DA43C3" w:rsidP="00DA43C3"/>
          <w:p w14:paraId="39A78EB9" w14:textId="6C1B30FC" w:rsidR="00DA43C3" w:rsidRPr="00DA43C3" w:rsidRDefault="00DA43C3" w:rsidP="00DA43C3"/>
          <w:p w14:paraId="6A333552" w14:textId="49917BB5" w:rsidR="00DA43C3" w:rsidRPr="00DA43C3" w:rsidRDefault="00DA43C3" w:rsidP="00DA43C3"/>
          <w:p w14:paraId="6D439E53" w14:textId="77777777" w:rsidR="00DA43C3" w:rsidRPr="00DA43C3" w:rsidRDefault="00DA43C3" w:rsidP="00DA43C3"/>
          <w:p w14:paraId="2B52E904" w14:textId="26C2167F" w:rsidR="00DA43C3" w:rsidRPr="00DA43C3" w:rsidRDefault="00DA43C3" w:rsidP="00DA43C3"/>
          <w:p w14:paraId="7EE5CA05" w14:textId="50841162" w:rsidR="00DA43C3" w:rsidRPr="00DA43C3" w:rsidRDefault="00DA43C3" w:rsidP="00DA43C3"/>
          <w:p w14:paraId="759BC845" w14:textId="745EFFF1" w:rsidR="00DA43C3" w:rsidRPr="00DA43C3" w:rsidRDefault="00DA43C3" w:rsidP="00DA43C3"/>
          <w:p w14:paraId="7B8DAA92" w14:textId="04D5A425" w:rsidR="00DA43C3" w:rsidRPr="00DA43C3" w:rsidRDefault="00DA43C3" w:rsidP="00DA43C3"/>
          <w:p w14:paraId="1306D1B9" w14:textId="77777777" w:rsidR="00DA43C3" w:rsidRPr="00DA43C3" w:rsidRDefault="00DA43C3" w:rsidP="00DA43C3"/>
          <w:p w14:paraId="0FB20796" w14:textId="3BD9B838" w:rsidR="00DA43C3" w:rsidRPr="00DA43C3" w:rsidRDefault="00DA43C3" w:rsidP="00DA43C3"/>
          <w:p w14:paraId="2A7D150F" w14:textId="1B9DBCB0" w:rsidR="00DA43C3" w:rsidRPr="00DA43C3" w:rsidRDefault="00DA43C3" w:rsidP="00DA43C3"/>
          <w:p w14:paraId="0D5C766B" w14:textId="2F37AF7A" w:rsidR="00DA43C3" w:rsidRPr="00DA43C3" w:rsidRDefault="00DA43C3" w:rsidP="00DA43C3"/>
          <w:p w14:paraId="0653B58A" w14:textId="546816EB" w:rsidR="00DA43C3" w:rsidRPr="00DA43C3" w:rsidRDefault="00DA43C3" w:rsidP="00DA43C3"/>
          <w:p w14:paraId="38442085" w14:textId="77777777" w:rsidR="00DA43C3" w:rsidRPr="00DA43C3" w:rsidRDefault="00DA43C3" w:rsidP="00DA43C3"/>
          <w:p w14:paraId="28E2D5D0" w14:textId="2131437D" w:rsidR="00DA43C3" w:rsidRPr="00DA43C3" w:rsidRDefault="00DA43C3" w:rsidP="00DA43C3"/>
          <w:p w14:paraId="79F6CB5A" w14:textId="0BE43DB3" w:rsidR="00DA43C3" w:rsidRPr="00DA43C3" w:rsidRDefault="00DA43C3" w:rsidP="00DA43C3"/>
          <w:p w14:paraId="4E1FB532" w14:textId="31772FB5" w:rsidR="00DA43C3" w:rsidRPr="00DA43C3" w:rsidRDefault="00DA43C3" w:rsidP="00DA43C3"/>
          <w:p w14:paraId="446E05D9" w14:textId="4BE34088" w:rsidR="00DA43C3" w:rsidRPr="00DA43C3" w:rsidRDefault="00DA43C3" w:rsidP="00DA43C3"/>
          <w:p w14:paraId="682F6E0E" w14:textId="77777777" w:rsidR="00DA43C3" w:rsidRPr="00DA43C3" w:rsidRDefault="00DA43C3" w:rsidP="00DA43C3"/>
          <w:p w14:paraId="74F0B1B4" w14:textId="50DE45D8" w:rsidR="00DA43C3" w:rsidRPr="00DA43C3" w:rsidRDefault="00DA43C3" w:rsidP="00DA43C3"/>
          <w:p w14:paraId="7A2A4841" w14:textId="4322EF2F" w:rsidR="00DA43C3" w:rsidRPr="00DA43C3" w:rsidRDefault="00DA43C3" w:rsidP="00DA43C3"/>
          <w:p w14:paraId="2E3EA46F" w14:textId="3436FF4E" w:rsidR="00DA43C3" w:rsidRPr="00DA43C3" w:rsidRDefault="00DA43C3" w:rsidP="00DA43C3"/>
          <w:p w14:paraId="3CED2A07" w14:textId="71722E73" w:rsidR="00DA43C3" w:rsidRPr="00DA43C3" w:rsidRDefault="00DA43C3" w:rsidP="00DA43C3"/>
          <w:p w14:paraId="446CDECC" w14:textId="77777777" w:rsidR="00DA43C3" w:rsidRPr="00DA43C3" w:rsidRDefault="00DA43C3" w:rsidP="00DA43C3"/>
          <w:p w14:paraId="4A0D27C2" w14:textId="75BB0AF3" w:rsidR="00DA43C3" w:rsidRPr="00DA43C3" w:rsidRDefault="00DA43C3" w:rsidP="00DA43C3"/>
          <w:p w14:paraId="23A00570" w14:textId="4CFD6896" w:rsidR="00DA43C3" w:rsidRPr="00DA43C3" w:rsidRDefault="00DA43C3" w:rsidP="00DA43C3"/>
          <w:p w14:paraId="30A22699" w14:textId="57AF88D5" w:rsidR="00DA43C3" w:rsidRPr="00DA43C3" w:rsidRDefault="00DA43C3" w:rsidP="00DA43C3"/>
          <w:p w14:paraId="042137A3" w14:textId="09601D0B" w:rsidR="00DA43C3" w:rsidRPr="00DA43C3" w:rsidRDefault="00DA43C3" w:rsidP="00DA43C3"/>
          <w:p w14:paraId="4746E4A5" w14:textId="77777777" w:rsidR="00DA43C3" w:rsidRPr="00DA43C3" w:rsidRDefault="00DA43C3" w:rsidP="00DA43C3"/>
          <w:p w14:paraId="163B4573" w14:textId="7AE4160E" w:rsidR="00DA43C3" w:rsidRPr="00DA43C3" w:rsidRDefault="00DA43C3" w:rsidP="00DA43C3"/>
          <w:p w14:paraId="1B2F09A7" w14:textId="76921B2A" w:rsidR="00DA43C3" w:rsidRPr="00DA43C3" w:rsidRDefault="00DA43C3" w:rsidP="00DA43C3"/>
          <w:p w14:paraId="5E290FBE" w14:textId="684DE508" w:rsidR="00DA43C3" w:rsidRPr="00DA43C3" w:rsidRDefault="00DA43C3" w:rsidP="00DA43C3"/>
          <w:p w14:paraId="0F584B29" w14:textId="494822E9" w:rsidR="00DA43C3" w:rsidRPr="00DA43C3" w:rsidRDefault="00DA43C3" w:rsidP="00DA43C3"/>
          <w:p w14:paraId="6F701544" w14:textId="77777777" w:rsidR="00DA43C3" w:rsidRPr="00DA43C3" w:rsidRDefault="00DA43C3" w:rsidP="00DA43C3"/>
          <w:p w14:paraId="0B55EB83" w14:textId="7A38AE4B" w:rsidR="00DA43C3" w:rsidRPr="00DA43C3" w:rsidRDefault="00DA43C3" w:rsidP="00DA43C3"/>
          <w:p w14:paraId="6B836BCE" w14:textId="2BCBA1B8" w:rsidR="00DA43C3" w:rsidRPr="00DA43C3" w:rsidRDefault="00DA43C3" w:rsidP="00DA43C3"/>
          <w:p w14:paraId="3E07C844" w14:textId="4B9AA9ED" w:rsidR="00DA43C3" w:rsidRPr="00DA43C3" w:rsidRDefault="00DA43C3" w:rsidP="00DA43C3"/>
          <w:p w14:paraId="0775BF0B" w14:textId="4B2EC995" w:rsidR="00DA43C3" w:rsidRPr="00DA43C3" w:rsidRDefault="00DA43C3" w:rsidP="00DA43C3"/>
          <w:p w14:paraId="5CF848FF" w14:textId="77777777" w:rsidR="00DA43C3" w:rsidRPr="00DA43C3" w:rsidRDefault="00DA43C3" w:rsidP="00DA43C3"/>
          <w:p w14:paraId="691B6FAE" w14:textId="5C9842BF" w:rsidR="00DA43C3" w:rsidRPr="00DA43C3" w:rsidRDefault="00DA43C3" w:rsidP="00DA43C3"/>
          <w:p w14:paraId="58457FBD" w14:textId="7D425424" w:rsidR="00DA43C3" w:rsidRPr="00DA43C3" w:rsidRDefault="00DA43C3" w:rsidP="00DA43C3"/>
          <w:p w14:paraId="74A2EB27" w14:textId="29241D99" w:rsidR="00DA43C3" w:rsidRPr="00DA43C3" w:rsidRDefault="00DA43C3" w:rsidP="00DA43C3"/>
          <w:p w14:paraId="699035BF" w14:textId="5C6ABEF2" w:rsidR="00DA43C3" w:rsidRPr="00DA43C3" w:rsidRDefault="00DA43C3" w:rsidP="00DA43C3"/>
          <w:p w14:paraId="062C2C99" w14:textId="77777777" w:rsidR="00DA43C3" w:rsidRPr="00DA43C3" w:rsidRDefault="00DA43C3" w:rsidP="00DA43C3"/>
          <w:p w14:paraId="0F0F6305" w14:textId="5C566C04" w:rsidR="00DA43C3" w:rsidRPr="00DA43C3" w:rsidRDefault="00DA43C3" w:rsidP="00DA43C3"/>
          <w:p w14:paraId="7A7ABB99" w14:textId="517BC4A8" w:rsidR="00DA43C3" w:rsidRPr="00DA43C3" w:rsidRDefault="00DA43C3" w:rsidP="00DA43C3"/>
          <w:p w14:paraId="1434466A" w14:textId="347DFAC5" w:rsidR="00DA43C3" w:rsidRPr="00DA43C3" w:rsidRDefault="00DA43C3" w:rsidP="00DA43C3"/>
          <w:p w14:paraId="600A1C20" w14:textId="7EE5D92E" w:rsidR="00DA43C3" w:rsidRPr="00DA43C3" w:rsidRDefault="00DA43C3" w:rsidP="00DA43C3"/>
          <w:p w14:paraId="52C9A695" w14:textId="77777777" w:rsidR="00DA43C3" w:rsidRPr="00DA43C3" w:rsidRDefault="00DA43C3" w:rsidP="00DA43C3"/>
          <w:p w14:paraId="17B7C678" w14:textId="0045BA4C" w:rsidR="00DA43C3" w:rsidRPr="00DA43C3" w:rsidRDefault="00DA43C3" w:rsidP="00DA43C3"/>
          <w:p w14:paraId="0E089AC7" w14:textId="7B267B5D" w:rsidR="00DA43C3" w:rsidRPr="00DA43C3" w:rsidRDefault="00DA43C3" w:rsidP="00DA43C3"/>
          <w:p w14:paraId="21E527ED" w14:textId="122A6E75" w:rsidR="00AA7509" w:rsidRPr="00AA7509" w:rsidRDefault="00AA7509" w:rsidP="00DA43C3"/>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188E4244" w14:textId="1F943CEE" w:rsidR="002C2B13" w:rsidRPr="00D367E3" w:rsidRDefault="002C2B13" w:rsidP="002C2B13">
            <w:pPr>
              <w:spacing w:after="120"/>
              <w:ind w:firstLine="851"/>
              <w:jc w:val="both"/>
            </w:pPr>
            <w:r w:rsidRPr="00D367E3">
              <w:lastRenderedPageBreak/>
              <w:t>2017. gada 3. augustā Centrālā statistikas pārvalde (turpmāk – Pārvalde) noslēdza vienošanās Nr. 2.2.1.1/17</w:t>
            </w:r>
            <w:r w:rsidR="001560B1">
              <w:t>/</w:t>
            </w:r>
            <w:r w:rsidRPr="00D367E3">
              <w:t>I/002 (turpmāk – Vienošanās) ar CFLA par projekta “Oficiālās statistikas portāls”</w:t>
            </w:r>
            <w:r w:rsidRPr="00D367E3">
              <w:rPr>
                <w:vertAlign w:val="superscript"/>
              </w:rPr>
              <w:t xml:space="preserve"> </w:t>
            </w:r>
            <w:r w:rsidRPr="00D367E3">
              <w:t xml:space="preserve">(turpmāk – Projekts) īstenošanu. Projekta darbību īstenošanas laiks pēc Vienošanās noslēgšanas ir 24 mēneši. </w:t>
            </w:r>
          </w:p>
          <w:p w14:paraId="369D237B" w14:textId="0E5F0674" w:rsidR="002C2B13" w:rsidRPr="00D367E3" w:rsidRDefault="002C2B13" w:rsidP="002C2B13">
            <w:pPr>
              <w:spacing w:after="120"/>
              <w:ind w:firstLine="851"/>
              <w:jc w:val="both"/>
              <w:rPr>
                <w:sz w:val="28"/>
                <w:szCs w:val="28"/>
              </w:rPr>
            </w:pPr>
            <w:r w:rsidRPr="00D367E3">
              <w:rPr>
                <w:noProof/>
                <w:lang w:eastAsia="lv-LV"/>
              </w:rPr>
              <w:t xml:space="preserve">Pārvalde, izvērtējot Projektā sasniegto, secināja, ka  ir nepieciešams pagarināt Projekta darbības īstenošanas laiku no 24 uz 36 mēnešiem, tāpēc ir sagatavots </w:t>
            </w:r>
            <w:r w:rsidRPr="00D367E3">
              <w:t>Ministru kabineta 2016. gada 13. oktobra rīkojuma Nr. 596 “Par informācijas sabiedrības attīstības pamatnostādņu ieviešanu publiskās pārvaldes informācijas sistēmu jomā (</w:t>
            </w:r>
            <w:proofErr w:type="spellStart"/>
            <w:r w:rsidRPr="00D367E3">
              <w:t>mērķarhitektūras</w:t>
            </w:r>
            <w:proofErr w:type="spellEnd"/>
            <w:r w:rsidRPr="00D367E3">
              <w:t xml:space="preserve"> 3.0. versija)” grozījuma projekts.</w:t>
            </w:r>
          </w:p>
          <w:p w14:paraId="67BED8D1" w14:textId="2627C57C" w:rsidR="002C2B13" w:rsidRPr="00D367E3" w:rsidRDefault="002C2B13" w:rsidP="002C2B13">
            <w:pPr>
              <w:spacing w:after="120"/>
              <w:ind w:firstLine="851"/>
              <w:jc w:val="both"/>
            </w:pPr>
            <w:r w:rsidRPr="00D367E3">
              <w:rPr>
                <w:sz w:val="28"/>
                <w:szCs w:val="28"/>
              </w:rPr>
              <w:t xml:space="preserve"> </w:t>
            </w:r>
            <w:r w:rsidRPr="00D367E3">
              <w:t xml:space="preserve">Nepieciešamās izmaiņas saistītas ar Projekta realizācijas aktivitāšu aizkavēšanos, kuru galvenais iemesls ir informācijas iegūšana no trešajām pusēm. Informācija bija nepieciešama, lai pieņemtu pamatotu un optimālās ilgtermiņa izmaksās un uzturamībā balstītu lēmumu par statistikas publicēšanas platformas tehniskā risinājuma izvēli, ko izmantot oficiālās statistikas portālā </w:t>
            </w:r>
            <w:r w:rsidR="00AD40D2">
              <w:t xml:space="preserve">(turpmāk – OSP) </w:t>
            </w:r>
            <w:r w:rsidRPr="00D367E3">
              <w:t>kā statistikas konvertēšanas, apmaiņas, publicēšanas un glabāšanas (SKAPG) komponenti.</w:t>
            </w:r>
          </w:p>
          <w:p w14:paraId="1F90B4ED" w14:textId="77777777" w:rsidR="002C2B13" w:rsidRPr="00D367E3" w:rsidRDefault="002C2B13" w:rsidP="002C2B13">
            <w:pPr>
              <w:spacing w:after="120"/>
              <w:ind w:firstLine="851"/>
              <w:jc w:val="both"/>
            </w:pPr>
            <w:r w:rsidRPr="00D367E3">
              <w:lastRenderedPageBreak/>
              <w:t xml:space="preserve">Projekta detalizētā aprakstā ir paredzēts, ka lietojamības izpētes fāzē tiks pieņemts lēmums par Oficiālās statistikas publicēšanas platformu, kas būtu kopīgs vairāku nacionālo statistikas iestāžu uzturēts risinājums vai starptautisko organizāciju uzturēts risinājums. </w:t>
            </w:r>
          </w:p>
          <w:p w14:paraId="0D79AA43" w14:textId="01AE58C8" w:rsidR="002C2B13" w:rsidRPr="00AA7509" w:rsidRDefault="002C2B13" w:rsidP="002C2B13">
            <w:pPr>
              <w:spacing w:after="120"/>
              <w:ind w:firstLine="851"/>
              <w:jc w:val="both"/>
            </w:pPr>
            <w:r w:rsidRPr="00D367E3">
              <w:t xml:space="preserve">Pārvalde, gatavojot detalizēto projekta aprakstu un iepirkuma Nr. </w:t>
            </w:r>
            <w:r w:rsidRPr="00AA7509">
              <w:t>CSP</w:t>
            </w:r>
            <w:r w:rsidR="00653D36" w:rsidRPr="00AA7509">
              <w:t xml:space="preserve"> </w:t>
            </w:r>
            <w:r w:rsidRPr="00AA7509">
              <w:t xml:space="preserve">2017/13/ERAF “Oficiālās statistikas portāla dokumentācijas izstrāde, autoruzraudzība un kvalitātes nodrošināšana” tehnisko specifikāciju, veica </w:t>
            </w:r>
            <w:proofErr w:type="spellStart"/>
            <w:r w:rsidRPr="00AA7509">
              <w:t>priekšizpēti</w:t>
            </w:r>
            <w:proofErr w:type="spellEnd"/>
            <w:r w:rsidRPr="00AA7509">
              <w:t xml:space="preserve"> par iespējamajām statistikas publicēšanas platformām, ko potenciāli varētu izmantot kā SKAPG komponenti.</w:t>
            </w:r>
          </w:p>
          <w:p w14:paraId="0F858EBB" w14:textId="46D69174" w:rsidR="002C2B13" w:rsidRPr="00AA7509" w:rsidRDefault="002C2B13" w:rsidP="002C2B13">
            <w:pPr>
              <w:spacing w:after="120"/>
              <w:ind w:firstLine="851"/>
              <w:jc w:val="both"/>
            </w:pPr>
            <w:r w:rsidRPr="00AA7509">
              <w:t>Sagatavošanas darbu ietvaros tika iegūta sākotnējā informācija par PX-</w:t>
            </w:r>
            <w:proofErr w:type="spellStart"/>
            <w:r w:rsidRPr="00AA7509">
              <w:t>Web</w:t>
            </w:r>
            <w:proofErr w:type="spellEnd"/>
            <w:r w:rsidR="00247135" w:rsidRPr="00AA7509">
              <w:t xml:space="preserve"> (risinājums, kas veido dinamiskas tabulas (datu kubus ar vairākām dimensijām) no PC-AXIS datnēm)</w:t>
            </w:r>
            <w:r w:rsidRPr="00AA7509">
              <w:t xml:space="preserve"> </w:t>
            </w:r>
            <w:proofErr w:type="spellStart"/>
            <w:r w:rsidRPr="00AA7509">
              <w:t>pakotni</w:t>
            </w:r>
            <w:proofErr w:type="spellEnd"/>
            <w:r w:rsidRPr="00AA7509">
              <w:t>, Eiropas Savienības Statistikas biroja (</w:t>
            </w:r>
            <w:proofErr w:type="spellStart"/>
            <w:r w:rsidRPr="00AA7509">
              <w:rPr>
                <w:i/>
              </w:rPr>
              <w:t>Eurostat</w:t>
            </w:r>
            <w:proofErr w:type="spellEnd"/>
            <w:r w:rsidRPr="00AA7509">
              <w:rPr>
                <w:i/>
              </w:rPr>
              <w:t xml:space="preserve">) </w:t>
            </w:r>
            <w:proofErr w:type="spellStart"/>
            <w:r w:rsidRPr="00AA7509">
              <w:rPr>
                <w:i/>
              </w:rPr>
              <w:t>Redisstat</w:t>
            </w:r>
            <w:proofErr w:type="spellEnd"/>
            <w:r w:rsidRPr="00AA7509">
              <w:t xml:space="preserve"> platformu un Ekonomiskās sadarbības un attīstības organizācijas (OECD) .Stat statistikas risinājumiem un </w:t>
            </w:r>
            <w:proofErr w:type="spellStart"/>
            <w:r w:rsidRPr="00AA7509">
              <w:t>OECD.Stat</w:t>
            </w:r>
            <w:proofErr w:type="spellEnd"/>
            <w:r w:rsidRPr="00AA7509">
              <w:t xml:space="preserve"> V8 platformas izstrādes sākotnējo versiju.</w:t>
            </w:r>
          </w:p>
          <w:p w14:paraId="11C14CDD" w14:textId="77777777" w:rsidR="002C2B13" w:rsidRPr="00AA7509" w:rsidRDefault="002C2B13" w:rsidP="002C2B13">
            <w:pPr>
              <w:spacing w:after="120"/>
              <w:ind w:firstLine="851"/>
              <w:jc w:val="both"/>
            </w:pPr>
            <w:r w:rsidRPr="00AA7509">
              <w:t xml:space="preserve">Gan </w:t>
            </w:r>
            <w:proofErr w:type="spellStart"/>
            <w:r w:rsidRPr="00AA7509">
              <w:rPr>
                <w:i/>
              </w:rPr>
              <w:t>Eurostat</w:t>
            </w:r>
            <w:proofErr w:type="spellEnd"/>
            <w:r w:rsidRPr="00AA7509">
              <w:t xml:space="preserve"> </w:t>
            </w:r>
            <w:proofErr w:type="spellStart"/>
            <w:r w:rsidRPr="00AA7509">
              <w:rPr>
                <w:i/>
              </w:rPr>
              <w:t>Redisstat</w:t>
            </w:r>
            <w:proofErr w:type="spellEnd"/>
            <w:r w:rsidRPr="00AA7509">
              <w:rPr>
                <w:i/>
              </w:rPr>
              <w:t xml:space="preserve"> </w:t>
            </w:r>
            <w:r w:rsidRPr="00AA7509">
              <w:t xml:space="preserve">platforma, gan </w:t>
            </w:r>
            <w:proofErr w:type="spellStart"/>
            <w:r w:rsidRPr="00AA7509">
              <w:t>OECD.Stat</w:t>
            </w:r>
            <w:proofErr w:type="spellEnd"/>
            <w:r w:rsidRPr="00AA7509">
              <w:t xml:space="preserve"> V8 platforma vēl joprojām ir izstrādes stadijā, tādēļ dokumentācija par tām bija pieejama minimālā līmenī, kas apgrūtināja to izvērtēšanu, jo to pēdējās versijas nebija uzreiz pieejamas testēšanai un nepieciešamā papildu informācija par izstrādes progresu, paredzētajiem labojumiem un gala termiņiem bija jāiegūst no trešajām pusēm sarakstē vai sarunu laikā.</w:t>
            </w:r>
          </w:p>
          <w:p w14:paraId="3FAE8537" w14:textId="77777777" w:rsidR="002C2B13" w:rsidRPr="00D367E3" w:rsidRDefault="002C2B13" w:rsidP="002C2B13">
            <w:pPr>
              <w:spacing w:after="120"/>
              <w:ind w:firstLine="851"/>
              <w:jc w:val="both"/>
            </w:pPr>
            <w:r w:rsidRPr="00AA7509">
              <w:t>Pēc iepirkuma Nr. CSP 2017/13/ERAF</w:t>
            </w:r>
            <w:r w:rsidRPr="00D367E3">
              <w:t xml:space="preserve"> “Oficiālās statistikas portāla dokumentācijas izstrāde, autoruzraudzība un kvalitātes nodrošināšana” īstenošanas turpmāko statistikas publicēšanas platformas izvērtēšanu veica iepirkuma uzvarētājs SIA “</w:t>
            </w:r>
            <w:proofErr w:type="spellStart"/>
            <w:r w:rsidRPr="00D367E3">
              <w:t>Agile</w:t>
            </w:r>
            <w:proofErr w:type="spellEnd"/>
            <w:r w:rsidRPr="00D367E3">
              <w:t xml:space="preserve"> &amp; </w:t>
            </w:r>
            <w:proofErr w:type="spellStart"/>
            <w:r w:rsidRPr="00D367E3">
              <w:t>Co</w:t>
            </w:r>
            <w:proofErr w:type="spellEnd"/>
            <w:r w:rsidRPr="00D367E3">
              <w:t>”. 2018. gada 30. maija projekta vadības grupas sanāksmē tika pieņemts lēmums par statistikas publicēšanas platformas izvēli, balstoties uz SIA “</w:t>
            </w:r>
            <w:proofErr w:type="spellStart"/>
            <w:r w:rsidRPr="00D367E3">
              <w:t>Agile</w:t>
            </w:r>
            <w:proofErr w:type="spellEnd"/>
            <w:r w:rsidRPr="00D367E3">
              <w:t xml:space="preserve"> &amp; </w:t>
            </w:r>
            <w:proofErr w:type="spellStart"/>
            <w:r w:rsidRPr="00D367E3">
              <w:t>Co</w:t>
            </w:r>
            <w:proofErr w:type="spellEnd"/>
            <w:r w:rsidRPr="00D367E3">
              <w:t xml:space="preserve">” sagatavoto potenciālo platformu izpēti, kurā bija apkopota no trešajām pusēm saņemtā informācija un veikts risku </w:t>
            </w:r>
            <w:proofErr w:type="spellStart"/>
            <w:r w:rsidRPr="00D367E3">
              <w:t>izvērtējums</w:t>
            </w:r>
            <w:proofErr w:type="spellEnd"/>
            <w:r w:rsidRPr="00D367E3">
              <w:t>.</w:t>
            </w:r>
          </w:p>
          <w:p w14:paraId="25395B09" w14:textId="0002A4E5" w:rsidR="002C2B13" w:rsidRPr="00D367E3" w:rsidRDefault="002C2B13" w:rsidP="002C2B13">
            <w:pPr>
              <w:spacing w:after="120"/>
              <w:ind w:firstLine="851"/>
              <w:jc w:val="both"/>
            </w:pPr>
            <w:r w:rsidRPr="00D367E3">
              <w:t xml:space="preserve">Projekta vadības grupas sanāksmē, ņemot vērā izpētes ietvaros apzinātās būtiskās problēmas ar </w:t>
            </w:r>
            <w:r w:rsidRPr="00247135">
              <w:t>OECD</w:t>
            </w:r>
            <w:r w:rsidR="00247135" w:rsidRPr="00247135">
              <w:t xml:space="preserve"> </w:t>
            </w:r>
            <w:r w:rsidR="00247135" w:rsidRPr="000F52CB">
              <w:rPr>
                <w:i/>
              </w:rPr>
              <w:t>(</w:t>
            </w:r>
            <w:proofErr w:type="spellStart"/>
            <w:r w:rsidR="00247135" w:rsidRPr="000F52CB">
              <w:rPr>
                <w:i/>
                <w:color w:val="0B1E2D"/>
              </w:rPr>
              <w:t>Organisation</w:t>
            </w:r>
            <w:proofErr w:type="spellEnd"/>
            <w:r w:rsidR="00247135" w:rsidRPr="000F52CB">
              <w:rPr>
                <w:i/>
                <w:color w:val="0B1E2D"/>
              </w:rPr>
              <w:t xml:space="preserve"> </w:t>
            </w:r>
            <w:proofErr w:type="spellStart"/>
            <w:r w:rsidR="00247135" w:rsidRPr="000F52CB">
              <w:rPr>
                <w:i/>
                <w:color w:val="0B1E2D"/>
              </w:rPr>
              <w:t>for</w:t>
            </w:r>
            <w:proofErr w:type="spellEnd"/>
            <w:r w:rsidR="00247135" w:rsidRPr="000F52CB">
              <w:rPr>
                <w:i/>
                <w:color w:val="0B1E2D"/>
              </w:rPr>
              <w:t xml:space="preserve"> </w:t>
            </w:r>
            <w:proofErr w:type="spellStart"/>
            <w:r w:rsidR="00247135" w:rsidRPr="000F52CB">
              <w:rPr>
                <w:i/>
                <w:color w:val="0B1E2D"/>
              </w:rPr>
              <w:t>Economic</w:t>
            </w:r>
            <w:proofErr w:type="spellEnd"/>
            <w:r w:rsidR="00247135" w:rsidRPr="000F52CB">
              <w:rPr>
                <w:i/>
                <w:color w:val="0B1E2D"/>
              </w:rPr>
              <w:t xml:space="preserve"> </w:t>
            </w:r>
            <w:proofErr w:type="spellStart"/>
            <w:r w:rsidR="00247135" w:rsidRPr="000F52CB">
              <w:rPr>
                <w:i/>
                <w:color w:val="0B1E2D"/>
              </w:rPr>
              <w:t>Co-operation</w:t>
            </w:r>
            <w:proofErr w:type="spellEnd"/>
            <w:r w:rsidR="00247135" w:rsidRPr="000F52CB">
              <w:rPr>
                <w:i/>
                <w:color w:val="0B1E2D"/>
              </w:rPr>
              <w:t xml:space="preserve"> </w:t>
            </w:r>
            <w:proofErr w:type="spellStart"/>
            <w:r w:rsidR="00247135" w:rsidRPr="000F52CB">
              <w:rPr>
                <w:i/>
                <w:color w:val="0B1E2D"/>
              </w:rPr>
              <w:t>and</w:t>
            </w:r>
            <w:proofErr w:type="spellEnd"/>
            <w:r w:rsidR="00247135" w:rsidRPr="000F52CB">
              <w:rPr>
                <w:i/>
                <w:color w:val="0B1E2D"/>
              </w:rPr>
              <w:t xml:space="preserve"> </w:t>
            </w:r>
            <w:proofErr w:type="spellStart"/>
            <w:r w:rsidR="00247135" w:rsidRPr="000F52CB">
              <w:rPr>
                <w:i/>
                <w:color w:val="0B1E2D"/>
              </w:rPr>
              <w:t>Development</w:t>
            </w:r>
            <w:proofErr w:type="spellEnd"/>
            <w:r w:rsidR="00247135" w:rsidRPr="000F52CB">
              <w:rPr>
                <w:i/>
                <w:color w:val="0B1E2D"/>
              </w:rPr>
              <w:t>) </w:t>
            </w:r>
            <w:r w:rsidRPr="00247135">
              <w:t xml:space="preserve"> un </w:t>
            </w:r>
            <w:proofErr w:type="spellStart"/>
            <w:r w:rsidRPr="00247135">
              <w:rPr>
                <w:i/>
              </w:rPr>
              <w:t>E</w:t>
            </w:r>
            <w:r w:rsidRPr="00D367E3">
              <w:rPr>
                <w:i/>
              </w:rPr>
              <w:t>urostat</w:t>
            </w:r>
            <w:proofErr w:type="spellEnd"/>
            <w:r w:rsidRPr="00D367E3">
              <w:t xml:space="preserve"> risinājumiem, lai samazinātu risku, ka projektā tiek izmantota sistēma, kas vēl ir tikai izstrādes stadijā, bet ne lietojamības gatavībā, tika pieņemts konceptuāls lēmums, ka platforma SKAPG komponentei būs PX-</w:t>
            </w:r>
            <w:proofErr w:type="spellStart"/>
            <w:r w:rsidRPr="00D367E3">
              <w:t>Web</w:t>
            </w:r>
            <w:proofErr w:type="spellEnd"/>
            <w:r w:rsidRPr="00D367E3">
              <w:t xml:space="preserve"> </w:t>
            </w:r>
            <w:proofErr w:type="spellStart"/>
            <w:r w:rsidRPr="00D367E3">
              <w:t>pakotne</w:t>
            </w:r>
            <w:proofErr w:type="spellEnd"/>
            <w:r w:rsidRPr="00D367E3">
              <w:t xml:space="preserve">, bet transformācijai uz </w:t>
            </w:r>
            <w:r w:rsidRPr="000F52CB">
              <w:t>SDMX</w:t>
            </w:r>
            <w:r w:rsidR="00247135" w:rsidRPr="000F52CB">
              <w:t xml:space="preserve"> </w:t>
            </w:r>
            <w:r w:rsidR="00247135" w:rsidRPr="000F52CB">
              <w:rPr>
                <w:i/>
              </w:rPr>
              <w:t>(</w:t>
            </w:r>
            <w:proofErr w:type="spellStart"/>
            <w:r w:rsidR="00247135" w:rsidRPr="000F52CB">
              <w:rPr>
                <w:i/>
                <w:shd w:val="clear" w:color="auto" w:fill="FFFFFF"/>
              </w:rPr>
              <w:t>Statistical</w:t>
            </w:r>
            <w:proofErr w:type="spellEnd"/>
            <w:r w:rsidR="00247135" w:rsidRPr="000F52CB">
              <w:rPr>
                <w:i/>
                <w:shd w:val="clear" w:color="auto" w:fill="FFFFFF"/>
              </w:rPr>
              <w:t xml:space="preserve"> </w:t>
            </w:r>
            <w:proofErr w:type="spellStart"/>
            <w:r w:rsidR="00247135" w:rsidRPr="000F52CB">
              <w:rPr>
                <w:i/>
                <w:shd w:val="clear" w:color="auto" w:fill="FFFFFF"/>
              </w:rPr>
              <w:t>Data</w:t>
            </w:r>
            <w:proofErr w:type="spellEnd"/>
            <w:r w:rsidR="00247135" w:rsidRPr="000F52CB">
              <w:rPr>
                <w:i/>
                <w:shd w:val="clear" w:color="auto" w:fill="FFFFFF"/>
              </w:rPr>
              <w:t xml:space="preserve"> </w:t>
            </w:r>
            <w:proofErr w:type="spellStart"/>
            <w:r w:rsidR="00247135" w:rsidRPr="000F52CB">
              <w:rPr>
                <w:i/>
                <w:shd w:val="clear" w:color="auto" w:fill="FFFFFF"/>
              </w:rPr>
              <w:t>and</w:t>
            </w:r>
            <w:proofErr w:type="spellEnd"/>
            <w:r w:rsidR="00247135" w:rsidRPr="000F52CB">
              <w:rPr>
                <w:i/>
                <w:shd w:val="clear" w:color="auto" w:fill="FFFFFF"/>
              </w:rPr>
              <w:t xml:space="preserve"> </w:t>
            </w:r>
            <w:proofErr w:type="spellStart"/>
            <w:r w:rsidR="00247135" w:rsidRPr="000F52CB">
              <w:rPr>
                <w:i/>
                <w:shd w:val="clear" w:color="auto" w:fill="FFFFFF"/>
              </w:rPr>
              <w:t>Metadata</w:t>
            </w:r>
            <w:proofErr w:type="spellEnd"/>
            <w:r w:rsidR="00247135" w:rsidRPr="000F52CB">
              <w:rPr>
                <w:i/>
                <w:shd w:val="clear" w:color="auto" w:fill="FFFFFF"/>
              </w:rPr>
              <w:t xml:space="preserve"> </w:t>
            </w:r>
            <w:proofErr w:type="spellStart"/>
            <w:r w:rsidR="00247135" w:rsidRPr="000F52CB">
              <w:rPr>
                <w:i/>
                <w:shd w:val="clear" w:color="auto" w:fill="FFFFFF"/>
              </w:rPr>
              <w:t>eXchange</w:t>
            </w:r>
            <w:proofErr w:type="spellEnd"/>
            <w:r w:rsidR="00247135" w:rsidRPr="000F52CB">
              <w:rPr>
                <w:i/>
                <w:shd w:val="clear" w:color="auto" w:fill="FFFFFF"/>
              </w:rPr>
              <w:t>)</w:t>
            </w:r>
            <w:r w:rsidR="00247135" w:rsidRPr="000F52CB">
              <w:rPr>
                <w:rFonts w:ascii="Arial" w:hAnsi="Arial" w:cs="Arial"/>
                <w:shd w:val="clear" w:color="auto" w:fill="FFFFFF"/>
              </w:rPr>
              <w:t xml:space="preserve"> </w:t>
            </w:r>
            <w:r w:rsidRPr="000F52CB">
              <w:t xml:space="preserve"> formātu tiks izmantota </w:t>
            </w:r>
            <w:proofErr w:type="spellStart"/>
            <w:r w:rsidRPr="000F52CB">
              <w:rPr>
                <w:i/>
              </w:rPr>
              <w:t>Eurostat</w:t>
            </w:r>
            <w:proofErr w:type="spellEnd"/>
            <w:r w:rsidRPr="000F52CB">
              <w:t xml:space="preserve"> veidotā SDMX RI </w:t>
            </w:r>
            <w:r w:rsidR="00247135" w:rsidRPr="000F52CB">
              <w:rPr>
                <w:i/>
              </w:rPr>
              <w:t>(</w:t>
            </w:r>
            <w:proofErr w:type="spellStart"/>
            <w:r w:rsidR="00247135" w:rsidRPr="000F52CB">
              <w:rPr>
                <w:i/>
                <w:shd w:val="clear" w:color="auto" w:fill="FFFFFF"/>
              </w:rPr>
              <w:t>Statistical</w:t>
            </w:r>
            <w:proofErr w:type="spellEnd"/>
            <w:r w:rsidR="00247135" w:rsidRPr="000F52CB">
              <w:rPr>
                <w:i/>
                <w:shd w:val="clear" w:color="auto" w:fill="FFFFFF"/>
              </w:rPr>
              <w:t xml:space="preserve"> </w:t>
            </w:r>
            <w:proofErr w:type="spellStart"/>
            <w:r w:rsidR="00247135" w:rsidRPr="000F52CB">
              <w:rPr>
                <w:i/>
                <w:shd w:val="clear" w:color="auto" w:fill="FFFFFF"/>
              </w:rPr>
              <w:t>Data</w:t>
            </w:r>
            <w:proofErr w:type="spellEnd"/>
            <w:r w:rsidR="00247135" w:rsidRPr="000F52CB">
              <w:rPr>
                <w:i/>
                <w:shd w:val="clear" w:color="auto" w:fill="FFFFFF"/>
              </w:rPr>
              <w:t xml:space="preserve"> </w:t>
            </w:r>
            <w:proofErr w:type="spellStart"/>
            <w:r w:rsidR="00247135" w:rsidRPr="000F52CB">
              <w:rPr>
                <w:i/>
                <w:shd w:val="clear" w:color="auto" w:fill="FFFFFF"/>
              </w:rPr>
              <w:t>and</w:t>
            </w:r>
            <w:proofErr w:type="spellEnd"/>
            <w:r w:rsidR="00247135" w:rsidRPr="000F52CB">
              <w:rPr>
                <w:i/>
                <w:shd w:val="clear" w:color="auto" w:fill="FFFFFF"/>
              </w:rPr>
              <w:t xml:space="preserve"> </w:t>
            </w:r>
            <w:proofErr w:type="spellStart"/>
            <w:r w:rsidR="00247135" w:rsidRPr="000F52CB">
              <w:rPr>
                <w:i/>
                <w:shd w:val="clear" w:color="auto" w:fill="FFFFFF"/>
              </w:rPr>
              <w:t>Metadata</w:t>
            </w:r>
            <w:proofErr w:type="spellEnd"/>
            <w:r w:rsidR="00247135" w:rsidRPr="000F52CB">
              <w:rPr>
                <w:i/>
                <w:shd w:val="clear" w:color="auto" w:fill="FFFFFF"/>
              </w:rPr>
              <w:t xml:space="preserve"> </w:t>
            </w:r>
            <w:proofErr w:type="spellStart"/>
            <w:r w:rsidR="00247135" w:rsidRPr="000F52CB">
              <w:rPr>
                <w:i/>
                <w:shd w:val="clear" w:color="auto" w:fill="FFFFFF"/>
              </w:rPr>
              <w:t>eXchange</w:t>
            </w:r>
            <w:proofErr w:type="spellEnd"/>
            <w:r w:rsidR="00247135" w:rsidRPr="000F52CB">
              <w:rPr>
                <w:i/>
                <w:shd w:val="clear" w:color="auto" w:fill="FFFFFF"/>
              </w:rPr>
              <w:t xml:space="preserve"> Reference </w:t>
            </w:r>
            <w:proofErr w:type="spellStart"/>
            <w:r w:rsidR="00247135" w:rsidRPr="000F52CB">
              <w:rPr>
                <w:i/>
                <w:shd w:val="clear" w:color="auto" w:fill="FFFFFF"/>
              </w:rPr>
              <w:t>Infrastructure</w:t>
            </w:r>
            <w:proofErr w:type="spellEnd"/>
            <w:r w:rsidR="00247135" w:rsidRPr="000F52CB">
              <w:rPr>
                <w:i/>
                <w:shd w:val="clear" w:color="auto" w:fill="FFFFFF"/>
              </w:rPr>
              <w:t>)</w:t>
            </w:r>
            <w:r w:rsidR="00247135" w:rsidRPr="000F52CB">
              <w:rPr>
                <w:rFonts w:ascii="Arial" w:hAnsi="Arial" w:cs="Arial"/>
                <w:sz w:val="20"/>
                <w:szCs w:val="20"/>
                <w:shd w:val="clear" w:color="auto" w:fill="FFFFFF"/>
              </w:rPr>
              <w:t xml:space="preserve"> </w:t>
            </w:r>
            <w:r w:rsidR="00247135" w:rsidRPr="000F52CB">
              <w:t xml:space="preserve"> </w:t>
            </w:r>
            <w:proofErr w:type="spellStart"/>
            <w:r w:rsidRPr="000F52CB">
              <w:t>pakotne</w:t>
            </w:r>
            <w:proofErr w:type="spellEnd"/>
            <w:r w:rsidRPr="000F52CB">
              <w:t xml:space="preserve">. Pēc šī lēmuma tika pārtraukta citu statistikas publicēšanas </w:t>
            </w:r>
            <w:r w:rsidRPr="00D367E3">
              <w:t>platformu vērtēšana.</w:t>
            </w:r>
          </w:p>
          <w:p w14:paraId="246629C2" w14:textId="77777777" w:rsidR="002C2B13" w:rsidRPr="00D367E3" w:rsidRDefault="002C2B13" w:rsidP="002C2B13">
            <w:pPr>
              <w:spacing w:after="120"/>
              <w:ind w:firstLine="851"/>
              <w:jc w:val="both"/>
            </w:pPr>
            <w:r w:rsidRPr="00D367E3">
              <w:t xml:space="preserve">Projekta detalizētā aprakstā ir noteikts, ka, lai samazinātu portāla izveides un uzturēšanas izmaksas, kā arī atvieglotu </w:t>
            </w:r>
            <w:proofErr w:type="spellStart"/>
            <w:r w:rsidRPr="00D367E3">
              <w:t>atkalizmantošanu</w:t>
            </w:r>
            <w:proofErr w:type="spellEnd"/>
            <w:r w:rsidRPr="00D367E3">
              <w:t xml:space="preserve"> un statistikas nodošanu starptautiskām organizācijām, SKAPG komponentei tiks izmantots starptautiskajā praksē lietots risinājums. Šo nosacījumu izpildei tika detalizēti izvērtēti starptautiskajā praksē izmantotie statistikas publicēšanas risinājumi. </w:t>
            </w:r>
          </w:p>
          <w:p w14:paraId="7E5CC7DF" w14:textId="77777777" w:rsidR="002C2B13" w:rsidRPr="00D367E3" w:rsidRDefault="002C2B13" w:rsidP="002C2B13">
            <w:pPr>
              <w:spacing w:after="120"/>
              <w:ind w:firstLine="851"/>
              <w:jc w:val="both"/>
            </w:pPr>
            <w:r w:rsidRPr="00D367E3">
              <w:lastRenderedPageBreak/>
              <w:t>Pārvalde veica uzvedumus, kas izrietēja no projekta detalizētā apraksta un bija saistīti ar informācijas iegūšanu no trešajām pusēm. Informācijas saņemšanas termiņi no trešajām pusēm radīja projekta izpildes kavēšanos, ko Pārvalde nevarēja ietekmēt.</w:t>
            </w:r>
          </w:p>
          <w:p w14:paraId="573B441B" w14:textId="77777777" w:rsidR="00B559D5" w:rsidRDefault="001560B1" w:rsidP="00A85E1C">
            <w:pPr>
              <w:pStyle w:val="VPTitle"/>
              <w:spacing w:before="0" w:after="120" w:line="240" w:lineRule="auto"/>
              <w:jc w:val="both"/>
              <w:rPr>
                <w:sz w:val="24"/>
                <w:szCs w:val="24"/>
              </w:rPr>
            </w:pPr>
            <w:r>
              <w:rPr>
                <w:rFonts w:ascii="Times New Roman" w:hAnsi="Times New Roman" w:cs="Times New Roman"/>
                <w:b w:val="0"/>
                <w:bCs w:val="0"/>
                <w:spacing w:val="0"/>
                <w:kern w:val="0"/>
                <w:sz w:val="24"/>
                <w:szCs w:val="24"/>
                <w:lang w:eastAsia="en-US"/>
              </w:rPr>
              <w:t xml:space="preserve">Projekta īstenošanas laikā izmaiņas </w:t>
            </w:r>
            <w:r w:rsidRPr="00836FE4">
              <w:rPr>
                <w:rFonts w:ascii="Times New Roman" w:hAnsi="Times New Roman" w:cs="Times New Roman"/>
                <w:b w:val="0"/>
                <w:bCs w:val="0"/>
                <w:spacing w:val="0"/>
                <w:kern w:val="0"/>
                <w:sz w:val="24"/>
                <w:szCs w:val="24"/>
                <w:lang w:eastAsia="en-US"/>
              </w:rPr>
              <w:t>tika izvērtēt</w:t>
            </w:r>
            <w:r>
              <w:rPr>
                <w:rFonts w:ascii="Times New Roman" w:hAnsi="Times New Roman" w:cs="Times New Roman"/>
                <w:b w:val="0"/>
                <w:bCs w:val="0"/>
                <w:spacing w:val="0"/>
                <w:kern w:val="0"/>
                <w:sz w:val="24"/>
                <w:szCs w:val="24"/>
                <w:lang w:eastAsia="en-US"/>
              </w:rPr>
              <w:t>a</w:t>
            </w:r>
            <w:r w:rsidRPr="00836FE4">
              <w:rPr>
                <w:rFonts w:ascii="Times New Roman" w:hAnsi="Times New Roman" w:cs="Times New Roman"/>
                <w:b w:val="0"/>
                <w:bCs w:val="0"/>
                <w:spacing w:val="0"/>
                <w:kern w:val="0"/>
                <w:sz w:val="24"/>
                <w:szCs w:val="24"/>
                <w:lang w:eastAsia="en-US"/>
              </w:rPr>
              <w:t xml:space="preserve">s </w:t>
            </w:r>
            <w:r>
              <w:rPr>
                <w:rFonts w:ascii="Times New Roman" w:hAnsi="Times New Roman" w:cs="Times New Roman"/>
                <w:b w:val="0"/>
                <w:bCs w:val="0"/>
                <w:spacing w:val="0"/>
                <w:kern w:val="0"/>
                <w:sz w:val="24"/>
                <w:szCs w:val="24"/>
                <w:lang w:eastAsia="en-US"/>
              </w:rPr>
              <w:t xml:space="preserve">un atbalstītas </w:t>
            </w:r>
            <w:r w:rsidRPr="00836FE4">
              <w:rPr>
                <w:rFonts w:ascii="Times New Roman" w:hAnsi="Times New Roman" w:cs="Times New Roman"/>
                <w:b w:val="0"/>
                <w:bCs w:val="0"/>
                <w:spacing w:val="0"/>
                <w:kern w:val="0"/>
                <w:sz w:val="24"/>
                <w:szCs w:val="24"/>
                <w:lang w:eastAsia="en-US"/>
              </w:rPr>
              <w:t>Vides aizsardzības un reģionālās attīstības ministrij</w:t>
            </w:r>
            <w:r>
              <w:rPr>
                <w:rFonts w:ascii="Times New Roman" w:hAnsi="Times New Roman" w:cs="Times New Roman"/>
                <w:b w:val="0"/>
                <w:bCs w:val="0"/>
                <w:spacing w:val="0"/>
                <w:kern w:val="0"/>
                <w:sz w:val="24"/>
                <w:szCs w:val="24"/>
                <w:lang w:eastAsia="en-US"/>
              </w:rPr>
              <w:t>ā</w:t>
            </w:r>
            <w:r w:rsidRPr="00836FE4">
              <w:rPr>
                <w:sz w:val="24"/>
                <w:szCs w:val="24"/>
              </w:rPr>
              <w:t>.</w:t>
            </w:r>
          </w:p>
          <w:p w14:paraId="7634CAC2" w14:textId="149990AF" w:rsidR="002C3083" w:rsidRPr="002C3083" w:rsidRDefault="002C3083" w:rsidP="00A85E1C">
            <w:pPr>
              <w:pStyle w:val="VPTitle"/>
              <w:spacing w:before="0" w:after="120" w:line="240" w:lineRule="auto"/>
              <w:jc w:val="both"/>
              <w:rPr>
                <w:b w:val="0"/>
              </w:rPr>
            </w:pPr>
            <w:r w:rsidRPr="002C3083">
              <w:rPr>
                <w:rFonts w:ascii="Times New Roman" w:hAnsi="Times New Roman"/>
                <w:b w:val="0"/>
                <w:sz w:val="24"/>
                <w:szCs w:val="24"/>
              </w:rPr>
              <w:t xml:space="preserve">Pārvalde ir sazinājusies ar CFLA par </w:t>
            </w:r>
            <w:r w:rsidRPr="002C3083">
              <w:rPr>
                <w:rFonts w:ascii="Times New Roman" w:hAnsi="Times New Roman"/>
                <w:b w:val="0"/>
                <w:sz w:val="24"/>
                <w:szCs w:val="24"/>
              </w:rPr>
              <w:t>nepieciešam</w:t>
            </w:r>
            <w:r w:rsidRPr="002C3083">
              <w:rPr>
                <w:rFonts w:ascii="Times New Roman" w:hAnsi="Times New Roman"/>
                <w:b w:val="0"/>
                <w:sz w:val="24"/>
                <w:szCs w:val="24"/>
              </w:rPr>
              <w:t>ību</w:t>
            </w:r>
            <w:r w:rsidRPr="002C3083">
              <w:rPr>
                <w:rFonts w:ascii="Times New Roman" w:hAnsi="Times New Roman"/>
                <w:b w:val="0"/>
                <w:sz w:val="24"/>
                <w:szCs w:val="24"/>
              </w:rPr>
              <w:t xml:space="preserve"> veikt grozījumus </w:t>
            </w:r>
            <w:r w:rsidRPr="002C3083">
              <w:rPr>
                <w:rFonts w:ascii="Times New Roman" w:hAnsi="Times New Roman"/>
                <w:b w:val="0"/>
                <w:sz w:val="24"/>
                <w:szCs w:val="24"/>
              </w:rPr>
              <w:t>V</w:t>
            </w:r>
            <w:r w:rsidRPr="002C3083">
              <w:rPr>
                <w:rFonts w:ascii="Times New Roman" w:hAnsi="Times New Roman"/>
                <w:b w:val="0"/>
                <w:sz w:val="24"/>
                <w:szCs w:val="24"/>
              </w:rPr>
              <w:t>ienošanās par projekta īstenošanu</w:t>
            </w:r>
            <w:r w:rsidRPr="002C3083">
              <w:rPr>
                <w:rFonts w:ascii="Times New Roman" w:hAnsi="Times New Roman"/>
                <w:b w:val="0"/>
                <w:sz w:val="24"/>
                <w:szCs w:val="24"/>
              </w:rPr>
              <w:t>. Grozījumi tiks veikti, kad Ministru kabinets apstiprinās šo Ministru kabineta rīkojuma projektu.</w:t>
            </w:r>
          </w:p>
        </w:tc>
      </w:tr>
      <w:tr w:rsidR="00D367E3" w:rsidRPr="00D367E3" w14:paraId="05472508" w14:textId="77777777" w:rsidTr="009C4C51">
        <w:trPr>
          <w:trHeight w:val="476"/>
        </w:trPr>
        <w:tc>
          <w:tcPr>
            <w:tcW w:w="1163" w:type="dxa"/>
            <w:tcBorders>
              <w:top w:val="thickThinLargeGap" w:sz="6" w:space="0" w:color="C0C0C0"/>
              <w:left w:val="thickThinLargeGap" w:sz="6" w:space="0" w:color="C0C0C0"/>
              <w:bottom w:val="thickThinLargeGap" w:sz="6" w:space="0" w:color="C0C0C0"/>
            </w:tcBorders>
          </w:tcPr>
          <w:p w14:paraId="37C12823" w14:textId="77777777" w:rsidR="00B559D5" w:rsidRPr="00D367E3" w:rsidRDefault="00F15799" w:rsidP="00262DE5">
            <w:r w:rsidRPr="00D367E3">
              <w:rPr>
                <w:lang w:eastAsia="en-US"/>
              </w:rPr>
              <w:lastRenderedPageBreak/>
              <w:t> 3.</w:t>
            </w:r>
          </w:p>
        </w:tc>
        <w:tc>
          <w:tcPr>
            <w:tcW w:w="1986" w:type="dxa"/>
            <w:tcBorders>
              <w:top w:val="thickThinLargeGap" w:sz="6" w:space="0" w:color="C0C0C0"/>
              <w:left w:val="thickThinLargeGap" w:sz="6" w:space="0" w:color="C0C0C0"/>
              <w:bottom w:val="thickThinLargeGap" w:sz="6" w:space="0" w:color="C0C0C0"/>
            </w:tcBorders>
          </w:tcPr>
          <w:p w14:paraId="082D9731" w14:textId="77777777" w:rsidR="00B559D5" w:rsidRPr="00D367E3" w:rsidRDefault="00F15799" w:rsidP="00262DE5">
            <w:r w:rsidRPr="00D367E3">
              <w:rPr>
                <w:lang w:eastAsia="en-US"/>
              </w:rPr>
              <w:t>Projekta izstrādē iesaistītās institūcijas un publiskas personas kapitālsabiedrības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580DE96C" w14:textId="77777777" w:rsidR="00B559D5" w:rsidRPr="00D367E3" w:rsidRDefault="00F15799" w:rsidP="00262DE5">
            <w:pPr>
              <w:jc w:val="both"/>
              <w:rPr>
                <w:lang w:eastAsia="lv-LV"/>
              </w:rPr>
            </w:pPr>
            <w:r w:rsidRPr="00D367E3">
              <w:rPr>
                <w:lang w:eastAsia="lv-LV"/>
              </w:rPr>
              <w:t>Pārvalde</w:t>
            </w:r>
          </w:p>
          <w:p w14:paraId="28C0BE09" w14:textId="77777777" w:rsidR="00B559D5" w:rsidRPr="00D367E3" w:rsidRDefault="00B559D5" w:rsidP="00262DE5">
            <w:pPr>
              <w:pStyle w:val="VPBody"/>
              <w:spacing w:after="120" w:line="276" w:lineRule="auto"/>
              <w:rPr>
                <w:sz w:val="24"/>
                <w:szCs w:val="24"/>
              </w:rPr>
            </w:pPr>
          </w:p>
        </w:tc>
      </w:tr>
      <w:tr w:rsidR="00D367E3" w:rsidRPr="00D367E3" w14:paraId="7892BBAA" w14:textId="77777777" w:rsidTr="009C4C51">
        <w:tc>
          <w:tcPr>
            <w:tcW w:w="1163" w:type="dxa"/>
            <w:tcBorders>
              <w:top w:val="thickThinLargeGap" w:sz="6" w:space="0" w:color="C0C0C0"/>
              <w:left w:val="thickThinLargeGap" w:sz="6" w:space="0" w:color="C0C0C0"/>
              <w:bottom w:val="thickThinLargeGap" w:sz="6" w:space="0" w:color="C0C0C0"/>
            </w:tcBorders>
          </w:tcPr>
          <w:p w14:paraId="15645B82" w14:textId="77777777" w:rsidR="00B559D5" w:rsidRPr="00D367E3" w:rsidRDefault="00F15799" w:rsidP="00262DE5">
            <w:r w:rsidRPr="00D367E3">
              <w:rPr>
                <w:lang w:eastAsia="en-US"/>
              </w:rPr>
              <w:t> 4.</w:t>
            </w:r>
          </w:p>
        </w:tc>
        <w:tc>
          <w:tcPr>
            <w:tcW w:w="1986" w:type="dxa"/>
            <w:tcBorders>
              <w:top w:val="thickThinLargeGap" w:sz="6" w:space="0" w:color="C0C0C0"/>
              <w:left w:val="thickThinLargeGap" w:sz="6" w:space="0" w:color="C0C0C0"/>
              <w:bottom w:val="thickThinLargeGap" w:sz="6" w:space="0" w:color="C0C0C0"/>
            </w:tcBorders>
          </w:tcPr>
          <w:p w14:paraId="46173529" w14:textId="77777777" w:rsidR="00B559D5" w:rsidRPr="00D367E3" w:rsidRDefault="00F15799" w:rsidP="00262DE5">
            <w:r w:rsidRPr="00D367E3">
              <w:rPr>
                <w:lang w:eastAsia="en-US"/>
              </w:rPr>
              <w:t> 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035F42CF" w14:textId="77777777" w:rsidR="00B559D5" w:rsidRPr="00D367E3" w:rsidRDefault="00F15799" w:rsidP="00262DE5">
            <w:pPr>
              <w:jc w:val="both"/>
            </w:pPr>
            <w:r w:rsidRPr="00D367E3">
              <w:rPr>
                <w:lang w:eastAsia="en-US"/>
              </w:rPr>
              <w:t>Nav.</w:t>
            </w:r>
          </w:p>
        </w:tc>
      </w:tr>
    </w:tbl>
    <w:p w14:paraId="30365900" w14:textId="77777777" w:rsidR="00B559D5" w:rsidRPr="00D367E3" w:rsidRDefault="00F15799" w:rsidP="00B559D5">
      <w:pPr>
        <w:jc w:val="both"/>
      </w:pPr>
      <w:r w:rsidRPr="00D367E3">
        <w:t> </w:t>
      </w:r>
    </w:p>
    <w:tbl>
      <w:tblPr>
        <w:tblW w:w="10313" w:type="dxa"/>
        <w:tblInd w:w="-456" w:type="dxa"/>
        <w:tblLayout w:type="fixed"/>
        <w:tblCellMar>
          <w:left w:w="0" w:type="dxa"/>
          <w:right w:w="0" w:type="dxa"/>
        </w:tblCellMar>
        <w:tblLook w:val="0000" w:firstRow="0" w:lastRow="0" w:firstColumn="0" w:lastColumn="0" w:noHBand="0" w:noVBand="0"/>
      </w:tblPr>
      <w:tblGrid>
        <w:gridCol w:w="1221"/>
        <w:gridCol w:w="2694"/>
        <w:gridCol w:w="6398"/>
      </w:tblGrid>
      <w:tr w:rsidR="00D367E3" w:rsidRPr="00D367E3" w14:paraId="3904390E" w14:textId="77777777" w:rsidTr="009C4C51">
        <w:trPr>
          <w:trHeight w:val="585"/>
        </w:trPr>
        <w:tc>
          <w:tcPr>
            <w:tcW w:w="1031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300132BD" w14:textId="77777777" w:rsidR="00B559D5" w:rsidRPr="00D367E3" w:rsidRDefault="00F15799" w:rsidP="00262DE5">
            <w:pPr>
              <w:jc w:val="center"/>
            </w:pPr>
            <w:r w:rsidRPr="00D367E3">
              <w:rPr>
                <w:b/>
                <w:bCs/>
              </w:rPr>
              <w:t> II. Tiesību akta projekta ietekme uz sabiedrību, tautsaimniecības attīstību un administratīvo slogu</w:t>
            </w:r>
          </w:p>
        </w:tc>
      </w:tr>
      <w:tr w:rsidR="00D367E3" w:rsidRPr="00D367E3" w14:paraId="412C7E0B" w14:textId="77777777" w:rsidTr="009C4C51">
        <w:tblPrEx>
          <w:tblCellMar>
            <w:left w:w="57" w:type="dxa"/>
            <w:right w:w="57" w:type="dxa"/>
          </w:tblCellMar>
        </w:tblPrEx>
        <w:trPr>
          <w:trHeight w:val="905"/>
        </w:trPr>
        <w:tc>
          <w:tcPr>
            <w:tcW w:w="1221" w:type="dxa"/>
            <w:tcBorders>
              <w:top w:val="thickThinLargeGap" w:sz="6" w:space="0" w:color="C0C0C0"/>
              <w:left w:val="thickThinLargeGap" w:sz="6" w:space="0" w:color="C0C0C0"/>
              <w:bottom w:val="thickThinLargeGap" w:sz="6" w:space="0" w:color="C0C0C0"/>
            </w:tcBorders>
          </w:tcPr>
          <w:p w14:paraId="720D90FF" w14:textId="77777777" w:rsidR="002C2B13" w:rsidRPr="00D367E3" w:rsidRDefault="002C2B13" w:rsidP="002C2B13">
            <w:r w:rsidRPr="00D367E3">
              <w:rPr>
                <w:lang w:eastAsia="en-US"/>
              </w:rPr>
              <w:t>1.</w:t>
            </w:r>
          </w:p>
        </w:tc>
        <w:tc>
          <w:tcPr>
            <w:tcW w:w="2694" w:type="dxa"/>
            <w:tcBorders>
              <w:top w:val="thickThinLargeGap" w:sz="6" w:space="0" w:color="C0C0C0"/>
              <w:left w:val="thickThinLargeGap" w:sz="6" w:space="0" w:color="C0C0C0"/>
              <w:bottom w:val="thickThinLargeGap" w:sz="6" w:space="0" w:color="C0C0C0"/>
            </w:tcBorders>
          </w:tcPr>
          <w:p w14:paraId="0D806859" w14:textId="77777777" w:rsidR="002C2B13" w:rsidRPr="00D367E3" w:rsidRDefault="002C2B13" w:rsidP="002C2B13">
            <w:r w:rsidRPr="00D367E3">
              <w:rPr>
                <w:lang w:eastAsia="en-US"/>
              </w:rPr>
              <w:t xml:space="preserve">Sabiedrības </w:t>
            </w:r>
            <w:proofErr w:type="spellStart"/>
            <w:r w:rsidRPr="00D367E3">
              <w:rPr>
                <w:lang w:eastAsia="en-US"/>
              </w:rPr>
              <w:t>mērķgrupas</w:t>
            </w:r>
            <w:proofErr w:type="spellEnd"/>
            <w:r w:rsidRPr="00D367E3">
              <w:rPr>
                <w:lang w:eastAsia="en-US"/>
              </w:rPr>
              <w:t>,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5D5F9092" w14:textId="20080AB3" w:rsidR="002C2B13" w:rsidRPr="00D367E3" w:rsidRDefault="002C2B13" w:rsidP="002C2B13">
            <w:pPr>
              <w:ind w:left="71"/>
              <w:jc w:val="both"/>
            </w:pPr>
            <w:r w:rsidRPr="00D367E3">
              <w:t>Oficiāl</w:t>
            </w:r>
            <w:r w:rsidR="00911DD2">
              <w:t>ās</w:t>
            </w:r>
            <w:r w:rsidRPr="00D367E3">
              <w:t xml:space="preserve"> statistikas portālā tiks publicēta visu oficiālo statistiku sagatavošanā iesaistīto iestāžu statistika, līdz ar to ir pamats uzskatīt, ka paplašināsies arī statistikas lietotāju (valsts iestāžu darbinieku, plašsaziņas līdzekļu, pētnieku, ekonomistu, komersantu, studentu un pārējo iedzīvotāju) skaits, kas izmanto šo pakalpojumu.</w:t>
            </w:r>
          </w:p>
          <w:p w14:paraId="363A270D" w14:textId="77777777" w:rsidR="002C2B13" w:rsidRPr="00D367E3" w:rsidRDefault="002C2B13" w:rsidP="002C2B13">
            <w:pPr>
              <w:ind w:left="71"/>
              <w:jc w:val="both"/>
            </w:pPr>
            <w:r w:rsidRPr="00D367E3">
              <w:t>Statistikas pieejamība veicinās uz faktiem balstītu argumentāciju un lēmumu pieņemšanu gan sabiedriskajā, gan privātajā sektorā.</w:t>
            </w:r>
          </w:p>
          <w:p w14:paraId="7BE95345" w14:textId="6FF8FAC8" w:rsidR="002C2B13" w:rsidRPr="00D367E3" w:rsidRDefault="002C2B13" w:rsidP="002C2B13">
            <w:pPr>
              <w:pStyle w:val="naiskr"/>
              <w:ind w:left="71"/>
              <w:jc w:val="both"/>
            </w:pPr>
            <w:r w:rsidRPr="00D367E3">
              <w:t>Oficiālās statistikas publicēšana statistikas portālā standartizētā veidā atvieglos tās izmantošanu, jo tiks nodrošināts viens centralizēts oficiālās statistikas avots, līdz ar to nebūs jāveic IT sistēmu pielāgošana un datu konvertācijas risinājumu izveide, lai tās pielāgotu dažādu iestāžu statistikas publicēšanas formātiem.</w:t>
            </w:r>
          </w:p>
        </w:tc>
      </w:tr>
      <w:tr w:rsidR="00D367E3" w:rsidRPr="00D367E3" w14:paraId="5EFABE2A" w14:textId="77777777" w:rsidTr="009C4C51">
        <w:tblPrEx>
          <w:tblCellMar>
            <w:left w:w="57" w:type="dxa"/>
            <w:right w:w="57" w:type="dxa"/>
          </w:tblCellMar>
        </w:tblPrEx>
        <w:trPr>
          <w:trHeight w:val="628"/>
        </w:trPr>
        <w:tc>
          <w:tcPr>
            <w:tcW w:w="1221" w:type="dxa"/>
            <w:tcBorders>
              <w:top w:val="thickThinLargeGap" w:sz="6" w:space="0" w:color="C0C0C0"/>
              <w:left w:val="thickThinLargeGap" w:sz="6" w:space="0" w:color="C0C0C0"/>
              <w:bottom w:val="thickThinLargeGap" w:sz="6" w:space="0" w:color="C0C0C0"/>
            </w:tcBorders>
          </w:tcPr>
          <w:p w14:paraId="62EC4F20" w14:textId="77777777" w:rsidR="002C2B13" w:rsidRPr="00D367E3" w:rsidRDefault="002C2B13" w:rsidP="002C2B13">
            <w:r w:rsidRPr="00D367E3">
              <w:rPr>
                <w:lang w:eastAsia="en-US"/>
              </w:rPr>
              <w:t>2.</w:t>
            </w:r>
          </w:p>
        </w:tc>
        <w:tc>
          <w:tcPr>
            <w:tcW w:w="2694" w:type="dxa"/>
            <w:tcBorders>
              <w:top w:val="thickThinLargeGap" w:sz="6" w:space="0" w:color="C0C0C0"/>
              <w:left w:val="thickThinLargeGap" w:sz="6" w:space="0" w:color="C0C0C0"/>
              <w:bottom w:val="thickThinLargeGap" w:sz="6" w:space="0" w:color="C0C0C0"/>
            </w:tcBorders>
          </w:tcPr>
          <w:p w14:paraId="1EA46461" w14:textId="77777777" w:rsidR="002C2B13" w:rsidRPr="00D367E3" w:rsidRDefault="002C2B13" w:rsidP="002C2B13">
            <w:r w:rsidRPr="00D367E3">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7B7BF204" w14:textId="77777777" w:rsidR="002C2B13" w:rsidRPr="00D367E3" w:rsidRDefault="002C2B13" w:rsidP="002C2B13">
            <w:pPr>
              <w:jc w:val="both"/>
            </w:pPr>
            <w:r w:rsidRPr="00D367E3">
              <w:t xml:space="preserve">Oficiālās statistikas portāla izveide tiek veikta atbilstoši Statistikas likuma 20. pantam, portālā publicējamās informācijas saturs ir noteikts Statistikas likuma 19. pantā. </w:t>
            </w:r>
          </w:p>
          <w:p w14:paraId="5D00727F" w14:textId="77777777" w:rsidR="002C2B13" w:rsidRPr="00D367E3" w:rsidRDefault="002C2B13" w:rsidP="002C2B13">
            <w:pPr>
              <w:jc w:val="both"/>
              <w:rPr>
                <w:lang w:eastAsia="lv-LV"/>
              </w:rPr>
            </w:pPr>
            <w:r w:rsidRPr="00D367E3">
              <w:t>Ar Oficiālās statistikas portāla projektu tiek realizētas Statistikas likuma normas, un tam</w:t>
            </w:r>
            <w:r w:rsidRPr="00D367E3">
              <w:rPr>
                <w:lang w:eastAsia="lv-LV"/>
              </w:rPr>
              <w:t xml:space="preserve"> nav tiešas ietekmes uz administratīvo slogu.</w:t>
            </w:r>
          </w:p>
          <w:p w14:paraId="0BB2A1ED" w14:textId="75355377" w:rsidR="002C2B13" w:rsidRPr="00D367E3" w:rsidRDefault="002C2B13" w:rsidP="002C2B13">
            <w:pPr>
              <w:pStyle w:val="naiskr"/>
              <w:spacing w:before="0" w:after="0"/>
              <w:ind w:left="71"/>
              <w:jc w:val="both"/>
            </w:pPr>
            <w:r w:rsidRPr="00D367E3">
              <w:rPr>
                <w:lang w:eastAsia="lv-LV"/>
              </w:rPr>
              <w:t xml:space="preserve">Netieši uzlabojot statistikas pieejamību un </w:t>
            </w:r>
            <w:proofErr w:type="spellStart"/>
            <w:r w:rsidRPr="00D367E3">
              <w:rPr>
                <w:lang w:eastAsia="lv-LV"/>
              </w:rPr>
              <w:t>atkalizmantojamību</w:t>
            </w:r>
            <w:proofErr w:type="spellEnd"/>
            <w:r w:rsidRPr="00D367E3">
              <w:rPr>
                <w:lang w:eastAsia="lv-LV"/>
              </w:rPr>
              <w:t>,  administratīvais slogs datu lietotājiem (resursi statistikas atrašanai, konvertēšanai vajadzīgā formātā, vizualizēšanai u.c.) tiks samazināts.</w:t>
            </w:r>
          </w:p>
        </w:tc>
      </w:tr>
      <w:tr w:rsidR="00D367E3" w:rsidRPr="00D367E3" w14:paraId="7DF48EF0" w14:textId="77777777" w:rsidTr="009C4C51">
        <w:tblPrEx>
          <w:tblCellMar>
            <w:left w:w="57" w:type="dxa"/>
            <w:right w:w="57" w:type="dxa"/>
          </w:tblCellMar>
        </w:tblPrEx>
        <w:tc>
          <w:tcPr>
            <w:tcW w:w="1221" w:type="dxa"/>
            <w:tcBorders>
              <w:top w:val="thickThinLargeGap" w:sz="6" w:space="0" w:color="C0C0C0"/>
              <w:left w:val="thickThinLargeGap" w:sz="6" w:space="0" w:color="C0C0C0"/>
              <w:bottom w:val="thickThinLargeGap" w:sz="6" w:space="0" w:color="C0C0C0"/>
            </w:tcBorders>
          </w:tcPr>
          <w:p w14:paraId="545E2C85" w14:textId="77777777" w:rsidR="002C2B13" w:rsidRPr="00D367E3" w:rsidRDefault="002C2B13" w:rsidP="002C2B13">
            <w:r w:rsidRPr="00D367E3">
              <w:rPr>
                <w:lang w:eastAsia="en-US"/>
              </w:rPr>
              <w:t>3.</w:t>
            </w:r>
          </w:p>
        </w:tc>
        <w:tc>
          <w:tcPr>
            <w:tcW w:w="2694" w:type="dxa"/>
            <w:tcBorders>
              <w:top w:val="thickThinLargeGap" w:sz="6" w:space="0" w:color="C0C0C0"/>
              <w:left w:val="thickThinLargeGap" w:sz="6" w:space="0" w:color="C0C0C0"/>
              <w:bottom w:val="thickThinLargeGap" w:sz="6" w:space="0" w:color="C0C0C0"/>
            </w:tcBorders>
          </w:tcPr>
          <w:p w14:paraId="3BDECD4C" w14:textId="77777777" w:rsidR="002C2B13" w:rsidRPr="00D367E3" w:rsidRDefault="002C2B13" w:rsidP="002C2B13">
            <w:r w:rsidRPr="00D367E3">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6D76B46C" w14:textId="77777777" w:rsidR="002C2B13" w:rsidRPr="00D367E3" w:rsidRDefault="002C2B13" w:rsidP="002C2B13">
            <w:pPr>
              <w:jc w:val="both"/>
            </w:pPr>
            <w:r w:rsidRPr="00D367E3">
              <w:t>Nav attiecināms</w:t>
            </w:r>
          </w:p>
        </w:tc>
      </w:tr>
      <w:tr w:rsidR="00D367E3" w:rsidRPr="00D367E3" w14:paraId="6632FD16" w14:textId="77777777" w:rsidTr="009C4C51">
        <w:tblPrEx>
          <w:tblCellMar>
            <w:left w:w="57" w:type="dxa"/>
            <w:right w:w="57" w:type="dxa"/>
          </w:tblCellMar>
        </w:tblPrEx>
        <w:tc>
          <w:tcPr>
            <w:tcW w:w="1221" w:type="dxa"/>
            <w:tcBorders>
              <w:top w:val="thickThinLargeGap" w:sz="6" w:space="0" w:color="C0C0C0"/>
              <w:left w:val="thickThinLargeGap" w:sz="6" w:space="0" w:color="C0C0C0"/>
              <w:bottom w:val="thickThinLargeGap" w:sz="6" w:space="0" w:color="C0C0C0"/>
            </w:tcBorders>
          </w:tcPr>
          <w:p w14:paraId="2A1C8932" w14:textId="77777777" w:rsidR="002C2B13" w:rsidRPr="00D367E3" w:rsidRDefault="002C2B13" w:rsidP="002C2B13">
            <w:r w:rsidRPr="00D367E3">
              <w:rPr>
                <w:lang w:eastAsia="en-US"/>
              </w:rPr>
              <w:t>4.</w:t>
            </w:r>
          </w:p>
        </w:tc>
        <w:tc>
          <w:tcPr>
            <w:tcW w:w="2694" w:type="dxa"/>
            <w:tcBorders>
              <w:top w:val="thickThinLargeGap" w:sz="6" w:space="0" w:color="C0C0C0"/>
              <w:left w:val="thickThinLargeGap" w:sz="6" w:space="0" w:color="C0C0C0"/>
              <w:bottom w:val="thickThinLargeGap" w:sz="6" w:space="0" w:color="C0C0C0"/>
            </w:tcBorders>
          </w:tcPr>
          <w:p w14:paraId="23C80E52" w14:textId="77777777" w:rsidR="002C2B13" w:rsidRPr="00D367E3" w:rsidRDefault="002C2B13" w:rsidP="002C2B13">
            <w:r w:rsidRPr="00D367E3">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4CDA1A62" w14:textId="77777777" w:rsidR="002C2B13" w:rsidRPr="00D367E3" w:rsidRDefault="002C2B13" w:rsidP="002C2B13">
            <w:pPr>
              <w:jc w:val="both"/>
            </w:pPr>
            <w:r w:rsidRPr="00D367E3">
              <w:rPr>
                <w:lang w:eastAsia="en-US"/>
              </w:rPr>
              <w:t xml:space="preserve">Nav </w:t>
            </w:r>
          </w:p>
        </w:tc>
      </w:tr>
    </w:tbl>
    <w:p w14:paraId="27E3CE60" w14:textId="77777777" w:rsidR="007E7A79" w:rsidRPr="00D367E3" w:rsidRDefault="007E7A79" w:rsidP="00B559D5">
      <w:pPr>
        <w:jc w:val="both"/>
      </w:pPr>
    </w:p>
    <w:tbl>
      <w:tblPr>
        <w:tblpPr w:leftFromText="180" w:rightFromText="180" w:vertAnchor="text" w:tblpXSpec="center" w:tblpY="1"/>
        <w:tblOverlap w:val="never"/>
        <w:tblW w:w="1062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111"/>
        <w:gridCol w:w="1134"/>
        <w:gridCol w:w="1134"/>
        <w:gridCol w:w="992"/>
        <w:gridCol w:w="1276"/>
        <w:gridCol w:w="992"/>
        <w:gridCol w:w="992"/>
        <w:gridCol w:w="993"/>
      </w:tblGrid>
      <w:tr w:rsidR="004E11B5" w:rsidRPr="00D367E3" w14:paraId="7C4E5144" w14:textId="77777777" w:rsidTr="004E11B5">
        <w:trPr>
          <w:tblCellSpacing w:w="15" w:type="dxa"/>
          <w:jc w:val="center"/>
        </w:trPr>
        <w:tc>
          <w:tcPr>
            <w:tcW w:w="10564" w:type="dxa"/>
            <w:gridSpan w:val="8"/>
            <w:tcBorders>
              <w:top w:val="outset" w:sz="6" w:space="0" w:color="auto"/>
              <w:left w:val="outset" w:sz="6" w:space="0" w:color="auto"/>
              <w:bottom w:val="outset" w:sz="6" w:space="0" w:color="auto"/>
              <w:right w:val="outset" w:sz="6" w:space="0" w:color="auto"/>
            </w:tcBorders>
          </w:tcPr>
          <w:p w14:paraId="7FDA7F30" w14:textId="4C39B998" w:rsidR="004E11B5" w:rsidRPr="00D367E3" w:rsidRDefault="004E11B5" w:rsidP="007E7A79">
            <w:pPr>
              <w:rPr>
                <w:b/>
                <w:bCs/>
                <w:iCs/>
                <w:lang w:eastAsia="lv-LV"/>
              </w:rPr>
            </w:pPr>
            <w:r w:rsidRPr="00D367E3">
              <w:rPr>
                <w:b/>
                <w:bCs/>
                <w:iCs/>
                <w:lang w:eastAsia="lv-LV"/>
              </w:rPr>
              <w:lastRenderedPageBreak/>
              <w:t>III. Tiesību akta projekta ietekme uz valsts budžetu un pašvaldību budžetiem</w:t>
            </w:r>
          </w:p>
        </w:tc>
      </w:tr>
      <w:tr w:rsidR="004E11B5" w:rsidRPr="00D367E3" w14:paraId="316E9348" w14:textId="77777777" w:rsidTr="004E11B5">
        <w:trPr>
          <w:tblCellSpacing w:w="15" w:type="dxa"/>
          <w:jc w:val="center"/>
        </w:trPr>
        <w:tc>
          <w:tcPr>
            <w:tcW w:w="3066" w:type="dxa"/>
            <w:vMerge w:val="restart"/>
            <w:tcBorders>
              <w:top w:val="outset" w:sz="6" w:space="0" w:color="auto"/>
              <w:left w:val="outset" w:sz="6" w:space="0" w:color="auto"/>
              <w:bottom w:val="outset" w:sz="6" w:space="0" w:color="auto"/>
              <w:right w:val="outset" w:sz="6" w:space="0" w:color="auto"/>
            </w:tcBorders>
            <w:vAlign w:val="center"/>
            <w:hideMark/>
          </w:tcPr>
          <w:p w14:paraId="63908F38" w14:textId="77777777" w:rsidR="004E11B5" w:rsidRPr="00D367E3" w:rsidRDefault="004E11B5" w:rsidP="007E7A79">
            <w:pPr>
              <w:rPr>
                <w:iCs/>
                <w:lang w:eastAsia="lv-LV"/>
              </w:rPr>
            </w:pPr>
            <w:r w:rsidRPr="00D367E3">
              <w:rPr>
                <w:iCs/>
                <w:lang w:eastAsia="lv-LV"/>
              </w:rPr>
              <w:t>Rādītāji</w:t>
            </w:r>
          </w:p>
        </w:tc>
        <w:tc>
          <w:tcPr>
            <w:tcW w:w="223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BD33860" w14:textId="482CBA34" w:rsidR="004E11B5" w:rsidRPr="00D367E3" w:rsidRDefault="004E11B5" w:rsidP="007E7A79">
            <w:pPr>
              <w:rPr>
                <w:iCs/>
                <w:lang w:eastAsia="lv-LV"/>
              </w:rPr>
            </w:pPr>
            <w:r w:rsidRPr="00D367E3">
              <w:rPr>
                <w:iCs/>
                <w:lang w:eastAsia="lv-LV"/>
              </w:rPr>
              <w:t>201</w:t>
            </w:r>
            <w:r>
              <w:rPr>
                <w:iCs/>
                <w:lang w:eastAsia="lv-LV"/>
              </w:rPr>
              <w:t>9</w:t>
            </w:r>
          </w:p>
        </w:tc>
        <w:tc>
          <w:tcPr>
            <w:tcW w:w="5200" w:type="dxa"/>
            <w:gridSpan w:val="5"/>
            <w:tcBorders>
              <w:top w:val="outset" w:sz="6" w:space="0" w:color="auto"/>
              <w:left w:val="outset" w:sz="6" w:space="0" w:color="auto"/>
              <w:bottom w:val="outset" w:sz="6" w:space="0" w:color="auto"/>
              <w:right w:val="outset" w:sz="6" w:space="0" w:color="auto"/>
            </w:tcBorders>
          </w:tcPr>
          <w:p w14:paraId="31269D55" w14:textId="414632AB" w:rsidR="004E11B5" w:rsidRPr="00D367E3" w:rsidRDefault="004E11B5" w:rsidP="007E7A79">
            <w:pPr>
              <w:rPr>
                <w:iCs/>
                <w:lang w:eastAsia="lv-LV"/>
              </w:rPr>
            </w:pPr>
            <w:r w:rsidRPr="00D367E3">
              <w:rPr>
                <w:iCs/>
                <w:lang w:eastAsia="lv-LV"/>
              </w:rPr>
              <w:t>Turpmākie trīs gadi (</w:t>
            </w:r>
            <w:proofErr w:type="spellStart"/>
            <w:r w:rsidRPr="00D367E3">
              <w:rPr>
                <w:i/>
                <w:iCs/>
                <w:lang w:eastAsia="lv-LV"/>
              </w:rPr>
              <w:t>euro</w:t>
            </w:r>
            <w:proofErr w:type="spellEnd"/>
            <w:r w:rsidRPr="00D367E3">
              <w:rPr>
                <w:iCs/>
                <w:lang w:eastAsia="lv-LV"/>
              </w:rPr>
              <w:t>)</w:t>
            </w:r>
          </w:p>
        </w:tc>
      </w:tr>
      <w:tr w:rsidR="004E11B5" w:rsidRPr="00D367E3" w14:paraId="2FD5D7C7" w14:textId="77777777" w:rsidTr="004E11B5">
        <w:trPr>
          <w:tblCellSpacing w:w="15" w:type="dxa"/>
          <w:jc w:val="center"/>
        </w:trPr>
        <w:tc>
          <w:tcPr>
            <w:tcW w:w="3066" w:type="dxa"/>
            <w:vMerge/>
            <w:tcBorders>
              <w:top w:val="outset" w:sz="6" w:space="0" w:color="auto"/>
              <w:left w:val="outset" w:sz="6" w:space="0" w:color="auto"/>
              <w:bottom w:val="outset" w:sz="6" w:space="0" w:color="auto"/>
              <w:right w:val="outset" w:sz="6" w:space="0" w:color="auto"/>
            </w:tcBorders>
            <w:vAlign w:val="center"/>
            <w:hideMark/>
          </w:tcPr>
          <w:p w14:paraId="7A14FCFB" w14:textId="77777777" w:rsidR="004E11B5" w:rsidRPr="00D367E3" w:rsidRDefault="004E11B5" w:rsidP="007E7A79">
            <w:pPr>
              <w:rPr>
                <w:iCs/>
                <w:lang w:eastAsia="lv-LV"/>
              </w:rPr>
            </w:pPr>
          </w:p>
        </w:tc>
        <w:tc>
          <w:tcPr>
            <w:tcW w:w="2238" w:type="dxa"/>
            <w:gridSpan w:val="2"/>
            <w:vMerge/>
            <w:tcBorders>
              <w:top w:val="outset" w:sz="6" w:space="0" w:color="auto"/>
              <w:left w:val="outset" w:sz="6" w:space="0" w:color="auto"/>
              <w:bottom w:val="outset" w:sz="6" w:space="0" w:color="auto"/>
              <w:right w:val="outset" w:sz="6" w:space="0" w:color="auto"/>
            </w:tcBorders>
            <w:vAlign w:val="center"/>
            <w:hideMark/>
          </w:tcPr>
          <w:p w14:paraId="123A227F" w14:textId="77777777" w:rsidR="004E11B5" w:rsidRPr="00D367E3" w:rsidRDefault="004E11B5" w:rsidP="007E7A79">
            <w:pPr>
              <w:rPr>
                <w:iCs/>
                <w:lang w:eastAsia="lv-LV"/>
              </w:rPr>
            </w:pPr>
          </w:p>
        </w:tc>
        <w:tc>
          <w:tcPr>
            <w:tcW w:w="2238" w:type="dxa"/>
            <w:gridSpan w:val="2"/>
            <w:tcBorders>
              <w:top w:val="outset" w:sz="6" w:space="0" w:color="auto"/>
              <w:left w:val="outset" w:sz="6" w:space="0" w:color="auto"/>
              <w:bottom w:val="outset" w:sz="6" w:space="0" w:color="auto"/>
              <w:right w:val="outset" w:sz="6" w:space="0" w:color="auto"/>
            </w:tcBorders>
          </w:tcPr>
          <w:p w14:paraId="5B4A189C" w14:textId="4BA2E219" w:rsidR="004E11B5" w:rsidRPr="00D367E3" w:rsidRDefault="004E11B5" w:rsidP="007E7A79">
            <w:pPr>
              <w:rPr>
                <w:iCs/>
                <w:lang w:eastAsia="lv-LV"/>
              </w:rPr>
            </w:pPr>
            <w:r w:rsidRPr="00D367E3">
              <w:rPr>
                <w:iCs/>
                <w:lang w:eastAsia="lv-LV"/>
              </w:rPr>
              <w:t>20</w:t>
            </w:r>
            <w:r>
              <w:rPr>
                <w:iCs/>
                <w:lang w:eastAsia="lv-LV"/>
              </w:rPr>
              <w:t>20</w:t>
            </w:r>
          </w:p>
        </w:tc>
        <w:tc>
          <w:tcPr>
            <w:tcW w:w="1954" w:type="dxa"/>
            <w:gridSpan w:val="2"/>
            <w:tcBorders>
              <w:top w:val="outset" w:sz="6" w:space="0" w:color="auto"/>
              <w:left w:val="outset" w:sz="6" w:space="0" w:color="auto"/>
              <w:bottom w:val="outset" w:sz="6" w:space="0" w:color="auto"/>
              <w:right w:val="outset" w:sz="6" w:space="0" w:color="auto"/>
            </w:tcBorders>
          </w:tcPr>
          <w:p w14:paraId="449EF489" w14:textId="3A9AD58E" w:rsidR="004E11B5" w:rsidRPr="00D367E3" w:rsidRDefault="004E11B5" w:rsidP="007E7A79">
            <w:pPr>
              <w:rPr>
                <w:iCs/>
                <w:lang w:eastAsia="lv-LV"/>
              </w:rPr>
            </w:pPr>
            <w:r w:rsidRPr="00D367E3">
              <w:rPr>
                <w:iCs/>
                <w:lang w:eastAsia="lv-LV"/>
              </w:rPr>
              <w:t>20</w:t>
            </w:r>
            <w:r>
              <w:rPr>
                <w:iCs/>
                <w:lang w:eastAsia="lv-LV"/>
              </w:rPr>
              <w:t>21</w:t>
            </w:r>
          </w:p>
        </w:tc>
        <w:tc>
          <w:tcPr>
            <w:tcW w:w="948" w:type="dxa"/>
            <w:tcBorders>
              <w:top w:val="outset" w:sz="6" w:space="0" w:color="auto"/>
              <w:left w:val="outset" w:sz="6" w:space="0" w:color="auto"/>
              <w:bottom w:val="outset" w:sz="6" w:space="0" w:color="auto"/>
              <w:right w:val="outset" w:sz="6" w:space="0" w:color="auto"/>
            </w:tcBorders>
            <w:vAlign w:val="center"/>
            <w:hideMark/>
          </w:tcPr>
          <w:p w14:paraId="2117F9C6" w14:textId="11340E81" w:rsidR="004E11B5" w:rsidRPr="00D367E3" w:rsidRDefault="004E11B5" w:rsidP="007E7A79">
            <w:pPr>
              <w:rPr>
                <w:iCs/>
                <w:lang w:eastAsia="lv-LV"/>
              </w:rPr>
            </w:pPr>
            <w:r w:rsidRPr="00D367E3">
              <w:rPr>
                <w:iCs/>
                <w:lang w:eastAsia="lv-LV"/>
              </w:rPr>
              <w:t>20</w:t>
            </w:r>
            <w:r>
              <w:rPr>
                <w:iCs/>
                <w:lang w:eastAsia="lv-LV"/>
              </w:rPr>
              <w:t>22</w:t>
            </w:r>
          </w:p>
        </w:tc>
      </w:tr>
      <w:tr w:rsidR="004E11B5" w:rsidRPr="004E11B5" w14:paraId="63C29CB8" w14:textId="77777777" w:rsidTr="004E11B5">
        <w:trPr>
          <w:tblCellSpacing w:w="15" w:type="dxa"/>
          <w:jc w:val="center"/>
        </w:trPr>
        <w:tc>
          <w:tcPr>
            <w:tcW w:w="3066" w:type="dxa"/>
            <w:vMerge/>
            <w:tcBorders>
              <w:top w:val="outset" w:sz="6" w:space="0" w:color="auto"/>
              <w:left w:val="outset" w:sz="6" w:space="0" w:color="auto"/>
              <w:bottom w:val="outset" w:sz="6" w:space="0" w:color="auto"/>
              <w:right w:val="outset" w:sz="6" w:space="0" w:color="auto"/>
            </w:tcBorders>
            <w:vAlign w:val="center"/>
            <w:hideMark/>
          </w:tcPr>
          <w:p w14:paraId="39C3C5A2" w14:textId="77777777" w:rsidR="004E11B5" w:rsidRPr="00D367E3" w:rsidRDefault="004E11B5" w:rsidP="007E7A79">
            <w:pPr>
              <w:rPr>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681B79D" w14:textId="77777777" w:rsidR="004E11B5" w:rsidRPr="00D367E3" w:rsidRDefault="004E11B5" w:rsidP="007E7A79">
            <w:pPr>
              <w:rPr>
                <w:iCs/>
                <w:lang w:eastAsia="lv-LV"/>
              </w:rPr>
            </w:pPr>
            <w:r w:rsidRPr="00D367E3">
              <w:rPr>
                <w:iCs/>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6DBAC1" w14:textId="77777777" w:rsidR="004E11B5" w:rsidRPr="004E11B5" w:rsidRDefault="004E11B5" w:rsidP="007E7A79">
            <w:pPr>
              <w:rPr>
                <w:iCs/>
                <w:sz w:val="22"/>
                <w:szCs w:val="22"/>
                <w:lang w:eastAsia="lv-LV"/>
              </w:rPr>
            </w:pPr>
            <w:r w:rsidRPr="004E11B5">
              <w:rPr>
                <w:iCs/>
                <w:sz w:val="22"/>
                <w:szCs w:val="22"/>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tcPr>
          <w:p w14:paraId="2F46AA9B" w14:textId="0A8BED72" w:rsidR="004E11B5" w:rsidRPr="004E11B5" w:rsidRDefault="004E11B5" w:rsidP="007E7A79">
            <w:pPr>
              <w:rPr>
                <w:iCs/>
                <w:sz w:val="22"/>
                <w:szCs w:val="22"/>
                <w:lang w:eastAsia="lv-LV"/>
              </w:rPr>
            </w:pPr>
            <w:r w:rsidRPr="004E11B5">
              <w:rPr>
                <w:sz w:val="22"/>
                <w:szCs w:val="22"/>
                <w:shd w:val="clear" w:color="auto" w:fill="FFFFFF"/>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F65EAAE" w14:textId="27096A7B" w:rsidR="004E11B5" w:rsidRPr="004E11B5" w:rsidRDefault="004E11B5" w:rsidP="007E7A79">
            <w:pPr>
              <w:rPr>
                <w:iCs/>
                <w:sz w:val="22"/>
                <w:szCs w:val="22"/>
                <w:lang w:eastAsia="lv-LV"/>
              </w:rPr>
            </w:pPr>
          </w:p>
          <w:p w14:paraId="2EF7BC14" w14:textId="27BC24DA" w:rsidR="004E11B5" w:rsidRPr="004E11B5" w:rsidRDefault="004E11B5" w:rsidP="007E7A79">
            <w:pPr>
              <w:rPr>
                <w:iCs/>
                <w:sz w:val="22"/>
                <w:szCs w:val="22"/>
                <w:lang w:eastAsia="lv-LV"/>
              </w:rPr>
            </w:pPr>
            <w:r w:rsidRPr="004E11B5">
              <w:rPr>
                <w:iCs/>
                <w:sz w:val="22"/>
                <w:szCs w:val="22"/>
                <w:lang w:eastAsia="lv-LV"/>
              </w:rPr>
              <w:t>izmaiņas, salīdzinot ar vidēja termiņa budžeta ietvaru 20</w:t>
            </w:r>
            <w:r w:rsidR="00A65175">
              <w:rPr>
                <w:iCs/>
                <w:sz w:val="22"/>
                <w:szCs w:val="22"/>
                <w:lang w:eastAsia="lv-LV"/>
              </w:rPr>
              <w:t>20</w:t>
            </w:r>
            <w:r w:rsidRPr="004E11B5">
              <w:rPr>
                <w:iCs/>
                <w:sz w:val="22"/>
                <w:szCs w:val="22"/>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tcPr>
          <w:p w14:paraId="58D8B046" w14:textId="7FD5EF19" w:rsidR="004E11B5" w:rsidRPr="004E11B5" w:rsidRDefault="004E11B5" w:rsidP="007E7A79">
            <w:pPr>
              <w:rPr>
                <w:iCs/>
                <w:sz w:val="22"/>
                <w:szCs w:val="22"/>
                <w:lang w:eastAsia="lv-LV"/>
              </w:rPr>
            </w:pPr>
            <w:r w:rsidRPr="004E11B5">
              <w:rPr>
                <w:sz w:val="22"/>
                <w:szCs w:val="22"/>
                <w:shd w:val="clear" w:color="auto" w:fill="FFFFFF"/>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759795BA" w14:textId="42EB52EA" w:rsidR="004E11B5" w:rsidRPr="004E11B5" w:rsidRDefault="004E11B5" w:rsidP="007E7A79">
            <w:pPr>
              <w:rPr>
                <w:iCs/>
                <w:sz w:val="22"/>
                <w:szCs w:val="22"/>
                <w:lang w:eastAsia="lv-LV"/>
              </w:rPr>
            </w:pPr>
          </w:p>
          <w:p w14:paraId="50C8177A" w14:textId="7A0F6852" w:rsidR="004E11B5" w:rsidRPr="004E11B5" w:rsidRDefault="004E11B5" w:rsidP="007E7A79">
            <w:pPr>
              <w:rPr>
                <w:iCs/>
                <w:sz w:val="22"/>
                <w:szCs w:val="22"/>
                <w:lang w:eastAsia="lv-LV"/>
              </w:rPr>
            </w:pPr>
            <w:r w:rsidRPr="004E11B5">
              <w:rPr>
                <w:iCs/>
                <w:sz w:val="22"/>
                <w:szCs w:val="22"/>
                <w:lang w:eastAsia="lv-LV"/>
              </w:rPr>
              <w:t>izmaiņas, salīdzinot ar vidēja termiņa budžeta ietvaru 2021 gadam</w:t>
            </w:r>
          </w:p>
        </w:tc>
        <w:tc>
          <w:tcPr>
            <w:tcW w:w="948" w:type="dxa"/>
            <w:tcBorders>
              <w:top w:val="outset" w:sz="6" w:space="0" w:color="auto"/>
              <w:left w:val="outset" w:sz="6" w:space="0" w:color="auto"/>
              <w:bottom w:val="outset" w:sz="6" w:space="0" w:color="auto"/>
              <w:right w:val="outset" w:sz="6" w:space="0" w:color="auto"/>
            </w:tcBorders>
            <w:vAlign w:val="center"/>
            <w:hideMark/>
          </w:tcPr>
          <w:p w14:paraId="27397ECF" w14:textId="1BA5A450" w:rsidR="004E11B5" w:rsidRPr="004E11B5" w:rsidRDefault="004E11B5" w:rsidP="007E7A79">
            <w:pPr>
              <w:rPr>
                <w:iCs/>
                <w:sz w:val="22"/>
                <w:szCs w:val="22"/>
                <w:lang w:eastAsia="lv-LV"/>
              </w:rPr>
            </w:pPr>
            <w:r w:rsidRPr="004E11B5">
              <w:rPr>
                <w:iCs/>
                <w:sz w:val="22"/>
                <w:szCs w:val="22"/>
                <w:lang w:eastAsia="lv-LV"/>
              </w:rPr>
              <w:t>izmaiņas, salīdzinot ar vidēja termiņa budžeta ietvaru 2022 gadam</w:t>
            </w:r>
          </w:p>
        </w:tc>
      </w:tr>
      <w:tr w:rsidR="004E11B5" w:rsidRPr="00D367E3" w14:paraId="5F540591"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14:paraId="3C0330A9" w14:textId="77777777" w:rsidR="004E11B5" w:rsidRPr="00AD4714" w:rsidRDefault="004E11B5" w:rsidP="007E7A79">
            <w:pPr>
              <w:jc w:val="center"/>
              <w:rPr>
                <w:iCs/>
                <w:lang w:eastAsia="lv-LV"/>
              </w:rPr>
            </w:pPr>
            <w:r w:rsidRPr="00AD4714">
              <w:rPr>
                <w:iCs/>
                <w:lang w:eastAsia="lv-LV"/>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6E99DC" w14:textId="77777777" w:rsidR="004E11B5" w:rsidRPr="00AD4714" w:rsidRDefault="004E11B5" w:rsidP="00AD4714">
            <w:pPr>
              <w:jc w:val="center"/>
              <w:rPr>
                <w:iCs/>
                <w:lang w:eastAsia="lv-LV"/>
              </w:rPr>
            </w:pPr>
            <w:r w:rsidRPr="00AD4714">
              <w:rPr>
                <w:iCs/>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117E49" w14:textId="77777777" w:rsidR="004E11B5" w:rsidRPr="00AD4714" w:rsidRDefault="004E11B5" w:rsidP="00AD4714">
            <w:pPr>
              <w:jc w:val="center"/>
              <w:rPr>
                <w:iCs/>
                <w:lang w:eastAsia="lv-LV"/>
              </w:rPr>
            </w:pPr>
            <w:r w:rsidRPr="00AD4714">
              <w:rPr>
                <w:iCs/>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tcPr>
          <w:p w14:paraId="6EBC48A9" w14:textId="537354DA" w:rsidR="004E11B5" w:rsidRPr="00AD4714" w:rsidRDefault="00AD4714" w:rsidP="00AD4714">
            <w:pPr>
              <w:jc w:val="center"/>
              <w:rPr>
                <w:iCs/>
                <w:lang w:eastAsia="lv-LV"/>
              </w:rPr>
            </w:pPr>
            <w:r w:rsidRPr="00AD4714">
              <w:rPr>
                <w:iCs/>
                <w:lang w:eastAsia="lv-LV"/>
              </w:rPr>
              <w:t>4</w:t>
            </w:r>
          </w:p>
        </w:tc>
        <w:tc>
          <w:tcPr>
            <w:tcW w:w="1246" w:type="dxa"/>
            <w:tcBorders>
              <w:top w:val="outset" w:sz="6" w:space="0" w:color="auto"/>
              <w:left w:val="outset" w:sz="6" w:space="0" w:color="auto"/>
              <w:bottom w:val="outset" w:sz="6" w:space="0" w:color="auto"/>
              <w:right w:val="outset" w:sz="6" w:space="0" w:color="auto"/>
            </w:tcBorders>
            <w:vAlign w:val="center"/>
          </w:tcPr>
          <w:p w14:paraId="7C3714A5" w14:textId="25D02FCF" w:rsidR="004E11B5" w:rsidRPr="00AD4714" w:rsidRDefault="004E11B5" w:rsidP="00AD4714">
            <w:pPr>
              <w:jc w:val="center"/>
              <w:rPr>
                <w:iCs/>
                <w:lang w:eastAsia="lv-LV"/>
              </w:rPr>
            </w:pPr>
            <w:r w:rsidRPr="00AD4714">
              <w:rPr>
                <w:iCs/>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tcPr>
          <w:p w14:paraId="799E84EB" w14:textId="0A8B0BA9" w:rsidR="004E11B5" w:rsidRPr="00AD4714" w:rsidRDefault="00AD4714" w:rsidP="00AD4714">
            <w:pPr>
              <w:jc w:val="center"/>
              <w:rPr>
                <w:iCs/>
                <w:lang w:eastAsia="lv-LV"/>
              </w:rPr>
            </w:pPr>
            <w:r w:rsidRPr="00AD4714">
              <w:rPr>
                <w:iCs/>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tcPr>
          <w:p w14:paraId="2D09D2EA" w14:textId="27E1FFCD" w:rsidR="004E11B5" w:rsidRPr="00AD4714" w:rsidRDefault="004E11B5" w:rsidP="00AD4714">
            <w:pPr>
              <w:jc w:val="center"/>
              <w:rPr>
                <w:iCs/>
                <w:lang w:eastAsia="lv-LV"/>
              </w:rPr>
            </w:pPr>
            <w:r w:rsidRPr="00AD4714">
              <w:rPr>
                <w:iCs/>
                <w:lang w:eastAsia="lv-LV"/>
              </w:rPr>
              <w:t>7</w:t>
            </w:r>
          </w:p>
        </w:tc>
        <w:tc>
          <w:tcPr>
            <w:tcW w:w="948" w:type="dxa"/>
            <w:tcBorders>
              <w:top w:val="outset" w:sz="6" w:space="0" w:color="auto"/>
              <w:left w:val="outset" w:sz="6" w:space="0" w:color="auto"/>
              <w:bottom w:val="outset" w:sz="6" w:space="0" w:color="auto"/>
              <w:right w:val="outset" w:sz="6" w:space="0" w:color="auto"/>
            </w:tcBorders>
            <w:vAlign w:val="center"/>
            <w:hideMark/>
          </w:tcPr>
          <w:p w14:paraId="6CED1BE5" w14:textId="77EDF8B7" w:rsidR="004E11B5" w:rsidRPr="00AD4714" w:rsidRDefault="004E11B5" w:rsidP="00AD4714">
            <w:pPr>
              <w:jc w:val="center"/>
              <w:rPr>
                <w:iCs/>
                <w:lang w:eastAsia="lv-LV"/>
              </w:rPr>
            </w:pPr>
            <w:r w:rsidRPr="00AD4714">
              <w:rPr>
                <w:iCs/>
                <w:lang w:eastAsia="lv-LV"/>
              </w:rPr>
              <w:t>8</w:t>
            </w:r>
          </w:p>
        </w:tc>
      </w:tr>
      <w:tr w:rsidR="004E11B5" w:rsidRPr="00D367E3" w14:paraId="4D821198"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356682BD" w14:textId="77777777" w:rsidR="004E11B5" w:rsidRPr="00D367E3" w:rsidRDefault="004E11B5" w:rsidP="00A93351">
            <w:pPr>
              <w:rPr>
                <w:iCs/>
                <w:lang w:eastAsia="lv-LV"/>
              </w:rPr>
            </w:pPr>
            <w:r w:rsidRPr="00D367E3">
              <w:rPr>
                <w:iCs/>
                <w:lang w:eastAsia="lv-LV"/>
              </w:rPr>
              <w:t>1. Budžeta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B25830" w14:textId="011837E7" w:rsidR="004E11B5" w:rsidRPr="00D367E3" w:rsidRDefault="00AD4714" w:rsidP="00AD4714">
            <w:pPr>
              <w:jc w:val="right"/>
              <w:rPr>
                <w:iCs/>
                <w:lang w:eastAsia="lv-LV"/>
              </w:rPr>
            </w:pPr>
            <w:r>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CEE06E0" w14:textId="261BE6BE" w:rsidR="004E11B5" w:rsidRPr="00D367E3" w:rsidRDefault="00AD4714" w:rsidP="00AD4714">
            <w:pPr>
              <w:jc w:val="right"/>
              <w:rPr>
                <w:iCs/>
                <w:lang w:eastAsia="lv-LV"/>
              </w:rPr>
            </w:pPr>
            <w:r>
              <w:rPr>
                <w:iCs/>
                <w:lang w:eastAsia="lv-LV"/>
              </w:rPr>
              <w:t>182 824</w:t>
            </w:r>
          </w:p>
        </w:tc>
        <w:tc>
          <w:tcPr>
            <w:tcW w:w="962" w:type="dxa"/>
            <w:tcBorders>
              <w:top w:val="outset" w:sz="6" w:space="0" w:color="auto"/>
              <w:left w:val="outset" w:sz="6" w:space="0" w:color="auto"/>
              <w:bottom w:val="outset" w:sz="6" w:space="0" w:color="auto"/>
              <w:right w:val="outset" w:sz="6" w:space="0" w:color="auto"/>
            </w:tcBorders>
            <w:vAlign w:val="center"/>
          </w:tcPr>
          <w:p w14:paraId="50B52D0E" w14:textId="19254880" w:rsidR="004E11B5"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74D655F" w14:textId="1F292F16" w:rsidR="004E11B5" w:rsidRPr="00D367E3" w:rsidRDefault="00AD4714" w:rsidP="00AD4714">
            <w:pPr>
              <w:jc w:val="right"/>
              <w:rPr>
                <w:iCs/>
                <w:lang w:eastAsia="lv-LV"/>
              </w:rPr>
            </w:pPr>
            <w:r>
              <w:rPr>
                <w:iCs/>
                <w:lang w:eastAsia="lv-LV"/>
              </w:rPr>
              <w:t>158 423</w:t>
            </w:r>
          </w:p>
        </w:tc>
        <w:tc>
          <w:tcPr>
            <w:tcW w:w="962" w:type="dxa"/>
            <w:tcBorders>
              <w:top w:val="outset" w:sz="6" w:space="0" w:color="auto"/>
              <w:left w:val="outset" w:sz="6" w:space="0" w:color="auto"/>
              <w:bottom w:val="outset" w:sz="6" w:space="0" w:color="auto"/>
              <w:right w:val="outset" w:sz="6" w:space="0" w:color="auto"/>
            </w:tcBorders>
            <w:vAlign w:val="center"/>
          </w:tcPr>
          <w:p w14:paraId="254FF16D" w14:textId="1825DD78"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47EEE61" w14:textId="7FADFAEA" w:rsidR="004E11B5" w:rsidRPr="00D367E3" w:rsidRDefault="00AD4714" w:rsidP="00AD4714">
            <w:pPr>
              <w:jc w:val="right"/>
              <w:rPr>
                <w:iCs/>
                <w:lang w:eastAsia="lv-LV"/>
              </w:rPr>
            </w:pPr>
            <w:r>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48BAD3F" w14:textId="507FD74C" w:rsidR="004E11B5" w:rsidRPr="00D367E3" w:rsidRDefault="00AD4714" w:rsidP="00AD4714">
            <w:pPr>
              <w:jc w:val="right"/>
              <w:rPr>
                <w:iCs/>
                <w:lang w:eastAsia="lv-LV"/>
              </w:rPr>
            </w:pPr>
            <w:r>
              <w:rPr>
                <w:iCs/>
                <w:lang w:eastAsia="lv-LV"/>
              </w:rPr>
              <w:t>0</w:t>
            </w:r>
          </w:p>
        </w:tc>
      </w:tr>
      <w:tr w:rsidR="004E11B5" w:rsidRPr="00D367E3" w14:paraId="2496EB73"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11E9C78B" w14:textId="77777777" w:rsidR="004E11B5" w:rsidRPr="00D367E3" w:rsidRDefault="004E11B5" w:rsidP="00A93351">
            <w:pPr>
              <w:rPr>
                <w:iCs/>
                <w:lang w:eastAsia="lv-LV"/>
              </w:rPr>
            </w:pPr>
            <w:r w:rsidRPr="00D367E3">
              <w:rPr>
                <w:iCs/>
                <w:lang w:eastAsia="lv-LV"/>
              </w:rPr>
              <w:t>1.1. valsts pamatbudžets, tai skaitā ieņēmumi no maksas pakalpojumiem un citi pašu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98D25F" w14:textId="77777777"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1CB6D2B" w14:textId="2696F3FB" w:rsidR="004E11B5" w:rsidRPr="00D367E3" w:rsidRDefault="00EF2A5D" w:rsidP="00AD4714">
            <w:pPr>
              <w:jc w:val="right"/>
              <w:rPr>
                <w:iCs/>
                <w:lang w:eastAsia="lv-LV"/>
              </w:rPr>
            </w:pPr>
            <w:r w:rsidRPr="00EF2A5D">
              <w:rPr>
                <w:iCs/>
                <w:lang w:eastAsia="lv-LV"/>
              </w:rPr>
              <w:t>182 824</w:t>
            </w:r>
          </w:p>
        </w:tc>
        <w:tc>
          <w:tcPr>
            <w:tcW w:w="962" w:type="dxa"/>
            <w:tcBorders>
              <w:top w:val="outset" w:sz="6" w:space="0" w:color="auto"/>
              <w:left w:val="outset" w:sz="6" w:space="0" w:color="auto"/>
              <w:bottom w:val="outset" w:sz="6" w:space="0" w:color="auto"/>
              <w:right w:val="outset" w:sz="6" w:space="0" w:color="auto"/>
            </w:tcBorders>
            <w:vAlign w:val="center"/>
          </w:tcPr>
          <w:p w14:paraId="59ECC150" w14:textId="465B1717"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42D460D7" w14:textId="081AA992" w:rsidR="004E11B5" w:rsidRPr="00D367E3" w:rsidRDefault="00EF2A5D" w:rsidP="00AD4714">
            <w:pPr>
              <w:jc w:val="right"/>
              <w:rPr>
                <w:iCs/>
                <w:lang w:eastAsia="lv-LV"/>
              </w:rPr>
            </w:pPr>
            <w:r w:rsidRPr="00EF2A5D">
              <w:rPr>
                <w:iCs/>
                <w:lang w:eastAsia="lv-LV"/>
              </w:rPr>
              <w:t>158 423</w:t>
            </w:r>
          </w:p>
        </w:tc>
        <w:tc>
          <w:tcPr>
            <w:tcW w:w="962" w:type="dxa"/>
            <w:tcBorders>
              <w:top w:val="outset" w:sz="6" w:space="0" w:color="auto"/>
              <w:left w:val="outset" w:sz="6" w:space="0" w:color="auto"/>
              <w:bottom w:val="outset" w:sz="6" w:space="0" w:color="auto"/>
              <w:right w:val="outset" w:sz="6" w:space="0" w:color="auto"/>
            </w:tcBorders>
            <w:vAlign w:val="center"/>
          </w:tcPr>
          <w:p w14:paraId="66FEA1E7" w14:textId="11C6F15B"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10D20A47" w14:textId="06EDAC7B" w:rsidR="004E11B5" w:rsidRPr="00D367E3" w:rsidRDefault="004E11B5" w:rsidP="00AD4714">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64E0F153" w14:textId="48311C14" w:rsidR="004E11B5" w:rsidRPr="00D367E3" w:rsidRDefault="004E11B5" w:rsidP="00AD4714">
            <w:pPr>
              <w:jc w:val="right"/>
              <w:rPr>
                <w:iCs/>
                <w:lang w:eastAsia="lv-LV"/>
              </w:rPr>
            </w:pPr>
            <w:r w:rsidRPr="00D367E3">
              <w:rPr>
                <w:iCs/>
                <w:lang w:eastAsia="lv-LV"/>
              </w:rPr>
              <w:t>0</w:t>
            </w:r>
          </w:p>
        </w:tc>
      </w:tr>
      <w:tr w:rsidR="004E11B5" w:rsidRPr="00D367E3" w14:paraId="65877CB0"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4CD35CA4" w14:textId="77777777" w:rsidR="004E11B5" w:rsidRPr="00D367E3" w:rsidRDefault="004E11B5" w:rsidP="00A93351">
            <w:pPr>
              <w:rPr>
                <w:iCs/>
                <w:lang w:eastAsia="lv-LV"/>
              </w:rPr>
            </w:pPr>
            <w:r w:rsidRPr="00D367E3">
              <w:rPr>
                <w:iCs/>
                <w:lang w:eastAsia="lv-LV"/>
              </w:rPr>
              <w:t>1.2.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95CC74" w14:textId="134B0B6B"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4D165EC" w14:textId="7C96CBB4"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9B27B90" w14:textId="2F91A25D"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694DF9C" w14:textId="6AC1038F"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5DAAE9A" w14:textId="35D5B51E" w:rsidR="004E11B5" w:rsidRPr="00D367E3" w:rsidRDefault="00A65175"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1F627A1F" w14:textId="51961619" w:rsidR="004E11B5" w:rsidRPr="00D367E3" w:rsidRDefault="004E11B5" w:rsidP="00AD4714">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FF3C2DE" w14:textId="1F96DF39" w:rsidR="004E11B5" w:rsidRPr="00D367E3" w:rsidRDefault="004E11B5" w:rsidP="00AD4714">
            <w:pPr>
              <w:jc w:val="right"/>
              <w:rPr>
                <w:iCs/>
                <w:lang w:eastAsia="lv-LV"/>
              </w:rPr>
            </w:pPr>
            <w:r w:rsidRPr="00D367E3">
              <w:rPr>
                <w:iCs/>
                <w:lang w:eastAsia="lv-LV"/>
              </w:rPr>
              <w:t>0</w:t>
            </w:r>
          </w:p>
        </w:tc>
      </w:tr>
      <w:tr w:rsidR="004E11B5" w:rsidRPr="00D367E3" w14:paraId="0FBFFD8B"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19C75511" w14:textId="77777777" w:rsidR="004E11B5" w:rsidRPr="00D367E3" w:rsidRDefault="004E11B5" w:rsidP="00A93351">
            <w:pPr>
              <w:rPr>
                <w:iCs/>
                <w:lang w:eastAsia="lv-LV"/>
              </w:rPr>
            </w:pPr>
            <w:r w:rsidRPr="00D367E3">
              <w:rPr>
                <w:iCs/>
                <w:lang w:eastAsia="lv-LV"/>
              </w:rPr>
              <w:t>1.3.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171A96" w14:textId="77777777"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463A2D2" w14:textId="4011C1CF"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3730F17E" w14:textId="010E9338"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5A2F670" w14:textId="1F3B0B65"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24DFFD9F" w14:textId="53B2E9FA"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1E98810" w14:textId="3169048A" w:rsidR="004E11B5" w:rsidRPr="00D367E3" w:rsidRDefault="004E11B5" w:rsidP="00AD4714">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771585EE" w14:textId="2BE3650E" w:rsidR="004E11B5" w:rsidRPr="00D367E3" w:rsidRDefault="004E11B5" w:rsidP="00AD4714">
            <w:pPr>
              <w:jc w:val="right"/>
              <w:rPr>
                <w:iCs/>
                <w:lang w:eastAsia="lv-LV"/>
              </w:rPr>
            </w:pPr>
            <w:r w:rsidRPr="00D367E3">
              <w:rPr>
                <w:iCs/>
                <w:lang w:eastAsia="lv-LV"/>
              </w:rPr>
              <w:t>0</w:t>
            </w:r>
          </w:p>
        </w:tc>
      </w:tr>
      <w:tr w:rsidR="004E11B5" w:rsidRPr="00D367E3" w14:paraId="1652984E"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536E6E46" w14:textId="77777777" w:rsidR="004E11B5" w:rsidRPr="00D367E3" w:rsidRDefault="004E11B5" w:rsidP="00A93351">
            <w:pPr>
              <w:rPr>
                <w:iCs/>
                <w:lang w:eastAsia="lv-LV"/>
              </w:rPr>
            </w:pPr>
            <w:r w:rsidRPr="00D367E3">
              <w:rPr>
                <w:iCs/>
                <w:lang w:eastAsia="lv-LV"/>
              </w:rPr>
              <w:t>2. Budžeta izdevumi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E8956C9" w14:textId="57438F72" w:rsidR="004E11B5" w:rsidRPr="00D367E3" w:rsidRDefault="00AD4714" w:rsidP="00AD4714">
            <w:pPr>
              <w:jc w:val="right"/>
              <w:rPr>
                <w:iCs/>
                <w:lang w:eastAsia="lv-LV"/>
              </w:rPr>
            </w:pPr>
            <w:r>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5D33151" w14:textId="2594D160" w:rsidR="004E11B5" w:rsidRPr="00D367E3" w:rsidRDefault="00AD4714" w:rsidP="00AD4714">
            <w:pPr>
              <w:jc w:val="right"/>
              <w:rPr>
                <w:iCs/>
                <w:lang w:eastAsia="lv-LV"/>
              </w:rPr>
            </w:pPr>
            <w:r>
              <w:rPr>
                <w:iCs/>
                <w:lang w:eastAsia="lv-LV"/>
              </w:rPr>
              <w:t>215 086</w:t>
            </w:r>
          </w:p>
        </w:tc>
        <w:tc>
          <w:tcPr>
            <w:tcW w:w="962" w:type="dxa"/>
            <w:tcBorders>
              <w:top w:val="outset" w:sz="6" w:space="0" w:color="auto"/>
              <w:left w:val="outset" w:sz="6" w:space="0" w:color="auto"/>
              <w:bottom w:val="outset" w:sz="6" w:space="0" w:color="auto"/>
              <w:right w:val="outset" w:sz="6" w:space="0" w:color="auto"/>
            </w:tcBorders>
            <w:vAlign w:val="center"/>
          </w:tcPr>
          <w:p w14:paraId="6E9A054E" w14:textId="27327F1F"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31F46FB3" w14:textId="1A40118C" w:rsidR="004E11B5" w:rsidRPr="00D367E3" w:rsidRDefault="00AD4714" w:rsidP="00AD4714">
            <w:pPr>
              <w:jc w:val="right"/>
              <w:rPr>
                <w:iCs/>
                <w:lang w:eastAsia="lv-LV"/>
              </w:rPr>
            </w:pPr>
            <w:r>
              <w:rPr>
                <w:iCs/>
                <w:lang w:eastAsia="lv-LV"/>
              </w:rPr>
              <w:t>186 379</w:t>
            </w:r>
          </w:p>
        </w:tc>
        <w:tc>
          <w:tcPr>
            <w:tcW w:w="962" w:type="dxa"/>
            <w:tcBorders>
              <w:top w:val="outset" w:sz="6" w:space="0" w:color="auto"/>
              <w:left w:val="outset" w:sz="6" w:space="0" w:color="auto"/>
              <w:bottom w:val="outset" w:sz="6" w:space="0" w:color="auto"/>
              <w:right w:val="outset" w:sz="6" w:space="0" w:color="auto"/>
            </w:tcBorders>
            <w:vAlign w:val="center"/>
          </w:tcPr>
          <w:p w14:paraId="7C8C51F8" w14:textId="2D8EA093" w:rsidR="004E11B5"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5BD85B00" w14:textId="3C81416F" w:rsidR="004E11B5" w:rsidRPr="00D367E3" w:rsidRDefault="00A358FF" w:rsidP="00AD4714">
            <w:pPr>
              <w:jc w:val="right"/>
              <w:rPr>
                <w:iCs/>
                <w:lang w:eastAsia="lv-LV"/>
              </w:rPr>
            </w:pPr>
            <w:r>
              <w:rPr>
                <w:iCs/>
                <w:lang w:eastAsia="lv-LV"/>
              </w:rPr>
              <w:t>  133 848</w:t>
            </w:r>
          </w:p>
        </w:tc>
        <w:tc>
          <w:tcPr>
            <w:tcW w:w="948" w:type="dxa"/>
            <w:tcBorders>
              <w:top w:val="outset" w:sz="6" w:space="0" w:color="auto"/>
              <w:left w:val="outset" w:sz="6" w:space="0" w:color="auto"/>
              <w:bottom w:val="outset" w:sz="6" w:space="0" w:color="auto"/>
              <w:right w:val="outset" w:sz="6" w:space="0" w:color="auto"/>
            </w:tcBorders>
            <w:vAlign w:val="center"/>
          </w:tcPr>
          <w:p w14:paraId="1627F79A" w14:textId="42D846DD" w:rsidR="004E11B5" w:rsidRPr="00D367E3" w:rsidRDefault="00A358FF" w:rsidP="00AD4714">
            <w:pPr>
              <w:jc w:val="right"/>
              <w:rPr>
                <w:iCs/>
                <w:lang w:eastAsia="lv-LV"/>
              </w:rPr>
            </w:pPr>
            <w:r>
              <w:rPr>
                <w:iCs/>
                <w:lang w:eastAsia="lv-LV"/>
              </w:rPr>
              <w:t>  133 848</w:t>
            </w:r>
          </w:p>
        </w:tc>
      </w:tr>
      <w:tr w:rsidR="004E11B5" w:rsidRPr="00D367E3" w14:paraId="33AC614B"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79A99524" w14:textId="77777777" w:rsidR="004E11B5" w:rsidRPr="00D367E3" w:rsidRDefault="004E11B5" w:rsidP="00A93351">
            <w:pPr>
              <w:rPr>
                <w:iCs/>
                <w:lang w:eastAsia="lv-LV"/>
              </w:rPr>
            </w:pPr>
            <w:r w:rsidRPr="00D367E3">
              <w:rPr>
                <w:iCs/>
                <w:lang w:eastAsia="lv-LV"/>
              </w:rPr>
              <w:t>2.1.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CB77BE" w14:textId="77777777"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DBDA2FF" w14:textId="7E236765" w:rsidR="004E11B5" w:rsidRPr="00D367E3" w:rsidRDefault="00EF2A5D" w:rsidP="00AD4714">
            <w:pPr>
              <w:jc w:val="right"/>
              <w:rPr>
                <w:iCs/>
                <w:lang w:eastAsia="lv-LV"/>
              </w:rPr>
            </w:pPr>
            <w:r w:rsidRPr="00EF2A5D">
              <w:rPr>
                <w:iCs/>
                <w:lang w:eastAsia="lv-LV"/>
              </w:rPr>
              <w:t>215 086</w:t>
            </w:r>
          </w:p>
        </w:tc>
        <w:tc>
          <w:tcPr>
            <w:tcW w:w="962" w:type="dxa"/>
            <w:tcBorders>
              <w:top w:val="outset" w:sz="6" w:space="0" w:color="auto"/>
              <w:left w:val="outset" w:sz="6" w:space="0" w:color="auto"/>
              <w:bottom w:val="outset" w:sz="6" w:space="0" w:color="auto"/>
              <w:right w:val="outset" w:sz="6" w:space="0" w:color="auto"/>
            </w:tcBorders>
            <w:vAlign w:val="center"/>
          </w:tcPr>
          <w:p w14:paraId="6157853A" w14:textId="4261D92D"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33DB9D6F" w14:textId="2F42891A" w:rsidR="004E11B5" w:rsidRPr="00D367E3" w:rsidRDefault="00EF2A5D" w:rsidP="00AD4714">
            <w:pPr>
              <w:jc w:val="right"/>
              <w:rPr>
                <w:iCs/>
                <w:lang w:eastAsia="lv-LV"/>
              </w:rPr>
            </w:pPr>
            <w:r w:rsidRPr="00EF2A5D">
              <w:rPr>
                <w:iCs/>
                <w:lang w:eastAsia="lv-LV"/>
              </w:rPr>
              <w:t>186 379</w:t>
            </w:r>
          </w:p>
        </w:tc>
        <w:tc>
          <w:tcPr>
            <w:tcW w:w="962" w:type="dxa"/>
            <w:tcBorders>
              <w:top w:val="outset" w:sz="6" w:space="0" w:color="auto"/>
              <w:left w:val="outset" w:sz="6" w:space="0" w:color="auto"/>
              <w:bottom w:val="outset" w:sz="6" w:space="0" w:color="auto"/>
              <w:right w:val="outset" w:sz="6" w:space="0" w:color="auto"/>
            </w:tcBorders>
            <w:vAlign w:val="center"/>
          </w:tcPr>
          <w:p w14:paraId="3F04B640" w14:textId="307C59D2"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4EC29962" w14:textId="26926438" w:rsidR="004E11B5" w:rsidRPr="00D367E3" w:rsidRDefault="00A358FF" w:rsidP="00AD4714">
            <w:pPr>
              <w:jc w:val="right"/>
              <w:rPr>
                <w:iCs/>
                <w:lang w:eastAsia="lv-LV"/>
              </w:rPr>
            </w:pPr>
            <w:r>
              <w:rPr>
                <w:iCs/>
                <w:lang w:eastAsia="lv-LV"/>
              </w:rPr>
              <w:t>133 848</w:t>
            </w:r>
          </w:p>
        </w:tc>
        <w:tc>
          <w:tcPr>
            <w:tcW w:w="948" w:type="dxa"/>
            <w:tcBorders>
              <w:top w:val="outset" w:sz="6" w:space="0" w:color="auto"/>
              <w:left w:val="outset" w:sz="6" w:space="0" w:color="auto"/>
              <w:bottom w:val="outset" w:sz="6" w:space="0" w:color="auto"/>
              <w:right w:val="outset" w:sz="6" w:space="0" w:color="auto"/>
            </w:tcBorders>
            <w:vAlign w:val="center"/>
          </w:tcPr>
          <w:p w14:paraId="1A832197" w14:textId="591B6D8B" w:rsidR="004E11B5" w:rsidRPr="00D367E3" w:rsidRDefault="00A358FF" w:rsidP="00AD4714">
            <w:pPr>
              <w:jc w:val="right"/>
              <w:rPr>
                <w:iCs/>
                <w:lang w:eastAsia="lv-LV"/>
              </w:rPr>
            </w:pPr>
            <w:r>
              <w:rPr>
                <w:iCs/>
                <w:lang w:eastAsia="lv-LV"/>
              </w:rPr>
              <w:t>133 848</w:t>
            </w:r>
          </w:p>
        </w:tc>
      </w:tr>
      <w:tr w:rsidR="004E11B5" w:rsidRPr="00D367E3" w14:paraId="744A74F3"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771D4000" w14:textId="77777777" w:rsidR="004E11B5" w:rsidRPr="00D367E3" w:rsidRDefault="004E11B5" w:rsidP="00A93351">
            <w:pPr>
              <w:rPr>
                <w:iCs/>
                <w:lang w:eastAsia="lv-LV"/>
              </w:rPr>
            </w:pPr>
            <w:r w:rsidRPr="00D367E3">
              <w:rPr>
                <w:iCs/>
                <w:lang w:eastAsia="lv-LV"/>
              </w:rPr>
              <w:t>2.2.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D4453" w14:textId="4101C41D"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BA2F59A" w14:textId="3C263B1B"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E583DEC" w14:textId="3ED57820"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36062B8D" w14:textId="759EF635"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71F4ABF" w14:textId="15D1E64A"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CFB839D" w14:textId="32D09635" w:rsidR="004E11B5" w:rsidRPr="00D367E3" w:rsidRDefault="004E11B5" w:rsidP="00AD4714">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7F4C586" w14:textId="6B01A0C5" w:rsidR="004E11B5" w:rsidRPr="00D367E3" w:rsidRDefault="004E11B5" w:rsidP="00AD4714">
            <w:pPr>
              <w:jc w:val="right"/>
              <w:rPr>
                <w:iCs/>
                <w:lang w:eastAsia="lv-LV"/>
              </w:rPr>
            </w:pPr>
            <w:r w:rsidRPr="00D367E3">
              <w:rPr>
                <w:iCs/>
                <w:lang w:eastAsia="lv-LV"/>
              </w:rPr>
              <w:t>0</w:t>
            </w:r>
          </w:p>
        </w:tc>
      </w:tr>
      <w:tr w:rsidR="004E11B5" w:rsidRPr="00D367E3" w14:paraId="7F453EE9"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67759539" w14:textId="77777777" w:rsidR="004E11B5" w:rsidRPr="00D367E3" w:rsidRDefault="004E11B5" w:rsidP="00A93351">
            <w:pPr>
              <w:rPr>
                <w:iCs/>
                <w:lang w:eastAsia="lv-LV"/>
              </w:rPr>
            </w:pPr>
            <w:r w:rsidRPr="00D367E3">
              <w:rPr>
                <w:iCs/>
                <w:lang w:eastAsia="lv-LV"/>
              </w:rPr>
              <w:t>2.3.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4EA8ACB" w14:textId="77777777"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4DB547A" w14:textId="21B64391"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70C56644" w14:textId="1E6E493B"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0592587" w14:textId="4A4C6B83"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150C251" w14:textId="116CCBC4"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1B072CE" w14:textId="56832C8B" w:rsidR="004E11B5" w:rsidRPr="00D367E3" w:rsidRDefault="004E11B5" w:rsidP="00AD4714">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49313183" w14:textId="5CC1F65A" w:rsidR="004E11B5" w:rsidRPr="00D367E3" w:rsidRDefault="004E11B5" w:rsidP="00AD4714">
            <w:pPr>
              <w:jc w:val="right"/>
              <w:rPr>
                <w:iCs/>
                <w:lang w:eastAsia="lv-LV"/>
              </w:rPr>
            </w:pPr>
            <w:r w:rsidRPr="00D367E3">
              <w:rPr>
                <w:iCs/>
                <w:lang w:eastAsia="lv-LV"/>
              </w:rPr>
              <w:t>0</w:t>
            </w:r>
          </w:p>
        </w:tc>
      </w:tr>
      <w:tr w:rsidR="004E11B5" w:rsidRPr="00D367E3" w14:paraId="64333EEE"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1E8B660F" w14:textId="77777777" w:rsidR="004E11B5" w:rsidRPr="00D367E3" w:rsidRDefault="004E11B5" w:rsidP="00A93351">
            <w:pPr>
              <w:rPr>
                <w:iCs/>
                <w:lang w:eastAsia="lv-LV"/>
              </w:rPr>
            </w:pPr>
            <w:r w:rsidRPr="00D367E3">
              <w:rPr>
                <w:iCs/>
                <w:lang w:eastAsia="lv-LV"/>
              </w:rPr>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D71933" w14:textId="55E2DCD2" w:rsidR="004E11B5" w:rsidRPr="00D367E3" w:rsidRDefault="00AD4714" w:rsidP="00AD4714">
            <w:pPr>
              <w:jc w:val="right"/>
              <w:rPr>
                <w:iCs/>
                <w:lang w:eastAsia="lv-LV"/>
              </w:rPr>
            </w:pPr>
            <w:r>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AEEABDF" w14:textId="6EEB35B3" w:rsidR="004E11B5" w:rsidRPr="00D367E3" w:rsidRDefault="00AD4714" w:rsidP="00AD4714">
            <w:pPr>
              <w:jc w:val="right"/>
              <w:rPr>
                <w:iCs/>
                <w:lang w:eastAsia="lv-LV"/>
              </w:rPr>
            </w:pPr>
            <w:r>
              <w:rPr>
                <w:iCs/>
                <w:lang w:eastAsia="lv-LV"/>
              </w:rPr>
              <w:t>-32 263</w:t>
            </w:r>
          </w:p>
        </w:tc>
        <w:tc>
          <w:tcPr>
            <w:tcW w:w="962" w:type="dxa"/>
            <w:tcBorders>
              <w:top w:val="outset" w:sz="6" w:space="0" w:color="auto"/>
              <w:left w:val="outset" w:sz="6" w:space="0" w:color="auto"/>
              <w:bottom w:val="outset" w:sz="6" w:space="0" w:color="auto"/>
              <w:right w:val="outset" w:sz="6" w:space="0" w:color="auto"/>
            </w:tcBorders>
            <w:vAlign w:val="center"/>
          </w:tcPr>
          <w:p w14:paraId="42131DF7" w14:textId="07FC1B9A" w:rsidR="004E11B5"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305E9ED" w14:textId="55999C91" w:rsidR="004E11B5" w:rsidRPr="00D367E3" w:rsidRDefault="00AD4714" w:rsidP="00AD4714">
            <w:pPr>
              <w:jc w:val="right"/>
              <w:rPr>
                <w:iCs/>
                <w:lang w:eastAsia="lv-LV"/>
              </w:rPr>
            </w:pPr>
            <w:r>
              <w:rPr>
                <w:iCs/>
                <w:lang w:eastAsia="lv-LV"/>
              </w:rPr>
              <w:t>-27 957</w:t>
            </w:r>
          </w:p>
        </w:tc>
        <w:tc>
          <w:tcPr>
            <w:tcW w:w="962" w:type="dxa"/>
            <w:tcBorders>
              <w:top w:val="outset" w:sz="6" w:space="0" w:color="auto"/>
              <w:left w:val="outset" w:sz="6" w:space="0" w:color="auto"/>
              <w:bottom w:val="outset" w:sz="6" w:space="0" w:color="auto"/>
              <w:right w:val="outset" w:sz="6" w:space="0" w:color="auto"/>
            </w:tcBorders>
            <w:vAlign w:val="center"/>
          </w:tcPr>
          <w:p w14:paraId="081A256A" w14:textId="0100A955" w:rsidR="004E11B5"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C988A1B" w14:textId="7EF7C23D" w:rsidR="004E11B5" w:rsidRPr="00D367E3" w:rsidRDefault="00EF2A5D" w:rsidP="00A358FF">
            <w:pPr>
              <w:jc w:val="right"/>
              <w:rPr>
                <w:iCs/>
                <w:lang w:eastAsia="lv-LV"/>
              </w:rPr>
            </w:pPr>
            <w:r>
              <w:rPr>
                <w:iCs/>
                <w:lang w:eastAsia="lv-LV"/>
              </w:rPr>
              <w:t>-</w:t>
            </w:r>
            <w:r w:rsidR="00A358FF">
              <w:rPr>
                <w:iCs/>
                <w:lang w:eastAsia="lv-LV"/>
              </w:rPr>
              <w:t>133 848</w:t>
            </w:r>
          </w:p>
        </w:tc>
        <w:tc>
          <w:tcPr>
            <w:tcW w:w="948" w:type="dxa"/>
            <w:tcBorders>
              <w:top w:val="outset" w:sz="6" w:space="0" w:color="auto"/>
              <w:left w:val="outset" w:sz="6" w:space="0" w:color="auto"/>
              <w:bottom w:val="outset" w:sz="6" w:space="0" w:color="auto"/>
              <w:right w:val="outset" w:sz="6" w:space="0" w:color="auto"/>
            </w:tcBorders>
            <w:vAlign w:val="center"/>
          </w:tcPr>
          <w:p w14:paraId="52F6E16F" w14:textId="01E39B5F" w:rsidR="004E11B5" w:rsidRPr="00D367E3" w:rsidRDefault="00EF2A5D" w:rsidP="00A358FF">
            <w:pPr>
              <w:jc w:val="right"/>
              <w:rPr>
                <w:iCs/>
                <w:lang w:eastAsia="lv-LV"/>
              </w:rPr>
            </w:pPr>
            <w:r w:rsidRPr="00EF2A5D">
              <w:rPr>
                <w:iCs/>
                <w:lang w:eastAsia="lv-LV"/>
              </w:rPr>
              <w:t>-</w:t>
            </w:r>
            <w:r w:rsidR="00A358FF">
              <w:rPr>
                <w:iCs/>
                <w:lang w:eastAsia="lv-LV"/>
              </w:rPr>
              <w:t>133 848</w:t>
            </w:r>
          </w:p>
        </w:tc>
      </w:tr>
      <w:tr w:rsidR="004E11B5" w:rsidRPr="00D367E3" w14:paraId="44E2F1B2"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1D0227F9" w14:textId="77777777" w:rsidR="004E11B5" w:rsidRPr="00D367E3" w:rsidRDefault="004E11B5" w:rsidP="00A93351">
            <w:pPr>
              <w:rPr>
                <w:iCs/>
                <w:lang w:eastAsia="lv-LV"/>
              </w:rPr>
            </w:pPr>
            <w:r w:rsidRPr="00D367E3">
              <w:rPr>
                <w:iCs/>
                <w:lang w:eastAsia="lv-LV"/>
              </w:rPr>
              <w:t>3.1.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C44A6E" w14:textId="77777777"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3684908" w14:textId="13CC2CB5" w:rsidR="004E11B5" w:rsidRPr="00D367E3" w:rsidRDefault="00EF2A5D" w:rsidP="00AD4714">
            <w:pPr>
              <w:jc w:val="right"/>
              <w:rPr>
                <w:iCs/>
                <w:lang w:eastAsia="lv-LV"/>
              </w:rPr>
            </w:pPr>
            <w:r w:rsidRPr="00EF2A5D">
              <w:rPr>
                <w:iCs/>
                <w:lang w:eastAsia="lv-LV"/>
              </w:rPr>
              <w:t>-32 263</w:t>
            </w:r>
          </w:p>
        </w:tc>
        <w:tc>
          <w:tcPr>
            <w:tcW w:w="962" w:type="dxa"/>
            <w:tcBorders>
              <w:top w:val="outset" w:sz="6" w:space="0" w:color="auto"/>
              <w:left w:val="outset" w:sz="6" w:space="0" w:color="auto"/>
              <w:bottom w:val="outset" w:sz="6" w:space="0" w:color="auto"/>
              <w:right w:val="outset" w:sz="6" w:space="0" w:color="auto"/>
            </w:tcBorders>
            <w:vAlign w:val="center"/>
          </w:tcPr>
          <w:p w14:paraId="04DA50CF" w14:textId="6DBB9B24"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0A13B88F" w14:textId="1ADBE124" w:rsidR="004E11B5" w:rsidRPr="00D367E3" w:rsidRDefault="00EF2A5D" w:rsidP="00AD4714">
            <w:pPr>
              <w:jc w:val="right"/>
              <w:rPr>
                <w:iCs/>
                <w:lang w:eastAsia="lv-LV"/>
              </w:rPr>
            </w:pPr>
            <w:r w:rsidRPr="00EF2A5D">
              <w:rPr>
                <w:iCs/>
                <w:lang w:eastAsia="lv-LV"/>
              </w:rPr>
              <w:t>-27 957</w:t>
            </w:r>
          </w:p>
        </w:tc>
        <w:tc>
          <w:tcPr>
            <w:tcW w:w="962" w:type="dxa"/>
            <w:tcBorders>
              <w:top w:val="outset" w:sz="6" w:space="0" w:color="auto"/>
              <w:left w:val="outset" w:sz="6" w:space="0" w:color="auto"/>
              <w:bottom w:val="outset" w:sz="6" w:space="0" w:color="auto"/>
              <w:right w:val="outset" w:sz="6" w:space="0" w:color="auto"/>
            </w:tcBorders>
            <w:vAlign w:val="center"/>
          </w:tcPr>
          <w:p w14:paraId="783E6B22" w14:textId="54296074" w:rsidR="004E11B5" w:rsidRPr="00D367E3" w:rsidRDefault="00A65175" w:rsidP="00AD4714">
            <w:pPr>
              <w:jc w:val="right"/>
              <w:rPr>
                <w:iCs/>
                <w:lang w:eastAsia="lv-LV"/>
              </w:rPr>
            </w:pPr>
            <w:r>
              <w:rPr>
                <w:iCs/>
                <w:lang w:eastAsia="lv-LV"/>
              </w:rPr>
              <w:t>0</w:t>
            </w:r>
            <w:r w:rsidR="00AD4714">
              <w:rPr>
                <w:iCs/>
                <w:lang w:eastAsia="lv-LV"/>
              </w:rPr>
              <w:t xml:space="preserve"> </w:t>
            </w:r>
          </w:p>
        </w:tc>
        <w:tc>
          <w:tcPr>
            <w:tcW w:w="962" w:type="dxa"/>
            <w:tcBorders>
              <w:top w:val="outset" w:sz="6" w:space="0" w:color="auto"/>
              <w:left w:val="outset" w:sz="6" w:space="0" w:color="auto"/>
              <w:bottom w:val="outset" w:sz="6" w:space="0" w:color="auto"/>
              <w:right w:val="outset" w:sz="6" w:space="0" w:color="auto"/>
            </w:tcBorders>
            <w:vAlign w:val="center"/>
          </w:tcPr>
          <w:p w14:paraId="46CB2722" w14:textId="0058F434" w:rsidR="004E11B5" w:rsidRPr="00D367E3" w:rsidRDefault="00EF2A5D" w:rsidP="00A358FF">
            <w:pPr>
              <w:jc w:val="right"/>
              <w:rPr>
                <w:iCs/>
                <w:lang w:eastAsia="lv-LV"/>
              </w:rPr>
            </w:pPr>
            <w:r w:rsidRPr="00EF2A5D">
              <w:rPr>
                <w:iCs/>
                <w:lang w:eastAsia="lv-LV"/>
              </w:rPr>
              <w:t>-</w:t>
            </w:r>
            <w:r w:rsidR="00A358FF">
              <w:rPr>
                <w:iCs/>
                <w:lang w:eastAsia="lv-LV"/>
              </w:rPr>
              <w:t>133 848</w:t>
            </w:r>
          </w:p>
        </w:tc>
        <w:tc>
          <w:tcPr>
            <w:tcW w:w="948" w:type="dxa"/>
            <w:tcBorders>
              <w:top w:val="outset" w:sz="6" w:space="0" w:color="auto"/>
              <w:left w:val="outset" w:sz="6" w:space="0" w:color="auto"/>
              <w:bottom w:val="outset" w:sz="6" w:space="0" w:color="auto"/>
              <w:right w:val="outset" w:sz="6" w:space="0" w:color="auto"/>
            </w:tcBorders>
            <w:vAlign w:val="center"/>
          </w:tcPr>
          <w:p w14:paraId="7AA91DA3" w14:textId="6F9D255C" w:rsidR="004E11B5" w:rsidRPr="00D367E3" w:rsidRDefault="00EF2A5D" w:rsidP="00A358FF">
            <w:pPr>
              <w:jc w:val="right"/>
              <w:rPr>
                <w:iCs/>
                <w:lang w:eastAsia="lv-LV"/>
              </w:rPr>
            </w:pPr>
            <w:r w:rsidRPr="00EF2A5D">
              <w:rPr>
                <w:iCs/>
                <w:lang w:eastAsia="lv-LV"/>
              </w:rPr>
              <w:t>-</w:t>
            </w:r>
            <w:r w:rsidR="00A358FF">
              <w:rPr>
                <w:iCs/>
                <w:lang w:eastAsia="lv-LV"/>
              </w:rPr>
              <w:t>133 848</w:t>
            </w:r>
          </w:p>
        </w:tc>
      </w:tr>
      <w:tr w:rsidR="004E11B5" w:rsidRPr="00D367E3" w14:paraId="7A01DCF8"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515F20B1" w14:textId="77777777" w:rsidR="004E11B5" w:rsidRPr="00D367E3" w:rsidRDefault="004E11B5" w:rsidP="00A93351">
            <w:pPr>
              <w:rPr>
                <w:iCs/>
                <w:lang w:eastAsia="lv-LV"/>
              </w:rPr>
            </w:pPr>
            <w:r w:rsidRPr="00D367E3">
              <w:rPr>
                <w:iCs/>
                <w:lang w:eastAsia="lv-LV"/>
              </w:rPr>
              <w:t>3.2.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75F6C6" w14:textId="7BCD67DF"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D88E6EA" w14:textId="550430AE"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2289B544" w14:textId="513B96C2"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270032F6" w14:textId="465AC022"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71FE2313" w14:textId="543499E4"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A3DDB07" w14:textId="0DA0EF04" w:rsidR="004E11B5" w:rsidRPr="00D367E3" w:rsidRDefault="004E11B5" w:rsidP="00AD4714">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62087874" w14:textId="0782D940" w:rsidR="004E11B5" w:rsidRPr="00D367E3" w:rsidRDefault="004E11B5" w:rsidP="00AD4714">
            <w:pPr>
              <w:jc w:val="right"/>
              <w:rPr>
                <w:iCs/>
                <w:lang w:eastAsia="lv-LV"/>
              </w:rPr>
            </w:pPr>
            <w:r w:rsidRPr="00D367E3">
              <w:rPr>
                <w:iCs/>
                <w:lang w:eastAsia="lv-LV"/>
              </w:rPr>
              <w:t>0</w:t>
            </w:r>
          </w:p>
        </w:tc>
      </w:tr>
      <w:tr w:rsidR="004E11B5" w:rsidRPr="00D367E3" w14:paraId="25595AE5"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34870656" w14:textId="77777777" w:rsidR="004E11B5" w:rsidRPr="00D367E3" w:rsidRDefault="004E11B5" w:rsidP="00A93351">
            <w:pPr>
              <w:rPr>
                <w:iCs/>
                <w:lang w:eastAsia="lv-LV"/>
              </w:rPr>
            </w:pPr>
            <w:r w:rsidRPr="00D367E3">
              <w:rPr>
                <w:iCs/>
                <w:lang w:eastAsia="lv-LV"/>
              </w:rPr>
              <w:t>3.3.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0AEEFA" w14:textId="77777777" w:rsidR="004E11B5" w:rsidRPr="00D367E3" w:rsidRDefault="004E11B5" w:rsidP="00AD4714">
            <w:pPr>
              <w:jc w:val="right"/>
              <w:rPr>
                <w:iCs/>
                <w:lang w:eastAsia="lv-LV"/>
              </w:rPr>
            </w:pPr>
            <w:r w:rsidRPr="00D367E3">
              <w:rPr>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D7ECF94" w14:textId="210B588B"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2D5597DD" w14:textId="761372DB"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EDB858D" w14:textId="17FBAE2C"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40DB427" w14:textId="345C4E4C"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5D269AA8" w14:textId="3D9479B4" w:rsidR="004E11B5" w:rsidRPr="00D367E3" w:rsidRDefault="004E11B5" w:rsidP="00AD4714">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D07F546" w14:textId="27519E34" w:rsidR="004E11B5" w:rsidRPr="00D367E3" w:rsidRDefault="004E11B5" w:rsidP="00AD4714">
            <w:pPr>
              <w:jc w:val="right"/>
              <w:rPr>
                <w:iCs/>
                <w:lang w:eastAsia="lv-LV"/>
              </w:rPr>
            </w:pPr>
            <w:r w:rsidRPr="00D367E3">
              <w:rPr>
                <w:iCs/>
                <w:lang w:eastAsia="lv-LV"/>
              </w:rPr>
              <w:t>0</w:t>
            </w:r>
          </w:p>
        </w:tc>
      </w:tr>
      <w:tr w:rsidR="004E11B5" w:rsidRPr="00D367E3" w14:paraId="39EB5B28" w14:textId="77777777" w:rsidTr="00AD4714">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7000BC36" w14:textId="77777777" w:rsidR="004E11B5" w:rsidRPr="00D367E3" w:rsidRDefault="004E11B5" w:rsidP="00A93351">
            <w:pPr>
              <w:rPr>
                <w:iCs/>
                <w:lang w:eastAsia="lv-LV"/>
              </w:rPr>
            </w:pPr>
            <w:r w:rsidRPr="00D367E3">
              <w:rPr>
                <w:iCs/>
                <w:lang w:eastAsia="lv-LV"/>
              </w:rPr>
              <w:t>4. Finanšu līdzekļi papildu izdevumu finansēšanai (kompensējošu izdevumu samazinājumu norāda ar "+" zīmi)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414639" w14:textId="77777777" w:rsidR="004E11B5" w:rsidRPr="00D367E3" w:rsidRDefault="004E11B5" w:rsidP="00AD4714">
            <w:pPr>
              <w:jc w:val="right"/>
              <w:rPr>
                <w:iCs/>
                <w:lang w:eastAsia="lv-LV"/>
              </w:rPr>
            </w:pPr>
            <w:r w:rsidRPr="00D367E3">
              <w:rPr>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4E2FD40B" w14:textId="32D7A416"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3FD2FDD5" w14:textId="632A285A" w:rsidR="004E11B5" w:rsidRPr="00D367E3"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77C67E9B" w14:textId="47AFD6DF" w:rsidR="004E11B5" w:rsidRPr="00D367E3" w:rsidRDefault="004E11B5" w:rsidP="00AD4714">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4AC87780" w14:textId="635AFB01" w:rsidR="004E11B5" w:rsidRPr="00D367E3"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F265A5F" w14:textId="7AAF3CA5" w:rsidR="004E11B5" w:rsidRPr="00D367E3" w:rsidRDefault="00884AAD" w:rsidP="00AD4714">
            <w:pPr>
              <w:jc w:val="right"/>
              <w:rPr>
                <w:iCs/>
                <w:lang w:eastAsia="lv-LV"/>
              </w:rPr>
            </w:pPr>
            <w:r>
              <w:rPr>
                <w:iCs/>
                <w:lang w:eastAsia="lv-LV"/>
              </w:rPr>
              <w:t>75 530</w:t>
            </w:r>
          </w:p>
        </w:tc>
        <w:tc>
          <w:tcPr>
            <w:tcW w:w="948" w:type="dxa"/>
            <w:tcBorders>
              <w:top w:val="outset" w:sz="6" w:space="0" w:color="auto"/>
              <w:left w:val="outset" w:sz="6" w:space="0" w:color="auto"/>
              <w:bottom w:val="outset" w:sz="6" w:space="0" w:color="auto"/>
              <w:right w:val="outset" w:sz="6" w:space="0" w:color="auto"/>
            </w:tcBorders>
            <w:vAlign w:val="center"/>
          </w:tcPr>
          <w:p w14:paraId="2D65EABF" w14:textId="2FB688B1" w:rsidR="004E11B5" w:rsidRPr="00D367E3" w:rsidRDefault="00884AAD" w:rsidP="00AD4714">
            <w:pPr>
              <w:jc w:val="right"/>
              <w:rPr>
                <w:iCs/>
                <w:lang w:eastAsia="lv-LV"/>
              </w:rPr>
            </w:pPr>
            <w:r>
              <w:rPr>
                <w:iCs/>
                <w:lang w:eastAsia="lv-LV"/>
              </w:rPr>
              <w:t>75 530</w:t>
            </w:r>
          </w:p>
        </w:tc>
      </w:tr>
      <w:tr w:rsidR="004E11B5" w:rsidRPr="00D367E3" w14:paraId="17F4141F"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1514E919" w14:textId="77777777" w:rsidR="004E11B5" w:rsidRPr="00D367E3" w:rsidRDefault="004E11B5" w:rsidP="00A93351">
            <w:pPr>
              <w:rPr>
                <w:iCs/>
                <w:lang w:eastAsia="lv-LV"/>
              </w:rPr>
            </w:pPr>
            <w:r w:rsidRPr="00D367E3">
              <w:rPr>
                <w:iCs/>
                <w:lang w:eastAsia="lv-LV"/>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2E131414" w14:textId="77777777" w:rsidR="004E11B5" w:rsidRPr="00D367E3" w:rsidRDefault="004E11B5" w:rsidP="00AD4714">
            <w:pPr>
              <w:jc w:val="right"/>
              <w:rPr>
                <w:iCs/>
                <w:lang w:eastAsia="lv-LV"/>
              </w:rPr>
            </w:pPr>
            <w:r w:rsidRPr="00D367E3">
              <w:rPr>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2CF6026F" w14:textId="2033EEA5" w:rsidR="004E11B5" w:rsidRPr="00D367E3" w:rsidRDefault="00AD4714" w:rsidP="00AD4714">
            <w:pPr>
              <w:jc w:val="right"/>
              <w:rPr>
                <w:iCs/>
                <w:lang w:eastAsia="lv-LV"/>
              </w:rPr>
            </w:pPr>
            <w:r>
              <w:rPr>
                <w:iCs/>
                <w:lang w:eastAsia="lv-LV"/>
              </w:rPr>
              <w:t>-32 263</w:t>
            </w:r>
          </w:p>
        </w:tc>
        <w:tc>
          <w:tcPr>
            <w:tcW w:w="962" w:type="dxa"/>
            <w:tcBorders>
              <w:top w:val="outset" w:sz="6" w:space="0" w:color="auto"/>
              <w:left w:val="outset" w:sz="6" w:space="0" w:color="auto"/>
              <w:bottom w:val="outset" w:sz="6" w:space="0" w:color="auto"/>
              <w:right w:val="outset" w:sz="6" w:space="0" w:color="auto"/>
            </w:tcBorders>
          </w:tcPr>
          <w:p w14:paraId="41D5055D" w14:textId="0356EB10" w:rsidR="004E11B5" w:rsidRDefault="00AD4714" w:rsidP="00AD4714">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0270445E" w14:textId="5084F8FD" w:rsidR="004E11B5" w:rsidRPr="00D367E3" w:rsidRDefault="00AD4714" w:rsidP="00AD4714">
            <w:pPr>
              <w:jc w:val="right"/>
              <w:rPr>
                <w:iCs/>
                <w:lang w:eastAsia="lv-LV"/>
              </w:rPr>
            </w:pPr>
            <w:r>
              <w:rPr>
                <w:iCs/>
                <w:lang w:eastAsia="lv-LV"/>
              </w:rPr>
              <w:t>-27  957</w:t>
            </w:r>
          </w:p>
        </w:tc>
        <w:tc>
          <w:tcPr>
            <w:tcW w:w="962" w:type="dxa"/>
            <w:tcBorders>
              <w:top w:val="outset" w:sz="6" w:space="0" w:color="auto"/>
              <w:left w:val="outset" w:sz="6" w:space="0" w:color="auto"/>
              <w:bottom w:val="outset" w:sz="6" w:space="0" w:color="auto"/>
              <w:right w:val="outset" w:sz="6" w:space="0" w:color="auto"/>
            </w:tcBorders>
          </w:tcPr>
          <w:p w14:paraId="37A30CFA" w14:textId="58229959" w:rsidR="004E11B5" w:rsidRDefault="00AD4714" w:rsidP="00AD4714">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1FB3C3A4" w14:textId="08A6C6CB" w:rsidR="004E11B5" w:rsidRPr="00D367E3" w:rsidRDefault="00EF2A5D" w:rsidP="00AD4714">
            <w:pPr>
              <w:jc w:val="right"/>
              <w:rPr>
                <w:iCs/>
                <w:lang w:eastAsia="lv-LV"/>
              </w:rPr>
            </w:pPr>
            <w:r w:rsidRPr="00EF2A5D">
              <w:rPr>
                <w:iCs/>
                <w:lang w:eastAsia="lv-LV"/>
              </w:rPr>
              <w:t>-58 318</w:t>
            </w:r>
          </w:p>
        </w:tc>
        <w:tc>
          <w:tcPr>
            <w:tcW w:w="948" w:type="dxa"/>
            <w:tcBorders>
              <w:top w:val="outset" w:sz="6" w:space="0" w:color="auto"/>
              <w:left w:val="outset" w:sz="6" w:space="0" w:color="auto"/>
              <w:bottom w:val="outset" w:sz="6" w:space="0" w:color="auto"/>
              <w:right w:val="outset" w:sz="6" w:space="0" w:color="auto"/>
            </w:tcBorders>
            <w:vAlign w:val="center"/>
          </w:tcPr>
          <w:p w14:paraId="4E651C1B" w14:textId="01252115" w:rsidR="004E11B5" w:rsidRPr="00D367E3" w:rsidRDefault="00EF2A5D" w:rsidP="00AD4714">
            <w:pPr>
              <w:jc w:val="right"/>
              <w:rPr>
                <w:iCs/>
                <w:lang w:eastAsia="lv-LV"/>
              </w:rPr>
            </w:pPr>
            <w:r w:rsidRPr="00EF2A5D">
              <w:rPr>
                <w:iCs/>
                <w:lang w:eastAsia="lv-LV"/>
              </w:rPr>
              <w:t>-58 318</w:t>
            </w:r>
          </w:p>
        </w:tc>
      </w:tr>
      <w:tr w:rsidR="004E11B5" w:rsidRPr="00D367E3" w14:paraId="27232154"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9B4BAB6" w14:textId="77777777" w:rsidR="004E11B5" w:rsidRPr="00D367E3" w:rsidRDefault="004E11B5" w:rsidP="00A93351">
            <w:pPr>
              <w:rPr>
                <w:iCs/>
                <w:lang w:eastAsia="lv-LV"/>
              </w:rPr>
            </w:pPr>
            <w:r w:rsidRPr="00D367E3">
              <w:rPr>
                <w:iCs/>
                <w:lang w:eastAsia="lv-LV"/>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56B9C99" w14:textId="77777777" w:rsidR="004E11B5" w:rsidRPr="00D367E3" w:rsidRDefault="004E11B5" w:rsidP="00A93351">
            <w:pPr>
              <w:jc w:val="right"/>
              <w:rPr>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C639A89" w14:textId="0872D31C" w:rsidR="004E11B5" w:rsidRPr="00D367E3" w:rsidRDefault="00EF2A5D" w:rsidP="00A93351">
            <w:pPr>
              <w:jc w:val="right"/>
              <w:rPr>
                <w:iCs/>
                <w:lang w:eastAsia="lv-LV"/>
              </w:rPr>
            </w:pPr>
            <w:r w:rsidRPr="00EF2A5D">
              <w:rPr>
                <w:iCs/>
                <w:lang w:eastAsia="lv-LV"/>
              </w:rPr>
              <w:t>-32 263</w:t>
            </w:r>
          </w:p>
        </w:tc>
        <w:tc>
          <w:tcPr>
            <w:tcW w:w="962" w:type="dxa"/>
            <w:tcBorders>
              <w:top w:val="outset" w:sz="6" w:space="0" w:color="auto"/>
              <w:left w:val="outset" w:sz="6" w:space="0" w:color="auto"/>
              <w:bottom w:val="outset" w:sz="6" w:space="0" w:color="auto"/>
              <w:right w:val="outset" w:sz="6" w:space="0" w:color="auto"/>
            </w:tcBorders>
          </w:tcPr>
          <w:p w14:paraId="1DE6FAF4" w14:textId="3884845A" w:rsidR="004E11B5" w:rsidRPr="00D367E3" w:rsidRDefault="00AD4714" w:rsidP="00A93351">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414BB378" w14:textId="3819A0A8" w:rsidR="004E11B5" w:rsidRPr="00D367E3" w:rsidRDefault="00EF2A5D" w:rsidP="00A93351">
            <w:pPr>
              <w:jc w:val="right"/>
              <w:rPr>
                <w:iCs/>
                <w:lang w:eastAsia="lv-LV"/>
              </w:rPr>
            </w:pPr>
            <w:r w:rsidRPr="00EF2A5D">
              <w:rPr>
                <w:iCs/>
                <w:lang w:eastAsia="lv-LV"/>
              </w:rPr>
              <w:t>-27  957</w:t>
            </w:r>
          </w:p>
        </w:tc>
        <w:tc>
          <w:tcPr>
            <w:tcW w:w="962" w:type="dxa"/>
            <w:tcBorders>
              <w:top w:val="outset" w:sz="6" w:space="0" w:color="auto"/>
              <w:left w:val="outset" w:sz="6" w:space="0" w:color="auto"/>
              <w:bottom w:val="outset" w:sz="6" w:space="0" w:color="auto"/>
              <w:right w:val="outset" w:sz="6" w:space="0" w:color="auto"/>
            </w:tcBorders>
          </w:tcPr>
          <w:p w14:paraId="74C95C9C" w14:textId="11C8A219" w:rsidR="004E11B5" w:rsidRPr="00D367E3" w:rsidRDefault="00AD4714" w:rsidP="00A93351">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3BB974B0" w14:textId="4A3516F3" w:rsidR="004E11B5" w:rsidRPr="00D367E3" w:rsidRDefault="00EF2A5D" w:rsidP="00A93351">
            <w:pPr>
              <w:jc w:val="right"/>
              <w:rPr>
                <w:iCs/>
                <w:lang w:eastAsia="lv-LV"/>
              </w:rPr>
            </w:pPr>
            <w:r w:rsidRPr="00EF2A5D">
              <w:rPr>
                <w:iCs/>
                <w:lang w:eastAsia="lv-LV"/>
              </w:rPr>
              <w:t>-58 318</w:t>
            </w:r>
          </w:p>
        </w:tc>
        <w:tc>
          <w:tcPr>
            <w:tcW w:w="948" w:type="dxa"/>
            <w:tcBorders>
              <w:top w:val="outset" w:sz="6" w:space="0" w:color="auto"/>
              <w:left w:val="outset" w:sz="6" w:space="0" w:color="auto"/>
              <w:bottom w:val="outset" w:sz="6" w:space="0" w:color="auto"/>
              <w:right w:val="outset" w:sz="6" w:space="0" w:color="auto"/>
            </w:tcBorders>
            <w:vAlign w:val="center"/>
          </w:tcPr>
          <w:p w14:paraId="54BE6485" w14:textId="71BE3633" w:rsidR="004E11B5" w:rsidRPr="00D367E3" w:rsidRDefault="00EF2A5D" w:rsidP="00A93351">
            <w:pPr>
              <w:jc w:val="right"/>
              <w:rPr>
                <w:iCs/>
                <w:lang w:eastAsia="lv-LV"/>
              </w:rPr>
            </w:pPr>
            <w:r w:rsidRPr="00EF2A5D">
              <w:rPr>
                <w:iCs/>
                <w:lang w:eastAsia="lv-LV"/>
              </w:rPr>
              <w:t>-58 318</w:t>
            </w:r>
          </w:p>
        </w:tc>
      </w:tr>
      <w:tr w:rsidR="004E11B5" w:rsidRPr="00D367E3" w14:paraId="4A935AD9"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9C25349" w14:textId="77777777" w:rsidR="004E11B5" w:rsidRPr="00D367E3" w:rsidRDefault="004E11B5" w:rsidP="00A93351">
            <w:pPr>
              <w:rPr>
                <w:iCs/>
                <w:lang w:eastAsia="lv-LV"/>
              </w:rPr>
            </w:pPr>
            <w:r w:rsidRPr="00D367E3">
              <w:rPr>
                <w:iCs/>
                <w:lang w:eastAsia="lv-LV"/>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F01BABB" w14:textId="77777777" w:rsidR="004E11B5" w:rsidRPr="00D367E3" w:rsidRDefault="004E11B5" w:rsidP="00A93351">
            <w:pPr>
              <w:jc w:val="right"/>
              <w:rPr>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065A660" w14:textId="77777777" w:rsidR="004E11B5" w:rsidRPr="00D367E3" w:rsidRDefault="004E11B5" w:rsidP="00A93351">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tcPr>
          <w:p w14:paraId="5693252F" w14:textId="4ED64BBC" w:rsidR="004E11B5" w:rsidRPr="00D367E3" w:rsidRDefault="00AD4714" w:rsidP="00A93351">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04D4E74" w14:textId="41362E18" w:rsidR="004E11B5" w:rsidRPr="00D367E3" w:rsidRDefault="004E11B5" w:rsidP="00A93351">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tcPr>
          <w:p w14:paraId="5BE9E7B6" w14:textId="0CF1BD74" w:rsidR="004E11B5" w:rsidRPr="00D367E3" w:rsidRDefault="00AD4714" w:rsidP="00A93351">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22FA7C1" w14:textId="6BF2C7DA" w:rsidR="004E11B5" w:rsidRPr="00D367E3" w:rsidRDefault="004E11B5" w:rsidP="00A93351">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hideMark/>
          </w:tcPr>
          <w:p w14:paraId="19436C02" w14:textId="6DF9DEE1" w:rsidR="004E11B5" w:rsidRPr="00D367E3" w:rsidRDefault="004E11B5" w:rsidP="00A93351">
            <w:pPr>
              <w:jc w:val="right"/>
              <w:rPr>
                <w:iCs/>
                <w:lang w:eastAsia="lv-LV"/>
              </w:rPr>
            </w:pPr>
            <w:r w:rsidRPr="00D367E3">
              <w:rPr>
                <w:iCs/>
                <w:lang w:eastAsia="lv-LV"/>
              </w:rPr>
              <w:t>0</w:t>
            </w:r>
          </w:p>
        </w:tc>
      </w:tr>
      <w:tr w:rsidR="004E11B5" w:rsidRPr="00D367E3" w14:paraId="1F2A2862"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121113AC" w14:textId="77777777" w:rsidR="004E11B5" w:rsidRPr="00D367E3" w:rsidRDefault="004E11B5" w:rsidP="00A93351">
            <w:pPr>
              <w:rPr>
                <w:iCs/>
                <w:lang w:eastAsia="lv-LV"/>
              </w:rPr>
            </w:pPr>
            <w:r w:rsidRPr="00D367E3">
              <w:rPr>
                <w:iCs/>
                <w:lang w:eastAsia="lv-LV"/>
              </w:rPr>
              <w:t>5.3. pašvaldību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42C62FC" w14:textId="77777777" w:rsidR="004E11B5" w:rsidRPr="00D367E3" w:rsidRDefault="004E11B5" w:rsidP="00A93351">
            <w:pPr>
              <w:jc w:val="right"/>
              <w:rPr>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5DE2B8D" w14:textId="77777777" w:rsidR="004E11B5" w:rsidRPr="00D367E3" w:rsidRDefault="004E11B5" w:rsidP="00A93351">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tcPr>
          <w:p w14:paraId="1FA15B13" w14:textId="0E243960" w:rsidR="004E11B5" w:rsidRPr="00D367E3" w:rsidRDefault="00AD4714" w:rsidP="00A93351">
            <w:pPr>
              <w:jc w:val="right"/>
              <w:rPr>
                <w:iCs/>
                <w:lang w:eastAsia="lv-LV"/>
              </w:rPr>
            </w:pPr>
            <w:r>
              <w:rPr>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299C5E1" w14:textId="66066D70" w:rsidR="004E11B5" w:rsidRPr="00D367E3" w:rsidRDefault="004E11B5" w:rsidP="00A93351">
            <w:pPr>
              <w:jc w:val="right"/>
              <w:rPr>
                <w:iCs/>
                <w:lang w:eastAsia="lv-LV"/>
              </w:rPr>
            </w:pPr>
            <w:r w:rsidRPr="00D367E3">
              <w:rPr>
                <w:iCs/>
                <w:lang w:eastAsia="lv-LV"/>
              </w:rPr>
              <w:t>0</w:t>
            </w:r>
          </w:p>
        </w:tc>
        <w:tc>
          <w:tcPr>
            <w:tcW w:w="962" w:type="dxa"/>
            <w:tcBorders>
              <w:top w:val="outset" w:sz="6" w:space="0" w:color="auto"/>
              <w:left w:val="outset" w:sz="6" w:space="0" w:color="auto"/>
              <w:bottom w:val="outset" w:sz="6" w:space="0" w:color="auto"/>
              <w:right w:val="outset" w:sz="6" w:space="0" w:color="auto"/>
            </w:tcBorders>
          </w:tcPr>
          <w:p w14:paraId="21A41E43" w14:textId="30FDC057" w:rsidR="004E11B5" w:rsidRPr="00D367E3" w:rsidRDefault="00AD4714" w:rsidP="00A93351">
            <w:pPr>
              <w:jc w:val="right"/>
              <w:rPr>
                <w:iCs/>
                <w:lang w:eastAsia="lv-LV"/>
              </w:rPr>
            </w:pPr>
            <w:r>
              <w:rPr>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1A36F39" w14:textId="376B1226" w:rsidR="004E11B5" w:rsidRPr="00D367E3" w:rsidRDefault="004E11B5" w:rsidP="00A93351">
            <w:pPr>
              <w:jc w:val="right"/>
              <w:rPr>
                <w:iCs/>
                <w:lang w:eastAsia="lv-LV"/>
              </w:rPr>
            </w:pPr>
            <w:r w:rsidRPr="00D367E3">
              <w:rPr>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hideMark/>
          </w:tcPr>
          <w:p w14:paraId="35EEA484" w14:textId="5DD8FEC3" w:rsidR="004E11B5" w:rsidRPr="00D367E3" w:rsidRDefault="004E11B5" w:rsidP="00A93351">
            <w:pPr>
              <w:jc w:val="right"/>
              <w:rPr>
                <w:iCs/>
                <w:lang w:eastAsia="lv-LV"/>
              </w:rPr>
            </w:pPr>
            <w:r w:rsidRPr="00D367E3">
              <w:rPr>
                <w:iCs/>
                <w:lang w:eastAsia="lv-LV"/>
              </w:rPr>
              <w:t>0</w:t>
            </w:r>
          </w:p>
        </w:tc>
      </w:tr>
      <w:tr w:rsidR="004E11B5" w:rsidRPr="00D367E3" w14:paraId="11D84F75"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2F5BF592" w14:textId="77777777" w:rsidR="004E11B5" w:rsidRPr="00D367E3" w:rsidRDefault="004E11B5" w:rsidP="00A93351">
            <w:pPr>
              <w:rPr>
                <w:iCs/>
                <w:lang w:eastAsia="lv-LV"/>
              </w:rPr>
            </w:pPr>
            <w:r w:rsidRPr="00D367E3">
              <w:rPr>
                <w:iCs/>
                <w:lang w:eastAsia="lv-LV"/>
              </w:rPr>
              <w:lastRenderedPageBreak/>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right w:val="outset" w:sz="6" w:space="0" w:color="auto"/>
            </w:tcBorders>
          </w:tcPr>
          <w:p w14:paraId="12AC1D41" w14:textId="77777777" w:rsidR="00A358FF" w:rsidRPr="00A358FF" w:rsidRDefault="00A358FF" w:rsidP="00A358FF">
            <w:pPr>
              <w:jc w:val="both"/>
              <w:rPr>
                <w:lang w:eastAsia="en-US"/>
              </w:rPr>
            </w:pPr>
            <w:r w:rsidRPr="00A358FF">
              <w:rPr>
                <w:lang w:eastAsia="en-US"/>
              </w:rPr>
              <w:t xml:space="preserve">Projekts tiks finansēts no Eiropas reģionālās attīstības fonda (turpmāk – ERAF) līdzekļiem, un tā kopējais finansējuma apjoms ir 0,5 miljoni </w:t>
            </w:r>
            <w:proofErr w:type="spellStart"/>
            <w:r w:rsidRPr="00A358FF">
              <w:rPr>
                <w:i/>
                <w:lang w:eastAsia="en-US"/>
              </w:rPr>
              <w:t>euro</w:t>
            </w:r>
            <w:proofErr w:type="spellEnd"/>
            <w:r w:rsidRPr="00A358FF">
              <w:rPr>
                <w:lang w:eastAsia="en-US"/>
              </w:rPr>
              <w:t xml:space="preserve">, no tā ERAF finansējums sastāda 425 000 </w:t>
            </w:r>
            <w:proofErr w:type="spellStart"/>
            <w:r w:rsidRPr="00A358FF">
              <w:rPr>
                <w:i/>
                <w:lang w:eastAsia="en-US"/>
              </w:rPr>
              <w:t>euro</w:t>
            </w:r>
            <w:proofErr w:type="spellEnd"/>
            <w:r w:rsidRPr="00A358FF">
              <w:rPr>
                <w:i/>
                <w:lang w:eastAsia="en-US"/>
              </w:rPr>
              <w:t xml:space="preserve"> </w:t>
            </w:r>
            <w:r w:rsidRPr="00A358FF">
              <w:rPr>
                <w:lang w:eastAsia="en-US"/>
              </w:rPr>
              <w:t xml:space="preserve">un valsts budžeta finansējums 75 000 </w:t>
            </w:r>
            <w:proofErr w:type="spellStart"/>
            <w:r w:rsidRPr="00A358FF">
              <w:rPr>
                <w:lang w:eastAsia="en-US"/>
              </w:rPr>
              <w:t>Eur</w:t>
            </w:r>
            <w:proofErr w:type="spellEnd"/>
            <w:r w:rsidRPr="00A358FF">
              <w:rPr>
                <w:lang w:eastAsia="en-US"/>
              </w:rPr>
              <w:t>.</w:t>
            </w:r>
          </w:p>
          <w:p w14:paraId="2CB2612F" w14:textId="217AA4D9" w:rsidR="00A358FF" w:rsidRDefault="00A358FF" w:rsidP="007D4228">
            <w:pPr>
              <w:jc w:val="both"/>
              <w:rPr>
                <w:lang w:eastAsia="en-US"/>
              </w:rPr>
            </w:pPr>
          </w:p>
          <w:p w14:paraId="393F92D9" w14:textId="27F2E7C6" w:rsidR="004E11B5" w:rsidRDefault="004E11B5" w:rsidP="007D4228">
            <w:pPr>
              <w:jc w:val="both"/>
              <w:rPr>
                <w:lang w:eastAsia="en-US"/>
              </w:rPr>
            </w:pPr>
            <w:r>
              <w:rPr>
                <w:lang w:eastAsia="en-US"/>
              </w:rPr>
              <w:t xml:space="preserve">Pēc projekta termiņa beigām ir plānojamas ikgadējās IKT risinājumu uzturēšanas izmaksas, kas veidos 133 848 </w:t>
            </w:r>
            <w:proofErr w:type="spellStart"/>
            <w:r w:rsidRPr="008F5626">
              <w:rPr>
                <w:i/>
                <w:lang w:eastAsia="en-US"/>
              </w:rPr>
              <w:t>euro</w:t>
            </w:r>
            <w:proofErr w:type="spellEnd"/>
            <w:r>
              <w:rPr>
                <w:lang w:eastAsia="en-US"/>
              </w:rPr>
              <w:t xml:space="preserve">.  </w:t>
            </w:r>
          </w:p>
          <w:p w14:paraId="77FBCC44" w14:textId="79E7A2EC" w:rsidR="004E11B5" w:rsidRPr="00D367E3" w:rsidRDefault="004E11B5" w:rsidP="00A3207C">
            <w:pPr>
              <w:jc w:val="both"/>
              <w:rPr>
                <w:lang w:eastAsia="en-US"/>
              </w:rPr>
            </w:pPr>
          </w:p>
        </w:tc>
      </w:tr>
      <w:tr w:rsidR="004E11B5" w:rsidRPr="00D367E3" w14:paraId="4D1D0CEA"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326CEDA2" w14:textId="77777777" w:rsidR="004E11B5" w:rsidRPr="00D367E3" w:rsidRDefault="004E11B5" w:rsidP="00A93351">
            <w:pPr>
              <w:rPr>
                <w:iCs/>
                <w:lang w:eastAsia="lv-LV"/>
              </w:rPr>
            </w:pPr>
            <w:r w:rsidRPr="00D367E3">
              <w:rPr>
                <w:iCs/>
                <w:lang w:eastAsia="lv-LV"/>
              </w:rPr>
              <w:t>6.1. detalizēts ieņēmumu aprēķins</w:t>
            </w:r>
          </w:p>
        </w:tc>
        <w:tc>
          <w:tcPr>
            <w:tcW w:w="7468" w:type="dxa"/>
            <w:gridSpan w:val="7"/>
            <w:vMerge/>
            <w:tcBorders>
              <w:left w:val="outset" w:sz="6" w:space="0" w:color="auto"/>
              <w:right w:val="outset" w:sz="6" w:space="0" w:color="auto"/>
            </w:tcBorders>
          </w:tcPr>
          <w:p w14:paraId="17E52730" w14:textId="07EDAF2B" w:rsidR="004E11B5" w:rsidRPr="00D367E3" w:rsidRDefault="004E11B5" w:rsidP="00A93351">
            <w:pPr>
              <w:rPr>
                <w:iCs/>
                <w:lang w:eastAsia="lv-LV"/>
              </w:rPr>
            </w:pPr>
          </w:p>
        </w:tc>
      </w:tr>
      <w:tr w:rsidR="004E11B5" w:rsidRPr="00D367E3" w14:paraId="1E1ED323"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6E855ADA" w14:textId="77777777" w:rsidR="004E11B5" w:rsidRPr="00D367E3" w:rsidRDefault="004E11B5" w:rsidP="00A93351">
            <w:pPr>
              <w:rPr>
                <w:iCs/>
                <w:lang w:eastAsia="lv-LV"/>
              </w:rPr>
            </w:pPr>
            <w:r w:rsidRPr="00D367E3">
              <w:rPr>
                <w:iCs/>
                <w:lang w:eastAsia="lv-LV"/>
              </w:rPr>
              <w:t>6.2. detalizēts izdevumu aprēķins</w:t>
            </w:r>
          </w:p>
        </w:tc>
        <w:tc>
          <w:tcPr>
            <w:tcW w:w="7468" w:type="dxa"/>
            <w:gridSpan w:val="7"/>
            <w:vMerge/>
            <w:tcBorders>
              <w:left w:val="outset" w:sz="6" w:space="0" w:color="auto"/>
              <w:bottom w:val="outset" w:sz="6" w:space="0" w:color="auto"/>
              <w:right w:val="outset" w:sz="6" w:space="0" w:color="auto"/>
            </w:tcBorders>
          </w:tcPr>
          <w:p w14:paraId="0CFB41FA" w14:textId="0E823B2E" w:rsidR="004E11B5" w:rsidRPr="00D367E3" w:rsidRDefault="004E11B5" w:rsidP="00A93351">
            <w:pPr>
              <w:rPr>
                <w:iCs/>
                <w:lang w:eastAsia="lv-LV"/>
              </w:rPr>
            </w:pPr>
          </w:p>
        </w:tc>
      </w:tr>
      <w:tr w:rsidR="004E11B5" w:rsidRPr="00D367E3" w14:paraId="5538001F"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1F96ABDA" w14:textId="77777777" w:rsidR="004E11B5" w:rsidRPr="00D367E3" w:rsidRDefault="004E11B5" w:rsidP="00A93351">
            <w:pPr>
              <w:rPr>
                <w:iCs/>
                <w:lang w:eastAsia="lv-LV"/>
              </w:rPr>
            </w:pPr>
            <w:r w:rsidRPr="00D367E3">
              <w:rPr>
                <w:iCs/>
                <w:lang w:eastAsia="lv-LV"/>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tcPr>
          <w:p w14:paraId="724B7E45" w14:textId="66E54160" w:rsidR="004E11B5" w:rsidRPr="00D367E3" w:rsidRDefault="004E11B5" w:rsidP="00A93351">
            <w:pPr>
              <w:jc w:val="both"/>
              <w:rPr>
                <w:iCs/>
                <w:lang w:eastAsia="lv-LV"/>
              </w:rPr>
            </w:pPr>
            <w:r w:rsidRPr="00D367E3">
              <w:t>nav</w:t>
            </w:r>
          </w:p>
        </w:tc>
      </w:tr>
      <w:tr w:rsidR="004E11B5" w:rsidRPr="00D367E3" w14:paraId="6B91BE04" w14:textId="77777777" w:rsidTr="004E11B5">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60698432" w14:textId="77777777" w:rsidR="004E11B5" w:rsidRPr="002B68B8" w:rsidRDefault="004E11B5" w:rsidP="00A93351">
            <w:pPr>
              <w:rPr>
                <w:iCs/>
                <w:lang w:eastAsia="lv-LV"/>
              </w:rPr>
            </w:pPr>
            <w:r w:rsidRPr="002B68B8">
              <w:rPr>
                <w:iCs/>
                <w:lang w:eastAsia="lv-LV"/>
              </w:rPr>
              <w:t>8. Cita informācija</w:t>
            </w:r>
          </w:p>
        </w:tc>
        <w:tc>
          <w:tcPr>
            <w:tcW w:w="7468" w:type="dxa"/>
            <w:gridSpan w:val="7"/>
            <w:tcBorders>
              <w:top w:val="outset" w:sz="6" w:space="0" w:color="auto"/>
              <w:left w:val="outset" w:sz="6" w:space="0" w:color="auto"/>
              <w:bottom w:val="outset" w:sz="6" w:space="0" w:color="auto"/>
              <w:right w:val="outset" w:sz="6" w:space="0" w:color="auto"/>
            </w:tcBorders>
          </w:tcPr>
          <w:p w14:paraId="14284B1E" w14:textId="70585377" w:rsidR="00A358FF" w:rsidRPr="00A358FF" w:rsidRDefault="00A358FF" w:rsidP="00A358FF">
            <w:r w:rsidRPr="00A358FF">
              <w:t xml:space="preserve">Daļa no uzturēšanas izmaksām, veicot iekšēju līdzekļu pārdali un novirzot resursus, kas iesaistīti Pārvaldes publisko datubāžu uzturēšanā, 58 848 </w:t>
            </w:r>
            <w:proofErr w:type="spellStart"/>
            <w:r w:rsidRPr="00A358FF">
              <w:rPr>
                <w:i/>
              </w:rPr>
              <w:t>euro</w:t>
            </w:r>
            <w:proofErr w:type="spellEnd"/>
            <w:r w:rsidRPr="00A358FF">
              <w:t xml:space="preserve"> apmērā tiks segta no budžeta programmas 24.00.00 “Statistiskās informācijas nodrošināšana” (ar ko tiks segtas izmaksas - Pārvaldes sagatavotās statistikas publicēšana OSP, visa OSP satura rediģēšana un tulkošana, IT atbalsts). </w:t>
            </w:r>
          </w:p>
          <w:p w14:paraId="68D67831" w14:textId="77777777" w:rsidR="00A358FF" w:rsidRPr="00A358FF" w:rsidRDefault="00A358FF" w:rsidP="00A358FF">
            <w:r w:rsidRPr="00A358FF">
              <w:t xml:space="preserve">Lai veiktu Statistikas likuma 20. pantā un 26. pantā noteikto papildus funkciju organizēt visu statistikas iestāžu oficiālās statistikas, metadatu un pētniecības datu kataloga publicēšanu, kā arī segtu izdevumus, kas saistīti ar OSP IKT risinājumu uzturēšanu (licences, atjauninājumi, drošības audits, uzlabojumi) nepieciešams ikgadējais finansējums 75 000 </w:t>
            </w:r>
            <w:proofErr w:type="spellStart"/>
            <w:r w:rsidRPr="00A358FF">
              <w:rPr>
                <w:i/>
              </w:rPr>
              <w:t>euro</w:t>
            </w:r>
            <w:proofErr w:type="spellEnd"/>
            <w:r w:rsidRPr="00A358FF">
              <w:rPr>
                <w:i/>
              </w:rPr>
              <w:t xml:space="preserve"> </w:t>
            </w:r>
            <w:r w:rsidRPr="00A358FF">
              <w:t xml:space="preserve">apmērā, no kura 47 873 </w:t>
            </w:r>
            <w:proofErr w:type="spellStart"/>
            <w:r w:rsidRPr="00A358FF">
              <w:rPr>
                <w:i/>
              </w:rPr>
              <w:t>euro</w:t>
            </w:r>
            <w:proofErr w:type="spellEnd"/>
            <w:r w:rsidRPr="00A358FF">
              <w:t xml:space="preserve"> veido atlīdzības darbiniekiem un 27 127 </w:t>
            </w:r>
            <w:proofErr w:type="spellStart"/>
            <w:r w:rsidRPr="00A358FF">
              <w:rPr>
                <w:i/>
              </w:rPr>
              <w:t>euro</w:t>
            </w:r>
            <w:proofErr w:type="spellEnd"/>
            <w:r w:rsidRPr="00A358FF">
              <w:rPr>
                <w:i/>
              </w:rPr>
              <w:t xml:space="preserve"> </w:t>
            </w:r>
            <w:r w:rsidRPr="00A358FF">
              <w:t>pārējie uzturēšanas izdevumi (licences, atjauninājumi, drošības audits, uzlabojumi u.c.).</w:t>
            </w:r>
          </w:p>
          <w:p w14:paraId="06CDD5C8" w14:textId="77777777" w:rsidR="00A358FF" w:rsidRPr="00A358FF" w:rsidRDefault="00A358FF" w:rsidP="00A358FF">
            <w:r w:rsidRPr="00A358FF">
              <w:t>Funkciju realizēšanai Pārvalde novirzīs esošās štata vietas, izveidojot šādus amatus:</w:t>
            </w:r>
          </w:p>
          <w:p w14:paraId="218F154D" w14:textId="77777777" w:rsidR="00A358FF" w:rsidRPr="00A358FF" w:rsidRDefault="00A358FF" w:rsidP="00A358FF">
            <w:pPr>
              <w:numPr>
                <w:ilvl w:val="0"/>
                <w:numId w:val="10"/>
              </w:numPr>
            </w:pPr>
            <w:r w:rsidRPr="00A358FF">
              <w:t xml:space="preserve">Sistēmu analītiķis (amata saime 19.3, amata līmenis IIA, mēnešalgu grupa 11), </w:t>
            </w:r>
          </w:p>
          <w:p w14:paraId="0930F4EE" w14:textId="77777777" w:rsidR="00A358FF" w:rsidRPr="00A358FF" w:rsidRDefault="00A358FF" w:rsidP="00A358FF">
            <w:pPr>
              <w:numPr>
                <w:ilvl w:val="0"/>
                <w:numId w:val="10"/>
              </w:numPr>
            </w:pPr>
            <w:r w:rsidRPr="00A358FF">
              <w:t>Sistēmu administrators (amata saime 19.5, amata līmenis IIIA, mēnešalgu grupa 10)</w:t>
            </w:r>
          </w:p>
          <w:p w14:paraId="36310CA7" w14:textId="77777777" w:rsidR="00A358FF" w:rsidRPr="00A358FF" w:rsidRDefault="00A358FF" w:rsidP="00A358FF">
            <w:r w:rsidRPr="00A358FF">
              <w:t xml:space="preserve">Plānotais finansējums atlīdzībai sastādīs 47 873 </w:t>
            </w:r>
            <w:proofErr w:type="spellStart"/>
            <w:r w:rsidRPr="00A358FF">
              <w:rPr>
                <w:i/>
              </w:rPr>
              <w:t>euro</w:t>
            </w:r>
            <w:proofErr w:type="spellEnd"/>
            <w:r w:rsidRPr="00A358FF">
              <w:rPr>
                <w:i/>
              </w:rPr>
              <w:t xml:space="preserve">, </w:t>
            </w:r>
            <w:r w:rsidRPr="00A358FF">
              <w:t xml:space="preserve">no kuriem 16 682 </w:t>
            </w:r>
            <w:proofErr w:type="spellStart"/>
            <w:r w:rsidRPr="00A358FF">
              <w:rPr>
                <w:i/>
              </w:rPr>
              <w:t>euro</w:t>
            </w:r>
            <w:proofErr w:type="spellEnd"/>
            <w:r w:rsidRPr="00A358FF">
              <w:t xml:space="preserve"> tiks segti likvidējot esošos divus intervētāju amatus (18.6. saime II līmenis).</w:t>
            </w:r>
          </w:p>
          <w:p w14:paraId="19EA6DA4" w14:textId="12BF335E" w:rsidR="00A358FF" w:rsidRPr="002B68B8" w:rsidRDefault="00A358FF" w:rsidP="00A358FF">
            <w:r w:rsidRPr="00A358FF">
              <w:t xml:space="preserve">Papildus izmaksas IKT risinājumu un sistēmas uzturēšanai ir 58 318 </w:t>
            </w:r>
            <w:proofErr w:type="spellStart"/>
            <w:r w:rsidRPr="00A358FF">
              <w:rPr>
                <w:i/>
              </w:rPr>
              <w:t>euro</w:t>
            </w:r>
            <w:proofErr w:type="spellEnd"/>
            <w:r w:rsidRPr="00A358FF">
              <w:t>, kuras būs nepieciešamas pēc projekta pabeigšanas t.i. sākot ar 2021. gada 1. ceturksni.</w:t>
            </w:r>
          </w:p>
          <w:p w14:paraId="5BB06F66" w14:textId="77777777" w:rsidR="00A358FF" w:rsidRDefault="00A358FF" w:rsidP="00A93351">
            <w:pPr>
              <w:jc w:val="both"/>
            </w:pPr>
          </w:p>
          <w:p w14:paraId="3C911A46" w14:textId="47B090D1" w:rsidR="004E11B5" w:rsidRPr="002B68B8" w:rsidRDefault="004E11B5" w:rsidP="00A93351">
            <w:pPr>
              <w:jc w:val="both"/>
            </w:pPr>
            <w:r w:rsidRPr="002B68B8">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2EF1EDB" w14:textId="77777777" w:rsidR="00A358FF" w:rsidRDefault="00A358FF" w:rsidP="00A93351">
            <w:pPr>
              <w:tabs>
                <w:tab w:val="left" w:pos="993"/>
              </w:tabs>
              <w:contextualSpacing/>
              <w:jc w:val="both"/>
            </w:pPr>
          </w:p>
          <w:p w14:paraId="25A9C034" w14:textId="6646531B" w:rsidR="004E11B5" w:rsidRPr="002B68B8" w:rsidRDefault="004E11B5" w:rsidP="00A93351">
            <w:pPr>
              <w:tabs>
                <w:tab w:val="left" w:pos="993"/>
              </w:tabs>
              <w:contextualSpacing/>
              <w:jc w:val="both"/>
            </w:pPr>
            <w:r w:rsidRPr="002B68B8">
              <w:t>Projekta rezultātu uzturēšanai papildus  nepieciešamais finansējums tiks pieprasīts  normatīvajos aktos noteiktajā kārtībā.</w:t>
            </w:r>
          </w:p>
          <w:p w14:paraId="7E3C54E5" w14:textId="731D5DB9" w:rsidR="004E11B5" w:rsidRPr="002B68B8" w:rsidRDefault="004E11B5" w:rsidP="00A93351">
            <w:pPr>
              <w:jc w:val="both"/>
              <w:rPr>
                <w:iCs/>
                <w:lang w:eastAsia="lv-LV"/>
              </w:rPr>
            </w:pPr>
          </w:p>
        </w:tc>
      </w:tr>
    </w:tbl>
    <w:p w14:paraId="51337DCA" w14:textId="735414EC" w:rsidR="00145D81" w:rsidRPr="00D367E3" w:rsidRDefault="00F15799" w:rsidP="00B559D5">
      <w:pPr>
        <w:jc w:val="both"/>
      </w:pPr>
      <w:r w:rsidRPr="00D367E3">
        <w:lastRenderedPageBreak/>
        <w:br w:type="textWrapping" w:clear="all"/>
      </w: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D367E3" w:rsidRPr="00D367E3" w14:paraId="6643D912"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F6D7C3C" w14:textId="77777777" w:rsidR="00B559D5" w:rsidRPr="00D367E3" w:rsidRDefault="00F15799" w:rsidP="00262DE5">
            <w:pPr>
              <w:pStyle w:val="tvhtml"/>
              <w:spacing w:before="0" w:after="0"/>
              <w:jc w:val="center"/>
              <w:rPr>
                <w:b/>
                <w:bCs/>
              </w:rPr>
            </w:pPr>
            <w:r w:rsidRPr="00D367E3">
              <w:rPr>
                <w:b/>
                <w:bCs/>
              </w:rPr>
              <w:t>IV. Tiesību akta projekta ietekme uz spēkā esošo tiesību normu sistēmu</w:t>
            </w:r>
          </w:p>
        </w:tc>
      </w:tr>
      <w:tr w:rsidR="00D367E3" w:rsidRPr="00D367E3" w14:paraId="09064C46"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3EB681F" w14:textId="77777777" w:rsidR="00B559D5" w:rsidRPr="00D367E3" w:rsidRDefault="00F15799" w:rsidP="00262DE5">
            <w:pPr>
              <w:pStyle w:val="tvhtml"/>
              <w:spacing w:before="0" w:after="0"/>
              <w:jc w:val="center"/>
            </w:pPr>
            <w:r w:rsidRPr="00D367E3">
              <w:t>Projekts šo jomu neskar</w:t>
            </w:r>
          </w:p>
        </w:tc>
      </w:tr>
    </w:tbl>
    <w:p w14:paraId="51A8D931" w14:textId="77777777" w:rsidR="00B559D5" w:rsidRPr="00D367E3" w:rsidRDefault="00B559D5" w:rsidP="00B559D5">
      <w:pPr>
        <w:rPr>
          <w:iCs/>
          <w:lang w:eastAsia="en-US"/>
        </w:rPr>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D367E3" w:rsidRPr="00D367E3" w14:paraId="20D88D1A"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5A11CBE" w14:textId="77777777" w:rsidR="00B559D5" w:rsidRPr="00D367E3" w:rsidRDefault="00F15799" w:rsidP="00262DE5">
            <w:pPr>
              <w:pStyle w:val="tvhtml"/>
              <w:spacing w:before="0" w:after="0"/>
              <w:jc w:val="center"/>
              <w:rPr>
                <w:b/>
                <w:bCs/>
              </w:rPr>
            </w:pPr>
            <w:r w:rsidRPr="00D367E3">
              <w:rPr>
                <w:b/>
                <w:bCs/>
              </w:rPr>
              <w:t>V. Tiesību akta projekta atbilstība Latvijas Republikas starptautiskajām saistībām</w:t>
            </w:r>
          </w:p>
        </w:tc>
      </w:tr>
      <w:tr w:rsidR="00D367E3" w:rsidRPr="00D367E3" w14:paraId="459EE89F"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EA9DD63" w14:textId="77777777" w:rsidR="00B559D5" w:rsidRPr="00D367E3" w:rsidRDefault="00F15799" w:rsidP="00262DE5">
            <w:pPr>
              <w:pStyle w:val="tvhtml"/>
              <w:spacing w:before="0" w:after="0"/>
              <w:jc w:val="center"/>
              <w:rPr>
                <w:bCs/>
              </w:rPr>
            </w:pPr>
            <w:r w:rsidRPr="00D367E3">
              <w:rPr>
                <w:bCs/>
              </w:rPr>
              <w:t>Projekts šo jomu neskar</w:t>
            </w:r>
          </w:p>
        </w:tc>
      </w:tr>
    </w:tbl>
    <w:p w14:paraId="7C4EE470" w14:textId="77777777" w:rsidR="00B559D5" w:rsidRPr="00D367E3" w:rsidRDefault="00B559D5" w:rsidP="00B559D5">
      <w:pPr>
        <w:rPr>
          <w:sz w:val="20"/>
          <w:szCs w:val="20"/>
        </w:rPr>
      </w:pP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76"/>
      </w:tblGrid>
      <w:tr w:rsidR="00D367E3" w:rsidRPr="00D367E3" w14:paraId="560F5BE6" w14:textId="77777777" w:rsidTr="002C2B13">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799EA43B" w14:textId="77777777" w:rsidR="00836FE4" w:rsidRPr="00D367E3" w:rsidRDefault="00F15799" w:rsidP="007830FC">
            <w:pPr>
              <w:rPr>
                <w:b/>
                <w:bCs/>
                <w:iCs/>
                <w:lang w:eastAsia="lv-LV"/>
              </w:rPr>
            </w:pPr>
            <w:r w:rsidRPr="00D367E3">
              <w:rPr>
                <w:b/>
                <w:bCs/>
                <w:iCs/>
                <w:lang w:eastAsia="lv-LV"/>
              </w:rPr>
              <w:t>VI. Sabiedrības līdzdalība un komunikācijas aktivitātes</w:t>
            </w:r>
          </w:p>
        </w:tc>
      </w:tr>
      <w:tr w:rsidR="002C2B13" w:rsidRPr="00D367E3" w14:paraId="3875687D" w14:textId="77777777" w:rsidTr="002C2B13">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25974D18" w14:textId="07F26B05" w:rsidR="002C2B13" w:rsidRPr="00D367E3" w:rsidRDefault="002C2B13" w:rsidP="002C2B13">
            <w:pPr>
              <w:jc w:val="center"/>
              <w:rPr>
                <w:iCs/>
                <w:lang w:eastAsia="lv-LV"/>
              </w:rPr>
            </w:pPr>
            <w:r w:rsidRPr="00D367E3">
              <w:rPr>
                <w:bCs/>
              </w:rPr>
              <w:t>Projekts šo jomu neskar</w:t>
            </w:r>
          </w:p>
        </w:tc>
      </w:tr>
    </w:tbl>
    <w:p w14:paraId="4E81827F" w14:textId="77777777" w:rsidR="00836FE4" w:rsidRPr="00D367E3" w:rsidRDefault="00836FE4" w:rsidP="00B559D5">
      <w:pPr>
        <w:rPr>
          <w:iCs/>
          <w:lang w:eastAsia="en-US"/>
        </w:rPr>
      </w:pPr>
    </w:p>
    <w:tbl>
      <w:tblPr>
        <w:tblW w:w="9642" w:type="dxa"/>
        <w:tblInd w:w="-33" w:type="dxa"/>
        <w:tblBorders>
          <w:top w:val="thickThinSmallGap" w:sz="12" w:space="0" w:color="D9D9D9" w:themeColor="background1" w:themeShade="D9"/>
          <w:left w:val="thickThinSmallGap" w:sz="12" w:space="0" w:color="D9D9D9" w:themeColor="background1" w:themeShade="D9"/>
          <w:bottom w:val="thickThinSmallGap" w:sz="12" w:space="0" w:color="D9D9D9" w:themeColor="background1" w:themeShade="D9"/>
          <w:right w:val="thickThinSmallGap" w:sz="12" w:space="0" w:color="D9D9D9" w:themeColor="background1" w:themeShade="D9"/>
          <w:insideH w:val="thickThinSmallGap" w:sz="12" w:space="0" w:color="D9D9D9" w:themeColor="background1" w:themeShade="D9"/>
          <w:insideV w:val="thickThinSmallGap" w:sz="12" w:space="0" w:color="D9D9D9" w:themeColor="background1" w:themeShade="D9"/>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8"/>
      </w:tblGrid>
      <w:tr w:rsidR="00D367E3" w:rsidRPr="00D367E3" w14:paraId="732EB0F3" w14:textId="77777777" w:rsidTr="00862572">
        <w:tc>
          <w:tcPr>
            <w:tcW w:w="9642" w:type="dxa"/>
            <w:gridSpan w:val="3"/>
          </w:tcPr>
          <w:p w14:paraId="5978324E" w14:textId="77777777" w:rsidR="00B559D5" w:rsidRPr="00D367E3" w:rsidRDefault="00F15799" w:rsidP="00262DE5">
            <w:pPr>
              <w:pStyle w:val="naisnod"/>
              <w:spacing w:before="0" w:after="0"/>
              <w:ind w:left="57" w:right="57"/>
            </w:pPr>
            <w:r w:rsidRPr="00D367E3">
              <w:t>VII. Tiesību akta projekta izpildes nodrošināšana un tās ietekme uz institūcijām</w:t>
            </w:r>
          </w:p>
        </w:tc>
      </w:tr>
      <w:tr w:rsidR="00D367E3" w:rsidRPr="00D367E3" w14:paraId="099EE1E5" w14:textId="77777777" w:rsidTr="00862572">
        <w:tblPrEx>
          <w:tblCellMar>
            <w:top w:w="28" w:type="dxa"/>
            <w:left w:w="28" w:type="dxa"/>
            <w:bottom w:w="28" w:type="dxa"/>
            <w:right w:w="28" w:type="dxa"/>
          </w:tblCellMar>
        </w:tblPrEx>
        <w:trPr>
          <w:trHeight w:val="427"/>
        </w:trPr>
        <w:tc>
          <w:tcPr>
            <w:tcW w:w="658" w:type="dxa"/>
          </w:tcPr>
          <w:p w14:paraId="61475994" w14:textId="77777777" w:rsidR="00B559D5" w:rsidRPr="00D367E3" w:rsidRDefault="00F15799" w:rsidP="00262DE5">
            <w:pPr>
              <w:pStyle w:val="naisnod"/>
              <w:spacing w:before="0" w:after="0"/>
              <w:ind w:left="57" w:right="57"/>
              <w:jc w:val="left"/>
            </w:pPr>
            <w:r w:rsidRPr="00D367E3">
              <w:rPr>
                <w:b w:val="0"/>
                <w:bCs w:val="0"/>
              </w:rPr>
              <w:t>1.</w:t>
            </w:r>
          </w:p>
        </w:tc>
        <w:tc>
          <w:tcPr>
            <w:tcW w:w="4376" w:type="dxa"/>
          </w:tcPr>
          <w:p w14:paraId="094473FC" w14:textId="77777777" w:rsidR="00B559D5" w:rsidRPr="00D367E3" w:rsidRDefault="00F15799" w:rsidP="00262DE5">
            <w:pPr>
              <w:pStyle w:val="naisf"/>
              <w:spacing w:before="0" w:after="0"/>
              <w:ind w:left="57" w:right="57" w:firstLine="0"/>
              <w:jc w:val="left"/>
            </w:pPr>
            <w:r w:rsidRPr="00D367E3">
              <w:t xml:space="preserve">Projekta izpildē iesaistītās institūcijas </w:t>
            </w:r>
          </w:p>
        </w:tc>
        <w:tc>
          <w:tcPr>
            <w:tcW w:w="4608" w:type="dxa"/>
          </w:tcPr>
          <w:p w14:paraId="22224FA2" w14:textId="77777777" w:rsidR="00B559D5" w:rsidRPr="00D367E3" w:rsidRDefault="00F15799" w:rsidP="00262DE5">
            <w:pPr>
              <w:jc w:val="both"/>
              <w:rPr>
                <w:lang w:eastAsia="lv-LV"/>
              </w:rPr>
            </w:pPr>
            <w:r w:rsidRPr="00D367E3">
              <w:rPr>
                <w:lang w:eastAsia="lv-LV"/>
              </w:rPr>
              <w:t>Pārvalde</w:t>
            </w:r>
          </w:p>
          <w:p w14:paraId="1955BF76" w14:textId="77777777" w:rsidR="00B559D5" w:rsidRPr="00D367E3" w:rsidRDefault="00B559D5" w:rsidP="00262DE5">
            <w:pPr>
              <w:pStyle w:val="VPBody"/>
              <w:spacing w:after="120" w:line="276" w:lineRule="auto"/>
              <w:jc w:val="both"/>
              <w:rPr>
                <w:sz w:val="24"/>
                <w:szCs w:val="24"/>
              </w:rPr>
            </w:pPr>
          </w:p>
        </w:tc>
      </w:tr>
      <w:tr w:rsidR="00D367E3" w:rsidRPr="00D367E3" w14:paraId="7145C8AF" w14:textId="77777777" w:rsidTr="00862572">
        <w:tblPrEx>
          <w:tblCellMar>
            <w:top w:w="28" w:type="dxa"/>
            <w:left w:w="28" w:type="dxa"/>
            <w:bottom w:w="28" w:type="dxa"/>
            <w:right w:w="28" w:type="dxa"/>
          </w:tblCellMar>
        </w:tblPrEx>
        <w:trPr>
          <w:trHeight w:val="463"/>
        </w:trPr>
        <w:tc>
          <w:tcPr>
            <w:tcW w:w="658" w:type="dxa"/>
          </w:tcPr>
          <w:p w14:paraId="2F4CC15E" w14:textId="77777777" w:rsidR="00B559D5" w:rsidRPr="00D367E3" w:rsidRDefault="00F15799" w:rsidP="00262DE5">
            <w:pPr>
              <w:pStyle w:val="naisnod"/>
              <w:spacing w:before="0" w:after="0"/>
              <w:ind w:left="57" w:right="57"/>
              <w:jc w:val="left"/>
            </w:pPr>
            <w:r w:rsidRPr="00D367E3">
              <w:rPr>
                <w:b w:val="0"/>
                <w:bCs w:val="0"/>
              </w:rPr>
              <w:t>2.</w:t>
            </w:r>
          </w:p>
        </w:tc>
        <w:tc>
          <w:tcPr>
            <w:tcW w:w="4376" w:type="dxa"/>
          </w:tcPr>
          <w:p w14:paraId="2EA30F50" w14:textId="77777777" w:rsidR="00B559D5" w:rsidRPr="00D367E3" w:rsidRDefault="00F15799" w:rsidP="00262DE5">
            <w:pPr>
              <w:pStyle w:val="naisf"/>
              <w:spacing w:before="0" w:after="0"/>
              <w:ind w:left="57" w:right="57" w:firstLine="0"/>
              <w:jc w:val="left"/>
            </w:pPr>
            <w:r w:rsidRPr="00D367E3">
              <w:t>Projekta izpildes ietekme uz pārvaldes funkcijām un institucionālo struktūru</w:t>
            </w:r>
          </w:p>
        </w:tc>
        <w:tc>
          <w:tcPr>
            <w:tcW w:w="4608" w:type="dxa"/>
          </w:tcPr>
          <w:p w14:paraId="1846DAD4" w14:textId="02F824EB" w:rsidR="00B559D5" w:rsidRPr="00D367E3" w:rsidRDefault="002C2B13" w:rsidP="00E67A56">
            <w:pPr>
              <w:pStyle w:val="naisnod"/>
              <w:spacing w:before="0" w:after="0"/>
              <w:ind w:right="57"/>
              <w:jc w:val="both"/>
              <w:rPr>
                <w:b w:val="0"/>
              </w:rPr>
            </w:pPr>
            <w:r w:rsidRPr="00D367E3">
              <w:rPr>
                <w:b w:val="0"/>
              </w:rPr>
              <w:t>Nav attiecināms</w:t>
            </w:r>
          </w:p>
        </w:tc>
      </w:tr>
      <w:tr w:rsidR="00D367E3" w:rsidRPr="00D367E3" w14:paraId="5E06A529" w14:textId="77777777" w:rsidTr="00862572">
        <w:tblPrEx>
          <w:tblCellMar>
            <w:top w:w="28" w:type="dxa"/>
            <w:left w:w="28" w:type="dxa"/>
            <w:bottom w:w="28" w:type="dxa"/>
            <w:right w:w="28" w:type="dxa"/>
          </w:tblCellMar>
        </w:tblPrEx>
        <w:trPr>
          <w:trHeight w:val="476"/>
        </w:trPr>
        <w:tc>
          <w:tcPr>
            <w:tcW w:w="658" w:type="dxa"/>
          </w:tcPr>
          <w:p w14:paraId="1D30E154" w14:textId="77777777" w:rsidR="00B559D5" w:rsidRPr="00D367E3" w:rsidRDefault="00F15799" w:rsidP="00262DE5">
            <w:pPr>
              <w:pStyle w:val="naiskr"/>
              <w:spacing w:before="0" w:after="0"/>
              <w:ind w:left="57" w:right="57"/>
            </w:pPr>
            <w:r w:rsidRPr="00D367E3">
              <w:t>3.</w:t>
            </w:r>
          </w:p>
        </w:tc>
        <w:tc>
          <w:tcPr>
            <w:tcW w:w="4376" w:type="dxa"/>
          </w:tcPr>
          <w:p w14:paraId="774121D0" w14:textId="77777777" w:rsidR="00B559D5" w:rsidRPr="00D367E3" w:rsidRDefault="00F15799" w:rsidP="00262DE5">
            <w:pPr>
              <w:pStyle w:val="naiskr"/>
              <w:spacing w:before="0" w:after="0"/>
              <w:ind w:left="57" w:right="57"/>
            </w:pPr>
            <w:r w:rsidRPr="00D367E3">
              <w:t>Cita informācija</w:t>
            </w:r>
          </w:p>
        </w:tc>
        <w:tc>
          <w:tcPr>
            <w:tcW w:w="4608" w:type="dxa"/>
          </w:tcPr>
          <w:p w14:paraId="18BB21A6" w14:textId="2C0EEA9E" w:rsidR="00B559D5" w:rsidRPr="00D367E3" w:rsidRDefault="00F15799" w:rsidP="00262DE5">
            <w:pPr>
              <w:pStyle w:val="naiskr"/>
              <w:spacing w:before="0" w:after="0"/>
              <w:ind w:left="57" w:right="57"/>
            </w:pPr>
            <w:r w:rsidRPr="00D367E3">
              <w:t>Nav</w:t>
            </w:r>
          </w:p>
        </w:tc>
      </w:tr>
    </w:tbl>
    <w:p w14:paraId="3FFAF727" w14:textId="77777777" w:rsidR="00B559D5" w:rsidRPr="00D367E3" w:rsidRDefault="00B559D5" w:rsidP="00B559D5">
      <w:pPr>
        <w:ind w:left="-426"/>
        <w:jc w:val="both"/>
        <w:rPr>
          <w:highlight w:val="yellow"/>
        </w:rPr>
      </w:pPr>
    </w:p>
    <w:p w14:paraId="035786AA" w14:textId="55223BD2" w:rsidR="006E119D" w:rsidRPr="00D367E3" w:rsidRDefault="007E64E6" w:rsidP="006E119D">
      <w:pPr>
        <w:numPr>
          <w:ilvl w:val="0"/>
          <w:numId w:val="3"/>
        </w:numPr>
        <w:suppressAutoHyphens w:val="0"/>
        <w:rPr>
          <w:bCs/>
          <w:sz w:val="28"/>
          <w:szCs w:val="28"/>
        </w:rPr>
      </w:pPr>
      <w:r w:rsidRPr="00D367E3">
        <w:rPr>
          <w:bCs/>
          <w:sz w:val="28"/>
          <w:szCs w:val="28"/>
        </w:rPr>
        <w:t>E</w:t>
      </w:r>
      <w:r w:rsidR="00F15799" w:rsidRPr="00D367E3">
        <w:rPr>
          <w:bCs/>
          <w:sz w:val="28"/>
          <w:szCs w:val="28"/>
        </w:rPr>
        <w:t>konomikas ministrs</w:t>
      </w:r>
      <w:r w:rsidR="00F15799" w:rsidRPr="00D367E3">
        <w:rPr>
          <w:bCs/>
          <w:sz w:val="28"/>
          <w:szCs w:val="28"/>
        </w:rPr>
        <w:tab/>
      </w:r>
      <w:r w:rsidR="00F15799" w:rsidRPr="00D367E3">
        <w:rPr>
          <w:bCs/>
          <w:sz w:val="28"/>
          <w:szCs w:val="28"/>
        </w:rPr>
        <w:tab/>
      </w:r>
      <w:r w:rsidR="00F15799" w:rsidRPr="00D367E3">
        <w:rPr>
          <w:bCs/>
          <w:sz w:val="28"/>
          <w:szCs w:val="28"/>
        </w:rPr>
        <w:tab/>
      </w:r>
      <w:r w:rsidR="00F15799" w:rsidRPr="00D367E3">
        <w:rPr>
          <w:bCs/>
          <w:sz w:val="28"/>
          <w:szCs w:val="28"/>
        </w:rPr>
        <w:tab/>
        <w:t xml:space="preserve">                                </w:t>
      </w:r>
      <w:r w:rsidR="00A358B6" w:rsidRPr="00D367E3">
        <w:rPr>
          <w:sz w:val="28"/>
          <w:szCs w:val="28"/>
        </w:rPr>
        <w:t>R. </w:t>
      </w:r>
      <w:proofErr w:type="spellStart"/>
      <w:r w:rsidR="00A358B6" w:rsidRPr="00D367E3">
        <w:rPr>
          <w:sz w:val="28"/>
          <w:szCs w:val="28"/>
        </w:rPr>
        <w:t>Nemiro</w:t>
      </w:r>
      <w:proofErr w:type="spellEnd"/>
    </w:p>
    <w:p w14:paraId="4FD5CE58" w14:textId="77777777" w:rsidR="00B559D5" w:rsidRPr="00D367E3" w:rsidRDefault="00B559D5" w:rsidP="00B559D5">
      <w:pPr>
        <w:rPr>
          <w:sz w:val="28"/>
          <w:szCs w:val="28"/>
        </w:rPr>
      </w:pPr>
    </w:p>
    <w:p w14:paraId="5859F4B6" w14:textId="77777777" w:rsidR="00B559D5" w:rsidRPr="00D367E3" w:rsidRDefault="00B559D5" w:rsidP="00B559D5">
      <w:pPr>
        <w:rPr>
          <w:sz w:val="28"/>
          <w:szCs w:val="28"/>
        </w:rPr>
      </w:pPr>
    </w:p>
    <w:p w14:paraId="0E0DD5CB" w14:textId="77777777" w:rsidR="00B559D5" w:rsidRPr="00D367E3" w:rsidRDefault="00F15799" w:rsidP="00B559D5">
      <w:pPr>
        <w:tabs>
          <w:tab w:val="left" w:pos="5954"/>
        </w:tabs>
        <w:jc w:val="both"/>
        <w:rPr>
          <w:sz w:val="28"/>
          <w:szCs w:val="28"/>
        </w:rPr>
      </w:pPr>
      <w:r w:rsidRPr="00D367E3">
        <w:rPr>
          <w:sz w:val="28"/>
          <w:szCs w:val="28"/>
        </w:rPr>
        <w:t>Vīza: valsts sekretārs</w:t>
      </w:r>
      <w:r w:rsidRPr="00D367E3">
        <w:rPr>
          <w:sz w:val="28"/>
          <w:szCs w:val="28"/>
        </w:rPr>
        <w:tab/>
      </w:r>
      <w:r w:rsidR="006E119D" w:rsidRPr="00D367E3">
        <w:rPr>
          <w:sz w:val="28"/>
          <w:szCs w:val="28"/>
        </w:rPr>
        <w:t xml:space="preserve">                    </w:t>
      </w:r>
      <w:r w:rsidRPr="00D367E3">
        <w:rPr>
          <w:sz w:val="28"/>
          <w:szCs w:val="28"/>
        </w:rPr>
        <w:t>Ē</w:t>
      </w:r>
      <w:r w:rsidR="006E119D" w:rsidRPr="00D367E3">
        <w:rPr>
          <w:sz w:val="28"/>
          <w:szCs w:val="28"/>
        </w:rPr>
        <w:t>.</w:t>
      </w:r>
      <w:r w:rsidRPr="00D367E3">
        <w:rPr>
          <w:sz w:val="28"/>
          <w:szCs w:val="28"/>
        </w:rPr>
        <w:t xml:space="preserve"> Eglītis</w:t>
      </w:r>
    </w:p>
    <w:p w14:paraId="472FD5C7" w14:textId="77777777" w:rsidR="002C3083" w:rsidRDefault="002C3083" w:rsidP="007A7F81">
      <w:pPr>
        <w:jc w:val="both"/>
        <w:outlineLvl w:val="0"/>
        <w:rPr>
          <w:sz w:val="20"/>
          <w:szCs w:val="20"/>
        </w:rPr>
      </w:pPr>
    </w:p>
    <w:p w14:paraId="6FB5B9D7" w14:textId="77777777" w:rsidR="002C3083" w:rsidRDefault="002C3083" w:rsidP="007A7F81">
      <w:pPr>
        <w:jc w:val="both"/>
        <w:outlineLvl w:val="0"/>
        <w:rPr>
          <w:sz w:val="20"/>
          <w:szCs w:val="20"/>
        </w:rPr>
      </w:pPr>
    </w:p>
    <w:p w14:paraId="136D4BAA" w14:textId="77777777" w:rsidR="002C3083" w:rsidRDefault="002C3083" w:rsidP="007A7F81">
      <w:pPr>
        <w:jc w:val="both"/>
        <w:outlineLvl w:val="0"/>
        <w:rPr>
          <w:sz w:val="20"/>
          <w:szCs w:val="20"/>
        </w:rPr>
      </w:pPr>
    </w:p>
    <w:p w14:paraId="6D6B07A4" w14:textId="29A754CF" w:rsidR="007A7F81" w:rsidRPr="00D367E3" w:rsidRDefault="00BB67B6" w:rsidP="007A7F81">
      <w:pPr>
        <w:jc w:val="both"/>
        <w:outlineLvl w:val="0"/>
        <w:rPr>
          <w:sz w:val="20"/>
          <w:szCs w:val="20"/>
        </w:rPr>
      </w:pPr>
      <w:bookmarkStart w:id="0" w:name="_GoBack"/>
      <w:bookmarkEnd w:id="0"/>
      <w:proofErr w:type="spellStart"/>
      <w:r w:rsidRPr="00D367E3">
        <w:rPr>
          <w:sz w:val="20"/>
          <w:szCs w:val="20"/>
        </w:rPr>
        <w:t>Začeste</w:t>
      </w:r>
      <w:proofErr w:type="spellEnd"/>
      <w:r w:rsidRPr="00D367E3">
        <w:rPr>
          <w:sz w:val="20"/>
          <w:szCs w:val="20"/>
        </w:rPr>
        <w:t>, 67366897</w:t>
      </w:r>
    </w:p>
    <w:p w14:paraId="6C85E110" w14:textId="34B8AE99" w:rsidR="00BB67B6" w:rsidRPr="00D367E3" w:rsidRDefault="002C3083" w:rsidP="007A7F81">
      <w:pPr>
        <w:jc w:val="both"/>
        <w:outlineLvl w:val="0"/>
        <w:rPr>
          <w:rStyle w:val="Hyperlink"/>
          <w:color w:val="auto"/>
        </w:rPr>
      </w:pPr>
      <w:hyperlink r:id="rId8" w:history="1">
        <w:r w:rsidR="00BB67B6" w:rsidRPr="00D367E3">
          <w:rPr>
            <w:rStyle w:val="Hyperlink"/>
            <w:color w:val="auto"/>
            <w:sz w:val="20"/>
            <w:szCs w:val="20"/>
          </w:rPr>
          <w:t>Ieva.Zaceste@csb.gov.lv</w:t>
        </w:r>
      </w:hyperlink>
      <w:r w:rsidR="00BB67B6" w:rsidRPr="00D367E3">
        <w:rPr>
          <w:sz w:val="20"/>
          <w:szCs w:val="20"/>
        </w:rPr>
        <w:t xml:space="preserve"> </w:t>
      </w:r>
    </w:p>
    <w:sectPr w:rsidR="00BB67B6" w:rsidRPr="00D367E3" w:rsidSect="002C3083">
      <w:headerReference w:type="default" r:id="rId9"/>
      <w:footerReference w:type="default" r:id="rId10"/>
      <w:footerReference w:type="first" r:id="rId11"/>
      <w:pgSz w:w="11906" w:h="16838"/>
      <w:pgMar w:top="1276" w:right="1276" w:bottom="184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1E1D" w14:textId="77777777" w:rsidR="00CE78E3" w:rsidRDefault="00CE78E3">
      <w:r>
        <w:separator/>
      </w:r>
    </w:p>
  </w:endnote>
  <w:endnote w:type="continuationSeparator" w:id="0">
    <w:p w14:paraId="3C5C238D" w14:textId="77777777" w:rsidR="00CE78E3" w:rsidRDefault="00CE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8B13" w14:textId="77777777" w:rsidR="00DA43C3" w:rsidRPr="00740092" w:rsidRDefault="00DA43C3" w:rsidP="00DA43C3">
    <w:pPr>
      <w:pStyle w:val="Footer"/>
      <w:jc w:val="both"/>
      <w:rPr>
        <w:noProof/>
      </w:rPr>
    </w:pPr>
    <w:r>
      <w:rPr>
        <w:noProof/>
      </w:rPr>
      <w:fldChar w:fldCharType="begin"/>
    </w:r>
    <w:r>
      <w:rPr>
        <w:noProof/>
      </w:rPr>
      <w:instrText xml:space="preserve"> FILENAME  \* MERGEFORMAT </w:instrText>
    </w:r>
    <w:r>
      <w:rPr>
        <w:noProof/>
      </w:rPr>
      <w:fldChar w:fldCharType="separate"/>
    </w:r>
    <w:r>
      <w:rPr>
        <w:noProof/>
      </w:rPr>
      <w:t>EMAnot_300519_Portals</w:t>
    </w:r>
    <w:r>
      <w:rPr>
        <w:noProof/>
      </w:rPr>
      <w:fldChar w:fldCharType="end"/>
    </w:r>
  </w:p>
  <w:p w14:paraId="73C73829" w14:textId="36DF0E73" w:rsidR="006E119D" w:rsidRPr="00740092" w:rsidRDefault="006E119D" w:rsidP="006E119D">
    <w:pPr>
      <w:pStyle w:val="Footer"/>
      <w:jc w:val="both"/>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0916" w14:textId="7B7BDD28" w:rsidR="001E5604" w:rsidRPr="00740092" w:rsidRDefault="00DA43C3" w:rsidP="001E5604">
    <w:pPr>
      <w:pStyle w:val="Footer"/>
      <w:jc w:val="both"/>
      <w:rPr>
        <w:noProof/>
      </w:rPr>
    </w:pPr>
    <w:r>
      <w:rPr>
        <w:noProof/>
      </w:rPr>
      <w:fldChar w:fldCharType="begin"/>
    </w:r>
    <w:r>
      <w:rPr>
        <w:noProof/>
      </w:rPr>
      <w:instrText xml:space="preserve"> FILENAME  \* MERGEFORMAT </w:instrText>
    </w:r>
    <w:r>
      <w:rPr>
        <w:noProof/>
      </w:rPr>
      <w:fldChar w:fldCharType="separate"/>
    </w:r>
    <w:r>
      <w:rPr>
        <w:noProof/>
      </w:rPr>
      <w:t>EMAnot_300519_Portals</w:t>
    </w:r>
    <w:r>
      <w:rPr>
        <w:noProof/>
      </w:rPr>
      <w:fldChar w:fldCharType="end"/>
    </w:r>
    <w:r w:rsidRPr="00740092">
      <w:rPr>
        <w:noProof/>
      </w:rPr>
      <w:t xml:space="preserve"> </w:t>
    </w:r>
  </w:p>
  <w:p w14:paraId="5B58E74D" w14:textId="373BC1C2" w:rsidR="002C486E" w:rsidRPr="00740092" w:rsidRDefault="002C486E" w:rsidP="002C486E">
    <w:pPr>
      <w:pStyle w:val="Footer"/>
      <w:jc w:val="both"/>
      <w:rPr>
        <w:noProof/>
      </w:rPr>
    </w:pPr>
  </w:p>
  <w:p w14:paraId="0A93ED49" w14:textId="309E83ED" w:rsidR="006E119D" w:rsidRPr="00946404" w:rsidRDefault="006E119D" w:rsidP="0094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5D02" w14:textId="77777777" w:rsidR="00CE78E3" w:rsidRDefault="00CE78E3">
      <w:r>
        <w:separator/>
      </w:r>
    </w:p>
  </w:footnote>
  <w:footnote w:type="continuationSeparator" w:id="0">
    <w:p w14:paraId="7989C2E5" w14:textId="77777777" w:rsidR="00CE78E3" w:rsidRDefault="00CE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4009" w14:textId="6D8B1433" w:rsidR="00352997" w:rsidRDefault="00F15799">
    <w:pPr>
      <w:pStyle w:val="Header"/>
      <w:jc w:val="center"/>
    </w:pPr>
    <w:r>
      <w:fldChar w:fldCharType="begin"/>
    </w:r>
    <w:r>
      <w:instrText xml:space="preserve"> PAGE </w:instrText>
    </w:r>
    <w:r>
      <w:fldChar w:fldCharType="separate"/>
    </w:r>
    <w:r w:rsidR="001B2914">
      <w:rPr>
        <w:noProof/>
      </w:rPr>
      <w:t>6</w:t>
    </w:r>
    <w:r>
      <w:rPr>
        <w:noProof/>
      </w:rPr>
      <w:fldChar w:fldCharType="end"/>
    </w:r>
  </w:p>
  <w:p w14:paraId="2AAD63D3" w14:textId="77777777" w:rsidR="00352997" w:rsidRDefault="0035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1">
    <w:nsid w:val="167657DC"/>
    <w:multiLevelType w:val="multilevel"/>
    <w:tmpl w:val="A3C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AF6D9C"/>
    <w:multiLevelType w:val="multilevel"/>
    <w:tmpl w:val="F75669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5"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1">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23364"/>
    <w:rsid w:val="00023D5A"/>
    <w:rsid w:val="000975EE"/>
    <w:rsid w:val="000F52CB"/>
    <w:rsid w:val="00102821"/>
    <w:rsid w:val="001114E0"/>
    <w:rsid w:val="00124878"/>
    <w:rsid w:val="0014217D"/>
    <w:rsid w:val="00145B49"/>
    <w:rsid w:val="00145D81"/>
    <w:rsid w:val="001560B1"/>
    <w:rsid w:val="00160AC1"/>
    <w:rsid w:val="00171260"/>
    <w:rsid w:val="00171DE8"/>
    <w:rsid w:val="001937E3"/>
    <w:rsid w:val="001B0801"/>
    <w:rsid w:val="001B2914"/>
    <w:rsid w:val="001C29B0"/>
    <w:rsid w:val="001D603F"/>
    <w:rsid w:val="001E5604"/>
    <w:rsid w:val="001E6EFB"/>
    <w:rsid w:val="001F5004"/>
    <w:rsid w:val="00247135"/>
    <w:rsid w:val="00262DE5"/>
    <w:rsid w:val="00286673"/>
    <w:rsid w:val="00287652"/>
    <w:rsid w:val="002950E6"/>
    <w:rsid w:val="00295BEE"/>
    <w:rsid w:val="002B68B8"/>
    <w:rsid w:val="002C003A"/>
    <w:rsid w:val="002C2B13"/>
    <w:rsid w:val="002C3083"/>
    <w:rsid w:val="002C486E"/>
    <w:rsid w:val="002C7BC5"/>
    <w:rsid w:val="002E7316"/>
    <w:rsid w:val="003067C1"/>
    <w:rsid w:val="003338DA"/>
    <w:rsid w:val="00352997"/>
    <w:rsid w:val="0037721B"/>
    <w:rsid w:val="00396DAC"/>
    <w:rsid w:val="003A0953"/>
    <w:rsid w:val="003F4D13"/>
    <w:rsid w:val="00401C73"/>
    <w:rsid w:val="00407A9D"/>
    <w:rsid w:val="00424068"/>
    <w:rsid w:val="00442911"/>
    <w:rsid w:val="00446113"/>
    <w:rsid w:val="004636BE"/>
    <w:rsid w:val="004803AD"/>
    <w:rsid w:val="004940F6"/>
    <w:rsid w:val="004B33E3"/>
    <w:rsid w:val="004E11B5"/>
    <w:rsid w:val="004F048B"/>
    <w:rsid w:val="00516027"/>
    <w:rsid w:val="00516A77"/>
    <w:rsid w:val="0053636E"/>
    <w:rsid w:val="00536626"/>
    <w:rsid w:val="00537167"/>
    <w:rsid w:val="005615DB"/>
    <w:rsid w:val="0056773C"/>
    <w:rsid w:val="00595EBB"/>
    <w:rsid w:val="005A3B20"/>
    <w:rsid w:val="005B36CB"/>
    <w:rsid w:val="00636C6C"/>
    <w:rsid w:val="00640AD9"/>
    <w:rsid w:val="00646D6C"/>
    <w:rsid w:val="006519E4"/>
    <w:rsid w:val="00653D36"/>
    <w:rsid w:val="00655104"/>
    <w:rsid w:val="00665A27"/>
    <w:rsid w:val="00672FDB"/>
    <w:rsid w:val="006850EC"/>
    <w:rsid w:val="006912DA"/>
    <w:rsid w:val="006A0D6D"/>
    <w:rsid w:val="006C6BE4"/>
    <w:rsid w:val="006D10E7"/>
    <w:rsid w:val="006D2AE7"/>
    <w:rsid w:val="006D577A"/>
    <w:rsid w:val="006E119D"/>
    <w:rsid w:val="006F2877"/>
    <w:rsid w:val="0071109B"/>
    <w:rsid w:val="00720A78"/>
    <w:rsid w:val="00740092"/>
    <w:rsid w:val="00752FE4"/>
    <w:rsid w:val="007830FC"/>
    <w:rsid w:val="007A7F81"/>
    <w:rsid w:val="007D4228"/>
    <w:rsid w:val="007E64E6"/>
    <w:rsid w:val="007E7A79"/>
    <w:rsid w:val="00805BC4"/>
    <w:rsid w:val="00806AA7"/>
    <w:rsid w:val="00836FE4"/>
    <w:rsid w:val="00862572"/>
    <w:rsid w:val="008741D6"/>
    <w:rsid w:val="00884AAD"/>
    <w:rsid w:val="008850B0"/>
    <w:rsid w:val="00892B07"/>
    <w:rsid w:val="008B195C"/>
    <w:rsid w:val="008D6471"/>
    <w:rsid w:val="00911DD2"/>
    <w:rsid w:val="009430DB"/>
    <w:rsid w:val="00946404"/>
    <w:rsid w:val="0097536A"/>
    <w:rsid w:val="009806F8"/>
    <w:rsid w:val="009C4C51"/>
    <w:rsid w:val="009C5D33"/>
    <w:rsid w:val="009F5D97"/>
    <w:rsid w:val="00A22DC9"/>
    <w:rsid w:val="00A3207C"/>
    <w:rsid w:val="00A358B6"/>
    <w:rsid w:val="00A358FF"/>
    <w:rsid w:val="00A56529"/>
    <w:rsid w:val="00A65175"/>
    <w:rsid w:val="00A755CF"/>
    <w:rsid w:val="00A80220"/>
    <w:rsid w:val="00A803E7"/>
    <w:rsid w:val="00A8574D"/>
    <w:rsid w:val="00A85E1C"/>
    <w:rsid w:val="00A93351"/>
    <w:rsid w:val="00AA44A7"/>
    <w:rsid w:val="00AA7509"/>
    <w:rsid w:val="00AD3A6F"/>
    <w:rsid w:val="00AD40D2"/>
    <w:rsid w:val="00AD4714"/>
    <w:rsid w:val="00B33040"/>
    <w:rsid w:val="00B559D5"/>
    <w:rsid w:val="00B71414"/>
    <w:rsid w:val="00B72709"/>
    <w:rsid w:val="00BB174A"/>
    <w:rsid w:val="00BB67B6"/>
    <w:rsid w:val="00BD7A27"/>
    <w:rsid w:val="00C25841"/>
    <w:rsid w:val="00C60793"/>
    <w:rsid w:val="00CB268D"/>
    <w:rsid w:val="00CD2E51"/>
    <w:rsid w:val="00CE78E3"/>
    <w:rsid w:val="00D01227"/>
    <w:rsid w:val="00D367E3"/>
    <w:rsid w:val="00D54213"/>
    <w:rsid w:val="00D71163"/>
    <w:rsid w:val="00D93539"/>
    <w:rsid w:val="00DA43C3"/>
    <w:rsid w:val="00DC3734"/>
    <w:rsid w:val="00DC77CF"/>
    <w:rsid w:val="00DD0CD0"/>
    <w:rsid w:val="00E1299E"/>
    <w:rsid w:val="00E1300F"/>
    <w:rsid w:val="00E379FE"/>
    <w:rsid w:val="00E40441"/>
    <w:rsid w:val="00E46664"/>
    <w:rsid w:val="00E67A56"/>
    <w:rsid w:val="00E77BD1"/>
    <w:rsid w:val="00E81505"/>
    <w:rsid w:val="00E83FC3"/>
    <w:rsid w:val="00EA09FA"/>
    <w:rsid w:val="00EF2A5D"/>
    <w:rsid w:val="00F15799"/>
    <w:rsid w:val="00F40167"/>
    <w:rsid w:val="00F64998"/>
    <w:rsid w:val="00F82D6C"/>
    <w:rsid w:val="00F865CB"/>
    <w:rsid w:val="00F94A3C"/>
    <w:rsid w:val="00FB0398"/>
    <w:rsid w:val="00FB3D0B"/>
    <w:rsid w:val="00FD0D66"/>
    <w:rsid w:val="00FD2B8E"/>
    <w:rsid w:val="00FE3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319B"/>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semiHidden/>
    <w:unhideWhenUsed/>
    <w:qFormat/>
    <w:rsid w:val="002C2B13"/>
    <w:pPr>
      <w:keepNext/>
      <w:suppressAutoHyphens w:val="0"/>
      <w:spacing w:before="240" w:after="60"/>
      <w:outlineLvl w:val="2"/>
    </w:pPr>
    <w:rPr>
      <w:rFonts w:ascii="Calibri Light" w:hAnsi="Calibri Light" w:cs="DokChamp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nhideWhenUsed/>
    <w:rsid w:val="00F40167"/>
    <w:rPr>
      <w:sz w:val="16"/>
      <w:szCs w:val="16"/>
    </w:rPr>
  </w:style>
  <w:style w:type="paragraph" w:styleId="CommentText">
    <w:name w:val="annotation text"/>
    <w:basedOn w:val="Normal"/>
    <w:link w:val="CommentTextChar"/>
    <w:uiPriority w:val="99"/>
    <w:unhideWhenUsed/>
    <w:rsid w:val="00F40167"/>
    <w:rPr>
      <w:sz w:val="20"/>
      <w:szCs w:val="20"/>
    </w:rPr>
  </w:style>
  <w:style w:type="character" w:customStyle="1" w:styleId="CommentTextChar">
    <w:name w:val="Comment Text Char"/>
    <w:basedOn w:val="DefaultParagraphFont"/>
    <w:link w:val="CommentText"/>
    <w:uiPriority w:val="99"/>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
    <w:link w:val="ListParagraph"/>
    <w:uiPriority w:val="34"/>
    <w:locked/>
    <w:rsid w:val="005615DB"/>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semiHidden/>
    <w:rsid w:val="002C2B13"/>
    <w:rPr>
      <w:rFonts w:ascii="Calibri Light" w:eastAsia="Times New Roman" w:hAnsi="Calibri Light" w:cs="DokChampa"/>
      <w:b/>
      <w:bCs/>
      <w:sz w:val="26"/>
      <w:szCs w:val="26"/>
    </w:rPr>
  </w:style>
  <w:style w:type="character" w:customStyle="1" w:styleId="UnresolvedMention2">
    <w:name w:val="Unresolved Mention2"/>
    <w:basedOn w:val="DefaultParagraphFont"/>
    <w:uiPriority w:val="99"/>
    <w:rsid w:val="00BB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Zaceste@cs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9BDA-0D39-4D54-A359-6B6E6D4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8152</Words>
  <Characters>4648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2016. gada 13. oktobra rīkojumā Nr. 596 “Par informācijas sabiedrības attīstības pamatnostādņu ieviešanu publiskās pārvaldes informācijas sistēmu jomā (mērķarhitektūras 3.0. versija)”</vt:lpstr>
    </vt:vector>
  </TitlesOfParts>
  <Company>Centrālā statistikas pārvalde</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2016. gada 13. oktobra rīkojumā Nr. 596 “Par informācijas sabiedrības attīstības pamatnostādņu ieviešanu publiskās pārvaldes informācijas sistēmu jomā (mērķarhitektūras 3.0. versija)”</dc:title>
  <dc:subject>Anotācija</dc:subject>
  <dc:creator>Ieva Začeste</dc:creator>
  <dc:description>67366897, ieva.zaceste@csb.gov.lv</dc:description>
  <cp:lastModifiedBy>Ieva Zaceste</cp:lastModifiedBy>
  <cp:revision>6</cp:revision>
  <cp:lastPrinted>2019-05-29T07:23:00Z</cp:lastPrinted>
  <dcterms:created xsi:type="dcterms:W3CDTF">2019-05-30T07:28:00Z</dcterms:created>
  <dcterms:modified xsi:type="dcterms:W3CDTF">2019-05-30T09:03:00Z</dcterms:modified>
</cp:coreProperties>
</file>