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43CF" w14:textId="77777777" w:rsidR="00CF2798" w:rsidRPr="00532729" w:rsidRDefault="00A107E4" w:rsidP="00CF2798">
      <w:pPr>
        <w:pStyle w:val="Heading1"/>
        <w:pBdr>
          <w:bottom w:val="single" w:sz="12" w:space="1" w:color="auto"/>
        </w:pBdr>
        <w:spacing w:before="0" w:after="0"/>
        <w:jc w:val="center"/>
        <w:rPr>
          <w:rFonts w:ascii="Times New Roman" w:hAnsi="Times New Roman"/>
          <w:sz w:val="26"/>
          <w:szCs w:val="26"/>
          <w:lang w:val="lv-LV"/>
        </w:rPr>
      </w:pPr>
      <w:r w:rsidRPr="00532729">
        <w:rPr>
          <w:rFonts w:ascii="Times New Roman" w:hAnsi="Times New Roman"/>
          <w:sz w:val="26"/>
          <w:szCs w:val="26"/>
          <w:lang w:val="lv-LV"/>
        </w:rPr>
        <w:t>LATVIJAS REPUBLIKAS  MINISTRU KABINETA</w:t>
      </w:r>
    </w:p>
    <w:p w14:paraId="2CF130F2" w14:textId="77777777" w:rsidR="00CF2798" w:rsidRPr="00532729" w:rsidRDefault="00A107E4" w:rsidP="00CF2798">
      <w:pPr>
        <w:pStyle w:val="Heading1"/>
        <w:pBdr>
          <w:bottom w:val="single" w:sz="12" w:space="1" w:color="auto"/>
        </w:pBdr>
        <w:spacing w:before="0" w:after="0"/>
        <w:jc w:val="center"/>
        <w:rPr>
          <w:rFonts w:ascii="Times New Roman" w:hAnsi="Times New Roman"/>
          <w:b w:val="0"/>
          <w:sz w:val="26"/>
          <w:szCs w:val="26"/>
          <w:lang w:val="lv-LV"/>
        </w:rPr>
      </w:pPr>
      <w:r w:rsidRPr="00532729">
        <w:rPr>
          <w:rFonts w:ascii="Times New Roman" w:hAnsi="Times New Roman"/>
          <w:sz w:val="26"/>
          <w:szCs w:val="26"/>
          <w:lang w:val="lv-LV"/>
        </w:rPr>
        <w:t>SĒDES PROTOKOLLĒMUMS</w:t>
      </w:r>
    </w:p>
    <w:p w14:paraId="3BEF7819" w14:textId="77777777" w:rsidR="00CF2798" w:rsidRPr="00532729" w:rsidRDefault="00CF2798" w:rsidP="00CF2798">
      <w:pPr>
        <w:tabs>
          <w:tab w:val="left" w:pos="6804"/>
        </w:tabs>
        <w:jc w:val="both"/>
        <w:rPr>
          <w:sz w:val="26"/>
          <w:szCs w:val="26"/>
          <w:lang w:val="lv-LV"/>
        </w:rPr>
      </w:pPr>
    </w:p>
    <w:tbl>
      <w:tblPr>
        <w:tblW w:w="0" w:type="auto"/>
        <w:tblLook w:val="01E0" w:firstRow="1" w:lastRow="1" w:firstColumn="1" w:lastColumn="1" w:noHBand="0" w:noVBand="0"/>
      </w:tblPr>
      <w:tblGrid>
        <w:gridCol w:w="3095"/>
        <w:gridCol w:w="1549"/>
        <w:gridCol w:w="4643"/>
      </w:tblGrid>
      <w:tr w:rsidR="00FB2BB4" w14:paraId="25FC8EA0" w14:textId="77777777" w:rsidTr="006668A2">
        <w:tc>
          <w:tcPr>
            <w:tcW w:w="3095" w:type="dxa"/>
          </w:tcPr>
          <w:p w14:paraId="6CDF3C28" w14:textId="77777777" w:rsidR="00CF2798" w:rsidRPr="00532729" w:rsidRDefault="00A107E4" w:rsidP="006668A2">
            <w:pPr>
              <w:tabs>
                <w:tab w:val="left" w:pos="6804"/>
              </w:tabs>
              <w:jc w:val="both"/>
              <w:rPr>
                <w:sz w:val="26"/>
                <w:szCs w:val="26"/>
                <w:lang w:val="lv-LV"/>
              </w:rPr>
            </w:pPr>
            <w:r w:rsidRPr="00532729">
              <w:rPr>
                <w:sz w:val="26"/>
                <w:szCs w:val="26"/>
                <w:lang w:val="lv-LV"/>
              </w:rPr>
              <w:t>Rīgā</w:t>
            </w:r>
          </w:p>
        </w:tc>
        <w:tc>
          <w:tcPr>
            <w:tcW w:w="1549" w:type="dxa"/>
          </w:tcPr>
          <w:p w14:paraId="4B13CC02" w14:textId="77777777" w:rsidR="00CF2798" w:rsidRPr="00532729" w:rsidRDefault="00A107E4" w:rsidP="006668A2">
            <w:pPr>
              <w:tabs>
                <w:tab w:val="left" w:pos="6804"/>
              </w:tabs>
              <w:ind w:left="449"/>
              <w:jc w:val="center"/>
              <w:rPr>
                <w:sz w:val="26"/>
                <w:szCs w:val="26"/>
                <w:lang w:val="lv-LV"/>
              </w:rPr>
            </w:pPr>
            <w:r w:rsidRPr="00532729">
              <w:rPr>
                <w:sz w:val="26"/>
                <w:szCs w:val="26"/>
                <w:lang w:val="lv-LV"/>
              </w:rPr>
              <w:t>Nr.</w:t>
            </w:r>
          </w:p>
        </w:tc>
        <w:tc>
          <w:tcPr>
            <w:tcW w:w="4643" w:type="dxa"/>
          </w:tcPr>
          <w:p w14:paraId="51863DC5" w14:textId="306F9AA3" w:rsidR="00CF2798" w:rsidRPr="00532729" w:rsidRDefault="00A107E4" w:rsidP="00CF2798">
            <w:pPr>
              <w:tabs>
                <w:tab w:val="left" w:pos="6804"/>
              </w:tabs>
              <w:jc w:val="both"/>
              <w:rPr>
                <w:sz w:val="26"/>
                <w:szCs w:val="26"/>
                <w:lang w:val="lv-LV"/>
              </w:rPr>
            </w:pPr>
            <w:r w:rsidRPr="00532729">
              <w:rPr>
                <w:sz w:val="26"/>
                <w:szCs w:val="26"/>
                <w:lang w:val="lv-LV"/>
              </w:rPr>
              <w:t xml:space="preserve">                       201</w:t>
            </w:r>
            <w:r w:rsidR="008642A4">
              <w:rPr>
                <w:sz w:val="26"/>
                <w:szCs w:val="26"/>
                <w:lang w:val="lv-LV"/>
              </w:rPr>
              <w:t>9</w:t>
            </w:r>
            <w:r w:rsidRPr="00532729">
              <w:rPr>
                <w:sz w:val="26"/>
                <w:szCs w:val="26"/>
                <w:lang w:val="lv-LV"/>
              </w:rPr>
              <w:t>.gada __.________</w:t>
            </w:r>
          </w:p>
        </w:tc>
      </w:tr>
      <w:tr w:rsidR="00FB2BB4" w14:paraId="6587573B" w14:textId="77777777" w:rsidTr="006668A2">
        <w:tc>
          <w:tcPr>
            <w:tcW w:w="3095" w:type="dxa"/>
          </w:tcPr>
          <w:p w14:paraId="64F864B8" w14:textId="77777777" w:rsidR="00CF2798" w:rsidRPr="00532729" w:rsidRDefault="00CF2798" w:rsidP="006668A2">
            <w:pPr>
              <w:tabs>
                <w:tab w:val="left" w:pos="6804"/>
              </w:tabs>
              <w:jc w:val="both"/>
              <w:rPr>
                <w:sz w:val="26"/>
                <w:szCs w:val="26"/>
                <w:lang w:val="lv-LV"/>
              </w:rPr>
            </w:pPr>
          </w:p>
        </w:tc>
        <w:tc>
          <w:tcPr>
            <w:tcW w:w="1549" w:type="dxa"/>
          </w:tcPr>
          <w:p w14:paraId="283CC375" w14:textId="77777777" w:rsidR="00CF2798" w:rsidRPr="00532729" w:rsidRDefault="00CF2798" w:rsidP="006668A2">
            <w:pPr>
              <w:tabs>
                <w:tab w:val="left" w:pos="6804"/>
              </w:tabs>
              <w:jc w:val="both"/>
              <w:rPr>
                <w:sz w:val="26"/>
                <w:szCs w:val="26"/>
                <w:lang w:val="lv-LV"/>
              </w:rPr>
            </w:pPr>
          </w:p>
        </w:tc>
        <w:tc>
          <w:tcPr>
            <w:tcW w:w="4643" w:type="dxa"/>
          </w:tcPr>
          <w:p w14:paraId="3E232676" w14:textId="77777777" w:rsidR="00CF2798" w:rsidRPr="00532729" w:rsidRDefault="00CF2798" w:rsidP="006668A2">
            <w:pPr>
              <w:tabs>
                <w:tab w:val="left" w:pos="6804"/>
              </w:tabs>
              <w:jc w:val="both"/>
              <w:rPr>
                <w:sz w:val="26"/>
                <w:szCs w:val="26"/>
                <w:lang w:val="lv-LV"/>
              </w:rPr>
            </w:pPr>
          </w:p>
        </w:tc>
      </w:tr>
    </w:tbl>
    <w:p w14:paraId="142A4E86" w14:textId="77777777" w:rsidR="00CF2798" w:rsidRPr="00532729" w:rsidRDefault="00A107E4" w:rsidP="00CF2798">
      <w:pPr>
        <w:tabs>
          <w:tab w:val="left" w:pos="3544"/>
          <w:tab w:val="left" w:pos="3828"/>
        </w:tabs>
        <w:ind w:left="3828"/>
        <w:rPr>
          <w:sz w:val="26"/>
          <w:szCs w:val="26"/>
          <w:lang w:val="lv-LV"/>
        </w:rPr>
      </w:pPr>
      <w:r w:rsidRPr="00532729">
        <w:rPr>
          <w:sz w:val="26"/>
          <w:szCs w:val="26"/>
          <w:lang w:val="lv-LV"/>
        </w:rPr>
        <w:t>__ .§</w:t>
      </w:r>
    </w:p>
    <w:p w14:paraId="36132739" w14:textId="77777777" w:rsidR="00057557" w:rsidRPr="002A5B11" w:rsidRDefault="00057557" w:rsidP="00057557">
      <w:pPr>
        <w:pStyle w:val="Header"/>
        <w:jc w:val="center"/>
        <w:rPr>
          <w:b/>
          <w:sz w:val="26"/>
          <w:szCs w:val="26"/>
          <w:lang w:val="lv-LV"/>
        </w:rPr>
      </w:pPr>
    </w:p>
    <w:p w14:paraId="686F3965" w14:textId="481B1D6D" w:rsidR="00B013FF" w:rsidRPr="00643623" w:rsidRDefault="00A107E4" w:rsidP="008642A4">
      <w:pPr>
        <w:jc w:val="center"/>
        <w:rPr>
          <w:b/>
          <w:sz w:val="28"/>
          <w:szCs w:val="28"/>
          <w:lang w:val="lv-LV"/>
        </w:rPr>
      </w:pPr>
      <w:r w:rsidRPr="00643623">
        <w:rPr>
          <w:b/>
          <w:sz w:val="28"/>
          <w:szCs w:val="28"/>
          <w:lang w:val="lv-LV"/>
        </w:rPr>
        <w:t>Informatīvais ziņojums</w:t>
      </w:r>
      <w:r w:rsidR="008642A4" w:rsidRPr="00643623">
        <w:rPr>
          <w:b/>
          <w:sz w:val="28"/>
          <w:szCs w:val="28"/>
          <w:lang w:val="lv-LV"/>
        </w:rPr>
        <w:br/>
      </w:r>
      <w:r w:rsidR="00851C3F" w:rsidRPr="00643623">
        <w:rPr>
          <w:rFonts w:eastAsia="Calibri"/>
          <w:b/>
          <w:bCs/>
          <w:sz w:val="28"/>
          <w:szCs w:val="28"/>
          <w:lang w:val="lv-LV" w:eastAsia="lv-LV"/>
        </w:rPr>
        <w:t>“</w:t>
      </w:r>
      <w:r w:rsidR="00F01A2C" w:rsidRPr="00F01A2C">
        <w:rPr>
          <w:rFonts w:eastAsia="Calibri"/>
          <w:b/>
          <w:bCs/>
          <w:sz w:val="28"/>
          <w:szCs w:val="28"/>
          <w:lang w:val="lv-LV" w:eastAsia="lv-LV"/>
        </w:rPr>
        <w:t>Par risinājumiem elektroenerģijas obligātā iepirkuma komponentes atcelšanai un enerģētikas politikas īstenošanas funkcijām</w:t>
      </w:r>
      <w:r w:rsidR="00851C3F" w:rsidRPr="00643623">
        <w:rPr>
          <w:rFonts w:eastAsia="Calibri"/>
          <w:b/>
          <w:bCs/>
          <w:sz w:val="28"/>
          <w:szCs w:val="28"/>
          <w:lang w:val="lv-LV" w:eastAsia="lv-LV"/>
        </w:rPr>
        <w:t>”</w:t>
      </w:r>
    </w:p>
    <w:p w14:paraId="50703709" w14:textId="77777777" w:rsidR="008642A4" w:rsidRPr="00643623" w:rsidRDefault="008642A4" w:rsidP="008642A4">
      <w:pPr>
        <w:jc w:val="center"/>
        <w:rPr>
          <w:b/>
          <w:sz w:val="28"/>
          <w:szCs w:val="28"/>
          <w:lang w:val="lv-LV"/>
        </w:rPr>
      </w:pPr>
    </w:p>
    <w:p w14:paraId="771392A8" w14:textId="5EB1782E" w:rsidR="001F0675" w:rsidRPr="001F0675" w:rsidRDefault="001F0675" w:rsidP="001F0675">
      <w:pPr>
        <w:spacing w:before="360" w:after="200"/>
        <w:ind w:firstLine="720"/>
        <w:jc w:val="both"/>
        <w:rPr>
          <w:sz w:val="28"/>
          <w:szCs w:val="28"/>
          <w:lang w:val="lv-LV"/>
        </w:rPr>
      </w:pPr>
      <w:r w:rsidRPr="001F0675">
        <w:rPr>
          <w:sz w:val="28"/>
          <w:szCs w:val="28"/>
          <w:lang w:val="lv-LV"/>
        </w:rPr>
        <w:t>1. Atbalstīt informatīvajā ziņojumā “</w:t>
      </w:r>
      <w:r w:rsidR="00F01A2C" w:rsidRPr="00F01A2C">
        <w:rPr>
          <w:sz w:val="28"/>
          <w:szCs w:val="28"/>
          <w:lang w:val="lv-LV"/>
        </w:rPr>
        <w:t>Par risinājumiem elektroenerģijas obligātā iepirkuma komponentes atcelšanai un enerģētikas politikas īstenošanas funkcijām</w:t>
      </w:r>
      <w:r w:rsidRPr="001F0675">
        <w:rPr>
          <w:sz w:val="28"/>
          <w:szCs w:val="28"/>
          <w:lang w:val="lv-LV"/>
        </w:rPr>
        <w:t xml:space="preserve">” </w:t>
      </w:r>
      <w:r w:rsidR="00CE61D6">
        <w:rPr>
          <w:sz w:val="28"/>
          <w:szCs w:val="28"/>
          <w:lang w:val="lv-LV"/>
        </w:rPr>
        <w:t xml:space="preserve">(turpmāk – informatīvais ziņojums) </w:t>
      </w:r>
      <w:r w:rsidRPr="001F0675">
        <w:rPr>
          <w:sz w:val="28"/>
          <w:szCs w:val="28"/>
          <w:lang w:val="lv-LV"/>
        </w:rPr>
        <w:t>iekļautos risinājumus</w:t>
      </w:r>
      <w:r w:rsidR="00002FF8">
        <w:rPr>
          <w:sz w:val="28"/>
          <w:szCs w:val="28"/>
          <w:lang w:val="lv-LV"/>
        </w:rPr>
        <w:t>, tai skaitā attiecībā uz enerģētikas politikas īstenošanas funkciju nodošanu Būvniecības valsts kontroles birojam, paredzot tā īstenošanai nepieciešamos valsts budžeta līdzekļus</w:t>
      </w:r>
      <w:r w:rsidRPr="001F0675">
        <w:rPr>
          <w:sz w:val="28"/>
          <w:szCs w:val="28"/>
          <w:lang w:val="lv-LV"/>
        </w:rPr>
        <w:t>.</w:t>
      </w:r>
    </w:p>
    <w:p w14:paraId="44EE3416" w14:textId="59A60CA7" w:rsidR="001F0675" w:rsidRPr="001F0675" w:rsidRDefault="001F0675" w:rsidP="001F0675">
      <w:pPr>
        <w:spacing w:before="120" w:after="120"/>
        <w:ind w:firstLine="720"/>
        <w:jc w:val="both"/>
        <w:rPr>
          <w:sz w:val="28"/>
          <w:szCs w:val="28"/>
          <w:lang w:val="lv-LV"/>
        </w:rPr>
      </w:pPr>
      <w:r w:rsidRPr="001F0675">
        <w:rPr>
          <w:sz w:val="28"/>
          <w:szCs w:val="28"/>
          <w:lang w:val="lv-LV"/>
        </w:rPr>
        <w:t>2. Ekonomikas ministrijai</w:t>
      </w:r>
      <w:r w:rsidR="0075048C">
        <w:rPr>
          <w:sz w:val="28"/>
          <w:szCs w:val="28"/>
          <w:lang w:val="lv-LV"/>
        </w:rPr>
        <w:t xml:space="preserve"> sadarbībā ar Finanšu ministriju</w:t>
      </w:r>
      <w:r w:rsidRPr="001F0675">
        <w:rPr>
          <w:sz w:val="28"/>
          <w:szCs w:val="28"/>
          <w:lang w:val="lv-LV"/>
        </w:rPr>
        <w:t xml:space="preserve"> veikt un ekonomikas ministram līdz 2019.gada </w:t>
      </w:r>
      <w:r w:rsidR="00077A53">
        <w:rPr>
          <w:sz w:val="28"/>
          <w:szCs w:val="28"/>
          <w:lang w:val="lv-LV"/>
        </w:rPr>
        <w:t>15</w:t>
      </w:r>
      <w:r w:rsidR="00784B10">
        <w:rPr>
          <w:sz w:val="28"/>
          <w:szCs w:val="28"/>
          <w:lang w:val="lv-LV"/>
        </w:rPr>
        <w:t>.augustam</w:t>
      </w:r>
      <w:r w:rsidRPr="001F0675">
        <w:rPr>
          <w:sz w:val="28"/>
          <w:szCs w:val="28"/>
          <w:lang w:val="lv-LV"/>
        </w:rPr>
        <w:t xml:space="preserve"> iesniegt Ministru kabinetā </w:t>
      </w:r>
      <w:proofErr w:type="spellStart"/>
      <w:r w:rsidRPr="001F0675">
        <w:rPr>
          <w:sz w:val="28"/>
          <w:szCs w:val="28"/>
          <w:lang w:val="lv-LV"/>
        </w:rPr>
        <w:t>izvērtējumu</w:t>
      </w:r>
      <w:proofErr w:type="spellEnd"/>
      <w:r w:rsidRPr="001F0675">
        <w:rPr>
          <w:sz w:val="28"/>
          <w:szCs w:val="28"/>
          <w:lang w:val="lv-LV"/>
        </w:rPr>
        <w:t xml:space="preserve"> par informatīvajā ziņojumā iekļauto risinājumu ietekmi uz 2020.gada un vidēja termiņa budžetu 2020. – 2022.gadam. </w:t>
      </w:r>
    </w:p>
    <w:p w14:paraId="01510FFB" w14:textId="6F34F0B7" w:rsidR="001F0675" w:rsidRPr="001F0675" w:rsidRDefault="001F0675" w:rsidP="001F0675">
      <w:pPr>
        <w:spacing w:before="120" w:after="120"/>
        <w:ind w:firstLine="720"/>
        <w:jc w:val="both"/>
        <w:rPr>
          <w:sz w:val="28"/>
          <w:szCs w:val="28"/>
          <w:lang w:val="lv-LV"/>
        </w:rPr>
      </w:pPr>
      <w:r w:rsidRPr="001F0675">
        <w:rPr>
          <w:sz w:val="28"/>
          <w:szCs w:val="28"/>
          <w:lang w:val="lv-LV"/>
        </w:rPr>
        <w:t>3. Ekonomikas ministrijai izstrādāt un ekonomikas ministram līdz 2019.gada 1.</w:t>
      </w:r>
      <w:r w:rsidR="0075048C">
        <w:rPr>
          <w:sz w:val="28"/>
          <w:szCs w:val="28"/>
          <w:lang w:val="lv-LV"/>
        </w:rPr>
        <w:t xml:space="preserve">novembrim </w:t>
      </w:r>
      <w:r w:rsidRPr="001F0675">
        <w:rPr>
          <w:sz w:val="28"/>
          <w:szCs w:val="28"/>
          <w:lang w:val="lv-LV"/>
        </w:rPr>
        <w:t xml:space="preserve">iesniegt noteiktā kārtībā Ministru kabinetā tiesību aktu projektus par grozījumiem normatīvajos aktos attiecībā uz enerģētikas politikas īstenošanas funkciju nodošanu Būvniecības valsts kontroles birojam un valsts atbalsta sistēmu elektroenerģijas ražošanai no atjaunojamiem energoresursiem vai koģenerācijā saistībā ar šādiem jautājumiem: </w:t>
      </w:r>
    </w:p>
    <w:p w14:paraId="325D88B4" w14:textId="26B9C14F" w:rsidR="00BB7376" w:rsidRPr="00BB7376" w:rsidRDefault="00BB7376" w:rsidP="00BB7376">
      <w:pPr>
        <w:spacing w:before="120"/>
        <w:ind w:firstLine="709"/>
        <w:jc w:val="both"/>
        <w:rPr>
          <w:sz w:val="28"/>
          <w:szCs w:val="28"/>
          <w:lang w:val="lv-LV"/>
        </w:rPr>
      </w:pPr>
      <w:r w:rsidRPr="00BB7376">
        <w:rPr>
          <w:sz w:val="28"/>
          <w:szCs w:val="28"/>
          <w:lang w:val="lv-LV"/>
        </w:rPr>
        <w:t>3.1. elektroenerģijas iepirkuma cenas koeficientu vēja elektrostaciju projektiem, kas ekspluatāciju uzsākuši no 2018.gada. Ekonomikas ministrijai ar Finanšu ministrijas starpniecību līdz 2019.gada 1.</w:t>
      </w:r>
      <w:r w:rsidR="0075048C">
        <w:rPr>
          <w:sz w:val="28"/>
          <w:szCs w:val="28"/>
          <w:lang w:val="lv-LV"/>
        </w:rPr>
        <w:t>oktobrim</w:t>
      </w:r>
      <w:r w:rsidRPr="00BB7376">
        <w:rPr>
          <w:sz w:val="28"/>
          <w:szCs w:val="28"/>
          <w:lang w:val="lv-LV"/>
        </w:rPr>
        <w:t xml:space="preserve"> iesniegt informāciju Eiropas Komisijā saskaņojuma saņemšanai. Noteikt, ka attiecīgie grozījumi normatīvajos aktos stājas spēkā pēc Eiropas Komisijas saskaņojuma saņemšanas;</w:t>
      </w:r>
    </w:p>
    <w:p w14:paraId="04307127" w14:textId="0E5AA450" w:rsidR="001F0675" w:rsidRPr="001F0675" w:rsidRDefault="001F0675" w:rsidP="001F0675">
      <w:pPr>
        <w:spacing w:before="120" w:after="120"/>
        <w:ind w:firstLine="720"/>
        <w:jc w:val="both"/>
        <w:rPr>
          <w:sz w:val="28"/>
          <w:szCs w:val="28"/>
          <w:lang w:val="lv-LV"/>
        </w:rPr>
      </w:pPr>
      <w:bookmarkStart w:id="0" w:name="_GoBack"/>
      <w:bookmarkEnd w:id="0"/>
      <w:r w:rsidRPr="001F0675">
        <w:rPr>
          <w:sz w:val="28"/>
          <w:szCs w:val="28"/>
          <w:lang w:val="lv-LV"/>
        </w:rPr>
        <w:t>3.</w:t>
      </w:r>
      <w:r w:rsidR="00C95E87">
        <w:rPr>
          <w:sz w:val="28"/>
          <w:szCs w:val="28"/>
          <w:lang w:val="lv-LV"/>
        </w:rPr>
        <w:t>2</w:t>
      </w:r>
      <w:r w:rsidRPr="001F0675">
        <w:rPr>
          <w:sz w:val="28"/>
          <w:szCs w:val="28"/>
          <w:lang w:val="lv-LV"/>
        </w:rPr>
        <w:t>. papildu prasību noteikšanu biogāzes stacijām attiecībā uz atlikumproduktu, tostarp kūtsmēslu, izmantošanu;</w:t>
      </w:r>
    </w:p>
    <w:p w14:paraId="517190E3" w14:textId="2C8610A1" w:rsidR="001F0675" w:rsidRPr="001F0675" w:rsidRDefault="001F0675" w:rsidP="001F0675">
      <w:pPr>
        <w:spacing w:before="120" w:after="120"/>
        <w:ind w:firstLine="720"/>
        <w:jc w:val="both"/>
        <w:rPr>
          <w:sz w:val="28"/>
          <w:szCs w:val="28"/>
          <w:lang w:val="lv-LV"/>
        </w:rPr>
      </w:pPr>
      <w:r w:rsidRPr="001F0675">
        <w:rPr>
          <w:sz w:val="28"/>
          <w:szCs w:val="28"/>
          <w:lang w:val="lv-LV"/>
        </w:rPr>
        <w:t>3.</w:t>
      </w:r>
      <w:r w:rsidR="00C95E87">
        <w:rPr>
          <w:sz w:val="28"/>
          <w:szCs w:val="28"/>
          <w:lang w:val="lv-LV"/>
        </w:rPr>
        <w:t>3</w:t>
      </w:r>
      <w:r w:rsidRPr="001F0675">
        <w:rPr>
          <w:sz w:val="28"/>
          <w:szCs w:val="28"/>
          <w:lang w:val="lv-LV"/>
        </w:rPr>
        <w:t xml:space="preserve">. stingrāku sankciju noteikšanu par valsts atbalsta saņēmēju pārkāpumiem. </w:t>
      </w:r>
    </w:p>
    <w:p w14:paraId="2C5A67C8" w14:textId="335FCE08" w:rsidR="001F0675" w:rsidRPr="001F0675" w:rsidRDefault="0083663D" w:rsidP="001F0675">
      <w:pPr>
        <w:spacing w:before="120" w:after="120"/>
        <w:ind w:firstLine="720"/>
        <w:jc w:val="both"/>
        <w:rPr>
          <w:sz w:val="28"/>
          <w:szCs w:val="28"/>
          <w:lang w:val="lv-LV"/>
        </w:rPr>
      </w:pPr>
      <w:r>
        <w:rPr>
          <w:sz w:val="28"/>
          <w:szCs w:val="28"/>
          <w:lang w:val="lv-LV"/>
        </w:rPr>
        <w:t>4</w:t>
      </w:r>
      <w:r w:rsidR="001F0675" w:rsidRPr="001F0675">
        <w:rPr>
          <w:sz w:val="28"/>
          <w:szCs w:val="28"/>
          <w:lang w:val="lv-LV"/>
        </w:rPr>
        <w:t>. Vides aizsardzības un reģionālās attīstības ministrijai izstrādāt un vides aizsardzības un reģionālās attīstības ministram līdz 2020. gada 1. jūlijam iesniegt noteiktā kārtībā Ministru kabinetā priekšlikumus attiecībā uz dabas resursu nodokļa pārskatīšanu mazajām hidroelektrostacijām, vienlaikus izvērtējot šī pasākuma atbilstību valsts atbalsta normām.</w:t>
      </w:r>
    </w:p>
    <w:p w14:paraId="64C54AAE" w14:textId="497FBDDE" w:rsidR="00BB7376" w:rsidRDefault="0083663D" w:rsidP="00BB7376">
      <w:pPr>
        <w:spacing w:before="120"/>
        <w:ind w:firstLine="709"/>
        <w:jc w:val="both"/>
        <w:rPr>
          <w:sz w:val="28"/>
          <w:szCs w:val="28"/>
          <w:lang w:val="lv-LV"/>
        </w:rPr>
      </w:pPr>
      <w:r>
        <w:rPr>
          <w:sz w:val="28"/>
          <w:szCs w:val="28"/>
          <w:lang w:val="lv-LV"/>
        </w:rPr>
        <w:t>5</w:t>
      </w:r>
      <w:r w:rsidR="00BB7376" w:rsidRPr="00BB7376">
        <w:rPr>
          <w:sz w:val="28"/>
          <w:szCs w:val="28"/>
          <w:lang w:val="lv-LV"/>
        </w:rPr>
        <w:t>. Mēneša laikā pēc likumprojekta “Grozījumi Elektroenerģijas tirgus likumā” (</w:t>
      </w:r>
      <w:proofErr w:type="spellStart"/>
      <w:r w:rsidR="00BB7376" w:rsidRPr="00BB7376">
        <w:rPr>
          <w:sz w:val="28"/>
          <w:szCs w:val="28"/>
          <w:lang w:val="lv-LV"/>
        </w:rPr>
        <w:t>Nr</w:t>
      </w:r>
      <w:proofErr w:type="spellEnd"/>
      <w:r w:rsidR="00BB7376" w:rsidRPr="00BB7376">
        <w:rPr>
          <w:sz w:val="28"/>
          <w:szCs w:val="28"/>
          <w:lang w:val="lv-LV"/>
        </w:rPr>
        <w:t xml:space="preserve">: 77/Lp1)  spēkā stāšanās, Ekonomikas ministrijai ar Finanšu ministrijas </w:t>
      </w:r>
      <w:r w:rsidR="00BB7376" w:rsidRPr="00BB7376">
        <w:rPr>
          <w:sz w:val="28"/>
          <w:szCs w:val="28"/>
          <w:lang w:val="lv-LV"/>
        </w:rPr>
        <w:lastRenderedPageBreak/>
        <w:t>starpniecību iesniegt informāciju Eiropas Komisijā par plānotajām izmaiņām pārkompensācijas novēršanas mehānismā Eiropas Komisijas saskaņojuma saņemšanai.</w:t>
      </w:r>
    </w:p>
    <w:p w14:paraId="294DDF8C" w14:textId="5A56D603" w:rsidR="00A922A5" w:rsidRPr="00A922A5" w:rsidRDefault="0083663D" w:rsidP="00A922A5">
      <w:pPr>
        <w:spacing w:before="120"/>
        <w:ind w:firstLine="709"/>
        <w:jc w:val="both"/>
        <w:rPr>
          <w:sz w:val="28"/>
          <w:szCs w:val="28"/>
          <w:lang w:val="lv-LV"/>
        </w:rPr>
      </w:pPr>
      <w:r>
        <w:rPr>
          <w:sz w:val="28"/>
          <w:szCs w:val="28"/>
          <w:lang w:val="lv-LV"/>
        </w:rPr>
        <w:t>6</w:t>
      </w:r>
      <w:r w:rsidR="0075048C">
        <w:rPr>
          <w:sz w:val="28"/>
          <w:szCs w:val="28"/>
          <w:lang w:val="lv-LV"/>
        </w:rPr>
        <w:t xml:space="preserve">. </w:t>
      </w:r>
      <w:bookmarkStart w:id="1" w:name="_Hlk13216821"/>
      <w:r w:rsidR="00A922A5" w:rsidRPr="00A922A5">
        <w:rPr>
          <w:sz w:val="28"/>
          <w:szCs w:val="28"/>
          <w:lang w:val="lv-LV"/>
        </w:rPr>
        <w:t>S</w:t>
      </w:r>
      <w:r w:rsidR="00A922A5">
        <w:rPr>
          <w:sz w:val="28"/>
          <w:szCs w:val="28"/>
          <w:lang w:val="lv-LV"/>
        </w:rPr>
        <w:t>abiedrisko pakalpojumu regulēšanas komisijai</w:t>
      </w:r>
      <w:r w:rsidR="00A922A5" w:rsidRPr="00A922A5">
        <w:rPr>
          <w:sz w:val="28"/>
          <w:szCs w:val="28"/>
          <w:lang w:val="lv-LV"/>
        </w:rPr>
        <w:t xml:space="preserve"> </w:t>
      </w:r>
      <w:r w:rsidR="003E17BC">
        <w:rPr>
          <w:sz w:val="28"/>
          <w:szCs w:val="28"/>
          <w:lang w:val="lv-LV"/>
        </w:rPr>
        <w:t xml:space="preserve">izvērtēt iespēju </w:t>
      </w:r>
      <w:r w:rsidR="00A922A5" w:rsidRPr="00A922A5">
        <w:rPr>
          <w:sz w:val="28"/>
          <w:szCs w:val="28"/>
          <w:lang w:val="lv-LV"/>
        </w:rPr>
        <w:t xml:space="preserve">izstrādāt metodiku par </w:t>
      </w:r>
      <w:r w:rsidR="00A922A5">
        <w:rPr>
          <w:sz w:val="28"/>
          <w:szCs w:val="28"/>
          <w:lang w:val="lv-LV"/>
        </w:rPr>
        <w:t>obligātā iepirkuma komponentes</w:t>
      </w:r>
      <w:r w:rsidR="00A922A5" w:rsidRPr="00A922A5">
        <w:rPr>
          <w:sz w:val="28"/>
          <w:szCs w:val="28"/>
          <w:lang w:val="lv-LV"/>
        </w:rPr>
        <w:t xml:space="preserve"> izmaksu norādīšanu elektroenerģijas rēķinos</w:t>
      </w:r>
      <w:r w:rsidR="00A922A5">
        <w:rPr>
          <w:sz w:val="28"/>
          <w:szCs w:val="28"/>
          <w:lang w:val="lv-LV"/>
        </w:rPr>
        <w:t xml:space="preserve"> sadalījumā</w:t>
      </w:r>
      <w:r w:rsidR="00A922A5" w:rsidRPr="00A922A5">
        <w:rPr>
          <w:sz w:val="28"/>
          <w:szCs w:val="28"/>
          <w:lang w:val="lv-LV"/>
        </w:rPr>
        <w:t xml:space="preserve"> pa energoresursu </w:t>
      </w:r>
      <w:r w:rsidR="00A922A5">
        <w:rPr>
          <w:sz w:val="28"/>
          <w:szCs w:val="28"/>
          <w:lang w:val="lv-LV"/>
        </w:rPr>
        <w:t>veidiem un</w:t>
      </w:r>
      <w:r w:rsidR="00A922A5" w:rsidRPr="00A922A5">
        <w:rPr>
          <w:sz w:val="28"/>
          <w:szCs w:val="28"/>
          <w:lang w:val="lv-LV"/>
        </w:rPr>
        <w:t xml:space="preserve"> </w:t>
      </w:r>
      <w:r w:rsidR="00A922A5">
        <w:rPr>
          <w:sz w:val="28"/>
          <w:szCs w:val="28"/>
          <w:lang w:val="lv-LV"/>
        </w:rPr>
        <w:t xml:space="preserve">uzstādītajām jaudām atbilstoši Informatīvā ziņojuma I sadaļas 5.nodaļas 4.punktā norādītajam risinājumam. </w:t>
      </w:r>
      <w:bookmarkEnd w:id="1"/>
    </w:p>
    <w:p w14:paraId="46EF6B44" w14:textId="1E05CC4A" w:rsidR="00A922A5" w:rsidRDefault="0083663D" w:rsidP="00A922A5">
      <w:pPr>
        <w:spacing w:before="120"/>
        <w:ind w:firstLine="709"/>
        <w:jc w:val="both"/>
        <w:rPr>
          <w:sz w:val="28"/>
          <w:szCs w:val="28"/>
          <w:lang w:val="lv-LV"/>
        </w:rPr>
      </w:pPr>
      <w:r>
        <w:rPr>
          <w:sz w:val="28"/>
          <w:szCs w:val="28"/>
          <w:lang w:val="lv-LV"/>
        </w:rPr>
        <w:t>7</w:t>
      </w:r>
      <w:r w:rsidR="00A922A5">
        <w:rPr>
          <w:sz w:val="28"/>
          <w:szCs w:val="28"/>
          <w:lang w:val="lv-LV"/>
        </w:rPr>
        <w:t xml:space="preserve">. </w:t>
      </w:r>
      <w:bookmarkStart w:id="2" w:name="_Hlk13216840"/>
      <w:r w:rsidR="00A922A5" w:rsidRPr="00A922A5">
        <w:rPr>
          <w:sz w:val="28"/>
          <w:szCs w:val="28"/>
          <w:lang w:val="lv-LV"/>
        </w:rPr>
        <w:t>F</w:t>
      </w:r>
      <w:r w:rsidR="00A922A5">
        <w:rPr>
          <w:sz w:val="28"/>
          <w:szCs w:val="28"/>
          <w:lang w:val="lv-LV"/>
        </w:rPr>
        <w:t xml:space="preserve">inanšu ministrijai </w:t>
      </w:r>
      <w:r w:rsidR="00A922A5" w:rsidRPr="00A922A5">
        <w:rPr>
          <w:sz w:val="28"/>
          <w:szCs w:val="28"/>
          <w:lang w:val="lv-LV"/>
        </w:rPr>
        <w:t>sadarbībā ar E</w:t>
      </w:r>
      <w:r w:rsidR="00A922A5">
        <w:rPr>
          <w:sz w:val="28"/>
          <w:szCs w:val="28"/>
          <w:lang w:val="lv-LV"/>
        </w:rPr>
        <w:t>konomikas ministriju</w:t>
      </w:r>
      <w:r w:rsidR="00A922A5" w:rsidRPr="00A922A5">
        <w:rPr>
          <w:sz w:val="28"/>
          <w:szCs w:val="28"/>
          <w:lang w:val="lv-LV"/>
        </w:rPr>
        <w:t xml:space="preserve"> un V</w:t>
      </w:r>
      <w:r w:rsidR="00A922A5">
        <w:rPr>
          <w:sz w:val="28"/>
          <w:szCs w:val="28"/>
          <w:lang w:val="lv-LV"/>
        </w:rPr>
        <w:t>ides aizsardzības un reģionālās attīstības ministriju</w:t>
      </w:r>
      <w:r w:rsidR="00A922A5" w:rsidRPr="00A922A5">
        <w:rPr>
          <w:sz w:val="28"/>
          <w:szCs w:val="28"/>
          <w:lang w:val="lv-LV"/>
        </w:rPr>
        <w:t>, plānojot vidēja termiņa budžeta politiku</w:t>
      </w:r>
      <w:r w:rsidR="003E17BC">
        <w:rPr>
          <w:sz w:val="28"/>
          <w:szCs w:val="28"/>
          <w:lang w:val="lv-LV"/>
        </w:rPr>
        <w:t xml:space="preserve"> 2021. – 2023.gadam</w:t>
      </w:r>
      <w:r w:rsidR="00A922A5" w:rsidRPr="00A922A5">
        <w:rPr>
          <w:sz w:val="28"/>
          <w:szCs w:val="28"/>
          <w:lang w:val="lv-LV"/>
        </w:rPr>
        <w:t>, rast nepieciešamos līdzekļus efektīvas koģenerācijas un atjaunojamās enerģijas atbalsta izmaksu segšanai</w:t>
      </w:r>
      <w:r w:rsidR="00A922A5">
        <w:rPr>
          <w:sz w:val="28"/>
          <w:szCs w:val="28"/>
          <w:lang w:val="lv-LV"/>
        </w:rPr>
        <w:t xml:space="preserve"> atbilstoši Informatīvā ziņojuma I sadaļas 5.nodaļas 5.punktā norādītajam risinājumam. </w:t>
      </w:r>
    </w:p>
    <w:p w14:paraId="6C6A5B85" w14:textId="09D59E3C" w:rsidR="00FA04AB" w:rsidRDefault="0083663D" w:rsidP="00A922A5">
      <w:pPr>
        <w:spacing w:before="120"/>
        <w:ind w:firstLine="709"/>
        <w:jc w:val="both"/>
        <w:rPr>
          <w:sz w:val="28"/>
          <w:szCs w:val="28"/>
          <w:lang w:val="lv-LV"/>
        </w:rPr>
      </w:pPr>
      <w:r>
        <w:rPr>
          <w:sz w:val="28"/>
          <w:szCs w:val="28"/>
          <w:lang w:val="lv-LV"/>
        </w:rPr>
        <w:t>8</w:t>
      </w:r>
      <w:r w:rsidR="00FA04AB">
        <w:rPr>
          <w:sz w:val="28"/>
          <w:szCs w:val="28"/>
          <w:lang w:val="lv-LV"/>
        </w:rPr>
        <w:t xml:space="preserve">. Atbalstīt Ekonomikas ministrijas priekšlikumu apakšprogrammas 29.02.00 “Elektroenerģijas lietotāju atbalsts” ietvaros veikt izdevumu pārdali, 2020.gadā samazinot izdevumus subsīdijām un dotācijām 263 215 </w:t>
      </w:r>
      <w:proofErr w:type="spellStart"/>
      <w:r w:rsidR="00FA04AB">
        <w:rPr>
          <w:i/>
          <w:iCs/>
          <w:sz w:val="28"/>
          <w:szCs w:val="28"/>
          <w:lang w:val="lv-LV"/>
        </w:rPr>
        <w:t>euro</w:t>
      </w:r>
      <w:proofErr w:type="spellEnd"/>
      <w:r w:rsidR="00FA04AB">
        <w:rPr>
          <w:sz w:val="28"/>
          <w:szCs w:val="28"/>
          <w:lang w:val="lv-LV"/>
        </w:rPr>
        <w:t xml:space="preserve"> apmērā un attiecīgi palielinot izdevumus atlīdzībai 208 215 </w:t>
      </w:r>
      <w:proofErr w:type="spellStart"/>
      <w:r w:rsidR="00FA04AB">
        <w:rPr>
          <w:i/>
          <w:iCs/>
          <w:sz w:val="28"/>
          <w:szCs w:val="28"/>
          <w:lang w:val="lv-LV"/>
        </w:rPr>
        <w:t>euro</w:t>
      </w:r>
      <w:proofErr w:type="spellEnd"/>
      <w:r w:rsidR="00FA04AB">
        <w:rPr>
          <w:sz w:val="28"/>
          <w:szCs w:val="28"/>
          <w:lang w:val="lv-LV"/>
        </w:rPr>
        <w:t xml:space="preserve"> apmērā un izdevumus precēm un pakalpojumiem 55 000 </w:t>
      </w:r>
      <w:proofErr w:type="spellStart"/>
      <w:r w:rsidR="00FA04AB">
        <w:rPr>
          <w:i/>
          <w:iCs/>
          <w:sz w:val="28"/>
          <w:szCs w:val="28"/>
          <w:lang w:val="lv-LV"/>
        </w:rPr>
        <w:t>euro</w:t>
      </w:r>
      <w:proofErr w:type="spellEnd"/>
      <w:r w:rsidR="00FA04AB">
        <w:rPr>
          <w:sz w:val="28"/>
          <w:szCs w:val="28"/>
          <w:lang w:val="lv-LV"/>
        </w:rPr>
        <w:t xml:space="preserve"> apmērā, lai nodrošinātu valsts atbalsta mehānisma</w:t>
      </w:r>
      <w:r w:rsidR="00E726AD">
        <w:rPr>
          <w:sz w:val="28"/>
          <w:szCs w:val="28"/>
          <w:lang w:val="lv-LV"/>
        </w:rPr>
        <w:t xml:space="preserve"> – </w:t>
      </w:r>
      <w:r w:rsidR="00FA04AB">
        <w:rPr>
          <w:sz w:val="28"/>
          <w:szCs w:val="28"/>
          <w:lang w:val="lv-LV"/>
        </w:rPr>
        <w:t xml:space="preserve"> elektroenerģijas obligāt</w:t>
      </w:r>
      <w:r w:rsidR="00E726AD">
        <w:rPr>
          <w:sz w:val="28"/>
          <w:szCs w:val="28"/>
          <w:lang w:val="lv-LV"/>
        </w:rPr>
        <w:t>ā</w:t>
      </w:r>
      <w:r w:rsidR="00FA04AB">
        <w:rPr>
          <w:sz w:val="28"/>
          <w:szCs w:val="28"/>
          <w:lang w:val="lv-LV"/>
        </w:rPr>
        <w:t xml:space="preserve"> iepirkum</w:t>
      </w:r>
      <w:r w:rsidR="00E726AD">
        <w:rPr>
          <w:sz w:val="28"/>
          <w:szCs w:val="28"/>
          <w:lang w:val="lv-LV"/>
        </w:rPr>
        <w:t>a</w:t>
      </w:r>
      <w:r w:rsidR="00FA04AB">
        <w:rPr>
          <w:sz w:val="28"/>
          <w:szCs w:val="28"/>
          <w:lang w:val="lv-LV"/>
        </w:rPr>
        <w:t xml:space="preserve"> un garantēt</w:t>
      </w:r>
      <w:r w:rsidR="00E726AD">
        <w:rPr>
          <w:sz w:val="28"/>
          <w:szCs w:val="28"/>
          <w:lang w:val="lv-LV"/>
        </w:rPr>
        <w:t>ās</w:t>
      </w:r>
      <w:r w:rsidR="00FA04AB">
        <w:rPr>
          <w:sz w:val="28"/>
          <w:szCs w:val="28"/>
          <w:lang w:val="lv-LV"/>
        </w:rPr>
        <w:t xml:space="preserve"> maks</w:t>
      </w:r>
      <w:r w:rsidR="00E726AD">
        <w:rPr>
          <w:sz w:val="28"/>
          <w:szCs w:val="28"/>
          <w:lang w:val="lv-LV"/>
        </w:rPr>
        <w:t>as</w:t>
      </w:r>
      <w:r w:rsidR="00FA04AB">
        <w:rPr>
          <w:sz w:val="28"/>
          <w:szCs w:val="28"/>
          <w:lang w:val="lv-LV"/>
        </w:rPr>
        <w:t xml:space="preserve"> par elektrostacijā uzstādīto elektrisko jaudu</w:t>
      </w:r>
      <w:r w:rsidR="00E726AD">
        <w:rPr>
          <w:sz w:val="28"/>
          <w:szCs w:val="28"/>
          <w:lang w:val="lv-LV"/>
        </w:rPr>
        <w:t xml:space="preserve"> –</w:t>
      </w:r>
      <w:r w:rsidR="00FA04AB">
        <w:rPr>
          <w:sz w:val="28"/>
          <w:szCs w:val="28"/>
          <w:lang w:val="lv-LV"/>
        </w:rPr>
        <w:t xml:space="preserve"> administrēšanu un uzraudzību.</w:t>
      </w:r>
    </w:p>
    <w:bookmarkEnd w:id="2"/>
    <w:p w14:paraId="4F932FA4" w14:textId="77777777" w:rsidR="00DE6D60" w:rsidRPr="00643623" w:rsidRDefault="00DE6D60" w:rsidP="00A922A5">
      <w:pPr>
        <w:pStyle w:val="BodyTextIndent"/>
        <w:tabs>
          <w:tab w:val="left" w:pos="720"/>
        </w:tabs>
        <w:spacing w:after="0"/>
        <w:jc w:val="both"/>
        <w:rPr>
          <w:sz w:val="28"/>
          <w:szCs w:val="28"/>
          <w:lang w:val="lv-LV"/>
        </w:rPr>
      </w:pPr>
    </w:p>
    <w:p w14:paraId="07A5C208" w14:textId="77777777" w:rsidR="00FA04AB" w:rsidRDefault="00FA04AB" w:rsidP="00F214DB">
      <w:pPr>
        <w:pStyle w:val="BodyTextIndent"/>
        <w:tabs>
          <w:tab w:val="left" w:pos="720"/>
        </w:tabs>
        <w:spacing w:after="0"/>
        <w:ind w:left="0" w:firstLine="284"/>
        <w:jc w:val="both"/>
        <w:rPr>
          <w:sz w:val="28"/>
          <w:szCs w:val="28"/>
          <w:lang w:val="lv-LV"/>
        </w:rPr>
      </w:pPr>
    </w:p>
    <w:p w14:paraId="5C977F11" w14:textId="58D53D83" w:rsidR="00057557" w:rsidRPr="00643623" w:rsidRDefault="00A107E4" w:rsidP="00F214DB">
      <w:pPr>
        <w:pStyle w:val="BodyTextIndent"/>
        <w:tabs>
          <w:tab w:val="left" w:pos="720"/>
        </w:tabs>
        <w:spacing w:after="0"/>
        <w:ind w:left="0" w:firstLine="284"/>
        <w:jc w:val="both"/>
        <w:rPr>
          <w:sz w:val="28"/>
          <w:szCs w:val="28"/>
          <w:lang w:val="lv-LV"/>
        </w:rPr>
      </w:pPr>
      <w:r w:rsidRPr="00643623">
        <w:rPr>
          <w:sz w:val="28"/>
          <w:szCs w:val="28"/>
          <w:lang w:val="lv-LV"/>
        </w:rPr>
        <w:t>Ministru prezidents</w:t>
      </w:r>
      <w:r w:rsidR="00857299" w:rsidRPr="00643623">
        <w:rPr>
          <w:sz w:val="28"/>
          <w:szCs w:val="28"/>
          <w:lang w:val="lv-LV"/>
        </w:rPr>
        <w:tab/>
      </w:r>
      <w:r w:rsidR="00857299" w:rsidRPr="00643623">
        <w:rPr>
          <w:sz w:val="28"/>
          <w:szCs w:val="28"/>
          <w:lang w:val="lv-LV"/>
        </w:rPr>
        <w:tab/>
      </w:r>
      <w:r w:rsidR="00857299" w:rsidRPr="00643623">
        <w:rPr>
          <w:sz w:val="28"/>
          <w:szCs w:val="28"/>
          <w:lang w:val="lv-LV"/>
        </w:rPr>
        <w:tab/>
      </w:r>
      <w:r w:rsidR="00857299" w:rsidRPr="00643623">
        <w:rPr>
          <w:sz w:val="28"/>
          <w:szCs w:val="28"/>
          <w:lang w:val="lv-LV"/>
        </w:rPr>
        <w:tab/>
      </w:r>
      <w:r w:rsidR="00857299" w:rsidRPr="00643623">
        <w:rPr>
          <w:sz w:val="28"/>
          <w:szCs w:val="28"/>
          <w:lang w:val="lv-LV"/>
        </w:rPr>
        <w:tab/>
      </w:r>
      <w:r w:rsidR="00857299" w:rsidRPr="00643623">
        <w:rPr>
          <w:sz w:val="28"/>
          <w:szCs w:val="28"/>
          <w:lang w:val="lv-LV"/>
        </w:rPr>
        <w:tab/>
      </w:r>
      <w:r w:rsidR="00857299" w:rsidRPr="00643623">
        <w:rPr>
          <w:sz w:val="28"/>
          <w:szCs w:val="28"/>
          <w:lang w:val="lv-LV"/>
        </w:rPr>
        <w:tab/>
      </w:r>
      <w:proofErr w:type="spellStart"/>
      <w:r w:rsidR="008642A4" w:rsidRPr="00643623">
        <w:rPr>
          <w:sz w:val="28"/>
          <w:szCs w:val="28"/>
          <w:lang w:val="lv-LV"/>
        </w:rPr>
        <w:t>A.K.Kariņš</w:t>
      </w:r>
      <w:proofErr w:type="spellEnd"/>
    </w:p>
    <w:p w14:paraId="3AF29CDF" w14:textId="77777777" w:rsidR="00807E36" w:rsidRPr="00643623" w:rsidRDefault="00807E36" w:rsidP="00F214DB">
      <w:pPr>
        <w:tabs>
          <w:tab w:val="left" w:pos="7230"/>
        </w:tabs>
        <w:ind w:firstLine="284"/>
        <w:rPr>
          <w:sz w:val="28"/>
          <w:szCs w:val="28"/>
          <w:lang w:val="lv-LV" w:eastAsia="x-none"/>
        </w:rPr>
      </w:pPr>
    </w:p>
    <w:p w14:paraId="0878EDDB" w14:textId="65DB8D2D" w:rsidR="00627D8F" w:rsidRPr="00643623" w:rsidRDefault="00A107E4" w:rsidP="00F214DB">
      <w:pPr>
        <w:pStyle w:val="Heading1"/>
        <w:tabs>
          <w:tab w:val="left" w:pos="6521"/>
        </w:tabs>
        <w:spacing w:before="0" w:after="0"/>
        <w:ind w:firstLine="284"/>
        <w:rPr>
          <w:rFonts w:ascii="Times New Roman" w:hAnsi="Times New Roman"/>
          <w:b w:val="0"/>
          <w:sz w:val="28"/>
          <w:szCs w:val="28"/>
          <w:lang w:val="lv-LV"/>
        </w:rPr>
      </w:pPr>
      <w:r w:rsidRPr="00643623">
        <w:rPr>
          <w:rFonts w:ascii="Times New Roman" w:hAnsi="Times New Roman"/>
          <w:b w:val="0"/>
          <w:sz w:val="28"/>
          <w:szCs w:val="28"/>
          <w:lang w:val="lv-LV"/>
        </w:rPr>
        <w:t>Valsts kancelejas direktors</w:t>
      </w:r>
      <w:r w:rsidR="00857299" w:rsidRPr="00643623">
        <w:rPr>
          <w:rFonts w:ascii="Times New Roman" w:hAnsi="Times New Roman"/>
          <w:b w:val="0"/>
          <w:sz w:val="28"/>
          <w:szCs w:val="28"/>
          <w:lang w:val="lv-LV"/>
        </w:rPr>
        <w:tab/>
        <w:t xml:space="preserve">         </w:t>
      </w:r>
      <w:r w:rsidRPr="00643623">
        <w:rPr>
          <w:rFonts w:ascii="Times New Roman" w:hAnsi="Times New Roman"/>
          <w:b w:val="0"/>
          <w:sz w:val="28"/>
          <w:szCs w:val="28"/>
          <w:lang w:val="lv-LV"/>
        </w:rPr>
        <w:tab/>
      </w:r>
      <w:proofErr w:type="spellStart"/>
      <w:r w:rsidRPr="00643623">
        <w:rPr>
          <w:rFonts w:ascii="Times New Roman" w:hAnsi="Times New Roman"/>
          <w:b w:val="0"/>
          <w:sz w:val="28"/>
          <w:szCs w:val="28"/>
          <w:lang w:val="lv-LV"/>
        </w:rPr>
        <w:t>J.Citskovskis</w:t>
      </w:r>
      <w:proofErr w:type="spellEnd"/>
    </w:p>
    <w:p w14:paraId="2249B20B" w14:textId="77777777" w:rsidR="00BF2FA8" w:rsidRPr="00643623" w:rsidRDefault="00BF2FA8" w:rsidP="00F214DB">
      <w:pPr>
        <w:ind w:firstLine="284"/>
        <w:rPr>
          <w:sz w:val="28"/>
          <w:szCs w:val="28"/>
          <w:lang w:val="lv-LV" w:eastAsia="x-none"/>
        </w:rPr>
      </w:pPr>
    </w:p>
    <w:p w14:paraId="00400E6A" w14:textId="77777777" w:rsidR="00057557" w:rsidRPr="00643623" w:rsidRDefault="00A107E4" w:rsidP="00F214DB">
      <w:pPr>
        <w:ind w:firstLine="284"/>
        <w:rPr>
          <w:sz w:val="28"/>
          <w:szCs w:val="28"/>
          <w:lang w:val="lv-LV"/>
        </w:rPr>
      </w:pPr>
      <w:r w:rsidRPr="00643623">
        <w:rPr>
          <w:sz w:val="28"/>
          <w:szCs w:val="28"/>
          <w:lang w:val="lv-LV"/>
        </w:rPr>
        <w:t xml:space="preserve">Iesniedzējs: </w:t>
      </w:r>
    </w:p>
    <w:p w14:paraId="2316FFEB" w14:textId="32C3DD54" w:rsidR="00057557" w:rsidRPr="00643623" w:rsidRDefault="008642A4" w:rsidP="00F214DB">
      <w:pPr>
        <w:ind w:firstLine="284"/>
        <w:jc w:val="both"/>
        <w:rPr>
          <w:sz w:val="28"/>
          <w:szCs w:val="28"/>
          <w:lang w:val="lv-LV"/>
        </w:rPr>
      </w:pPr>
      <w:r w:rsidRPr="00643623">
        <w:rPr>
          <w:sz w:val="28"/>
          <w:szCs w:val="28"/>
          <w:lang w:val="lv-LV"/>
        </w:rPr>
        <w:t>E</w:t>
      </w:r>
      <w:r w:rsidR="00A107E4" w:rsidRPr="00643623">
        <w:rPr>
          <w:sz w:val="28"/>
          <w:szCs w:val="28"/>
          <w:lang w:val="lv-LV"/>
        </w:rPr>
        <w:t>konomikas</w:t>
      </w:r>
      <w:r w:rsidR="009B65A6" w:rsidRPr="00643623">
        <w:rPr>
          <w:sz w:val="28"/>
          <w:szCs w:val="28"/>
          <w:lang w:val="lv-LV"/>
        </w:rPr>
        <w:t xml:space="preserve"> ministrs</w:t>
      </w:r>
      <w:r w:rsidR="00A107E4" w:rsidRPr="00643623">
        <w:rPr>
          <w:sz w:val="28"/>
          <w:szCs w:val="28"/>
          <w:lang w:val="lv-LV"/>
        </w:rPr>
        <w:tab/>
      </w:r>
      <w:r w:rsidR="00A107E4" w:rsidRPr="00643623">
        <w:rPr>
          <w:sz w:val="28"/>
          <w:szCs w:val="28"/>
          <w:lang w:val="lv-LV"/>
        </w:rPr>
        <w:tab/>
      </w:r>
      <w:r w:rsidR="00A107E4" w:rsidRPr="00643623">
        <w:rPr>
          <w:sz w:val="28"/>
          <w:szCs w:val="28"/>
          <w:lang w:val="lv-LV"/>
        </w:rPr>
        <w:tab/>
      </w:r>
      <w:r w:rsidR="00A107E4" w:rsidRPr="00643623">
        <w:rPr>
          <w:sz w:val="28"/>
          <w:szCs w:val="28"/>
          <w:lang w:val="lv-LV"/>
        </w:rPr>
        <w:tab/>
      </w:r>
      <w:r w:rsidR="00857299" w:rsidRPr="00643623">
        <w:rPr>
          <w:sz w:val="28"/>
          <w:szCs w:val="28"/>
          <w:lang w:val="lv-LV"/>
        </w:rPr>
        <w:tab/>
      </w:r>
      <w:r w:rsidR="003E652E" w:rsidRPr="00643623">
        <w:rPr>
          <w:sz w:val="28"/>
          <w:szCs w:val="28"/>
          <w:lang w:val="lv-LV"/>
        </w:rPr>
        <w:tab/>
      </w:r>
      <w:r w:rsidR="003E652E" w:rsidRPr="00643623">
        <w:rPr>
          <w:sz w:val="28"/>
          <w:szCs w:val="28"/>
          <w:lang w:val="lv-LV"/>
        </w:rPr>
        <w:tab/>
      </w:r>
      <w:r w:rsidRPr="00643623">
        <w:rPr>
          <w:sz w:val="28"/>
          <w:szCs w:val="28"/>
          <w:lang w:val="lv-LV"/>
        </w:rPr>
        <w:t>R. Nemiro</w:t>
      </w:r>
    </w:p>
    <w:p w14:paraId="4464A0F4" w14:textId="77777777" w:rsidR="00EF4FFC" w:rsidRPr="00643623" w:rsidRDefault="00EF4FFC" w:rsidP="00F214DB">
      <w:pPr>
        <w:ind w:firstLine="284"/>
        <w:jc w:val="both"/>
        <w:rPr>
          <w:sz w:val="28"/>
          <w:szCs w:val="28"/>
          <w:lang w:val="lv-LV"/>
        </w:rPr>
      </w:pPr>
    </w:p>
    <w:p w14:paraId="7571E288" w14:textId="2FE79821" w:rsidR="00BD4229" w:rsidRPr="00BD4229" w:rsidRDefault="00A107E4" w:rsidP="00643623">
      <w:pPr>
        <w:ind w:firstLine="284"/>
        <w:jc w:val="both"/>
        <w:rPr>
          <w:sz w:val="26"/>
          <w:szCs w:val="26"/>
          <w:lang w:val="lv-LV"/>
        </w:rPr>
      </w:pPr>
      <w:r w:rsidRPr="00643623">
        <w:rPr>
          <w:sz w:val="28"/>
          <w:szCs w:val="28"/>
          <w:lang w:val="lv-LV"/>
        </w:rPr>
        <w:t>Valsts sekretārs</w:t>
      </w:r>
      <w:r w:rsidR="008B41B0" w:rsidRPr="00643623">
        <w:rPr>
          <w:sz w:val="28"/>
          <w:szCs w:val="28"/>
          <w:lang w:val="lv-LV"/>
        </w:rPr>
        <w:tab/>
      </w:r>
      <w:r w:rsidR="008B41B0" w:rsidRPr="00643623">
        <w:rPr>
          <w:sz w:val="28"/>
          <w:szCs w:val="28"/>
          <w:lang w:val="lv-LV"/>
        </w:rPr>
        <w:tab/>
      </w:r>
      <w:r w:rsidR="008B41B0" w:rsidRPr="00643623">
        <w:rPr>
          <w:sz w:val="28"/>
          <w:szCs w:val="28"/>
          <w:lang w:val="lv-LV"/>
        </w:rPr>
        <w:tab/>
      </w:r>
      <w:r w:rsidR="008B41B0" w:rsidRPr="00643623">
        <w:rPr>
          <w:sz w:val="28"/>
          <w:szCs w:val="28"/>
          <w:lang w:val="lv-LV"/>
        </w:rPr>
        <w:tab/>
      </w:r>
      <w:r w:rsidR="008B41B0" w:rsidRPr="00643623">
        <w:rPr>
          <w:sz w:val="28"/>
          <w:szCs w:val="28"/>
          <w:lang w:val="lv-LV"/>
        </w:rPr>
        <w:tab/>
      </w:r>
      <w:r w:rsidR="008B41B0" w:rsidRPr="00643623">
        <w:rPr>
          <w:sz w:val="28"/>
          <w:szCs w:val="28"/>
          <w:lang w:val="lv-LV"/>
        </w:rPr>
        <w:tab/>
      </w:r>
      <w:r w:rsidR="008B41B0" w:rsidRPr="00643623">
        <w:rPr>
          <w:sz w:val="28"/>
          <w:szCs w:val="28"/>
          <w:lang w:val="lv-LV"/>
        </w:rPr>
        <w:tab/>
      </w:r>
      <w:r w:rsidRPr="00643623">
        <w:rPr>
          <w:sz w:val="28"/>
          <w:szCs w:val="28"/>
          <w:lang w:val="lv-LV"/>
        </w:rPr>
        <w:tab/>
        <w:t>Ē. Eglītis</w:t>
      </w:r>
    </w:p>
    <w:p w14:paraId="2EEDA91F" w14:textId="77777777" w:rsidR="00275549" w:rsidRPr="00275549" w:rsidRDefault="00275549" w:rsidP="00275549">
      <w:pPr>
        <w:rPr>
          <w:sz w:val="26"/>
          <w:szCs w:val="26"/>
          <w:lang w:val="lv-LV"/>
        </w:rPr>
      </w:pPr>
    </w:p>
    <w:p w14:paraId="69321D74" w14:textId="77777777" w:rsidR="00275549" w:rsidRPr="00275549" w:rsidRDefault="00275549" w:rsidP="00275549">
      <w:pPr>
        <w:rPr>
          <w:sz w:val="26"/>
          <w:szCs w:val="26"/>
          <w:lang w:val="lv-LV"/>
        </w:rPr>
      </w:pPr>
    </w:p>
    <w:p w14:paraId="5D336373" w14:textId="2F10DF81" w:rsidR="00275549" w:rsidRDefault="00275549" w:rsidP="00275549">
      <w:pPr>
        <w:rPr>
          <w:sz w:val="26"/>
          <w:szCs w:val="26"/>
          <w:lang w:val="lv-LV"/>
        </w:rPr>
      </w:pPr>
    </w:p>
    <w:p w14:paraId="355B117C" w14:textId="01BA8FAD" w:rsidR="0005078D" w:rsidRPr="0005078D" w:rsidRDefault="0005078D" w:rsidP="0005078D">
      <w:pPr>
        <w:rPr>
          <w:sz w:val="26"/>
          <w:szCs w:val="26"/>
          <w:lang w:val="lv-LV"/>
        </w:rPr>
      </w:pPr>
    </w:p>
    <w:p w14:paraId="6D269A37" w14:textId="7CF71CED" w:rsidR="0005078D" w:rsidRPr="0005078D" w:rsidRDefault="0005078D" w:rsidP="0005078D">
      <w:pPr>
        <w:rPr>
          <w:sz w:val="26"/>
          <w:szCs w:val="26"/>
          <w:lang w:val="lv-LV"/>
        </w:rPr>
      </w:pPr>
    </w:p>
    <w:p w14:paraId="2F1DA510" w14:textId="1F521F1F" w:rsidR="0005078D" w:rsidRPr="0005078D" w:rsidRDefault="0005078D" w:rsidP="0005078D">
      <w:pPr>
        <w:rPr>
          <w:sz w:val="26"/>
          <w:szCs w:val="26"/>
          <w:lang w:val="lv-LV"/>
        </w:rPr>
      </w:pPr>
    </w:p>
    <w:p w14:paraId="2C80A69B" w14:textId="5E844094" w:rsidR="0005078D" w:rsidRPr="0005078D" w:rsidRDefault="0005078D" w:rsidP="0005078D">
      <w:pPr>
        <w:rPr>
          <w:sz w:val="26"/>
          <w:szCs w:val="26"/>
          <w:lang w:val="lv-LV"/>
        </w:rPr>
      </w:pPr>
    </w:p>
    <w:p w14:paraId="12AE576B" w14:textId="455C5BB1" w:rsidR="0005078D" w:rsidRPr="0005078D" w:rsidRDefault="0005078D" w:rsidP="0005078D">
      <w:pPr>
        <w:rPr>
          <w:sz w:val="26"/>
          <w:szCs w:val="26"/>
          <w:lang w:val="lv-LV"/>
        </w:rPr>
      </w:pPr>
    </w:p>
    <w:p w14:paraId="03367B82" w14:textId="5C2CD469" w:rsidR="0005078D" w:rsidRPr="0005078D" w:rsidRDefault="0005078D" w:rsidP="0005078D">
      <w:pPr>
        <w:rPr>
          <w:sz w:val="26"/>
          <w:szCs w:val="26"/>
          <w:lang w:val="lv-LV"/>
        </w:rPr>
      </w:pPr>
    </w:p>
    <w:p w14:paraId="3EDDA41A" w14:textId="57ED4FC3" w:rsidR="0005078D" w:rsidRPr="0005078D" w:rsidRDefault="0005078D" w:rsidP="0005078D">
      <w:pPr>
        <w:rPr>
          <w:sz w:val="26"/>
          <w:szCs w:val="26"/>
          <w:lang w:val="lv-LV"/>
        </w:rPr>
      </w:pPr>
    </w:p>
    <w:p w14:paraId="4619CF45" w14:textId="67316554" w:rsidR="0005078D" w:rsidRPr="0005078D" w:rsidRDefault="0005078D" w:rsidP="0005078D">
      <w:pPr>
        <w:rPr>
          <w:sz w:val="26"/>
          <w:szCs w:val="26"/>
          <w:lang w:val="lv-LV"/>
        </w:rPr>
      </w:pPr>
    </w:p>
    <w:p w14:paraId="6D092A7E" w14:textId="13B021F5" w:rsidR="0005078D" w:rsidRPr="0005078D" w:rsidRDefault="0005078D" w:rsidP="0005078D">
      <w:pPr>
        <w:rPr>
          <w:sz w:val="26"/>
          <w:szCs w:val="26"/>
          <w:lang w:val="lv-LV"/>
        </w:rPr>
      </w:pPr>
    </w:p>
    <w:p w14:paraId="72225A31" w14:textId="77777777" w:rsidR="0005078D" w:rsidRPr="0005078D" w:rsidRDefault="0005078D" w:rsidP="0005078D">
      <w:pPr>
        <w:rPr>
          <w:sz w:val="26"/>
          <w:szCs w:val="26"/>
          <w:lang w:val="lv-LV"/>
        </w:rPr>
      </w:pPr>
    </w:p>
    <w:sectPr w:rsidR="0005078D" w:rsidRPr="0005078D" w:rsidSect="00AF4B08">
      <w:headerReference w:type="default" r:id="rId8"/>
      <w:footerReference w:type="default" r:id="rId9"/>
      <w:headerReference w:type="first" r:id="rId10"/>
      <w:footerReference w:type="first" r:id="rId11"/>
      <w:pgSz w:w="11909" w:h="16834" w:code="9"/>
      <w:pgMar w:top="1134" w:right="907" w:bottom="851" w:left="1644" w:header="720"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E948F" w14:textId="77777777" w:rsidR="00A21BED" w:rsidRDefault="00A21BED">
      <w:r>
        <w:separator/>
      </w:r>
    </w:p>
  </w:endnote>
  <w:endnote w:type="continuationSeparator" w:id="0">
    <w:p w14:paraId="004FFEA3" w14:textId="77777777" w:rsidR="00A21BED" w:rsidRDefault="00A2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6E77" w14:textId="14227C35" w:rsidR="00B65ADF" w:rsidRPr="00B65ADF" w:rsidRDefault="00A107E4" w:rsidP="00B65ADF">
    <w:pPr>
      <w:jc w:val="both"/>
      <w:rPr>
        <w:lang w:val="lv-LV"/>
      </w:rPr>
    </w:pPr>
    <w:r w:rsidRPr="00B31B60">
      <w:rPr>
        <w:sz w:val="20"/>
        <w:szCs w:val="20"/>
        <w:lang w:val="lv-LV"/>
      </w:rPr>
      <w:t>EMProt_</w:t>
    </w:r>
    <w:r w:rsidR="0005078D">
      <w:rPr>
        <w:sz w:val="20"/>
        <w:szCs w:val="20"/>
        <w:lang w:val="lv-LV"/>
      </w:rPr>
      <w:t>1</w:t>
    </w:r>
    <w:r w:rsidR="00275549">
      <w:rPr>
        <w:sz w:val="20"/>
        <w:szCs w:val="20"/>
        <w:lang w:val="lv-LV"/>
      </w:rPr>
      <w:t>5</w:t>
    </w:r>
    <w:r w:rsidR="00691698">
      <w:rPr>
        <w:sz w:val="20"/>
        <w:szCs w:val="20"/>
        <w:lang w:val="lv-LV"/>
      </w:rPr>
      <w:t>0</w:t>
    </w:r>
    <w:r w:rsidR="00275549">
      <w:rPr>
        <w:sz w:val="20"/>
        <w:szCs w:val="20"/>
        <w:lang w:val="lv-LV"/>
      </w:rPr>
      <w:t>7</w:t>
    </w:r>
    <w:r w:rsidR="00691698">
      <w:rPr>
        <w:sz w:val="20"/>
        <w:szCs w:val="20"/>
        <w:lang w:val="lv-LV"/>
      </w:rPr>
      <w:t>19_OIK</w:t>
    </w:r>
  </w:p>
  <w:p w14:paraId="6C01015B" w14:textId="77777777" w:rsidR="001049DF" w:rsidRPr="00B65ADF" w:rsidRDefault="001049DF" w:rsidP="00DA3E7F">
    <w:pPr>
      <w:rPr>
        <w:sz w:val="20"/>
        <w:szCs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4011" w14:textId="35221FBE" w:rsidR="003827C2" w:rsidRPr="003827C2" w:rsidRDefault="00643623" w:rsidP="003827C2">
    <w:pPr>
      <w:rPr>
        <w:rFonts w:eastAsia="Calibri"/>
        <w:sz w:val="20"/>
        <w:szCs w:val="20"/>
        <w:lang w:val="lv-LV"/>
      </w:rPr>
    </w:pPr>
    <w:r>
      <w:rPr>
        <w:sz w:val="20"/>
        <w:szCs w:val="20"/>
        <w:lang w:val="lv-LV"/>
      </w:rPr>
      <w:t>EM</w:t>
    </w:r>
    <w:r w:rsidR="00B31B60" w:rsidRPr="00B31B60">
      <w:rPr>
        <w:sz w:val="20"/>
        <w:szCs w:val="20"/>
        <w:lang w:val="lv-LV"/>
      </w:rPr>
      <w:t>P</w:t>
    </w:r>
    <w:r w:rsidR="00A107E4" w:rsidRPr="00B31B60">
      <w:rPr>
        <w:sz w:val="20"/>
        <w:szCs w:val="20"/>
        <w:lang w:val="lv-LV"/>
      </w:rPr>
      <w:t>rot_</w:t>
    </w:r>
    <w:r w:rsidR="00AD09D6">
      <w:rPr>
        <w:sz w:val="20"/>
        <w:szCs w:val="20"/>
        <w:lang w:val="lv-LV"/>
      </w:rPr>
      <w:t>1</w:t>
    </w:r>
    <w:r w:rsidR="00275549">
      <w:rPr>
        <w:sz w:val="20"/>
        <w:szCs w:val="20"/>
        <w:lang w:val="lv-LV"/>
      </w:rPr>
      <w:t>5</w:t>
    </w:r>
    <w:r w:rsidR="003827C2">
      <w:rPr>
        <w:sz w:val="20"/>
        <w:szCs w:val="20"/>
        <w:lang w:val="lv-LV"/>
      </w:rPr>
      <w:t>0</w:t>
    </w:r>
    <w:r w:rsidR="00EF4FFC">
      <w:rPr>
        <w:sz w:val="20"/>
        <w:szCs w:val="20"/>
        <w:lang w:val="lv-LV"/>
      </w:rPr>
      <w:t>1</w:t>
    </w:r>
    <w:r w:rsidR="00BD4229">
      <w:rPr>
        <w:sz w:val="20"/>
        <w:szCs w:val="20"/>
        <w:lang w:val="lv-LV"/>
      </w:rPr>
      <w:t>9</w:t>
    </w:r>
    <w:r w:rsidR="00B31B60" w:rsidRPr="00B31B60">
      <w:rPr>
        <w:sz w:val="20"/>
        <w:szCs w:val="20"/>
        <w:lang w:val="lv-LV"/>
      </w:rPr>
      <w:t>_</w:t>
    </w:r>
    <w:r w:rsidR="002A0542">
      <w:rPr>
        <w:sz w:val="20"/>
        <w:szCs w:val="20"/>
        <w:lang w:val="lv-LV"/>
      </w:rPr>
      <w:t>OIK</w:t>
    </w:r>
  </w:p>
  <w:p w14:paraId="69975D0C" w14:textId="3E0FF864" w:rsidR="001049DF" w:rsidRPr="00B65ADF" w:rsidRDefault="001049DF" w:rsidP="00B65ADF">
    <w:pPr>
      <w:jc w:val="both"/>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1CB4" w14:textId="77777777" w:rsidR="00A21BED" w:rsidRDefault="00A21BED">
      <w:r>
        <w:separator/>
      </w:r>
    </w:p>
  </w:footnote>
  <w:footnote w:type="continuationSeparator" w:id="0">
    <w:p w14:paraId="7D3C07A6" w14:textId="77777777" w:rsidR="00A21BED" w:rsidRDefault="00A2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4EC0" w14:textId="44821F21" w:rsidR="001049DF" w:rsidRDefault="00A107E4">
    <w:pPr>
      <w:pStyle w:val="Header"/>
      <w:jc w:val="center"/>
    </w:pPr>
    <w:r>
      <w:fldChar w:fldCharType="begin"/>
    </w:r>
    <w:r>
      <w:instrText xml:space="preserve"> PAGE   \* MERGEFORMAT </w:instrText>
    </w:r>
    <w:r>
      <w:fldChar w:fldCharType="separate"/>
    </w:r>
    <w:r w:rsidR="00C86489">
      <w:rPr>
        <w:noProof/>
      </w:rPr>
      <w:t>2</w:t>
    </w:r>
    <w:r>
      <w:fldChar w:fldCharType="end"/>
    </w:r>
  </w:p>
  <w:p w14:paraId="7485129A" w14:textId="77777777" w:rsidR="001049DF" w:rsidRDefault="00104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DD1F" w14:textId="77777777" w:rsidR="001049DF" w:rsidRPr="002A6EB5" w:rsidRDefault="00A107E4" w:rsidP="00057557">
    <w:pPr>
      <w:pStyle w:val="Header"/>
      <w:jc w:val="right"/>
      <w:rPr>
        <w:i/>
        <w:lang w:val="lv-LV"/>
      </w:rPr>
    </w:pPr>
    <w:r w:rsidRPr="002A6EB5">
      <w:rPr>
        <w:i/>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266779"/>
    <w:multiLevelType w:val="multilevel"/>
    <w:tmpl w:val="A0D22CC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15:restartNumberingAfterBreak="1">
    <w:nsid w:val="0F597448"/>
    <w:multiLevelType w:val="hybridMultilevel"/>
    <w:tmpl w:val="120A849C"/>
    <w:lvl w:ilvl="0" w:tplc="0366C90C">
      <w:start w:val="1"/>
      <w:numFmt w:val="decimal"/>
      <w:lvlText w:val="%1."/>
      <w:lvlJc w:val="left"/>
      <w:pPr>
        <w:tabs>
          <w:tab w:val="num" w:pos="720"/>
        </w:tabs>
        <w:ind w:left="720" w:hanging="360"/>
      </w:pPr>
      <w:rPr>
        <w:rFonts w:hint="default"/>
      </w:rPr>
    </w:lvl>
    <w:lvl w:ilvl="1" w:tplc="547698B2" w:tentative="1">
      <w:start w:val="1"/>
      <w:numFmt w:val="lowerLetter"/>
      <w:lvlText w:val="%2."/>
      <w:lvlJc w:val="left"/>
      <w:pPr>
        <w:tabs>
          <w:tab w:val="num" w:pos="1440"/>
        </w:tabs>
        <w:ind w:left="1440" w:hanging="360"/>
      </w:pPr>
    </w:lvl>
    <w:lvl w:ilvl="2" w:tplc="784C63D6" w:tentative="1">
      <w:start w:val="1"/>
      <w:numFmt w:val="lowerRoman"/>
      <w:lvlText w:val="%3."/>
      <w:lvlJc w:val="right"/>
      <w:pPr>
        <w:tabs>
          <w:tab w:val="num" w:pos="2160"/>
        </w:tabs>
        <w:ind w:left="2160" w:hanging="180"/>
      </w:pPr>
    </w:lvl>
    <w:lvl w:ilvl="3" w:tplc="77F0CF46" w:tentative="1">
      <w:start w:val="1"/>
      <w:numFmt w:val="decimal"/>
      <w:lvlText w:val="%4."/>
      <w:lvlJc w:val="left"/>
      <w:pPr>
        <w:tabs>
          <w:tab w:val="num" w:pos="2880"/>
        </w:tabs>
        <w:ind w:left="2880" w:hanging="360"/>
      </w:pPr>
    </w:lvl>
    <w:lvl w:ilvl="4" w:tplc="4DE4A424" w:tentative="1">
      <w:start w:val="1"/>
      <w:numFmt w:val="lowerLetter"/>
      <w:lvlText w:val="%5."/>
      <w:lvlJc w:val="left"/>
      <w:pPr>
        <w:tabs>
          <w:tab w:val="num" w:pos="3600"/>
        </w:tabs>
        <w:ind w:left="3600" w:hanging="360"/>
      </w:pPr>
    </w:lvl>
    <w:lvl w:ilvl="5" w:tplc="9A9AAC92" w:tentative="1">
      <w:start w:val="1"/>
      <w:numFmt w:val="lowerRoman"/>
      <w:lvlText w:val="%6."/>
      <w:lvlJc w:val="right"/>
      <w:pPr>
        <w:tabs>
          <w:tab w:val="num" w:pos="4320"/>
        </w:tabs>
        <w:ind w:left="4320" w:hanging="180"/>
      </w:pPr>
    </w:lvl>
    <w:lvl w:ilvl="6" w:tplc="CE4824A6" w:tentative="1">
      <w:start w:val="1"/>
      <w:numFmt w:val="decimal"/>
      <w:lvlText w:val="%7."/>
      <w:lvlJc w:val="left"/>
      <w:pPr>
        <w:tabs>
          <w:tab w:val="num" w:pos="5040"/>
        </w:tabs>
        <w:ind w:left="5040" w:hanging="360"/>
      </w:pPr>
    </w:lvl>
    <w:lvl w:ilvl="7" w:tplc="7280367A" w:tentative="1">
      <w:start w:val="1"/>
      <w:numFmt w:val="lowerLetter"/>
      <w:lvlText w:val="%8."/>
      <w:lvlJc w:val="left"/>
      <w:pPr>
        <w:tabs>
          <w:tab w:val="num" w:pos="5760"/>
        </w:tabs>
        <w:ind w:left="5760" w:hanging="360"/>
      </w:pPr>
    </w:lvl>
    <w:lvl w:ilvl="8" w:tplc="3C5C09B6" w:tentative="1">
      <w:start w:val="1"/>
      <w:numFmt w:val="lowerRoman"/>
      <w:lvlText w:val="%9."/>
      <w:lvlJc w:val="right"/>
      <w:pPr>
        <w:tabs>
          <w:tab w:val="num" w:pos="6480"/>
        </w:tabs>
        <w:ind w:left="6480" w:hanging="180"/>
      </w:pPr>
    </w:lvl>
  </w:abstractNum>
  <w:abstractNum w:abstractNumId="2" w15:restartNumberingAfterBreak="1">
    <w:nsid w:val="1D9D46CC"/>
    <w:multiLevelType w:val="multilevel"/>
    <w:tmpl w:val="4E0C7D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1">
    <w:nsid w:val="221C535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1">
    <w:nsid w:val="414959CE"/>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5" w15:restartNumberingAfterBreak="1">
    <w:nsid w:val="50593AE7"/>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6" w15:restartNumberingAfterBreak="1">
    <w:nsid w:val="516D0DD4"/>
    <w:multiLevelType w:val="hybridMultilevel"/>
    <w:tmpl w:val="0C348AF4"/>
    <w:lvl w:ilvl="0" w:tplc="3B96591C">
      <w:start w:val="1"/>
      <w:numFmt w:val="decimal"/>
      <w:lvlText w:val="%1."/>
      <w:lvlJc w:val="left"/>
      <w:pPr>
        <w:tabs>
          <w:tab w:val="num" w:pos="720"/>
        </w:tabs>
        <w:ind w:left="720" w:hanging="360"/>
      </w:pPr>
    </w:lvl>
    <w:lvl w:ilvl="1" w:tplc="F6862914" w:tentative="1">
      <w:start w:val="1"/>
      <w:numFmt w:val="lowerLetter"/>
      <w:lvlText w:val="%2."/>
      <w:lvlJc w:val="left"/>
      <w:pPr>
        <w:tabs>
          <w:tab w:val="num" w:pos="1440"/>
        </w:tabs>
        <w:ind w:left="1440" w:hanging="360"/>
      </w:pPr>
    </w:lvl>
    <w:lvl w:ilvl="2" w:tplc="5E1CC194" w:tentative="1">
      <w:start w:val="1"/>
      <w:numFmt w:val="lowerRoman"/>
      <w:lvlText w:val="%3."/>
      <w:lvlJc w:val="right"/>
      <w:pPr>
        <w:tabs>
          <w:tab w:val="num" w:pos="2160"/>
        </w:tabs>
        <w:ind w:left="2160" w:hanging="180"/>
      </w:pPr>
    </w:lvl>
    <w:lvl w:ilvl="3" w:tplc="E8AEF45E" w:tentative="1">
      <w:start w:val="1"/>
      <w:numFmt w:val="decimal"/>
      <w:lvlText w:val="%4."/>
      <w:lvlJc w:val="left"/>
      <w:pPr>
        <w:tabs>
          <w:tab w:val="num" w:pos="2880"/>
        </w:tabs>
        <w:ind w:left="2880" w:hanging="360"/>
      </w:pPr>
    </w:lvl>
    <w:lvl w:ilvl="4" w:tplc="454E51F2" w:tentative="1">
      <w:start w:val="1"/>
      <w:numFmt w:val="lowerLetter"/>
      <w:lvlText w:val="%5."/>
      <w:lvlJc w:val="left"/>
      <w:pPr>
        <w:tabs>
          <w:tab w:val="num" w:pos="3600"/>
        </w:tabs>
        <w:ind w:left="3600" w:hanging="360"/>
      </w:pPr>
    </w:lvl>
    <w:lvl w:ilvl="5" w:tplc="4078BA2C" w:tentative="1">
      <w:start w:val="1"/>
      <w:numFmt w:val="lowerRoman"/>
      <w:lvlText w:val="%6."/>
      <w:lvlJc w:val="right"/>
      <w:pPr>
        <w:tabs>
          <w:tab w:val="num" w:pos="4320"/>
        </w:tabs>
        <w:ind w:left="4320" w:hanging="180"/>
      </w:pPr>
    </w:lvl>
    <w:lvl w:ilvl="6" w:tplc="A9CEF832" w:tentative="1">
      <w:start w:val="1"/>
      <w:numFmt w:val="decimal"/>
      <w:lvlText w:val="%7."/>
      <w:lvlJc w:val="left"/>
      <w:pPr>
        <w:tabs>
          <w:tab w:val="num" w:pos="5040"/>
        </w:tabs>
        <w:ind w:left="5040" w:hanging="360"/>
      </w:pPr>
    </w:lvl>
    <w:lvl w:ilvl="7" w:tplc="4B4AAE20" w:tentative="1">
      <w:start w:val="1"/>
      <w:numFmt w:val="lowerLetter"/>
      <w:lvlText w:val="%8."/>
      <w:lvlJc w:val="left"/>
      <w:pPr>
        <w:tabs>
          <w:tab w:val="num" w:pos="5760"/>
        </w:tabs>
        <w:ind w:left="5760" w:hanging="360"/>
      </w:pPr>
    </w:lvl>
    <w:lvl w:ilvl="8" w:tplc="85663148" w:tentative="1">
      <w:start w:val="1"/>
      <w:numFmt w:val="lowerRoman"/>
      <w:lvlText w:val="%9."/>
      <w:lvlJc w:val="right"/>
      <w:pPr>
        <w:tabs>
          <w:tab w:val="num" w:pos="6480"/>
        </w:tabs>
        <w:ind w:left="6480" w:hanging="180"/>
      </w:pPr>
    </w:lvl>
  </w:abstractNum>
  <w:abstractNum w:abstractNumId="7" w15:restartNumberingAfterBreak="1">
    <w:nsid w:val="5B9C38AA"/>
    <w:multiLevelType w:val="multilevel"/>
    <w:tmpl w:val="17EE6068"/>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8" w15:restartNumberingAfterBreak="1">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9" w15:restartNumberingAfterBreak="0">
    <w:nsid w:val="78594B43"/>
    <w:multiLevelType w:val="hybridMultilevel"/>
    <w:tmpl w:val="DEA4C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6"/>
  </w:num>
  <w:num w:numId="6">
    <w:abstractNumId w:val="7"/>
  </w:num>
  <w:num w:numId="7">
    <w:abstractNumId w:val="0"/>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57"/>
    <w:rsid w:val="00000CAE"/>
    <w:rsid w:val="00002FF8"/>
    <w:rsid w:val="00011B9E"/>
    <w:rsid w:val="000144DF"/>
    <w:rsid w:val="00023391"/>
    <w:rsid w:val="00023DD1"/>
    <w:rsid w:val="00032175"/>
    <w:rsid w:val="0004099A"/>
    <w:rsid w:val="0005078D"/>
    <w:rsid w:val="0005130F"/>
    <w:rsid w:val="00055B4E"/>
    <w:rsid w:val="00057557"/>
    <w:rsid w:val="000711A3"/>
    <w:rsid w:val="00076CDC"/>
    <w:rsid w:val="00077A53"/>
    <w:rsid w:val="000850F7"/>
    <w:rsid w:val="00086588"/>
    <w:rsid w:val="00090C6B"/>
    <w:rsid w:val="00090FE4"/>
    <w:rsid w:val="000952D9"/>
    <w:rsid w:val="00095EFD"/>
    <w:rsid w:val="000A0D5C"/>
    <w:rsid w:val="000A2EC9"/>
    <w:rsid w:val="000A5A32"/>
    <w:rsid w:val="000B6541"/>
    <w:rsid w:val="000C6ECF"/>
    <w:rsid w:val="000D194E"/>
    <w:rsid w:val="000D7155"/>
    <w:rsid w:val="000F3069"/>
    <w:rsid w:val="000F7C79"/>
    <w:rsid w:val="001049DF"/>
    <w:rsid w:val="0010634D"/>
    <w:rsid w:val="00111420"/>
    <w:rsid w:val="00112137"/>
    <w:rsid w:val="00113F65"/>
    <w:rsid w:val="00120967"/>
    <w:rsid w:val="0012583D"/>
    <w:rsid w:val="00133E5F"/>
    <w:rsid w:val="00140FD5"/>
    <w:rsid w:val="001536E5"/>
    <w:rsid w:val="00157670"/>
    <w:rsid w:val="00165E2D"/>
    <w:rsid w:val="0016643D"/>
    <w:rsid w:val="00173615"/>
    <w:rsid w:val="00183E9A"/>
    <w:rsid w:val="001A07FE"/>
    <w:rsid w:val="001A533F"/>
    <w:rsid w:val="001A70A7"/>
    <w:rsid w:val="001B51CE"/>
    <w:rsid w:val="001C101B"/>
    <w:rsid w:val="001C2946"/>
    <w:rsid w:val="001C4D50"/>
    <w:rsid w:val="001D24EA"/>
    <w:rsid w:val="001E7FC1"/>
    <w:rsid w:val="001F0675"/>
    <w:rsid w:val="001F48F1"/>
    <w:rsid w:val="001F6728"/>
    <w:rsid w:val="00204710"/>
    <w:rsid w:val="00216009"/>
    <w:rsid w:val="00217A62"/>
    <w:rsid w:val="002206A0"/>
    <w:rsid w:val="00223AF4"/>
    <w:rsid w:val="00230EE2"/>
    <w:rsid w:val="00231035"/>
    <w:rsid w:val="0023320F"/>
    <w:rsid w:val="00233A11"/>
    <w:rsid w:val="00275549"/>
    <w:rsid w:val="0027572B"/>
    <w:rsid w:val="002835D7"/>
    <w:rsid w:val="002A0542"/>
    <w:rsid w:val="002A1E6E"/>
    <w:rsid w:val="002A559F"/>
    <w:rsid w:val="002A5B11"/>
    <w:rsid w:val="002A6EB5"/>
    <w:rsid w:val="002B5336"/>
    <w:rsid w:val="002B67F8"/>
    <w:rsid w:val="002C652D"/>
    <w:rsid w:val="002C7EBE"/>
    <w:rsid w:val="002D141E"/>
    <w:rsid w:val="002D1522"/>
    <w:rsid w:val="002D2737"/>
    <w:rsid w:val="002D31B0"/>
    <w:rsid w:val="002F65F0"/>
    <w:rsid w:val="0030713D"/>
    <w:rsid w:val="00321D15"/>
    <w:rsid w:val="00322FA0"/>
    <w:rsid w:val="00323DBE"/>
    <w:rsid w:val="0033046A"/>
    <w:rsid w:val="00332BDB"/>
    <w:rsid w:val="00334DA5"/>
    <w:rsid w:val="00340DC7"/>
    <w:rsid w:val="003415F2"/>
    <w:rsid w:val="00343485"/>
    <w:rsid w:val="00355EB6"/>
    <w:rsid w:val="0036671F"/>
    <w:rsid w:val="00371B05"/>
    <w:rsid w:val="00377CF4"/>
    <w:rsid w:val="003827C2"/>
    <w:rsid w:val="00382BA8"/>
    <w:rsid w:val="003B161D"/>
    <w:rsid w:val="003B208B"/>
    <w:rsid w:val="003B6C2A"/>
    <w:rsid w:val="003C5685"/>
    <w:rsid w:val="003C6AB5"/>
    <w:rsid w:val="003D2983"/>
    <w:rsid w:val="003D423A"/>
    <w:rsid w:val="003E0387"/>
    <w:rsid w:val="003E17BC"/>
    <w:rsid w:val="003E43A3"/>
    <w:rsid w:val="003E652E"/>
    <w:rsid w:val="003F0053"/>
    <w:rsid w:val="003F1A26"/>
    <w:rsid w:val="003F2AD0"/>
    <w:rsid w:val="003F5B02"/>
    <w:rsid w:val="00406545"/>
    <w:rsid w:val="00406E47"/>
    <w:rsid w:val="0041062E"/>
    <w:rsid w:val="0041178D"/>
    <w:rsid w:val="00441E28"/>
    <w:rsid w:val="00444E0A"/>
    <w:rsid w:val="004616DA"/>
    <w:rsid w:val="00467867"/>
    <w:rsid w:val="0048289B"/>
    <w:rsid w:val="004861AD"/>
    <w:rsid w:val="00490BB9"/>
    <w:rsid w:val="00496D93"/>
    <w:rsid w:val="004A0B2F"/>
    <w:rsid w:val="004A1B55"/>
    <w:rsid w:val="004A552A"/>
    <w:rsid w:val="004B01AF"/>
    <w:rsid w:val="004B32C8"/>
    <w:rsid w:val="004B63C3"/>
    <w:rsid w:val="004B792F"/>
    <w:rsid w:val="004C3681"/>
    <w:rsid w:val="004C397A"/>
    <w:rsid w:val="004D154E"/>
    <w:rsid w:val="004D50AD"/>
    <w:rsid w:val="004F0892"/>
    <w:rsid w:val="004F140B"/>
    <w:rsid w:val="005137CD"/>
    <w:rsid w:val="0051666D"/>
    <w:rsid w:val="005216FD"/>
    <w:rsid w:val="00524D8C"/>
    <w:rsid w:val="00532729"/>
    <w:rsid w:val="0053276C"/>
    <w:rsid w:val="005526A7"/>
    <w:rsid w:val="005658A0"/>
    <w:rsid w:val="0056594B"/>
    <w:rsid w:val="00567C88"/>
    <w:rsid w:val="00571081"/>
    <w:rsid w:val="00571852"/>
    <w:rsid w:val="00574A92"/>
    <w:rsid w:val="005816E0"/>
    <w:rsid w:val="00581BA5"/>
    <w:rsid w:val="00581D8B"/>
    <w:rsid w:val="00582DC5"/>
    <w:rsid w:val="00586621"/>
    <w:rsid w:val="005955AC"/>
    <w:rsid w:val="005A2544"/>
    <w:rsid w:val="005B5191"/>
    <w:rsid w:val="005B7434"/>
    <w:rsid w:val="005C5635"/>
    <w:rsid w:val="005D4A31"/>
    <w:rsid w:val="005D574B"/>
    <w:rsid w:val="005E2EE6"/>
    <w:rsid w:val="005E758A"/>
    <w:rsid w:val="006146AA"/>
    <w:rsid w:val="0061486E"/>
    <w:rsid w:val="00615077"/>
    <w:rsid w:val="00616D92"/>
    <w:rsid w:val="006219F9"/>
    <w:rsid w:val="00623D02"/>
    <w:rsid w:val="00627D8F"/>
    <w:rsid w:val="00627EEE"/>
    <w:rsid w:val="006347AA"/>
    <w:rsid w:val="0064263A"/>
    <w:rsid w:val="00643623"/>
    <w:rsid w:val="0064620F"/>
    <w:rsid w:val="006554FD"/>
    <w:rsid w:val="0065608C"/>
    <w:rsid w:val="006569D1"/>
    <w:rsid w:val="00664BB0"/>
    <w:rsid w:val="006668A2"/>
    <w:rsid w:val="00670F7C"/>
    <w:rsid w:val="00676FFF"/>
    <w:rsid w:val="00677DB2"/>
    <w:rsid w:val="006811B4"/>
    <w:rsid w:val="00691698"/>
    <w:rsid w:val="006962E6"/>
    <w:rsid w:val="006A2701"/>
    <w:rsid w:val="006A788F"/>
    <w:rsid w:val="006B290B"/>
    <w:rsid w:val="006B4542"/>
    <w:rsid w:val="006B62CE"/>
    <w:rsid w:val="006B68D4"/>
    <w:rsid w:val="006B74C9"/>
    <w:rsid w:val="006C28B3"/>
    <w:rsid w:val="006C3E49"/>
    <w:rsid w:val="006D6C52"/>
    <w:rsid w:val="006E5C55"/>
    <w:rsid w:val="006F1D63"/>
    <w:rsid w:val="006F1E7E"/>
    <w:rsid w:val="006F6765"/>
    <w:rsid w:val="00710066"/>
    <w:rsid w:val="007120B4"/>
    <w:rsid w:val="00731097"/>
    <w:rsid w:val="0075048C"/>
    <w:rsid w:val="007764F2"/>
    <w:rsid w:val="00777283"/>
    <w:rsid w:val="0078035D"/>
    <w:rsid w:val="007843A2"/>
    <w:rsid w:val="00784B10"/>
    <w:rsid w:val="0078639E"/>
    <w:rsid w:val="007A3397"/>
    <w:rsid w:val="007A4A7A"/>
    <w:rsid w:val="007B30A0"/>
    <w:rsid w:val="007C017A"/>
    <w:rsid w:val="007C2824"/>
    <w:rsid w:val="007C4C45"/>
    <w:rsid w:val="007C71EF"/>
    <w:rsid w:val="007D71CB"/>
    <w:rsid w:val="007E1667"/>
    <w:rsid w:val="007F0A20"/>
    <w:rsid w:val="00804587"/>
    <w:rsid w:val="00805387"/>
    <w:rsid w:val="00807E36"/>
    <w:rsid w:val="008216E7"/>
    <w:rsid w:val="00821B1E"/>
    <w:rsid w:val="00836201"/>
    <w:rsid w:val="0083663D"/>
    <w:rsid w:val="00843DC9"/>
    <w:rsid w:val="008466B5"/>
    <w:rsid w:val="00851C3F"/>
    <w:rsid w:val="00857299"/>
    <w:rsid w:val="00860046"/>
    <w:rsid w:val="008642A4"/>
    <w:rsid w:val="00864581"/>
    <w:rsid w:val="00864642"/>
    <w:rsid w:val="0087397F"/>
    <w:rsid w:val="00873D5F"/>
    <w:rsid w:val="00892A8A"/>
    <w:rsid w:val="008A20D8"/>
    <w:rsid w:val="008A7BFD"/>
    <w:rsid w:val="008B41B0"/>
    <w:rsid w:val="008C05F8"/>
    <w:rsid w:val="008C132A"/>
    <w:rsid w:val="008C347A"/>
    <w:rsid w:val="008D4D47"/>
    <w:rsid w:val="008D61ED"/>
    <w:rsid w:val="008D7F16"/>
    <w:rsid w:val="008E7548"/>
    <w:rsid w:val="008F41DB"/>
    <w:rsid w:val="00903B80"/>
    <w:rsid w:val="00912C30"/>
    <w:rsid w:val="00912EFE"/>
    <w:rsid w:val="00913FC3"/>
    <w:rsid w:val="00914AB8"/>
    <w:rsid w:val="00924997"/>
    <w:rsid w:val="009255FB"/>
    <w:rsid w:val="00927150"/>
    <w:rsid w:val="00934BCF"/>
    <w:rsid w:val="00934DFA"/>
    <w:rsid w:val="00953004"/>
    <w:rsid w:val="00953F63"/>
    <w:rsid w:val="009713EA"/>
    <w:rsid w:val="00972C53"/>
    <w:rsid w:val="00976ABB"/>
    <w:rsid w:val="00984E51"/>
    <w:rsid w:val="00985F3B"/>
    <w:rsid w:val="00987882"/>
    <w:rsid w:val="00995395"/>
    <w:rsid w:val="009B19AD"/>
    <w:rsid w:val="009B65A6"/>
    <w:rsid w:val="009C0622"/>
    <w:rsid w:val="009C67D0"/>
    <w:rsid w:val="009D182F"/>
    <w:rsid w:val="009D6165"/>
    <w:rsid w:val="009D783D"/>
    <w:rsid w:val="009E7149"/>
    <w:rsid w:val="009E7424"/>
    <w:rsid w:val="009F2DE9"/>
    <w:rsid w:val="009F4129"/>
    <w:rsid w:val="009F6AF8"/>
    <w:rsid w:val="00A01FBF"/>
    <w:rsid w:val="00A023C3"/>
    <w:rsid w:val="00A071C1"/>
    <w:rsid w:val="00A107E4"/>
    <w:rsid w:val="00A11A35"/>
    <w:rsid w:val="00A13991"/>
    <w:rsid w:val="00A17C5D"/>
    <w:rsid w:val="00A2079C"/>
    <w:rsid w:val="00A21BED"/>
    <w:rsid w:val="00A238FB"/>
    <w:rsid w:val="00A23E81"/>
    <w:rsid w:val="00A25006"/>
    <w:rsid w:val="00A25EBF"/>
    <w:rsid w:val="00A302D4"/>
    <w:rsid w:val="00A35832"/>
    <w:rsid w:val="00A409D7"/>
    <w:rsid w:val="00A415A6"/>
    <w:rsid w:val="00A41C52"/>
    <w:rsid w:val="00A446A1"/>
    <w:rsid w:val="00A44D98"/>
    <w:rsid w:val="00A50A97"/>
    <w:rsid w:val="00A6735C"/>
    <w:rsid w:val="00A763EA"/>
    <w:rsid w:val="00A90004"/>
    <w:rsid w:val="00A922A5"/>
    <w:rsid w:val="00A932C1"/>
    <w:rsid w:val="00A94798"/>
    <w:rsid w:val="00AA21FE"/>
    <w:rsid w:val="00AC7C0D"/>
    <w:rsid w:val="00AD09D6"/>
    <w:rsid w:val="00AE4664"/>
    <w:rsid w:val="00AF0844"/>
    <w:rsid w:val="00AF4B08"/>
    <w:rsid w:val="00B013FF"/>
    <w:rsid w:val="00B01DC9"/>
    <w:rsid w:val="00B10C16"/>
    <w:rsid w:val="00B13C97"/>
    <w:rsid w:val="00B156F5"/>
    <w:rsid w:val="00B1596A"/>
    <w:rsid w:val="00B2591B"/>
    <w:rsid w:val="00B27FB8"/>
    <w:rsid w:val="00B30997"/>
    <w:rsid w:val="00B31B60"/>
    <w:rsid w:val="00B340AD"/>
    <w:rsid w:val="00B372A6"/>
    <w:rsid w:val="00B47134"/>
    <w:rsid w:val="00B504EB"/>
    <w:rsid w:val="00B53757"/>
    <w:rsid w:val="00B6457A"/>
    <w:rsid w:val="00B65ADF"/>
    <w:rsid w:val="00B70827"/>
    <w:rsid w:val="00B749C0"/>
    <w:rsid w:val="00B83C5A"/>
    <w:rsid w:val="00B85568"/>
    <w:rsid w:val="00B85C61"/>
    <w:rsid w:val="00B93787"/>
    <w:rsid w:val="00B939A0"/>
    <w:rsid w:val="00B93FC4"/>
    <w:rsid w:val="00BA0A34"/>
    <w:rsid w:val="00BA3829"/>
    <w:rsid w:val="00BB5455"/>
    <w:rsid w:val="00BB593A"/>
    <w:rsid w:val="00BB7376"/>
    <w:rsid w:val="00BC2497"/>
    <w:rsid w:val="00BC43DE"/>
    <w:rsid w:val="00BC7676"/>
    <w:rsid w:val="00BD4229"/>
    <w:rsid w:val="00BD79A8"/>
    <w:rsid w:val="00BE4ED8"/>
    <w:rsid w:val="00BF03F5"/>
    <w:rsid w:val="00BF2FA8"/>
    <w:rsid w:val="00BF52FC"/>
    <w:rsid w:val="00C11CB9"/>
    <w:rsid w:val="00C1389B"/>
    <w:rsid w:val="00C207A2"/>
    <w:rsid w:val="00C240C5"/>
    <w:rsid w:val="00C271D1"/>
    <w:rsid w:val="00C46C69"/>
    <w:rsid w:val="00C63C7D"/>
    <w:rsid w:val="00C7502C"/>
    <w:rsid w:val="00C751BA"/>
    <w:rsid w:val="00C771AB"/>
    <w:rsid w:val="00C77AA3"/>
    <w:rsid w:val="00C86489"/>
    <w:rsid w:val="00C86AFC"/>
    <w:rsid w:val="00C8723D"/>
    <w:rsid w:val="00C91796"/>
    <w:rsid w:val="00C94C3B"/>
    <w:rsid w:val="00C95E87"/>
    <w:rsid w:val="00C96508"/>
    <w:rsid w:val="00CC2D46"/>
    <w:rsid w:val="00CD353B"/>
    <w:rsid w:val="00CE3753"/>
    <w:rsid w:val="00CE61D6"/>
    <w:rsid w:val="00CE6DD0"/>
    <w:rsid w:val="00CF2798"/>
    <w:rsid w:val="00CF400C"/>
    <w:rsid w:val="00CF6C92"/>
    <w:rsid w:val="00CF777D"/>
    <w:rsid w:val="00D005B8"/>
    <w:rsid w:val="00D053D9"/>
    <w:rsid w:val="00D07DBA"/>
    <w:rsid w:val="00D15DA1"/>
    <w:rsid w:val="00D17205"/>
    <w:rsid w:val="00D231CF"/>
    <w:rsid w:val="00D265DE"/>
    <w:rsid w:val="00D45830"/>
    <w:rsid w:val="00D51E6B"/>
    <w:rsid w:val="00D64BED"/>
    <w:rsid w:val="00D67F64"/>
    <w:rsid w:val="00D748E5"/>
    <w:rsid w:val="00D76463"/>
    <w:rsid w:val="00D834D6"/>
    <w:rsid w:val="00D85A7D"/>
    <w:rsid w:val="00D8620B"/>
    <w:rsid w:val="00D86374"/>
    <w:rsid w:val="00D93A73"/>
    <w:rsid w:val="00D93D88"/>
    <w:rsid w:val="00DA3E7F"/>
    <w:rsid w:val="00DB23A6"/>
    <w:rsid w:val="00DB7755"/>
    <w:rsid w:val="00DC2C27"/>
    <w:rsid w:val="00DE3E94"/>
    <w:rsid w:val="00DE5D0A"/>
    <w:rsid w:val="00DE6D60"/>
    <w:rsid w:val="00DF2F0F"/>
    <w:rsid w:val="00DF4647"/>
    <w:rsid w:val="00E2435A"/>
    <w:rsid w:val="00E306CE"/>
    <w:rsid w:val="00E41952"/>
    <w:rsid w:val="00E41B83"/>
    <w:rsid w:val="00E50A6F"/>
    <w:rsid w:val="00E54197"/>
    <w:rsid w:val="00E565A5"/>
    <w:rsid w:val="00E578A1"/>
    <w:rsid w:val="00E63A7E"/>
    <w:rsid w:val="00E65FDF"/>
    <w:rsid w:val="00E71F32"/>
    <w:rsid w:val="00E726AD"/>
    <w:rsid w:val="00E74C34"/>
    <w:rsid w:val="00E75B17"/>
    <w:rsid w:val="00E83AFC"/>
    <w:rsid w:val="00E8718B"/>
    <w:rsid w:val="00E93E8C"/>
    <w:rsid w:val="00E953C7"/>
    <w:rsid w:val="00EA3AF9"/>
    <w:rsid w:val="00EA4CF2"/>
    <w:rsid w:val="00EA510A"/>
    <w:rsid w:val="00EB3679"/>
    <w:rsid w:val="00EC07DB"/>
    <w:rsid w:val="00EC50B7"/>
    <w:rsid w:val="00EE08D6"/>
    <w:rsid w:val="00EF4FFC"/>
    <w:rsid w:val="00EF58BF"/>
    <w:rsid w:val="00F01A2C"/>
    <w:rsid w:val="00F028B7"/>
    <w:rsid w:val="00F144C7"/>
    <w:rsid w:val="00F214DB"/>
    <w:rsid w:val="00F35ED5"/>
    <w:rsid w:val="00F46D07"/>
    <w:rsid w:val="00F5139F"/>
    <w:rsid w:val="00F5703D"/>
    <w:rsid w:val="00F61E38"/>
    <w:rsid w:val="00F74AEC"/>
    <w:rsid w:val="00F82546"/>
    <w:rsid w:val="00F83215"/>
    <w:rsid w:val="00F912A4"/>
    <w:rsid w:val="00F91A2A"/>
    <w:rsid w:val="00F92C58"/>
    <w:rsid w:val="00F9501D"/>
    <w:rsid w:val="00FA04AB"/>
    <w:rsid w:val="00FB2BB4"/>
    <w:rsid w:val="00FB2FBF"/>
    <w:rsid w:val="00FC7EC9"/>
    <w:rsid w:val="00FD0730"/>
    <w:rsid w:val="00FD1752"/>
    <w:rsid w:val="00FE0566"/>
    <w:rsid w:val="00FF3278"/>
    <w:rsid w:val="00FF5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A63A27"/>
  <w15:chartTrackingRefBased/>
  <w15:docId w15:val="{0F6B5B19-45DD-4796-A764-431025D1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057557"/>
    <w:rPr>
      <w:sz w:val="24"/>
      <w:szCs w:val="24"/>
      <w:lang w:val="en-GB" w:eastAsia="en-US"/>
    </w:rPr>
  </w:style>
  <w:style w:type="paragraph" w:styleId="Heading1">
    <w:name w:val="heading 1"/>
    <w:basedOn w:val="Normal"/>
    <w:next w:val="Normal"/>
    <w:link w:val="Heading1Char"/>
    <w:qFormat/>
    <w:rsid w:val="00057557"/>
    <w:pPr>
      <w:keepNext/>
      <w:spacing w:before="240" w:after="60"/>
      <w:outlineLvl w:val="0"/>
    </w:pPr>
    <w:rPr>
      <w:rFonts w:ascii="Cambria" w:hAnsi="Cambria"/>
      <w:b/>
      <w:bCs/>
      <w:kern w:val="32"/>
      <w:sz w:val="32"/>
      <w:szCs w:val="32"/>
      <w:lang w:eastAsia="x-none"/>
    </w:rPr>
  </w:style>
  <w:style w:type="paragraph" w:styleId="Heading4">
    <w:name w:val="heading 4"/>
    <w:basedOn w:val="Normal"/>
    <w:next w:val="Normal"/>
    <w:link w:val="Heading4Char"/>
    <w:semiHidden/>
    <w:unhideWhenUsed/>
    <w:qFormat/>
    <w:rsid w:val="003E65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7557"/>
    <w:pPr>
      <w:widowControl w:val="0"/>
      <w:jc w:val="center"/>
    </w:pPr>
    <w:rPr>
      <w:b/>
      <w:szCs w:val="20"/>
    </w:rPr>
  </w:style>
  <w:style w:type="paragraph" w:styleId="Header">
    <w:name w:val="header"/>
    <w:basedOn w:val="Normal"/>
    <w:link w:val="HeaderChar"/>
    <w:rsid w:val="00057557"/>
    <w:pPr>
      <w:tabs>
        <w:tab w:val="center" w:pos="4320"/>
        <w:tab w:val="right" w:pos="8640"/>
      </w:tabs>
    </w:pPr>
  </w:style>
  <w:style w:type="character" w:customStyle="1" w:styleId="HeaderChar">
    <w:name w:val="Header Char"/>
    <w:link w:val="Header"/>
    <w:rsid w:val="00057557"/>
    <w:rPr>
      <w:sz w:val="24"/>
      <w:szCs w:val="24"/>
      <w:lang w:val="en-GB" w:eastAsia="en-US" w:bidi="ar-SA"/>
    </w:rPr>
  </w:style>
  <w:style w:type="character" w:styleId="Hyperlink">
    <w:name w:val="Hyperlink"/>
    <w:rsid w:val="00057557"/>
    <w:rPr>
      <w:color w:val="0000FF"/>
      <w:u w:val="single"/>
    </w:rPr>
  </w:style>
  <w:style w:type="paragraph" w:styleId="Footer">
    <w:name w:val="footer"/>
    <w:basedOn w:val="Normal"/>
    <w:link w:val="FooterChar"/>
    <w:rsid w:val="00057557"/>
    <w:pPr>
      <w:tabs>
        <w:tab w:val="center" w:pos="4153"/>
        <w:tab w:val="right" w:pos="8306"/>
      </w:tabs>
    </w:pPr>
  </w:style>
  <w:style w:type="character" w:customStyle="1" w:styleId="Heading1Char">
    <w:name w:val="Heading 1 Char"/>
    <w:link w:val="Heading1"/>
    <w:rsid w:val="00057557"/>
    <w:rPr>
      <w:rFonts w:ascii="Cambria" w:hAnsi="Cambria"/>
      <w:b/>
      <w:bCs/>
      <w:kern w:val="32"/>
      <w:sz w:val="32"/>
      <w:szCs w:val="32"/>
      <w:lang w:val="en-GB" w:eastAsia="x-none" w:bidi="ar-SA"/>
    </w:rPr>
  </w:style>
  <w:style w:type="paragraph" w:styleId="BodyTextIndent">
    <w:name w:val="Body Text Indent"/>
    <w:basedOn w:val="Normal"/>
    <w:link w:val="BodyTextIndentChar"/>
    <w:semiHidden/>
    <w:unhideWhenUsed/>
    <w:rsid w:val="00057557"/>
    <w:pPr>
      <w:spacing w:after="120"/>
      <w:ind w:left="283"/>
    </w:pPr>
    <w:rPr>
      <w:lang w:eastAsia="x-none"/>
    </w:rPr>
  </w:style>
  <w:style w:type="character" w:customStyle="1" w:styleId="BodyTextIndentChar">
    <w:name w:val="Body Text Indent Char"/>
    <w:link w:val="BodyTextIndent"/>
    <w:semiHidden/>
    <w:rsid w:val="00057557"/>
    <w:rPr>
      <w:sz w:val="24"/>
      <w:szCs w:val="24"/>
      <w:lang w:val="en-GB" w:eastAsia="x-none" w:bidi="ar-SA"/>
    </w:rPr>
  </w:style>
  <w:style w:type="paragraph" w:styleId="BalloonText">
    <w:name w:val="Balloon Text"/>
    <w:basedOn w:val="Normal"/>
    <w:semiHidden/>
    <w:rsid w:val="00670F7C"/>
    <w:rPr>
      <w:rFonts w:ascii="Tahoma" w:hAnsi="Tahoma" w:cs="Tahoma"/>
      <w:sz w:val="16"/>
      <w:szCs w:val="16"/>
    </w:rPr>
  </w:style>
  <w:style w:type="character" w:customStyle="1" w:styleId="spelle">
    <w:name w:val="spelle"/>
    <w:basedOn w:val="DefaultParagraphFont"/>
    <w:rsid w:val="004A1B55"/>
  </w:style>
  <w:style w:type="character" w:styleId="CommentReference">
    <w:name w:val="annotation reference"/>
    <w:semiHidden/>
    <w:rsid w:val="00F92C58"/>
    <w:rPr>
      <w:sz w:val="16"/>
      <w:szCs w:val="16"/>
    </w:rPr>
  </w:style>
  <w:style w:type="paragraph" w:styleId="CommentText">
    <w:name w:val="annotation text"/>
    <w:basedOn w:val="Normal"/>
    <w:semiHidden/>
    <w:rsid w:val="00F92C58"/>
    <w:rPr>
      <w:sz w:val="20"/>
      <w:szCs w:val="20"/>
    </w:rPr>
  </w:style>
  <w:style w:type="paragraph" w:styleId="CommentSubject">
    <w:name w:val="annotation subject"/>
    <w:basedOn w:val="CommentText"/>
    <w:next w:val="CommentText"/>
    <w:semiHidden/>
    <w:rsid w:val="00F92C58"/>
    <w:rPr>
      <w:b/>
      <w:bCs/>
    </w:rPr>
  </w:style>
  <w:style w:type="character" w:customStyle="1" w:styleId="FooterChar">
    <w:name w:val="Footer Char"/>
    <w:link w:val="Footer"/>
    <w:rsid w:val="00857299"/>
    <w:rPr>
      <w:sz w:val="24"/>
      <w:szCs w:val="24"/>
      <w:lang w:val="en-GB" w:eastAsia="en-US"/>
    </w:rPr>
  </w:style>
  <w:style w:type="character" w:customStyle="1" w:styleId="Heading4Char">
    <w:name w:val="Heading 4 Char"/>
    <w:link w:val="Heading4"/>
    <w:semiHidden/>
    <w:rsid w:val="003E652E"/>
    <w:rPr>
      <w:rFonts w:ascii="Calibri" w:eastAsia="Times New Roman" w:hAnsi="Calibri" w:cs="Times New Roman"/>
      <w:b/>
      <w:bCs/>
      <w:sz w:val="28"/>
      <w:szCs w:val="28"/>
      <w:lang w:val="en-GB" w:eastAsia="en-US"/>
    </w:rPr>
  </w:style>
  <w:style w:type="paragraph" w:styleId="FootnoteText">
    <w:name w:val="footnote text"/>
    <w:basedOn w:val="Normal"/>
    <w:link w:val="FootnoteTextChar"/>
    <w:rsid w:val="00934DFA"/>
    <w:rPr>
      <w:sz w:val="20"/>
      <w:szCs w:val="20"/>
    </w:rPr>
  </w:style>
  <w:style w:type="character" w:customStyle="1" w:styleId="FootnoteTextChar">
    <w:name w:val="Footnote Text Char"/>
    <w:basedOn w:val="DefaultParagraphFont"/>
    <w:link w:val="FootnoteText"/>
    <w:rsid w:val="00934DFA"/>
    <w:rPr>
      <w:lang w:val="en-GB" w:eastAsia="en-US"/>
    </w:rPr>
  </w:style>
  <w:style w:type="character" w:styleId="FootnoteReference">
    <w:name w:val="footnote reference"/>
    <w:basedOn w:val="DefaultParagraphFont"/>
    <w:rsid w:val="00934DFA"/>
    <w:rPr>
      <w:vertAlign w:val="superscript"/>
    </w:rPr>
  </w:style>
  <w:style w:type="paragraph" w:styleId="ListParagraph">
    <w:name w:val="List Paragraph"/>
    <w:basedOn w:val="Normal"/>
    <w:uiPriority w:val="34"/>
    <w:qFormat/>
    <w:rsid w:val="007A4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9555">
      <w:bodyDiv w:val="1"/>
      <w:marLeft w:val="0"/>
      <w:marRight w:val="0"/>
      <w:marTop w:val="0"/>
      <w:marBottom w:val="0"/>
      <w:divBdr>
        <w:top w:val="none" w:sz="0" w:space="0" w:color="auto"/>
        <w:left w:val="none" w:sz="0" w:space="0" w:color="auto"/>
        <w:bottom w:val="none" w:sz="0" w:space="0" w:color="auto"/>
        <w:right w:val="none" w:sz="0" w:space="0" w:color="auto"/>
      </w:divBdr>
      <w:divsChild>
        <w:div w:id="1133984258">
          <w:marLeft w:val="0"/>
          <w:marRight w:val="0"/>
          <w:marTop w:val="0"/>
          <w:marBottom w:val="0"/>
          <w:divBdr>
            <w:top w:val="none" w:sz="0" w:space="0" w:color="auto"/>
            <w:left w:val="none" w:sz="0" w:space="0" w:color="auto"/>
            <w:bottom w:val="none" w:sz="0" w:space="0" w:color="auto"/>
            <w:right w:val="none" w:sz="0" w:space="0" w:color="auto"/>
          </w:divBdr>
        </w:div>
      </w:divsChild>
    </w:div>
    <w:div w:id="895704104">
      <w:bodyDiv w:val="1"/>
      <w:marLeft w:val="0"/>
      <w:marRight w:val="0"/>
      <w:marTop w:val="0"/>
      <w:marBottom w:val="0"/>
      <w:divBdr>
        <w:top w:val="none" w:sz="0" w:space="0" w:color="auto"/>
        <w:left w:val="none" w:sz="0" w:space="0" w:color="auto"/>
        <w:bottom w:val="none" w:sz="0" w:space="0" w:color="auto"/>
        <w:right w:val="none" w:sz="0" w:space="0" w:color="auto"/>
      </w:divBdr>
      <w:divsChild>
        <w:div w:id="1290087572">
          <w:marLeft w:val="0"/>
          <w:marRight w:val="0"/>
          <w:marTop w:val="0"/>
          <w:marBottom w:val="0"/>
          <w:divBdr>
            <w:top w:val="none" w:sz="0" w:space="0" w:color="auto"/>
            <w:left w:val="none" w:sz="0" w:space="0" w:color="auto"/>
            <w:bottom w:val="none" w:sz="0" w:space="0" w:color="auto"/>
            <w:right w:val="none" w:sz="0" w:space="0" w:color="auto"/>
          </w:divBdr>
        </w:div>
      </w:divsChild>
    </w:div>
    <w:div w:id="1452935068">
      <w:bodyDiv w:val="1"/>
      <w:marLeft w:val="0"/>
      <w:marRight w:val="0"/>
      <w:marTop w:val="0"/>
      <w:marBottom w:val="0"/>
      <w:divBdr>
        <w:top w:val="none" w:sz="0" w:space="0" w:color="auto"/>
        <w:left w:val="none" w:sz="0" w:space="0" w:color="auto"/>
        <w:bottom w:val="none" w:sz="0" w:space="0" w:color="auto"/>
        <w:right w:val="none" w:sz="0" w:space="0" w:color="auto"/>
      </w:divBdr>
      <w:divsChild>
        <w:div w:id="21054814">
          <w:marLeft w:val="0"/>
          <w:marRight w:val="0"/>
          <w:marTop w:val="0"/>
          <w:marBottom w:val="0"/>
          <w:divBdr>
            <w:top w:val="none" w:sz="0" w:space="0" w:color="auto"/>
            <w:left w:val="none" w:sz="0" w:space="0" w:color="auto"/>
            <w:bottom w:val="none" w:sz="0" w:space="0" w:color="auto"/>
            <w:right w:val="none" w:sz="0" w:space="0" w:color="auto"/>
          </w:divBdr>
        </w:div>
      </w:divsChild>
    </w:div>
    <w:div w:id="1796019592">
      <w:bodyDiv w:val="1"/>
      <w:marLeft w:val="0"/>
      <w:marRight w:val="0"/>
      <w:marTop w:val="0"/>
      <w:marBottom w:val="0"/>
      <w:divBdr>
        <w:top w:val="none" w:sz="0" w:space="0" w:color="auto"/>
        <w:left w:val="none" w:sz="0" w:space="0" w:color="auto"/>
        <w:bottom w:val="none" w:sz="0" w:space="0" w:color="auto"/>
        <w:right w:val="none" w:sz="0" w:space="0" w:color="auto"/>
      </w:divBdr>
      <w:divsChild>
        <w:div w:id="146557399">
          <w:marLeft w:val="0"/>
          <w:marRight w:val="0"/>
          <w:marTop w:val="0"/>
          <w:marBottom w:val="0"/>
          <w:divBdr>
            <w:top w:val="none" w:sz="0" w:space="0" w:color="auto"/>
            <w:left w:val="none" w:sz="0" w:space="0" w:color="auto"/>
            <w:bottom w:val="none" w:sz="0" w:space="0" w:color="auto"/>
            <w:right w:val="none" w:sz="0" w:space="0" w:color="auto"/>
          </w:divBdr>
        </w:div>
      </w:divsChild>
    </w:div>
    <w:div w:id="1866282261">
      <w:bodyDiv w:val="1"/>
      <w:marLeft w:val="0"/>
      <w:marRight w:val="0"/>
      <w:marTop w:val="0"/>
      <w:marBottom w:val="0"/>
      <w:divBdr>
        <w:top w:val="none" w:sz="0" w:space="0" w:color="auto"/>
        <w:left w:val="none" w:sz="0" w:space="0" w:color="auto"/>
        <w:bottom w:val="none" w:sz="0" w:space="0" w:color="auto"/>
        <w:right w:val="none" w:sz="0" w:space="0" w:color="auto"/>
      </w:divBdr>
      <w:divsChild>
        <w:div w:id="44997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35B8-5DE7-413D-9E7F-C1730745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3565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Ministru kabineta sēdes protokollēmums</dc:subject>
  <dc:creator>Normunds Freibergs</dc:creator>
  <cp:keywords>IInformatīvais ziņojums “Par papildu valsts budžeta saistību uzņemšanos Eiropas Komisijas līdzfinansētā grantu projekta “Par standartu tulkošanu” īstenošanai”</cp:keywords>
  <cp:lastModifiedBy>Līga Dreijalte</cp:lastModifiedBy>
  <cp:revision>3</cp:revision>
  <cp:lastPrinted>2018-04-26T11:36:00Z</cp:lastPrinted>
  <dcterms:created xsi:type="dcterms:W3CDTF">2019-07-15T11:43:00Z</dcterms:created>
  <dcterms:modified xsi:type="dcterms:W3CDTF">2019-07-15T13:12:00Z</dcterms:modified>
</cp:coreProperties>
</file>