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12B66" w:rsidRDefault="007116C7" w:rsidP="007713DA">
      <w:pPr>
        <w:pStyle w:val="naisnod"/>
        <w:spacing w:before="0" w:after="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7D3C89" w:rsidRDefault="000F6F6F" w:rsidP="007713DA">
            <w:pPr>
              <w:jc w:val="center"/>
              <w:rPr>
                <w:b/>
              </w:rPr>
            </w:pPr>
            <w:r w:rsidRPr="007D3C89">
              <w:rPr>
                <w:b/>
              </w:rPr>
              <w:t xml:space="preserve">Ministru kabineta rīkojuma projektam “Par informācijas sabiedrības attīstības pamatnostādņu ieviešanu publiskās pārvaldes informācijas sistēmu jomā (mērķarhitektūras 54.0 versija – Būvniecības procesu un </w:t>
            </w:r>
            <w:r w:rsidR="00A372A1">
              <w:rPr>
                <w:b/>
              </w:rPr>
              <w:t xml:space="preserve">IS </w:t>
            </w:r>
            <w:r w:rsidRPr="007D3C89">
              <w:rPr>
                <w:b/>
              </w:rPr>
              <w:t>attīstība (2.kārta)</w:t>
            </w:r>
            <w:r w:rsidR="007D3C89">
              <w:rPr>
                <w:b/>
              </w:rPr>
              <w:t>)</w:t>
            </w:r>
            <w:r w:rsidRPr="007D3C89">
              <w:rPr>
                <w:b/>
              </w:rPr>
              <w:t>”</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6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802"/>
        <w:gridCol w:w="3435"/>
        <w:gridCol w:w="3544"/>
        <w:gridCol w:w="1701"/>
        <w:gridCol w:w="2502"/>
      </w:tblGrid>
      <w:tr w:rsidR="005F4BFD" w:rsidRPr="00712B66" w:rsidTr="000C1D0A">
        <w:tc>
          <w:tcPr>
            <w:tcW w:w="701"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w:t>
            </w:r>
            <w:r w:rsidR="00D64FB0">
              <w:t> </w:t>
            </w:r>
            <w:r w:rsidRPr="00712B66">
              <w:t>k.</w:t>
            </w:r>
          </w:p>
        </w:tc>
        <w:tc>
          <w:tcPr>
            <w:tcW w:w="2802"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435"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1701"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2502"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0C1D0A">
        <w:tc>
          <w:tcPr>
            <w:tcW w:w="701"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2802" w:type="dxa"/>
            <w:tcBorders>
              <w:top w:val="single" w:sz="6" w:space="0" w:color="000000"/>
              <w:left w:val="single" w:sz="6" w:space="0" w:color="000000"/>
              <w:bottom w:val="single" w:sz="6" w:space="0" w:color="000000"/>
              <w:right w:val="single" w:sz="6" w:space="0" w:color="000000"/>
            </w:tcBorders>
          </w:tcPr>
          <w:p w:rsidR="005F4BFD" w:rsidRPr="008A36C9" w:rsidRDefault="008A36C9" w:rsidP="00D9097D">
            <w:pPr>
              <w:pStyle w:val="naisc"/>
              <w:spacing w:before="0" w:after="0"/>
              <w:ind w:hanging="1"/>
              <w:rPr>
                <w:sz w:val="20"/>
                <w:szCs w:val="20"/>
              </w:rPr>
            </w:pPr>
            <w:r w:rsidRPr="008A36C9">
              <w:rPr>
                <w:sz w:val="20"/>
                <w:szCs w:val="20"/>
              </w:rPr>
              <w:t>2</w:t>
            </w:r>
          </w:p>
        </w:tc>
        <w:tc>
          <w:tcPr>
            <w:tcW w:w="3435" w:type="dxa"/>
            <w:tcBorders>
              <w:top w:val="single" w:sz="6" w:space="0" w:color="000000"/>
              <w:left w:val="single" w:sz="6" w:space="0" w:color="000000"/>
              <w:bottom w:val="single" w:sz="6" w:space="0" w:color="000000"/>
              <w:right w:val="single" w:sz="6" w:space="0" w:color="000000"/>
            </w:tcBorders>
          </w:tcPr>
          <w:p w:rsidR="005F4BFD" w:rsidRPr="008A36C9" w:rsidRDefault="008A36C9" w:rsidP="00D9097D">
            <w:pPr>
              <w:pStyle w:val="naisc"/>
              <w:spacing w:before="0" w:after="0"/>
              <w:rPr>
                <w:sz w:val="20"/>
                <w:szCs w:val="20"/>
              </w:rPr>
            </w:pPr>
            <w:r w:rsidRPr="008A36C9">
              <w:rPr>
                <w:sz w:val="20"/>
                <w:szCs w:val="20"/>
              </w:rPr>
              <w:t>3</w:t>
            </w:r>
          </w:p>
        </w:tc>
        <w:tc>
          <w:tcPr>
            <w:tcW w:w="3544" w:type="dxa"/>
            <w:tcBorders>
              <w:top w:val="single" w:sz="6" w:space="0" w:color="000000"/>
              <w:left w:val="single" w:sz="6" w:space="0" w:color="000000"/>
              <w:bottom w:val="single" w:sz="6" w:space="0" w:color="000000"/>
              <w:right w:val="single" w:sz="6" w:space="0" w:color="000000"/>
            </w:tcBorders>
          </w:tcPr>
          <w:p w:rsidR="005F4BFD" w:rsidRPr="008A36C9" w:rsidRDefault="008A36C9" w:rsidP="00D9097D">
            <w:pPr>
              <w:pStyle w:val="naisc"/>
              <w:spacing w:before="0" w:after="0"/>
              <w:rPr>
                <w:sz w:val="20"/>
                <w:szCs w:val="20"/>
              </w:rPr>
            </w:pPr>
            <w:r w:rsidRPr="008A36C9">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2502"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71113F" w:rsidRPr="00712B66" w:rsidTr="000C1D0A">
        <w:tc>
          <w:tcPr>
            <w:tcW w:w="701" w:type="dxa"/>
            <w:tcBorders>
              <w:left w:val="single" w:sz="6" w:space="0" w:color="000000"/>
              <w:bottom w:val="single" w:sz="4" w:space="0" w:color="auto"/>
              <w:right w:val="single" w:sz="6" w:space="0" w:color="000000"/>
            </w:tcBorders>
          </w:tcPr>
          <w:p w:rsidR="0071113F" w:rsidRPr="00712B66" w:rsidRDefault="000C1D0A" w:rsidP="000C1D0A">
            <w:pPr>
              <w:pStyle w:val="naisc"/>
              <w:spacing w:before="0" w:after="0"/>
              <w:ind w:firstLine="22"/>
            </w:pPr>
            <w:r>
              <w:t>1</w:t>
            </w:r>
          </w:p>
        </w:tc>
        <w:tc>
          <w:tcPr>
            <w:tcW w:w="2802" w:type="dxa"/>
            <w:tcBorders>
              <w:left w:val="single" w:sz="6" w:space="0" w:color="000000"/>
              <w:bottom w:val="single" w:sz="4" w:space="0" w:color="auto"/>
              <w:right w:val="single" w:sz="6" w:space="0" w:color="000000"/>
            </w:tcBorders>
          </w:tcPr>
          <w:p w:rsidR="0071113F" w:rsidRDefault="00707A08" w:rsidP="00707A08">
            <w:pPr>
              <w:pStyle w:val="naisc"/>
              <w:spacing w:before="0" w:after="0"/>
              <w:jc w:val="both"/>
            </w:pPr>
            <w:r>
              <w:t>Anotācija</w:t>
            </w:r>
          </w:p>
          <w:p w:rsidR="00707A08" w:rsidRDefault="00707A08" w:rsidP="00707A08">
            <w:pPr>
              <w:pStyle w:val="naisc"/>
              <w:spacing w:before="0" w:after="0"/>
              <w:jc w:val="both"/>
            </w:pPr>
            <w:r>
              <w:t>“Darbības projekta mērķu sasniegšanai:</w:t>
            </w:r>
          </w:p>
          <w:p w:rsidR="00707A08" w:rsidRPr="00712B66" w:rsidRDefault="00707A08" w:rsidP="00707A08">
            <w:pPr>
              <w:pStyle w:val="naisc"/>
              <w:spacing w:before="0" w:after="0"/>
              <w:jc w:val="both"/>
            </w:pPr>
            <w:r w:rsidRPr="00707A08">
              <w:t>•</w:t>
            </w:r>
            <w:r w:rsidRPr="00707A08">
              <w:tab/>
              <w:t>tiks veikta sabiedrības informēšana un BIS popularizēšana par esošo un jauno funkciju izmantošanu;</w:t>
            </w:r>
            <w:r>
              <w:t>”</w:t>
            </w:r>
          </w:p>
        </w:tc>
        <w:tc>
          <w:tcPr>
            <w:tcW w:w="3435" w:type="dxa"/>
            <w:tcBorders>
              <w:left w:val="single" w:sz="6" w:space="0" w:color="000000"/>
              <w:bottom w:val="single" w:sz="4" w:space="0" w:color="auto"/>
              <w:right w:val="single" w:sz="6" w:space="0" w:color="000000"/>
            </w:tcBorders>
          </w:tcPr>
          <w:p w:rsidR="0071113F" w:rsidRDefault="000C1D0A" w:rsidP="00107CBA">
            <w:pPr>
              <w:pStyle w:val="naisc"/>
              <w:spacing w:before="0" w:after="0"/>
              <w:rPr>
                <w:b/>
              </w:rPr>
            </w:pPr>
            <w:r>
              <w:rPr>
                <w:b/>
              </w:rPr>
              <w:t>Latvijas Pašvaldību savienības 10.06.2019.atzinums</w:t>
            </w:r>
          </w:p>
          <w:p w:rsidR="000C1D0A" w:rsidRPr="000C1D0A" w:rsidRDefault="000C1D0A" w:rsidP="000C1D0A">
            <w:pPr>
              <w:pStyle w:val="naisc"/>
              <w:spacing w:before="0" w:after="0"/>
              <w:jc w:val="both"/>
            </w:pPr>
            <w:r w:rsidRPr="000C1D0A">
              <w:t xml:space="preserve">Projekts (anotācijas 4. lpp.; datne: EMAnot_150519_BISII) paredz svītrot šādu darbību projekta mērķu sasniegšanai: “tiks veikta sabiedrības informēšana un BIS popularizēšana par esošo un jauno funkciju izmantošanu”. Būvvalde uzskata, ka sabiedrības informēšana par Sistēmas funkcionalitāti ir ļoti svarīga. Uzsākot šogad Sistēmas lietošanu, Būvvalde ir </w:t>
            </w:r>
            <w:r w:rsidRPr="000C1D0A">
              <w:lastRenderedPageBreak/>
              <w:t>konstatējusi, ka sabiedrībai un būvspeciālistiem nav pietiekamas informācijas par Sistēmas funkcionalitāti, kā rezultātā ir vērojams kritiski zems Sistēmas lietošanas pieprasījums. Būvvalde uzsver, ka ir jāinformē ne vien par ieviestajām izmaiņām Sistēmā, bet arī par Sistēmas lietošanas priekšrocībām.</w:t>
            </w:r>
          </w:p>
        </w:tc>
        <w:tc>
          <w:tcPr>
            <w:tcW w:w="3544" w:type="dxa"/>
            <w:tcBorders>
              <w:left w:val="single" w:sz="6" w:space="0" w:color="000000"/>
              <w:bottom w:val="single" w:sz="4" w:space="0" w:color="auto"/>
              <w:right w:val="single" w:sz="6" w:space="0" w:color="000000"/>
            </w:tcBorders>
          </w:tcPr>
          <w:p w:rsidR="00707A08" w:rsidRPr="00707A08" w:rsidRDefault="00707A08" w:rsidP="00707A08">
            <w:pPr>
              <w:pStyle w:val="naisc"/>
              <w:spacing w:before="0" w:after="0"/>
              <w:rPr>
                <w:b/>
              </w:rPr>
            </w:pPr>
            <w:r>
              <w:rPr>
                <w:b/>
              </w:rPr>
              <w:lastRenderedPageBreak/>
              <w:t>Nav ņemts vērā</w:t>
            </w:r>
          </w:p>
          <w:p w:rsidR="000A25F5" w:rsidRDefault="00D61F65" w:rsidP="000A25F5">
            <w:pPr>
              <w:pStyle w:val="naisc"/>
              <w:spacing w:before="0" w:after="0"/>
              <w:jc w:val="both"/>
            </w:pPr>
            <w:r w:rsidRPr="00D61F65">
              <w:t xml:space="preserve">Projektā publicitātes pasākumi par projekta īstenošanu </w:t>
            </w:r>
            <w:r>
              <w:t>tiks nodrošināti s</w:t>
            </w:r>
            <w:r w:rsidR="00707A08">
              <w:t xml:space="preserve">askaņā ar </w:t>
            </w:r>
            <w:r w:rsidRPr="00D61F65">
              <w:t>2015. gada 17. novembr</w:t>
            </w:r>
            <w:r>
              <w:t>a</w:t>
            </w:r>
            <w:r w:rsidRPr="00D61F65">
              <w:t xml:space="preserve"> Ministru kabineta noteikum</w:t>
            </w:r>
            <w:r>
              <w:t>u</w:t>
            </w:r>
            <w:r w:rsidRPr="00D61F65">
              <w:t xml:space="preserve"> Nr. 653 </w:t>
            </w:r>
            <w:r>
              <w:t>“</w:t>
            </w:r>
            <w:r w:rsidRPr="00D61F65">
              <w:t xml:space="preserve">Darbības programmas "Izaugsme un nodarbinātība" 2.2.1. specifiskā atbalsta mērķa "Nodrošināt publisko datu atkalizmantošanas pieaugumu un efektīvu publiskās pārvaldes un privātā sektora mijiedarbību" 2.2.1.1. pasākuma "Centralizētu publiskās pārvaldes </w:t>
            </w:r>
            <w:r w:rsidRPr="00D61F65">
              <w:lastRenderedPageBreak/>
              <w:t>IKT platformu izveide, publiskās pārvaldes procesu optimizēšana un attīstība" īstenošanas noteikumi</w:t>
            </w:r>
            <w:r>
              <w:t xml:space="preserve">” </w:t>
            </w:r>
            <w:r w:rsidRPr="00D61F65">
              <w:t>17.12.apakšpunkt</w:t>
            </w:r>
            <w:r>
              <w:t>u</w:t>
            </w:r>
            <w:r w:rsidRPr="00D61F65">
              <w:t xml:space="preserve"> un 50.punkt</w:t>
            </w:r>
            <w:r>
              <w:t xml:space="preserve">u, kas nosaka </w:t>
            </w:r>
            <w:r w:rsidRPr="00D61F65">
              <w:t>kārtību, kādā Eiropas Savienības struktūrfondu un Kohēzijas fonda ieviešanā 2014.-2020.gada plānošanas periodā nodrošināma komunikācijas un vizuālās identitātes prasību ievērošana</w:t>
            </w:r>
            <w:r w:rsidR="000A25F5">
              <w:t>.</w:t>
            </w:r>
            <w:r w:rsidRPr="00D61F65">
              <w:t xml:space="preserve">  </w:t>
            </w:r>
            <w:r w:rsidR="000A25F5">
              <w:t xml:space="preserve">Atbilstoši noteikumu regulējumam, </w:t>
            </w:r>
            <w:r w:rsidRPr="00D61F65">
              <w:t xml:space="preserve">atbalstāmas ir tikai publicitātes aktivitātes: informatīvais plakāts, lielformāta informatīvais stends, informatīvā plāksne, informācija internetā. Šādas aktivitātes projektā tiks iekļautas. Vienlaikus projektā iekļauta apakšaktivitāte – lietotāju apmācības, kas sekos pēc jauno BIS funkcionalitāšu izstrādes. </w:t>
            </w:r>
          </w:p>
          <w:p w:rsidR="00D61F65" w:rsidRPr="00712B66" w:rsidRDefault="000A25F5" w:rsidP="000A25F5">
            <w:pPr>
              <w:pStyle w:val="naisc"/>
              <w:spacing w:before="0" w:after="0"/>
              <w:jc w:val="both"/>
            </w:pPr>
            <w:r>
              <w:t>Vienlaikus BVKB gan esošā BIS attīstības projekta 1.kārtas ietvaros, gan papildus arī no BVKB līdzekļiem īsteno gan lietotāju apmācības, gan informēšanas pasākumus par BIS sistēmu, lai aptvertu visus lietotājus, kā arī informētu plašāku sabiedrību par BIS attīstību un 2019.gadā paredzētas papildus aktivitātes</w:t>
            </w:r>
            <w:r w:rsidR="00D61F65" w:rsidRPr="00D61F65">
              <w:t xml:space="preserve">, lai </w:t>
            </w:r>
            <w:r>
              <w:t xml:space="preserve">nodrošinātu </w:t>
            </w:r>
            <w:r w:rsidR="00D65E5E">
              <w:t xml:space="preserve">būvspeciālistu, tehnisko </w:t>
            </w:r>
            <w:r w:rsidR="00D65E5E">
              <w:lastRenderedPageBreak/>
              <w:t>noteikumu izdevēju apmācības un informēšanu par BIS funkcionalitāti un pāreju uz elektronisko būvniecības saskaņošanas procesu ar 2020.gada 1.janvāri.</w:t>
            </w:r>
          </w:p>
        </w:tc>
        <w:tc>
          <w:tcPr>
            <w:tcW w:w="1701" w:type="dxa"/>
            <w:tcBorders>
              <w:top w:val="single" w:sz="4" w:space="0" w:color="auto"/>
              <w:left w:val="single" w:sz="4" w:space="0" w:color="auto"/>
              <w:bottom w:val="single" w:sz="4" w:space="0" w:color="auto"/>
              <w:right w:val="single" w:sz="4" w:space="0" w:color="auto"/>
            </w:tcBorders>
          </w:tcPr>
          <w:p w:rsidR="0071113F" w:rsidRPr="00712B66" w:rsidRDefault="0071113F" w:rsidP="00107CBA"/>
        </w:tc>
        <w:tc>
          <w:tcPr>
            <w:tcW w:w="2502" w:type="dxa"/>
            <w:tcBorders>
              <w:top w:val="single" w:sz="4" w:space="0" w:color="auto"/>
              <w:left w:val="single" w:sz="4" w:space="0" w:color="auto"/>
              <w:bottom w:val="single" w:sz="4" w:space="0" w:color="auto"/>
            </w:tcBorders>
          </w:tcPr>
          <w:p w:rsidR="0071113F" w:rsidRPr="00712B66" w:rsidRDefault="0071113F" w:rsidP="00107CBA"/>
        </w:tc>
      </w:tr>
      <w:tr w:rsidR="000C1D0A" w:rsidRPr="00712B66" w:rsidTr="000C1D0A">
        <w:tc>
          <w:tcPr>
            <w:tcW w:w="701" w:type="dxa"/>
            <w:tcBorders>
              <w:top w:val="single" w:sz="4" w:space="0" w:color="auto"/>
              <w:left w:val="single" w:sz="4" w:space="0" w:color="auto"/>
              <w:bottom w:val="single" w:sz="4" w:space="0" w:color="auto"/>
              <w:right w:val="single" w:sz="4" w:space="0" w:color="auto"/>
            </w:tcBorders>
          </w:tcPr>
          <w:p w:rsidR="000C1D0A" w:rsidRDefault="008C7353" w:rsidP="000C1D0A">
            <w:pPr>
              <w:pStyle w:val="naisc"/>
              <w:spacing w:before="0" w:after="0"/>
              <w:ind w:firstLine="22"/>
            </w:pPr>
            <w:r>
              <w:lastRenderedPageBreak/>
              <w:t>2.</w:t>
            </w:r>
          </w:p>
        </w:tc>
        <w:tc>
          <w:tcPr>
            <w:tcW w:w="2802" w:type="dxa"/>
            <w:tcBorders>
              <w:top w:val="single" w:sz="4" w:space="0" w:color="auto"/>
              <w:left w:val="single" w:sz="4" w:space="0" w:color="auto"/>
              <w:bottom w:val="single" w:sz="4" w:space="0" w:color="auto"/>
              <w:right w:val="single" w:sz="4" w:space="0" w:color="auto"/>
            </w:tcBorders>
          </w:tcPr>
          <w:p w:rsidR="000C1D0A" w:rsidRPr="00712B66" w:rsidRDefault="002B505F" w:rsidP="002B505F">
            <w:pPr>
              <w:pStyle w:val="naisc"/>
              <w:spacing w:before="0" w:after="0"/>
            </w:pPr>
            <w:r>
              <w:t xml:space="preserve">Izziņas 13.punkts par Tieslietu ministrijas iebildumu </w:t>
            </w:r>
          </w:p>
        </w:tc>
        <w:tc>
          <w:tcPr>
            <w:tcW w:w="3435" w:type="dxa"/>
            <w:tcBorders>
              <w:top w:val="single" w:sz="4" w:space="0" w:color="auto"/>
              <w:left w:val="single" w:sz="4" w:space="0" w:color="auto"/>
              <w:bottom w:val="single" w:sz="4" w:space="0" w:color="auto"/>
              <w:right w:val="single" w:sz="4" w:space="0" w:color="auto"/>
            </w:tcBorders>
          </w:tcPr>
          <w:p w:rsidR="008C7353" w:rsidRDefault="008C7353" w:rsidP="008C7353">
            <w:pPr>
              <w:pStyle w:val="naisc"/>
              <w:spacing w:before="0" w:after="0"/>
              <w:rPr>
                <w:b/>
              </w:rPr>
            </w:pPr>
            <w:r>
              <w:rPr>
                <w:b/>
              </w:rPr>
              <w:t>Latvijas Pašvaldību savienības 10.06.2019.atzinums</w:t>
            </w:r>
          </w:p>
          <w:p w:rsidR="000C1D0A" w:rsidRPr="008C7353" w:rsidRDefault="008C7353" w:rsidP="008C7353">
            <w:pPr>
              <w:pStyle w:val="naisc"/>
              <w:spacing w:before="0" w:after="0"/>
              <w:jc w:val="both"/>
            </w:pPr>
            <w:r w:rsidRPr="008C7353">
              <w:t xml:space="preserve">Būvvalde nepiekrīt Projektā (izziņas 14. lpp.; datne: EMizz_150519_BISII) norādītajam: “Nav pieļaujama situācija, kad atvērto datu veidā BIS izplatītu datus, kuru pirmavots ir Valsts zemes dienesta informācijas sistēmas (Valsts adrešu reģistrs, Apgrūtināto teritoriju informācijas sistēma, Nekustamā īpašuma valsts kadastra informācijas sistēma) un kuru izplatīšana saskaņā ar normatīvajiem aktiem ir maksas pakalpojums.”. Būvvalde vērš uzmanību, ka Sistēmā pieejami dati nav Valsts zemes dienesta dati, bet būvniecības ierosinātāja, iesaistīto būvspeciālistu un būvvaldes ievadītie dati. Būvvalde norāda, ka adreses piešķiršana ir pašvaldības kompetences jautājums. Proti, lēmumus pieņem pašvaldība, par </w:t>
            </w:r>
            <w:r w:rsidRPr="008C7353">
              <w:lastRenderedPageBreak/>
              <w:t>ko informē Valsts zemes dienestu. Līdz ar to Valsts zemes dienesta rīcībā esošo datu par adresēm pirmavots ir pašvaldība. Būvvalde informē, ka par Rīgas pilsētas administratīvo teritoriju Būvvalde jau šobrīd publicē adresācijas datus Latvijas atvērto datu portālā data.gov.lv. Tādēļ nav pieļaujami paredzēt Projektā, ka daļa no Sistēmā esošiem datiem netiks pieejama, lai atsevišķa iestāde varētu paņemt maksu. Papildus vēršama uzmanība, ka Projektā paredzēta datu nepieejamība ir pretrunā ar projektu “Informatīvais ziņojums "Latvijas atvērto datu stratēģija"” (VSS-351).</w:t>
            </w:r>
          </w:p>
        </w:tc>
        <w:tc>
          <w:tcPr>
            <w:tcW w:w="3544" w:type="dxa"/>
            <w:tcBorders>
              <w:top w:val="single" w:sz="4" w:space="0" w:color="auto"/>
              <w:left w:val="single" w:sz="4" w:space="0" w:color="auto"/>
              <w:bottom w:val="single" w:sz="4" w:space="0" w:color="auto"/>
              <w:right w:val="single" w:sz="4" w:space="0" w:color="auto"/>
            </w:tcBorders>
          </w:tcPr>
          <w:p w:rsidR="000C1D0A" w:rsidRDefault="002B505F" w:rsidP="002B505F">
            <w:pPr>
              <w:pStyle w:val="naisc"/>
              <w:spacing w:before="0" w:after="0"/>
              <w:rPr>
                <w:b/>
              </w:rPr>
            </w:pPr>
            <w:r>
              <w:rPr>
                <w:b/>
              </w:rPr>
              <w:lastRenderedPageBreak/>
              <w:t>Nav ņemts vērā</w:t>
            </w:r>
          </w:p>
          <w:p w:rsidR="002B505F" w:rsidRPr="00075DD6" w:rsidRDefault="002B505F" w:rsidP="002B505F">
            <w:pPr>
              <w:jc w:val="both"/>
            </w:pPr>
            <w:r>
              <w:t>Būvniecības likuma 24.panta trešajā daļā noteikts skaidrs regulējums par strukturēto datu publicēšanu atvērto datu veidā: “</w:t>
            </w:r>
            <w:r w:rsidRPr="00EF3A99">
              <w:t>(3) Būvniecības informācijas sistēmas dati ir publiski pieejami bez maksas, tajā strukturētos datus publicē atvērto datu veidā, izņemot datus, kuru publiskā pieejamība ir ierobežota saskaņā ar normatīvajiem aktiem vai normatīvajos aktos ir paredzēta samaksa.</w:t>
            </w:r>
            <w:r>
              <w:t>”</w:t>
            </w:r>
          </w:p>
          <w:p w:rsidR="002B505F" w:rsidRDefault="002B505F" w:rsidP="002B505F">
            <w:pPr>
              <w:pStyle w:val="naisc"/>
              <w:spacing w:before="0" w:after="0"/>
              <w:jc w:val="both"/>
            </w:pPr>
          </w:p>
          <w:p w:rsidR="00E570B2" w:rsidRDefault="00E570B2" w:rsidP="002B505F">
            <w:pPr>
              <w:pStyle w:val="naisc"/>
              <w:spacing w:before="0" w:after="0"/>
              <w:jc w:val="both"/>
            </w:pPr>
            <w:r>
              <w:t>Saskaņā ar Nekustamā īpašuma valsts kadastra likuma 86. panta otro daļu v</w:t>
            </w:r>
            <w:r>
              <w:t>ietējai pašvaldībai tās funkciju veikšanai nepieciešamo kadastra informāciju par pašvaldības administratīvajā teritorijā esošajiem kadastra objektiem Valsts zemes dienests sagatavo un izsniedz standartizētā informācijas apjomā un veidā bez maksas.</w:t>
            </w:r>
            <w:r>
              <w:t xml:space="preserve"> Jau šobrīd Būvniecības informācijas sistēmā pašvaldības </w:t>
            </w:r>
            <w:r>
              <w:lastRenderedPageBreak/>
              <w:t xml:space="preserve">būvvaldēm un institūcijām, kas pilda būvvaldes funkcijas ir pieejama to funkciju īstenošanai nepieciešama informācija. </w:t>
            </w:r>
          </w:p>
          <w:p w:rsidR="00E570B2" w:rsidRDefault="00E570B2" w:rsidP="002B505F">
            <w:pPr>
              <w:pStyle w:val="naisc"/>
              <w:spacing w:before="0" w:after="0"/>
              <w:jc w:val="both"/>
            </w:pPr>
          </w:p>
          <w:p w:rsidR="00E570B2" w:rsidRPr="002B505F" w:rsidRDefault="00E570B2" w:rsidP="002B505F">
            <w:pPr>
              <w:pStyle w:val="naisc"/>
              <w:spacing w:before="0" w:after="0"/>
              <w:jc w:val="both"/>
            </w:pPr>
            <w:r>
              <w:t xml:space="preserve">Vienlaicīgi nav pieļaujama informācija, ka dati, kuru izplatīšana ir ierobežota ar likumu, būtu izplatāmi atvērto datu veidā caur citu valsts informācijas sistēmu. Nekustamā īpašuma valsts kadastra informācijas sistēmas datu atvēršana ir Tieslietu ministrijas un Valsts zemes dienesta kompetences jautājums. Būvniecības informācijas sistēmas attīstības projekts balstās uz spēkā esošu likumu regulējumu. Ja projekta īstenošanas gaitā Tieslietu ministrija grozīs regulējumu un paplašinās brīvi izplatāmo datu klāstu, EM to ņems vērā funkcionalitātes izstrādē. </w:t>
            </w:r>
          </w:p>
        </w:tc>
        <w:tc>
          <w:tcPr>
            <w:tcW w:w="1701" w:type="dxa"/>
            <w:tcBorders>
              <w:top w:val="single" w:sz="4" w:space="0" w:color="auto"/>
              <w:left w:val="single" w:sz="4" w:space="0" w:color="auto"/>
              <w:bottom w:val="single" w:sz="4" w:space="0" w:color="auto"/>
              <w:right w:val="single" w:sz="4" w:space="0" w:color="auto"/>
            </w:tcBorders>
          </w:tcPr>
          <w:p w:rsidR="000C1D0A" w:rsidRPr="00712B66" w:rsidRDefault="000C1D0A" w:rsidP="00107CBA"/>
        </w:tc>
        <w:tc>
          <w:tcPr>
            <w:tcW w:w="2502" w:type="dxa"/>
            <w:tcBorders>
              <w:top w:val="single" w:sz="4" w:space="0" w:color="auto"/>
              <w:left w:val="single" w:sz="4" w:space="0" w:color="auto"/>
              <w:bottom w:val="single" w:sz="4" w:space="0" w:color="auto"/>
            </w:tcBorders>
          </w:tcPr>
          <w:p w:rsidR="000C1D0A" w:rsidRPr="00712B66" w:rsidRDefault="000C1D0A" w:rsidP="00107CBA"/>
        </w:tc>
      </w:tr>
      <w:tr w:rsidR="000C1D0A" w:rsidRPr="00712B66" w:rsidTr="000C1D0A">
        <w:tc>
          <w:tcPr>
            <w:tcW w:w="701" w:type="dxa"/>
            <w:tcBorders>
              <w:top w:val="single" w:sz="4" w:space="0" w:color="auto"/>
              <w:left w:val="single" w:sz="4" w:space="0" w:color="auto"/>
              <w:bottom w:val="single" w:sz="4" w:space="0" w:color="auto"/>
              <w:right w:val="single" w:sz="4" w:space="0" w:color="auto"/>
            </w:tcBorders>
          </w:tcPr>
          <w:p w:rsidR="000C1D0A" w:rsidRDefault="008C7353" w:rsidP="000C1D0A">
            <w:pPr>
              <w:pStyle w:val="naisc"/>
              <w:spacing w:before="0" w:after="0"/>
              <w:ind w:firstLine="22"/>
            </w:pPr>
            <w:r>
              <w:t>3.</w:t>
            </w:r>
          </w:p>
        </w:tc>
        <w:tc>
          <w:tcPr>
            <w:tcW w:w="2802" w:type="dxa"/>
            <w:tcBorders>
              <w:top w:val="single" w:sz="4" w:space="0" w:color="auto"/>
              <w:left w:val="single" w:sz="4" w:space="0" w:color="auto"/>
              <w:bottom w:val="single" w:sz="4" w:space="0" w:color="auto"/>
              <w:right w:val="single" w:sz="4" w:space="0" w:color="auto"/>
            </w:tcBorders>
          </w:tcPr>
          <w:p w:rsidR="002B505F" w:rsidRPr="002B505F" w:rsidRDefault="002B505F" w:rsidP="002B505F">
            <w:pPr>
              <w:overflowPunct w:val="0"/>
              <w:autoSpaceDE w:val="0"/>
              <w:autoSpaceDN w:val="0"/>
              <w:jc w:val="center"/>
              <w:textAlignment w:val="baseline"/>
              <w:rPr>
                <w:rFonts w:eastAsia="Calibri"/>
                <w:b/>
                <w:szCs w:val="26"/>
                <w:lang w:eastAsia="en-US"/>
              </w:rPr>
            </w:pPr>
            <w:r w:rsidRPr="002B505F">
              <w:rPr>
                <w:rFonts w:eastAsia="Calibri"/>
                <w:b/>
                <w:szCs w:val="26"/>
                <w:lang w:eastAsia="en-US"/>
              </w:rPr>
              <w:t>Būvniecības procesu un IS attīstība (2.kārta)</w:t>
            </w:r>
          </w:p>
          <w:p w:rsidR="000C1D0A" w:rsidRPr="00712B66" w:rsidRDefault="002B505F" w:rsidP="002B505F">
            <w:pPr>
              <w:pStyle w:val="naisc"/>
              <w:spacing w:before="0" w:after="0"/>
            </w:pPr>
            <w:r w:rsidRPr="002B505F">
              <w:rPr>
                <w:rFonts w:eastAsia="Calibri"/>
                <w:b/>
                <w:szCs w:val="26"/>
                <w:lang w:eastAsia="en-US"/>
              </w:rPr>
              <w:t>Projekta apraksts (kopsavilkums)</w:t>
            </w:r>
          </w:p>
        </w:tc>
        <w:tc>
          <w:tcPr>
            <w:tcW w:w="3435" w:type="dxa"/>
            <w:tcBorders>
              <w:top w:val="single" w:sz="4" w:space="0" w:color="auto"/>
              <w:left w:val="single" w:sz="4" w:space="0" w:color="auto"/>
              <w:bottom w:val="single" w:sz="4" w:space="0" w:color="auto"/>
              <w:right w:val="single" w:sz="4" w:space="0" w:color="auto"/>
            </w:tcBorders>
          </w:tcPr>
          <w:p w:rsidR="000C1D0A" w:rsidRDefault="008C7353" w:rsidP="00107CBA">
            <w:pPr>
              <w:pStyle w:val="naisc"/>
              <w:spacing w:before="0" w:after="0"/>
              <w:rPr>
                <w:b/>
              </w:rPr>
            </w:pPr>
            <w:r>
              <w:rPr>
                <w:b/>
              </w:rPr>
              <w:t>Latvijas Pašvaldību savienības 10.06.2019.atzinums</w:t>
            </w:r>
          </w:p>
          <w:p w:rsidR="008C7353" w:rsidRPr="008C7353" w:rsidRDefault="00B0734D" w:rsidP="008C7353">
            <w:pPr>
              <w:pStyle w:val="naisc"/>
              <w:spacing w:before="0" w:after="0"/>
              <w:jc w:val="both"/>
            </w:pPr>
            <w:r>
              <w:t>Rīgas pilsētas b</w:t>
            </w:r>
            <w:r w:rsidR="008C7353" w:rsidRPr="008C7353">
              <w:t xml:space="preserve">ūvvalde konstatē, ka Projekts (kopsavilkums; datne: EMRikp_150519_BISII) paredz mājas lietu pārdēvēt par būves ekspluatācijas lietu. Par minēto Projektā (izziņas 15. lpp.; datne: EMizz_150519_BISII) norādīts, ka būvvaldes funkcijās ietilpst </w:t>
            </w:r>
            <w:r w:rsidR="008C7353" w:rsidRPr="008C7353">
              <w:lastRenderedPageBreak/>
              <w:t xml:space="preserve">būvju ekspluatācijas uzraudzība (Būvniecības likuma 21.pants). Būvvalde norāda, ka minētais pamatojums neaptver Projektā (anotācijas 10. </w:t>
            </w:r>
            <w:proofErr w:type="spellStart"/>
            <w:r w:rsidR="008C7353" w:rsidRPr="008C7353">
              <w:t>lpp</w:t>
            </w:r>
            <w:proofErr w:type="spellEnd"/>
            <w:r w:rsidR="008C7353" w:rsidRPr="008C7353">
              <w:t xml:space="preserve">.;datne: EMAnot_150519_BISII) paredzēto apjomu jaunas lietas izveidei. Proti, nav saprotams kā šādas funkcionalitātes attiecās uz būvvaldēm Būvniecības likumā noteikto kompetenci: “vienota komunikācijas telpa katrai ar katras būves lietu saistītajai personai; izstrādāts dzīvojamo māju pārvaldīšanas rīks ar iespēju automatizēt informācijas iesniegšanu par komunālo pakalpojumu skaitījumiem, kā arī citas potenciālas dokumentu kārtošanas automatizācijas iespējas; uzturēšanas plānošana un darbu informācijas uzkrāšana, kas ievēro BIM principus; analītikas risinājumi un riska objektu identificēšana, tai skaitā automātiskus paziņojumus un brīdinājumus par dažādu termiņu sasniegšanu/iztecēšanu”. Vienlaikus Būvvalde vērš uzmanību, ka 15.04.2019. vēstules Nr. BV-19-5336-nd 3. punktā ir norādījusi, ka ar Projektu paredzētais Sistēmā </w:t>
            </w:r>
            <w:r w:rsidR="008C7353" w:rsidRPr="008C7353">
              <w:lastRenderedPageBreak/>
              <w:t>uzkrājamo datu apjoms neatbilst Būvniecības likuma 24. panta pirmajā daļā noteiktajam Sistēmas mērķim un otrajā daļā paredzētiem datiem, kā arī apdraud Sistēmas darbības nepieciešamā ātruma nodrošināšanu.</w:t>
            </w:r>
          </w:p>
        </w:tc>
        <w:tc>
          <w:tcPr>
            <w:tcW w:w="3544" w:type="dxa"/>
            <w:tcBorders>
              <w:top w:val="single" w:sz="4" w:space="0" w:color="auto"/>
              <w:left w:val="single" w:sz="4" w:space="0" w:color="auto"/>
              <w:bottom w:val="single" w:sz="4" w:space="0" w:color="auto"/>
              <w:right w:val="single" w:sz="4" w:space="0" w:color="auto"/>
            </w:tcBorders>
          </w:tcPr>
          <w:p w:rsidR="000C1D0A" w:rsidRDefault="002B505F" w:rsidP="002B505F">
            <w:pPr>
              <w:pStyle w:val="naisc"/>
              <w:spacing w:before="0" w:after="0"/>
              <w:rPr>
                <w:b/>
              </w:rPr>
            </w:pPr>
            <w:r>
              <w:rPr>
                <w:b/>
              </w:rPr>
              <w:lastRenderedPageBreak/>
              <w:t>Nav ņemts vērā</w:t>
            </w:r>
          </w:p>
          <w:p w:rsidR="002B505F" w:rsidRDefault="002B505F" w:rsidP="002B505F">
            <w:pPr>
              <w:pStyle w:val="naisc"/>
              <w:spacing w:before="0" w:after="0"/>
              <w:jc w:val="both"/>
            </w:pPr>
            <w:r>
              <w:t>Ņemot vērā, ka Būvniecības informācijas sistēmā saskaņojamas ne tikai ēku, bet arī cit</w:t>
            </w:r>
            <w:r w:rsidR="00BE58E5">
              <w:t>u būvju</w:t>
            </w:r>
            <w:r>
              <w:t xml:space="preserve"> būvniecības ieceres, tad ekspluatācijas lietas ir veidojamas visām būvēm. </w:t>
            </w:r>
          </w:p>
          <w:p w:rsidR="00184398" w:rsidRDefault="00184398" w:rsidP="002B505F">
            <w:pPr>
              <w:pStyle w:val="naisc"/>
              <w:spacing w:before="0" w:after="0"/>
              <w:jc w:val="both"/>
            </w:pPr>
            <w:r>
              <w:t xml:space="preserve">Anotācijā norādīts, ka aktivitātes ietvaros plānotie pasākumi paredzēti, lai nodrošinātu </w:t>
            </w:r>
            <w:r w:rsidRPr="00184398">
              <w:t xml:space="preserve">būvju </w:t>
            </w:r>
            <w:r w:rsidRPr="00184398">
              <w:lastRenderedPageBreak/>
              <w:t>drošumu ekspluatācijas laikā un to atbilstību Būvniecības likuma 9.pantā būvēm noteiktām būtiskām prasībām</w:t>
            </w:r>
            <w:r>
              <w:t>.</w:t>
            </w:r>
          </w:p>
          <w:p w:rsidR="00184398" w:rsidRDefault="00184398" w:rsidP="002B505F">
            <w:pPr>
              <w:pStyle w:val="naisc"/>
              <w:spacing w:before="0" w:after="0"/>
              <w:jc w:val="both"/>
            </w:pPr>
            <w:r>
              <w:t xml:space="preserve">Izziņas 14.punktā ir norādīts, ka pienākumi ekspluatācijas laikā izriet arī no </w:t>
            </w:r>
            <w:r w:rsidRPr="00184398">
              <w:t>Dzīvojamo māju pārvaldīšanas likuma 6.panta otrās daļas 1.punkta d) apakšpunkt</w:t>
            </w:r>
            <w:r>
              <w:t>a, kurā</w:t>
            </w:r>
            <w:r w:rsidRPr="00184398">
              <w:t xml:space="preserve"> notei</w:t>
            </w:r>
            <w:r>
              <w:t>kts</w:t>
            </w:r>
            <w:r w:rsidRPr="00184398">
              <w:t>, ka dzīvojamās mājas, tajā esošo iekārtu un komunikāciju apsekošana ir viena no dzīvojamās mājas obligāti veicamām pārvaldīšanas darbībām. Ministru kabineta 2010.gada 28.septembra noteikumi Nr.907 “Noteikumi par dzīvojamās mājas apsekošanu, tehnisko apkopi, kārtējo remontu un energoefektivitātes minimālajam prasībām” detalizēti regulē tieši dzīvojamo māju apsekošanas kārtību un pārvaldnieka pienākumus šajā procesā.</w:t>
            </w:r>
          </w:p>
          <w:p w:rsidR="00184398" w:rsidRDefault="00184398" w:rsidP="002B505F">
            <w:pPr>
              <w:pStyle w:val="naisc"/>
              <w:spacing w:before="0" w:after="0"/>
              <w:jc w:val="both"/>
            </w:pPr>
            <w:r>
              <w:t>Sistēmas attīstības ietvaros paredzēts nodrošināt efektīvu datu  izmantošanu, kas radušies būvniecības ieceres saskaņošanas līdz pieņemšanai ekspluatācijā</w:t>
            </w:r>
            <w:r w:rsidR="00D65E5E">
              <w:t xml:space="preserve"> laikā arī tālākajā procesā, kas saistīts ar būves ekspluatāciju</w:t>
            </w:r>
            <w:r>
              <w:t xml:space="preserve">. </w:t>
            </w:r>
          </w:p>
          <w:p w:rsidR="00184398" w:rsidRPr="002B505F" w:rsidRDefault="00A74598" w:rsidP="002B505F">
            <w:pPr>
              <w:pStyle w:val="naisc"/>
              <w:spacing w:before="0" w:after="0"/>
              <w:jc w:val="both"/>
            </w:pPr>
            <w:r>
              <w:lastRenderedPageBreak/>
              <w:t>I</w:t>
            </w:r>
            <w:bookmarkStart w:id="0" w:name="_GoBack"/>
            <w:bookmarkEnd w:id="0"/>
            <w:r w:rsidR="00016D05">
              <w:t>zstrādājamā funkcionalitāte neapdraudēs BIS drbības ātrumu.</w:t>
            </w:r>
            <w:r w:rsidR="00184398">
              <w:t xml:space="preserve"> </w:t>
            </w:r>
          </w:p>
        </w:tc>
        <w:tc>
          <w:tcPr>
            <w:tcW w:w="1701" w:type="dxa"/>
            <w:tcBorders>
              <w:top w:val="single" w:sz="4" w:space="0" w:color="auto"/>
              <w:left w:val="single" w:sz="4" w:space="0" w:color="auto"/>
              <w:bottom w:val="single" w:sz="4" w:space="0" w:color="auto"/>
              <w:right w:val="single" w:sz="4" w:space="0" w:color="auto"/>
            </w:tcBorders>
          </w:tcPr>
          <w:p w:rsidR="000C1D0A" w:rsidRPr="00712B66" w:rsidRDefault="000C1D0A" w:rsidP="00107CBA"/>
        </w:tc>
        <w:tc>
          <w:tcPr>
            <w:tcW w:w="2502" w:type="dxa"/>
            <w:tcBorders>
              <w:top w:val="single" w:sz="4" w:space="0" w:color="auto"/>
              <w:left w:val="single" w:sz="4" w:space="0" w:color="auto"/>
              <w:bottom w:val="single" w:sz="4" w:space="0" w:color="auto"/>
            </w:tcBorders>
          </w:tcPr>
          <w:p w:rsidR="000C1D0A" w:rsidRPr="00712B66" w:rsidRDefault="000C1D0A" w:rsidP="00107CBA"/>
        </w:tc>
      </w:tr>
      <w:tr w:rsidR="000C1D0A" w:rsidRPr="00712B66" w:rsidTr="000C1D0A">
        <w:tc>
          <w:tcPr>
            <w:tcW w:w="701" w:type="dxa"/>
            <w:tcBorders>
              <w:top w:val="single" w:sz="4" w:space="0" w:color="auto"/>
              <w:left w:val="single" w:sz="4" w:space="0" w:color="auto"/>
              <w:bottom w:val="single" w:sz="4" w:space="0" w:color="auto"/>
              <w:right w:val="single" w:sz="4" w:space="0" w:color="auto"/>
            </w:tcBorders>
          </w:tcPr>
          <w:p w:rsidR="000C1D0A" w:rsidRDefault="008C7353" w:rsidP="000C1D0A">
            <w:pPr>
              <w:pStyle w:val="naisc"/>
              <w:spacing w:before="0" w:after="0"/>
              <w:ind w:firstLine="22"/>
            </w:pPr>
            <w:r>
              <w:lastRenderedPageBreak/>
              <w:t>4.</w:t>
            </w:r>
          </w:p>
        </w:tc>
        <w:tc>
          <w:tcPr>
            <w:tcW w:w="2802" w:type="dxa"/>
            <w:tcBorders>
              <w:top w:val="single" w:sz="4" w:space="0" w:color="auto"/>
              <w:left w:val="single" w:sz="4" w:space="0" w:color="auto"/>
              <w:bottom w:val="single" w:sz="4" w:space="0" w:color="auto"/>
              <w:right w:val="single" w:sz="4" w:space="0" w:color="auto"/>
            </w:tcBorders>
          </w:tcPr>
          <w:p w:rsidR="000C1D0A" w:rsidRPr="00712B66" w:rsidRDefault="000C1D0A" w:rsidP="00107CBA">
            <w:pPr>
              <w:pStyle w:val="naisc"/>
              <w:spacing w:before="0" w:after="0"/>
              <w:ind w:firstLine="720"/>
            </w:pPr>
          </w:p>
        </w:tc>
        <w:tc>
          <w:tcPr>
            <w:tcW w:w="3435" w:type="dxa"/>
            <w:tcBorders>
              <w:top w:val="single" w:sz="4" w:space="0" w:color="auto"/>
              <w:left w:val="single" w:sz="4" w:space="0" w:color="auto"/>
              <w:bottom w:val="single" w:sz="4" w:space="0" w:color="auto"/>
              <w:right w:val="single" w:sz="4" w:space="0" w:color="auto"/>
            </w:tcBorders>
          </w:tcPr>
          <w:p w:rsidR="008C7353" w:rsidRDefault="008C7353" w:rsidP="008C7353">
            <w:pPr>
              <w:pStyle w:val="naisc"/>
              <w:spacing w:before="0" w:after="0"/>
              <w:rPr>
                <w:b/>
              </w:rPr>
            </w:pPr>
            <w:r>
              <w:rPr>
                <w:b/>
              </w:rPr>
              <w:t>Latvijas Pašvaldību savienības 10.06.2019.atzinums</w:t>
            </w:r>
          </w:p>
          <w:p w:rsidR="000C1D0A" w:rsidRPr="008C7353" w:rsidRDefault="008C7353" w:rsidP="008C7353">
            <w:pPr>
              <w:pStyle w:val="naisc"/>
              <w:spacing w:before="0" w:after="0"/>
              <w:jc w:val="both"/>
            </w:pPr>
            <w:r w:rsidRPr="008C7353">
              <w:t xml:space="preserve">Būvvalde vēlas saņemt skaidrojumu par Projekts (anotācijas 7. lpp.; datne: EMAnot_150519_BISII) paredzētās funkcionalitātes </w:t>
            </w:r>
            <w:bookmarkStart w:id="1" w:name="_Hlk11426481"/>
            <w:r w:rsidRPr="008C7353">
              <w:t>“Piekļuve būvniecības lietai un ekspluatācijas lietai” tvērumu jaunajā redakcijā salīdzinājumā ar iepriekšējo redakciju (vai norādītājām personām tiks nodrošināta automātiska piekļuve, tas ir, bez būvvaldes papildus darbībām, vai būvniecības ierosinātājam būs tiesības slēgt piekļuvi konkrētai personai un kā tiks nodrošināta piekļuve lietai un dokumentiem trešajām personām).</w:t>
            </w:r>
            <w:bookmarkEnd w:id="1"/>
          </w:p>
        </w:tc>
        <w:tc>
          <w:tcPr>
            <w:tcW w:w="3544" w:type="dxa"/>
            <w:tcBorders>
              <w:top w:val="single" w:sz="4" w:space="0" w:color="auto"/>
              <w:left w:val="single" w:sz="4" w:space="0" w:color="auto"/>
              <w:bottom w:val="single" w:sz="4" w:space="0" w:color="auto"/>
              <w:right w:val="single" w:sz="4" w:space="0" w:color="auto"/>
            </w:tcBorders>
          </w:tcPr>
          <w:p w:rsidR="000C1D0A" w:rsidRPr="00016D05" w:rsidRDefault="00016D05" w:rsidP="00016D05">
            <w:pPr>
              <w:pStyle w:val="naisc"/>
              <w:spacing w:before="0" w:after="0"/>
              <w:rPr>
                <w:b/>
              </w:rPr>
            </w:pPr>
            <w:r w:rsidRPr="00016D05">
              <w:rPr>
                <w:b/>
              </w:rPr>
              <w:t>Nav ņemts vērā</w:t>
            </w:r>
          </w:p>
          <w:p w:rsidR="00016D05" w:rsidRPr="00712B66" w:rsidRDefault="00140372" w:rsidP="00016D05">
            <w:pPr>
              <w:pStyle w:val="naisc"/>
              <w:spacing w:before="0" w:after="0"/>
              <w:jc w:val="both"/>
            </w:pPr>
            <w:r>
              <w:t xml:space="preserve">Norādām, ka Anotācijā un projekta kopsavilkumā nav veiktas izmaiņas attiecībā uz aprakstu par saskaņojumiem ar trešajām personām. </w:t>
            </w:r>
            <w:r w:rsidR="00D61F65" w:rsidRPr="00D61F65">
              <w:t xml:space="preserve">Sistēmas izstrādes laikā tiks </w:t>
            </w:r>
            <w:r>
              <w:t xml:space="preserve">organizētas darba grupas, kuru ietvaros tiks </w:t>
            </w:r>
            <w:r w:rsidR="00D61F65" w:rsidRPr="00D61F65">
              <w:t>precizētas prasības un pieņemti lēmumi vai tiks nodrošināta piekļuve</w:t>
            </w:r>
            <w:r w:rsidR="007D140E">
              <w:t xml:space="preserve"> būvniecības lietām </w:t>
            </w:r>
            <w:r w:rsidR="00D61F65" w:rsidRPr="00D61F65">
              <w:t>automātiski vai ar atsevišķu pieprasījumu, ņemot vērā normatīvo regulējumu un iesaistīto pušu prasības.</w:t>
            </w:r>
          </w:p>
        </w:tc>
        <w:tc>
          <w:tcPr>
            <w:tcW w:w="1701" w:type="dxa"/>
            <w:tcBorders>
              <w:top w:val="single" w:sz="4" w:space="0" w:color="auto"/>
              <w:left w:val="single" w:sz="4" w:space="0" w:color="auto"/>
              <w:bottom w:val="single" w:sz="4" w:space="0" w:color="auto"/>
              <w:right w:val="single" w:sz="4" w:space="0" w:color="auto"/>
            </w:tcBorders>
          </w:tcPr>
          <w:p w:rsidR="000C1D0A" w:rsidRPr="00712B66" w:rsidRDefault="000C1D0A" w:rsidP="00107CBA"/>
        </w:tc>
        <w:tc>
          <w:tcPr>
            <w:tcW w:w="2502" w:type="dxa"/>
            <w:tcBorders>
              <w:top w:val="single" w:sz="4" w:space="0" w:color="auto"/>
              <w:left w:val="single" w:sz="4" w:space="0" w:color="auto"/>
              <w:bottom w:val="single" w:sz="4" w:space="0" w:color="auto"/>
            </w:tcBorders>
          </w:tcPr>
          <w:p w:rsidR="000C1D0A" w:rsidRPr="00712B66" w:rsidRDefault="000C1D0A" w:rsidP="00107CBA"/>
        </w:tc>
      </w:tr>
      <w:tr w:rsidR="000C1D0A" w:rsidRPr="00712B66" w:rsidTr="000C1D0A">
        <w:tc>
          <w:tcPr>
            <w:tcW w:w="701" w:type="dxa"/>
            <w:tcBorders>
              <w:top w:val="single" w:sz="4" w:space="0" w:color="auto"/>
              <w:left w:val="single" w:sz="4" w:space="0" w:color="auto"/>
              <w:bottom w:val="single" w:sz="4" w:space="0" w:color="auto"/>
              <w:right w:val="single" w:sz="4" w:space="0" w:color="auto"/>
            </w:tcBorders>
          </w:tcPr>
          <w:p w:rsidR="000C1D0A" w:rsidRDefault="008C7353" w:rsidP="000C1D0A">
            <w:pPr>
              <w:pStyle w:val="naisc"/>
              <w:spacing w:before="0" w:after="0"/>
              <w:ind w:firstLine="22"/>
            </w:pPr>
            <w:r>
              <w:t>5.</w:t>
            </w:r>
          </w:p>
        </w:tc>
        <w:tc>
          <w:tcPr>
            <w:tcW w:w="2802" w:type="dxa"/>
            <w:tcBorders>
              <w:top w:val="single" w:sz="4" w:space="0" w:color="auto"/>
              <w:left w:val="single" w:sz="4" w:space="0" w:color="auto"/>
              <w:bottom w:val="single" w:sz="4" w:space="0" w:color="auto"/>
              <w:right w:val="single" w:sz="4" w:space="0" w:color="auto"/>
            </w:tcBorders>
          </w:tcPr>
          <w:p w:rsidR="000C1D0A" w:rsidRPr="00712B66" w:rsidRDefault="000C1D0A" w:rsidP="00107CBA">
            <w:pPr>
              <w:pStyle w:val="naisc"/>
              <w:spacing w:before="0" w:after="0"/>
              <w:ind w:firstLine="720"/>
            </w:pPr>
          </w:p>
        </w:tc>
        <w:tc>
          <w:tcPr>
            <w:tcW w:w="3435" w:type="dxa"/>
            <w:tcBorders>
              <w:top w:val="single" w:sz="4" w:space="0" w:color="auto"/>
              <w:left w:val="single" w:sz="4" w:space="0" w:color="auto"/>
              <w:bottom w:val="single" w:sz="4" w:space="0" w:color="auto"/>
              <w:right w:val="single" w:sz="4" w:space="0" w:color="auto"/>
            </w:tcBorders>
          </w:tcPr>
          <w:p w:rsidR="008C7353" w:rsidRDefault="008C7353" w:rsidP="008C7353">
            <w:pPr>
              <w:pStyle w:val="naisc"/>
              <w:spacing w:before="0" w:after="0"/>
              <w:rPr>
                <w:b/>
              </w:rPr>
            </w:pPr>
            <w:r>
              <w:rPr>
                <w:b/>
              </w:rPr>
              <w:t>Latvijas Pašvaldību savienības 10.06.2019.atzinums</w:t>
            </w:r>
          </w:p>
          <w:p w:rsidR="000C1D0A" w:rsidRPr="008C7353" w:rsidRDefault="008C7353" w:rsidP="008C7353">
            <w:pPr>
              <w:pStyle w:val="naisc"/>
              <w:spacing w:before="0" w:after="0"/>
              <w:jc w:val="both"/>
            </w:pPr>
            <w:r w:rsidRPr="008C7353">
              <w:t xml:space="preserve">Papildus vēršama uzmanība, ka Projekta redakcijas izmaiņu gaitā ir novērojams, ka ar Projektu </w:t>
            </w:r>
            <w:r w:rsidRPr="008C7353">
              <w:lastRenderedPageBreak/>
              <w:t>paredzēto Sistēmas funkcionalitātes apjoms samazinās, bet Projekta realizācijā nepieciešamais sākotnējais finansējums nesamazinās</w:t>
            </w:r>
            <w:r w:rsidR="00140372">
              <w:t>.</w:t>
            </w:r>
          </w:p>
        </w:tc>
        <w:tc>
          <w:tcPr>
            <w:tcW w:w="3544" w:type="dxa"/>
            <w:tcBorders>
              <w:top w:val="single" w:sz="4" w:space="0" w:color="auto"/>
              <w:left w:val="single" w:sz="4" w:space="0" w:color="auto"/>
              <w:bottom w:val="single" w:sz="4" w:space="0" w:color="auto"/>
              <w:right w:val="single" w:sz="4" w:space="0" w:color="auto"/>
            </w:tcBorders>
          </w:tcPr>
          <w:p w:rsidR="000C1D0A" w:rsidRPr="00016D05" w:rsidRDefault="00016D05" w:rsidP="00016D05">
            <w:pPr>
              <w:pStyle w:val="naisc"/>
              <w:spacing w:before="0" w:after="0"/>
              <w:rPr>
                <w:b/>
              </w:rPr>
            </w:pPr>
            <w:r w:rsidRPr="00016D05">
              <w:rPr>
                <w:b/>
              </w:rPr>
              <w:lastRenderedPageBreak/>
              <w:t>Nav ņemts vērā</w:t>
            </w:r>
          </w:p>
          <w:p w:rsidR="00016D05" w:rsidRPr="00712B66" w:rsidRDefault="00016D05" w:rsidP="00016D05">
            <w:pPr>
              <w:pStyle w:val="naisc"/>
              <w:spacing w:before="0" w:after="0"/>
              <w:jc w:val="both"/>
            </w:pPr>
            <w:r>
              <w:t xml:space="preserve">Projekta izstrādes un saskaņošanas gaitā ir precizētas veicamās aktivitātes un novērtēts izstrādājamās funkcionalitātes </w:t>
            </w:r>
            <w:r>
              <w:lastRenderedPageBreak/>
              <w:t>apjoms. Samazinoties viena veida aktivitātēm, attiecīgi paplašināt</w:t>
            </w:r>
            <w:r w:rsidR="007D140E">
              <w:t>s</w:t>
            </w:r>
            <w:r>
              <w:t xml:space="preserve"> citu aktivitāšu tvērumu,</w:t>
            </w:r>
            <w:r w:rsidR="007D140E">
              <w:t xml:space="preserve"> kā arī atbilstoši saņemtajiem pieprasījumiem iekļautas jaunas aktivitātes, piemēram</w:t>
            </w:r>
            <w:r w:rsidR="00526A64">
              <w:t xml:space="preserve"> autentifikācija izmantojot vienoto autentifikāciju, </w:t>
            </w:r>
            <w:r w:rsidR="00526A64" w:rsidRPr="00526A64">
              <w:t>pielāgot</w:t>
            </w:r>
            <w:r w:rsidR="00526A64">
              <w:t xml:space="preserve"> universālās </w:t>
            </w:r>
            <w:proofErr w:type="spellStart"/>
            <w:r w:rsidR="00526A64">
              <w:t>saskarnes</w:t>
            </w:r>
            <w:proofErr w:type="spellEnd"/>
            <w:r w:rsidR="00526A64">
              <w:t xml:space="preserve"> </w:t>
            </w:r>
            <w:r w:rsidR="00526A64" w:rsidRPr="00526A64">
              <w:t>risinājumu Rīgas domes Informācijas tehnoloģiju centra Pašvaldību klientu informācijas pārvaldības projekta ietvaros izstrādātajām biznesa prasībām universālajai darba vietai</w:t>
            </w:r>
            <w:r w:rsidR="00526A64">
              <w:t>,</w:t>
            </w:r>
            <w:r w:rsidR="00526A64" w:rsidRPr="00526A64">
              <w:t xml:space="preserve"> </w:t>
            </w:r>
            <w:r>
              <w:t>tādējādi plānotās projekta izmaksas atbilst izstrādājamās funkcionalitātes apjomam.</w:t>
            </w:r>
          </w:p>
        </w:tc>
        <w:tc>
          <w:tcPr>
            <w:tcW w:w="1701" w:type="dxa"/>
            <w:tcBorders>
              <w:top w:val="single" w:sz="4" w:space="0" w:color="auto"/>
              <w:left w:val="single" w:sz="4" w:space="0" w:color="auto"/>
              <w:bottom w:val="single" w:sz="4" w:space="0" w:color="auto"/>
              <w:right w:val="single" w:sz="4" w:space="0" w:color="auto"/>
            </w:tcBorders>
          </w:tcPr>
          <w:p w:rsidR="000C1D0A" w:rsidRPr="00712B66" w:rsidRDefault="000C1D0A" w:rsidP="00107CBA"/>
        </w:tc>
        <w:tc>
          <w:tcPr>
            <w:tcW w:w="2502" w:type="dxa"/>
            <w:tcBorders>
              <w:top w:val="single" w:sz="4" w:space="0" w:color="auto"/>
              <w:left w:val="single" w:sz="4" w:space="0" w:color="auto"/>
              <w:bottom w:val="single" w:sz="4" w:space="0" w:color="auto"/>
            </w:tcBorders>
          </w:tcPr>
          <w:p w:rsidR="000C1D0A" w:rsidRPr="00712B66" w:rsidRDefault="000C1D0A" w:rsidP="00107CBA"/>
        </w:tc>
      </w:tr>
      <w:tr w:rsidR="000C1D0A" w:rsidRPr="00712B66" w:rsidTr="000C1D0A">
        <w:tc>
          <w:tcPr>
            <w:tcW w:w="701" w:type="dxa"/>
            <w:tcBorders>
              <w:top w:val="single" w:sz="4" w:space="0" w:color="auto"/>
              <w:left w:val="single" w:sz="4" w:space="0" w:color="auto"/>
              <w:bottom w:val="single" w:sz="4" w:space="0" w:color="auto"/>
              <w:right w:val="single" w:sz="4" w:space="0" w:color="auto"/>
            </w:tcBorders>
          </w:tcPr>
          <w:p w:rsidR="000C1D0A" w:rsidRDefault="000C1D0A" w:rsidP="000C1D0A">
            <w:pPr>
              <w:pStyle w:val="naisc"/>
              <w:spacing w:before="0" w:after="0"/>
              <w:ind w:firstLine="22"/>
            </w:pPr>
          </w:p>
        </w:tc>
        <w:tc>
          <w:tcPr>
            <w:tcW w:w="2802" w:type="dxa"/>
            <w:tcBorders>
              <w:top w:val="single" w:sz="4" w:space="0" w:color="auto"/>
              <w:left w:val="single" w:sz="4" w:space="0" w:color="auto"/>
              <w:bottom w:val="single" w:sz="4" w:space="0" w:color="auto"/>
              <w:right w:val="single" w:sz="4" w:space="0" w:color="auto"/>
            </w:tcBorders>
          </w:tcPr>
          <w:p w:rsidR="000C1D0A" w:rsidRPr="00712B66" w:rsidRDefault="000C1D0A" w:rsidP="00107CBA">
            <w:pPr>
              <w:pStyle w:val="naisc"/>
              <w:spacing w:before="0" w:after="0"/>
              <w:ind w:firstLine="720"/>
            </w:pPr>
          </w:p>
        </w:tc>
        <w:tc>
          <w:tcPr>
            <w:tcW w:w="3435" w:type="dxa"/>
            <w:tcBorders>
              <w:top w:val="single" w:sz="4" w:space="0" w:color="auto"/>
              <w:left w:val="single" w:sz="4" w:space="0" w:color="auto"/>
              <w:bottom w:val="single" w:sz="4" w:space="0" w:color="auto"/>
              <w:right w:val="single" w:sz="4" w:space="0" w:color="auto"/>
            </w:tcBorders>
          </w:tcPr>
          <w:p w:rsidR="000C1D0A" w:rsidRDefault="000C1D0A" w:rsidP="00107CBA">
            <w:pPr>
              <w:pStyle w:val="naisc"/>
              <w:spacing w:before="0" w:after="0"/>
              <w:rPr>
                <w:b/>
              </w:rPr>
            </w:pPr>
          </w:p>
        </w:tc>
        <w:tc>
          <w:tcPr>
            <w:tcW w:w="3544" w:type="dxa"/>
            <w:tcBorders>
              <w:top w:val="single" w:sz="4" w:space="0" w:color="auto"/>
              <w:left w:val="single" w:sz="4" w:space="0" w:color="auto"/>
              <w:bottom w:val="single" w:sz="4" w:space="0" w:color="auto"/>
              <w:right w:val="single" w:sz="4" w:space="0" w:color="auto"/>
            </w:tcBorders>
          </w:tcPr>
          <w:p w:rsidR="000C1D0A" w:rsidRPr="00712B66" w:rsidRDefault="000C1D0A" w:rsidP="001E6C15">
            <w:pPr>
              <w:pStyle w:val="naisc"/>
              <w:spacing w:before="0" w:after="0"/>
              <w:ind w:firstLine="720"/>
            </w:pPr>
          </w:p>
        </w:tc>
        <w:tc>
          <w:tcPr>
            <w:tcW w:w="1701" w:type="dxa"/>
            <w:tcBorders>
              <w:top w:val="single" w:sz="4" w:space="0" w:color="auto"/>
              <w:left w:val="single" w:sz="4" w:space="0" w:color="auto"/>
              <w:bottom w:val="single" w:sz="4" w:space="0" w:color="auto"/>
              <w:right w:val="single" w:sz="4" w:space="0" w:color="auto"/>
            </w:tcBorders>
          </w:tcPr>
          <w:p w:rsidR="000C1D0A" w:rsidRPr="00712B66" w:rsidRDefault="000C1D0A" w:rsidP="00107CBA"/>
        </w:tc>
        <w:tc>
          <w:tcPr>
            <w:tcW w:w="2502" w:type="dxa"/>
            <w:tcBorders>
              <w:top w:val="single" w:sz="4" w:space="0" w:color="auto"/>
              <w:left w:val="single" w:sz="4" w:space="0" w:color="auto"/>
              <w:bottom w:val="single" w:sz="4" w:space="0" w:color="auto"/>
            </w:tcBorders>
          </w:tcPr>
          <w:p w:rsidR="000C1D0A" w:rsidRPr="00712B66" w:rsidRDefault="000C1D0A" w:rsidP="00107CBA"/>
        </w:tc>
      </w:tr>
    </w:tbl>
    <w:p w:rsidR="002A2645" w:rsidRPr="00712B66" w:rsidRDefault="002A2645" w:rsidP="0071113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3743" w:type="dxa"/>
        <w:tblLook w:val="00A0" w:firstRow="1" w:lastRow="0" w:firstColumn="1" w:lastColumn="0" w:noHBand="0" w:noVBand="0"/>
      </w:tblPr>
      <w:tblGrid>
        <w:gridCol w:w="6345"/>
        <w:gridCol w:w="161"/>
        <w:gridCol w:w="1042"/>
        <w:gridCol w:w="1349"/>
        <w:gridCol w:w="3685"/>
        <w:gridCol w:w="1161"/>
      </w:tblGrid>
      <w:tr w:rsidR="007B4C0F" w:rsidRPr="00712B66" w:rsidTr="0077348E">
        <w:trPr>
          <w:gridAfter w:val="1"/>
          <w:wAfter w:w="1161" w:type="dxa"/>
        </w:trPr>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4"/>
            <w:tcBorders>
              <w:bottom w:val="single" w:sz="4" w:space="0" w:color="auto"/>
            </w:tcBorders>
          </w:tcPr>
          <w:p w:rsidR="007B4C0F" w:rsidRPr="00712B66" w:rsidRDefault="009A7F0F" w:rsidP="009A7F0F">
            <w:pPr>
              <w:pStyle w:val="NormalWeb"/>
              <w:spacing w:before="0" w:beforeAutospacing="0" w:after="0" w:afterAutospacing="0"/>
            </w:pPr>
            <w:r>
              <w:t>Elektroniskā saskaņošana</w:t>
            </w:r>
          </w:p>
        </w:tc>
      </w:tr>
      <w:tr w:rsidR="003C27A2" w:rsidRPr="00712B66" w:rsidTr="0077348E">
        <w:trPr>
          <w:gridAfter w:val="1"/>
          <w:wAfter w:w="1161" w:type="dxa"/>
        </w:trPr>
        <w:tc>
          <w:tcPr>
            <w:tcW w:w="6345" w:type="dxa"/>
          </w:tcPr>
          <w:p w:rsidR="003C27A2" w:rsidRPr="00712B66" w:rsidRDefault="003C27A2" w:rsidP="007B4C0F">
            <w:pPr>
              <w:pStyle w:val="naisf"/>
              <w:spacing w:before="0" w:after="0"/>
              <w:ind w:firstLine="0"/>
            </w:pPr>
          </w:p>
        </w:tc>
        <w:tc>
          <w:tcPr>
            <w:tcW w:w="6237" w:type="dxa"/>
            <w:gridSpan w:val="4"/>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rsidTr="0077348E">
        <w:trPr>
          <w:gridAfter w:val="1"/>
          <w:wAfter w:w="1161" w:type="dxa"/>
        </w:trPr>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4"/>
          </w:tcPr>
          <w:p w:rsidR="002805A9" w:rsidRDefault="002E5782" w:rsidP="002E5782">
            <w:pPr>
              <w:pStyle w:val="NormalWeb"/>
              <w:spacing w:before="0" w:beforeAutospacing="0" w:after="0" w:afterAutospacing="0"/>
            </w:pPr>
            <w:r>
              <w:t xml:space="preserve">Finanšu ministrija, </w:t>
            </w:r>
            <w:r w:rsidR="008A0C8B">
              <w:t>Tieslietu ministrija,</w:t>
            </w:r>
          </w:p>
          <w:p w:rsidR="007B4C0F" w:rsidRDefault="002E5782" w:rsidP="002E5782">
            <w:pPr>
              <w:pStyle w:val="NormalWeb"/>
              <w:spacing w:before="0" w:beforeAutospacing="0" w:after="0" w:afterAutospacing="0"/>
            </w:pPr>
            <w:r>
              <w:t>Vides aizsardzības un reģionālās attīstības ministrija</w:t>
            </w:r>
            <w:r w:rsidR="00A61445">
              <w:t>,</w:t>
            </w:r>
          </w:p>
          <w:p w:rsidR="00A61445" w:rsidRPr="00712B66" w:rsidRDefault="00A61445" w:rsidP="002E5782">
            <w:pPr>
              <w:pStyle w:val="NormalWeb"/>
              <w:spacing w:before="0" w:beforeAutospacing="0" w:after="0" w:afterAutospacing="0"/>
            </w:pPr>
            <w:r>
              <w:t>Latvijas Lielo pilsētu asociācija</w:t>
            </w:r>
            <w:r w:rsidR="008A0C8B">
              <w:t>, Latvijas Pašvaldību savienība</w:t>
            </w:r>
          </w:p>
        </w:tc>
      </w:tr>
      <w:tr w:rsidR="007B4C0F" w:rsidRPr="00712B66" w:rsidTr="0077348E">
        <w:trPr>
          <w:gridAfter w:val="1"/>
          <w:wAfter w:w="1161" w:type="dxa"/>
        </w:trPr>
        <w:tc>
          <w:tcPr>
            <w:tcW w:w="6345" w:type="dxa"/>
          </w:tcPr>
          <w:p w:rsidR="007B4C0F" w:rsidRPr="00712B66" w:rsidRDefault="007B4C0F" w:rsidP="0036160E">
            <w:pPr>
              <w:pStyle w:val="naiskr"/>
              <w:spacing w:before="0" w:after="0"/>
              <w:ind w:firstLine="720"/>
            </w:pPr>
            <w:r w:rsidRPr="00712B66">
              <w:t>  </w:t>
            </w:r>
          </w:p>
        </w:tc>
        <w:tc>
          <w:tcPr>
            <w:tcW w:w="6237" w:type="dxa"/>
            <w:gridSpan w:val="4"/>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0D0AED" w:rsidRPr="00712B66" w:rsidTr="0077348E">
        <w:trPr>
          <w:gridAfter w:val="1"/>
          <w:wAfter w:w="1161" w:type="dxa"/>
          <w:trHeight w:val="285"/>
        </w:trPr>
        <w:tc>
          <w:tcPr>
            <w:tcW w:w="6345" w:type="dxa"/>
          </w:tcPr>
          <w:p w:rsidR="000D0AED" w:rsidRPr="00712B66" w:rsidRDefault="000D0AED" w:rsidP="000D0AED">
            <w:pPr>
              <w:pStyle w:val="naiskr"/>
              <w:spacing w:before="0" w:after="0"/>
            </w:pPr>
          </w:p>
        </w:tc>
        <w:tc>
          <w:tcPr>
            <w:tcW w:w="1203" w:type="dxa"/>
            <w:gridSpan w:val="2"/>
          </w:tcPr>
          <w:p w:rsidR="000D0AED" w:rsidRPr="00712B66" w:rsidRDefault="000D0AED" w:rsidP="0036160E">
            <w:pPr>
              <w:pStyle w:val="naiskr"/>
              <w:spacing w:before="0" w:after="0"/>
              <w:ind w:firstLine="720"/>
            </w:pPr>
          </w:p>
        </w:tc>
        <w:tc>
          <w:tcPr>
            <w:tcW w:w="5034" w:type="dxa"/>
            <w:gridSpan w:val="2"/>
          </w:tcPr>
          <w:p w:rsidR="000D0AED" w:rsidRPr="00712B66" w:rsidRDefault="000D0AED" w:rsidP="0036160E">
            <w:pPr>
              <w:pStyle w:val="naiskr"/>
              <w:spacing w:before="0" w:after="0"/>
              <w:ind w:firstLine="12"/>
            </w:pPr>
          </w:p>
        </w:tc>
      </w:tr>
      <w:tr w:rsidR="007B4C0F" w:rsidRPr="00712B66" w:rsidTr="0077348E">
        <w:trPr>
          <w:trHeight w:val="285"/>
        </w:trPr>
        <w:tc>
          <w:tcPr>
            <w:tcW w:w="6506" w:type="dxa"/>
            <w:gridSpan w:val="2"/>
          </w:tcPr>
          <w:p w:rsidR="0054465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p>
          <w:p w:rsidR="007B4C0F" w:rsidRDefault="003E4C3F" w:rsidP="000D0AED">
            <w:pPr>
              <w:pStyle w:val="naiskr"/>
              <w:spacing w:before="0" w:after="0"/>
            </w:pPr>
            <w:r>
              <w:t>(c</w:t>
            </w:r>
            <w:r w:rsidR="005D67F7" w:rsidRPr="00712B66">
              <w:t>itu institūciju</w:t>
            </w:r>
            <w:r>
              <w:t>)</w:t>
            </w:r>
            <w:r w:rsidR="005D67F7" w:rsidRPr="00712B66">
              <w:t xml:space="preserve"> iebildumus</w:t>
            </w:r>
          </w:p>
          <w:p w:rsidR="00383161" w:rsidRDefault="00383161" w:rsidP="00383161"/>
          <w:p w:rsidR="00383161" w:rsidRPr="00383161" w:rsidRDefault="00383161" w:rsidP="00383161"/>
          <w:p w:rsidR="00383161" w:rsidRPr="00383161" w:rsidRDefault="00383161" w:rsidP="00383161"/>
          <w:p w:rsidR="00383161" w:rsidRPr="00383161" w:rsidRDefault="00383161" w:rsidP="00383161"/>
          <w:p w:rsidR="00383161" w:rsidRPr="00383161" w:rsidRDefault="00383161" w:rsidP="00383161"/>
          <w:p w:rsidR="00383161" w:rsidRPr="00383161" w:rsidRDefault="00383161" w:rsidP="00383161"/>
          <w:p w:rsidR="00383161" w:rsidRPr="00383161" w:rsidRDefault="00383161" w:rsidP="00383161"/>
        </w:tc>
        <w:tc>
          <w:tcPr>
            <w:tcW w:w="2391" w:type="dxa"/>
            <w:gridSpan w:val="2"/>
          </w:tcPr>
          <w:p w:rsidR="007B4C0F" w:rsidRPr="00712B66" w:rsidRDefault="002805A9" w:rsidP="002805A9">
            <w:pPr>
              <w:pStyle w:val="naiskr"/>
              <w:spacing w:before="0" w:after="0"/>
              <w:ind w:firstLine="11"/>
            </w:pPr>
            <w:r>
              <w:lastRenderedPageBreak/>
              <w:t>Finanšu ministrijas</w:t>
            </w:r>
            <w:r w:rsidR="009A7F0F">
              <w:t>, Tieslietu ministrijas</w:t>
            </w:r>
          </w:p>
        </w:tc>
        <w:tc>
          <w:tcPr>
            <w:tcW w:w="4846" w:type="dxa"/>
            <w:gridSpan w:val="2"/>
          </w:tcPr>
          <w:p w:rsidR="007B4C0F" w:rsidRPr="00712B66" w:rsidRDefault="007B4C0F" w:rsidP="0036160E">
            <w:pPr>
              <w:pStyle w:val="naiskr"/>
              <w:spacing w:before="0" w:after="0"/>
              <w:ind w:firstLine="12"/>
            </w:pPr>
          </w:p>
        </w:tc>
      </w:tr>
      <w:tr w:rsidR="003C27A2" w:rsidRPr="00712B66" w:rsidTr="0077348E">
        <w:trPr>
          <w:trHeight w:val="465"/>
        </w:trPr>
        <w:tc>
          <w:tcPr>
            <w:tcW w:w="6506" w:type="dxa"/>
            <w:gridSpan w:val="2"/>
          </w:tcPr>
          <w:p w:rsidR="003C27A2" w:rsidRPr="00712B66" w:rsidRDefault="003C27A2" w:rsidP="0036160E">
            <w:pPr>
              <w:pStyle w:val="naiskr"/>
              <w:spacing w:before="0" w:after="0"/>
              <w:ind w:firstLine="720"/>
            </w:pPr>
          </w:p>
        </w:tc>
        <w:tc>
          <w:tcPr>
            <w:tcW w:w="7237" w:type="dxa"/>
            <w:gridSpan w:val="4"/>
            <w:tcBorders>
              <w:top w:val="single" w:sz="6" w:space="0" w:color="000000"/>
              <w:bottom w:val="single" w:sz="6" w:space="0" w:color="000000"/>
            </w:tcBorders>
          </w:tcPr>
          <w:p w:rsidR="003C27A2" w:rsidRPr="00712B66" w:rsidRDefault="003C27A2" w:rsidP="0036160E">
            <w:pPr>
              <w:pStyle w:val="NormalWeb"/>
              <w:spacing w:before="0" w:beforeAutospacing="0" w:after="0" w:afterAutospacing="0"/>
              <w:ind w:firstLine="720"/>
            </w:pPr>
          </w:p>
        </w:tc>
      </w:tr>
      <w:tr w:rsidR="007B4C0F" w:rsidRPr="00712B66" w:rsidTr="0077348E">
        <w:tc>
          <w:tcPr>
            <w:tcW w:w="6506" w:type="dxa"/>
            <w:gridSpan w:val="2"/>
          </w:tcPr>
          <w:p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237" w:type="dxa"/>
            <w:gridSpan w:val="4"/>
          </w:tcPr>
          <w:p w:rsidR="007B4C0F" w:rsidRPr="00712B66" w:rsidRDefault="007B4C0F" w:rsidP="0036160E">
            <w:pPr>
              <w:pStyle w:val="naiskr"/>
              <w:spacing w:before="0" w:after="0"/>
              <w:ind w:firstLine="720"/>
            </w:pPr>
          </w:p>
        </w:tc>
      </w:tr>
      <w:tr w:rsidR="007B4C0F" w:rsidRPr="00712B66" w:rsidTr="0077348E">
        <w:tc>
          <w:tcPr>
            <w:tcW w:w="6506" w:type="dxa"/>
            <w:gridSpan w:val="2"/>
          </w:tcPr>
          <w:p w:rsidR="007B4C0F" w:rsidRPr="00712B66" w:rsidRDefault="007B4C0F" w:rsidP="0036160E">
            <w:pPr>
              <w:pStyle w:val="naiskr"/>
              <w:spacing w:before="0" w:after="0"/>
              <w:ind w:firstLine="720"/>
            </w:pPr>
            <w:r w:rsidRPr="00712B66">
              <w:t>  </w:t>
            </w:r>
          </w:p>
        </w:tc>
        <w:tc>
          <w:tcPr>
            <w:tcW w:w="7237" w:type="dxa"/>
            <w:gridSpan w:val="4"/>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7B4C0F" w:rsidRPr="00712B66" w:rsidTr="0077348E">
        <w:tc>
          <w:tcPr>
            <w:tcW w:w="6506" w:type="dxa"/>
            <w:gridSpan w:val="2"/>
          </w:tcPr>
          <w:p w:rsidR="007B4C0F" w:rsidRPr="00712B66" w:rsidRDefault="007B4C0F" w:rsidP="0036160E">
            <w:pPr>
              <w:pStyle w:val="naiskr"/>
              <w:spacing w:before="0" w:after="0"/>
              <w:ind w:firstLine="720"/>
            </w:pPr>
            <w:r w:rsidRPr="00712B66">
              <w:t>  </w:t>
            </w:r>
          </w:p>
        </w:tc>
        <w:tc>
          <w:tcPr>
            <w:tcW w:w="7237" w:type="dxa"/>
            <w:gridSpan w:val="4"/>
            <w:tcBorders>
              <w:bottom w:val="single" w:sz="6" w:space="0" w:color="000000"/>
            </w:tcBorders>
          </w:tcPr>
          <w:p w:rsidR="007B4C0F" w:rsidRPr="00712B66" w:rsidRDefault="007B4C0F" w:rsidP="0036160E">
            <w:pPr>
              <w:pStyle w:val="naiskr"/>
              <w:spacing w:before="0" w:after="0"/>
              <w:ind w:firstLine="720"/>
            </w:pPr>
          </w:p>
        </w:tc>
      </w:tr>
    </w:tbl>
    <w:p w:rsidR="00683081" w:rsidRPr="00712B66" w:rsidRDefault="00683081" w:rsidP="00683081">
      <w:pPr>
        <w:pStyle w:val="naisf"/>
        <w:spacing w:before="0" w:after="0"/>
        <w:ind w:firstLine="720"/>
      </w:pPr>
    </w:p>
    <w:p w:rsidR="0077348E" w:rsidRDefault="0077348E" w:rsidP="00184479">
      <w:pPr>
        <w:pStyle w:val="naisf"/>
        <w:spacing w:before="0" w:after="0"/>
        <w:ind w:firstLine="0"/>
        <w:jc w:val="center"/>
        <w:rPr>
          <w:b/>
        </w:rPr>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tbl>
      <w:tblPr>
        <w:tblW w:w="14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07"/>
        <w:gridCol w:w="854"/>
        <w:gridCol w:w="4252"/>
        <w:gridCol w:w="1121"/>
        <w:gridCol w:w="2172"/>
        <w:gridCol w:w="3261"/>
      </w:tblGrid>
      <w:tr w:rsidR="00134188" w:rsidRPr="00712B66" w:rsidTr="00AC14D0">
        <w:tc>
          <w:tcPr>
            <w:tcW w:w="67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w:t>
            </w:r>
            <w:r w:rsidR="00D64FB0">
              <w:t> </w:t>
            </w:r>
            <w:r w:rsidRPr="00712B66">
              <w:t>k.</w:t>
            </w:r>
          </w:p>
        </w:tc>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293"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261"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AC14D0">
        <w:tc>
          <w:tcPr>
            <w:tcW w:w="675"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261"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3B71E0">
            <w:pPr>
              <w:pStyle w:val="naisc"/>
              <w:spacing w:before="0" w:after="0"/>
              <w:ind w:firstLine="720"/>
              <w:rPr>
                <w:sz w:val="20"/>
                <w:szCs w:val="20"/>
              </w:rPr>
            </w:pPr>
            <w:r>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3</w:t>
            </w:r>
          </w:p>
        </w:tc>
        <w:tc>
          <w:tcPr>
            <w:tcW w:w="3293"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4</w:t>
            </w:r>
          </w:p>
        </w:tc>
        <w:tc>
          <w:tcPr>
            <w:tcW w:w="3261" w:type="dxa"/>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C4698E" w:rsidRPr="00712B66" w:rsidTr="00D91297">
        <w:tc>
          <w:tcPr>
            <w:tcW w:w="14742" w:type="dxa"/>
            <w:gridSpan w:val="7"/>
            <w:tcBorders>
              <w:left w:val="single" w:sz="6" w:space="0" w:color="000000"/>
              <w:bottom w:val="single" w:sz="4" w:space="0" w:color="auto"/>
            </w:tcBorders>
          </w:tcPr>
          <w:p w:rsidR="00C4698E" w:rsidRPr="00712B66" w:rsidRDefault="00C4698E" w:rsidP="00C4698E">
            <w:pPr>
              <w:jc w:val="center"/>
            </w:pPr>
            <w:r w:rsidRPr="006537F9">
              <w:rPr>
                <w:b/>
              </w:rPr>
              <w:t>Finanšu ministrija</w:t>
            </w:r>
          </w:p>
        </w:tc>
      </w:tr>
      <w:tr w:rsidR="00025FE0" w:rsidRPr="00712B66" w:rsidTr="008B2746">
        <w:trPr>
          <w:trHeight w:val="983"/>
        </w:trPr>
        <w:tc>
          <w:tcPr>
            <w:tcW w:w="675" w:type="dxa"/>
            <w:tcBorders>
              <w:left w:val="single" w:sz="6" w:space="0" w:color="000000"/>
              <w:bottom w:val="single" w:sz="4" w:space="0" w:color="auto"/>
              <w:right w:val="single" w:sz="6" w:space="0" w:color="000000"/>
            </w:tcBorders>
          </w:tcPr>
          <w:p w:rsidR="00025FE0" w:rsidRDefault="00025FE0" w:rsidP="00025FE0">
            <w:pPr>
              <w:pStyle w:val="naisc"/>
              <w:numPr>
                <w:ilvl w:val="0"/>
                <w:numId w:val="7"/>
              </w:numPr>
              <w:spacing w:before="0" w:after="0"/>
            </w:pPr>
            <w:r>
              <w:t>1.</w:t>
            </w:r>
          </w:p>
          <w:p w:rsidR="00025FE0" w:rsidRPr="00712B66" w:rsidRDefault="00025FE0" w:rsidP="00025FE0">
            <w:pPr>
              <w:pStyle w:val="naisc"/>
              <w:spacing w:before="0" w:after="0"/>
              <w:ind w:left="-710" w:firstLine="720"/>
            </w:pPr>
          </w:p>
        </w:tc>
        <w:tc>
          <w:tcPr>
            <w:tcW w:w="3261" w:type="dxa"/>
            <w:gridSpan w:val="2"/>
            <w:tcBorders>
              <w:left w:val="single" w:sz="6" w:space="0" w:color="000000"/>
              <w:bottom w:val="single" w:sz="4" w:space="0" w:color="auto"/>
              <w:right w:val="single" w:sz="6" w:space="0" w:color="000000"/>
            </w:tcBorders>
          </w:tcPr>
          <w:p w:rsidR="005200F9" w:rsidRDefault="005200F9" w:rsidP="00AC14D0">
            <w:pPr>
              <w:jc w:val="center"/>
              <w:rPr>
                <w:rFonts w:eastAsia="Calibri"/>
                <w:b/>
                <w:lang w:eastAsia="en-US"/>
              </w:rPr>
            </w:pPr>
            <w:r>
              <w:rPr>
                <w:rFonts w:eastAsia="Calibri"/>
                <w:b/>
                <w:lang w:eastAsia="en-US"/>
              </w:rPr>
              <w:t>Projekta nosaukums</w:t>
            </w:r>
          </w:p>
          <w:p w:rsidR="00025FE0" w:rsidRPr="005200F9" w:rsidRDefault="00025FE0" w:rsidP="005200F9">
            <w:pPr>
              <w:jc w:val="both"/>
            </w:pPr>
            <w:r w:rsidRPr="005200F9">
              <w:rPr>
                <w:rFonts w:eastAsia="Calibri"/>
                <w:lang w:eastAsia="en-US"/>
              </w:rPr>
              <w:t xml:space="preserve">Par informācijas sabiedrības attīstības pamatnostādņu ieviešanu publiskās pārvaldes informācijas sistēmu jomā (mērķarhitektūras 54.0 versija - Būvniecības procesu un </w:t>
            </w:r>
            <w:r w:rsidRPr="005200F9">
              <w:rPr>
                <w:rFonts w:eastAsia="Calibri"/>
                <w:lang w:eastAsia="en-US"/>
              </w:rPr>
              <w:lastRenderedPageBreak/>
              <w:t>informācijas sistēmas attīstība (2.kārta))</w:t>
            </w:r>
          </w:p>
        </w:tc>
        <w:tc>
          <w:tcPr>
            <w:tcW w:w="4252" w:type="dxa"/>
            <w:tcBorders>
              <w:left w:val="single" w:sz="6" w:space="0" w:color="000000"/>
              <w:bottom w:val="single" w:sz="4" w:space="0" w:color="auto"/>
              <w:right w:val="single" w:sz="6" w:space="0" w:color="000000"/>
            </w:tcBorders>
          </w:tcPr>
          <w:p w:rsidR="001B7C0E" w:rsidRDefault="001B7C0E" w:rsidP="00AC14D0">
            <w:pPr>
              <w:pStyle w:val="ListParagraph"/>
              <w:spacing w:after="0" w:line="240" w:lineRule="auto"/>
              <w:ind w:left="142"/>
              <w:contextualSpacing w:val="0"/>
              <w:jc w:val="both"/>
              <w:rPr>
                <w:rFonts w:ascii="Times New Roman" w:hAnsi="Times New Roman"/>
                <w:sz w:val="24"/>
                <w:szCs w:val="24"/>
              </w:rPr>
            </w:pPr>
            <w:r>
              <w:rPr>
                <w:rFonts w:ascii="Times New Roman" w:hAnsi="Times New Roman"/>
                <w:sz w:val="24"/>
                <w:szCs w:val="24"/>
              </w:rPr>
              <w:lastRenderedPageBreak/>
              <w:t>FM 24.04.2019. atzinums</w:t>
            </w:r>
          </w:p>
          <w:p w:rsidR="00025FE0" w:rsidRPr="002709F6" w:rsidRDefault="00025FE0" w:rsidP="00AC14D0">
            <w:pPr>
              <w:pStyle w:val="ListParagraph"/>
              <w:spacing w:after="0" w:line="240" w:lineRule="auto"/>
              <w:ind w:left="142"/>
              <w:contextualSpacing w:val="0"/>
              <w:jc w:val="both"/>
              <w:rPr>
                <w:sz w:val="24"/>
                <w:szCs w:val="24"/>
              </w:rPr>
            </w:pPr>
            <w:r w:rsidRPr="002709F6">
              <w:rPr>
                <w:rFonts w:ascii="Times New Roman" w:hAnsi="Times New Roman"/>
                <w:sz w:val="24"/>
                <w:szCs w:val="24"/>
              </w:rPr>
              <w:t>Lūdzam precizēt rīkojuma projektā, pielikumā un anotācijā norādīto projekta nosaukumu “Būvniecības procesu un informācijas sistēmas attīstība (2.kārta)” atbilstoši MK rīkojuma Nr.422</w:t>
            </w:r>
            <w:r w:rsidRPr="002709F6">
              <w:rPr>
                <w:rStyle w:val="FootnoteReference"/>
                <w:sz w:val="24"/>
                <w:szCs w:val="24"/>
              </w:rPr>
              <w:footnoteReference w:id="1"/>
            </w:r>
            <w:r w:rsidRPr="002709F6">
              <w:rPr>
                <w:rFonts w:ascii="Times New Roman" w:hAnsi="Times New Roman"/>
                <w:sz w:val="24"/>
                <w:szCs w:val="24"/>
              </w:rPr>
              <w:t xml:space="preserve"> pielikumā norādītajam projekta </w:t>
            </w:r>
            <w:r w:rsidRPr="002709F6">
              <w:rPr>
                <w:rFonts w:ascii="Times New Roman" w:hAnsi="Times New Roman"/>
                <w:sz w:val="24"/>
                <w:szCs w:val="24"/>
              </w:rPr>
              <w:lastRenderedPageBreak/>
              <w:t>nosaukumam “Būvniecības procesu un IS attīstība (2. kārta)”.</w:t>
            </w:r>
          </w:p>
        </w:tc>
        <w:tc>
          <w:tcPr>
            <w:tcW w:w="3293" w:type="dxa"/>
            <w:gridSpan w:val="2"/>
            <w:tcBorders>
              <w:left w:val="single" w:sz="6" w:space="0" w:color="000000"/>
              <w:bottom w:val="single" w:sz="4" w:space="0" w:color="auto"/>
              <w:right w:val="single" w:sz="6" w:space="0" w:color="000000"/>
            </w:tcBorders>
          </w:tcPr>
          <w:p w:rsidR="00025FE0" w:rsidRPr="00247CE6" w:rsidRDefault="00247CE6" w:rsidP="00025FE0">
            <w:pPr>
              <w:pStyle w:val="naisc"/>
              <w:spacing w:before="0" w:after="0"/>
              <w:rPr>
                <w:b/>
              </w:rPr>
            </w:pPr>
            <w:r w:rsidRPr="00247CE6">
              <w:rPr>
                <w:b/>
              </w:rPr>
              <w:lastRenderedPageBreak/>
              <w:t>Ņemts vērā.</w:t>
            </w:r>
          </w:p>
        </w:tc>
        <w:tc>
          <w:tcPr>
            <w:tcW w:w="3261" w:type="dxa"/>
            <w:tcBorders>
              <w:top w:val="single" w:sz="4" w:space="0" w:color="auto"/>
              <w:left w:val="single" w:sz="4" w:space="0" w:color="auto"/>
              <w:bottom w:val="single" w:sz="4" w:space="0" w:color="auto"/>
            </w:tcBorders>
          </w:tcPr>
          <w:p w:rsidR="005200F9" w:rsidRDefault="005200F9" w:rsidP="00025FE0">
            <w:pPr>
              <w:jc w:val="center"/>
              <w:rPr>
                <w:rFonts w:eastAsia="Calibri"/>
                <w:b/>
                <w:lang w:eastAsia="en-US"/>
              </w:rPr>
            </w:pPr>
            <w:r>
              <w:rPr>
                <w:rFonts w:eastAsia="Calibri"/>
                <w:b/>
                <w:lang w:eastAsia="en-US"/>
              </w:rPr>
              <w:t>Projekta nosaukums</w:t>
            </w:r>
          </w:p>
          <w:p w:rsidR="00025FE0" w:rsidRPr="00712B66" w:rsidRDefault="00025FE0" w:rsidP="008B2746">
            <w:pPr>
              <w:jc w:val="both"/>
            </w:pPr>
            <w:r w:rsidRPr="005200F9">
              <w:rPr>
                <w:rFonts w:eastAsia="Calibri"/>
                <w:lang w:eastAsia="en-US"/>
              </w:rPr>
              <w:t xml:space="preserve">Par informācijas sabiedrības attīstības pamatnostādņu ieviešanu publiskās pārvaldes informācijas sistēmu jomā (mērķarhitektūras 54.0 versija - </w:t>
            </w:r>
            <w:r w:rsidRPr="005200F9">
              <w:rPr>
                <w:rFonts w:eastAsia="Calibri"/>
                <w:lang w:eastAsia="en-US"/>
              </w:rPr>
              <w:lastRenderedPageBreak/>
              <w:t>Būvniecības procesu un IS attīstība (2.kārta))</w:t>
            </w:r>
            <w:r w:rsidR="008B2746">
              <w:rPr>
                <w:rFonts w:eastAsia="Calibri"/>
                <w:lang w:eastAsia="en-US"/>
              </w:rPr>
              <w:t xml:space="preserve">. </w:t>
            </w:r>
          </w:p>
        </w:tc>
      </w:tr>
      <w:tr w:rsidR="00025FE0" w:rsidRPr="00712B66" w:rsidTr="00AC14D0">
        <w:tc>
          <w:tcPr>
            <w:tcW w:w="675" w:type="dxa"/>
            <w:tcBorders>
              <w:left w:val="single" w:sz="6" w:space="0" w:color="000000"/>
              <w:bottom w:val="single" w:sz="4" w:space="0" w:color="auto"/>
              <w:right w:val="single" w:sz="6" w:space="0" w:color="000000"/>
            </w:tcBorders>
          </w:tcPr>
          <w:p w:rsidR="00025FE0" w:rsidRPr="00712B66" w:rsidRDefault="00025FE0" w:rsidP="00025FE0">
            <w:pPr>
              <w:pStyle w:val="naisc"/>
              <w:numPr>
                <w:ilvl w:val="0"/>
                <w:numId w:val="7"/>
              </w:numPr>
              <w:spacing w:before="0" w:after="0"/>
              <w:ind w:right="-249"/>
            </w:pPr>
            <w:r>
              <w:lastRenderedPageBreak/>
              <w:t>22.</w:t>
            </w:r>
          </w:p>
        </w:tc>
        <w:tc>
          <w:tcPr>
            <w:tcW w:w="3261" w:type="dxa"/>
            <w:gridSpan w:val="2"/>
            <w:tcBorders>
              <w:left w:val="single" w:sz="6" w:space="0" w:color="000000"/>
              <w:bottom w:val="single" w:sz="4" w:space="0" w:color="auto"/>
              <w:right w:val="single" w:sz="6" w:space="0" w:color="000000"/>
            </w:tcBorders>
          </w:tcPr>
          <w:p w:rsidR="00E358A2" w:rsidRDefault="00E358A2" w:rsidP="00E358A2">
            <w:pPr>
              <w:keepNext/>
              <w:keepLines/>
              <w:spacing w:before="120" w:after="120"/>
              <w:jc w:val="center"/>
              <w:outlineLvl w:val="3"/>
              <w:rPr>
                <w:b/>
                <w:iCs/>
              </w:rPr>
            </w:pPr>
            <w:r w:rsidRPr="00E358A2">
              <w:rPr>
                <w:b/>
                <w:iCs/>
              </w:rPr>
              <w:t>Projekta apraksts (kopsavilkums)</w:t>
            </w:r>
          </w:p>
          <w:p w:rsidR="0097074C" w:rsidRPr="007D2A8E" w:rsidRDefault="0097074C" w:rsidP="00E358A2">
            <w:pPr>
              <w:keepNext/>
              <w:keepLines/>
              <w:spacing w:before="120" w:after="120"/>
              <w:jc w:val="both"/>
              <w:outlineLvl w:val="3"/>
              <w:rPr>
                <w:b/>
                <w:iCs/>
                <w:u w:val="single"/>
              </w:rPr>
            </w:pPr>
            <w:r w:rsidRPr="007D2A8E">
              <w:rPr>
                <w:b/>
                <w:iCs/>
                <w:u w:val="single"/>
              </w:rPr>
              <w:t>Darbības projekta mērķu sasniegšanai:</w:t>
            </w:r>
          </w:p>
          <w:p w:rsidR="0097074C" w:rsidRPr="0097074C" w:rsidRDefault="0097074C" w:rsidP="00C4698E">
            <w:pPr>
              <w:numPr>
                <w:ilvl w:val="0"/>
                <w:numId w:val="10"/>
              </w:numPr>
              <w:spacing w:before="80" w:after="120"/>
              <w:ind w:left="321" w:hanging="284"/>
              <w:contextualSpacing/>
              <w:jc w:val="both"/>
              <w:rPr>
                <w:lang w:eastAsia="en-US"/>
              </w:rPr>
            </w:pPr>
            <w:r w:rsidRPr="0097074C">
              <w:rPr>
                <w:lang w:eastAsia="en-US"/>
              </w:rPr>
              <w:t>priekšlikumu sagatavošana nepieciešamo normatīvo aktu grozījumiem.</w:t>
            </w:r>
          </w:p>
          <w:p w:rsidR="00025FE0" w:rsidRPr="00712B66" w:rsidRDefault="00025FE0" w:rsidP="00CE645E">
            <w:pPr>
              <w:spacing w:after="120"/>
              <w:ind w:left="10"/>
              <w:contextualSpacing/>
              <w:jc w:val="both"/>
            </w:pPr>
          </w:p>
        </w:tc>
        <w:tc>
          <w:tcPr>
            <w:tcW w:w="4252" w:type="dxa"/>
            <w:tcBorders>
              <w:left w:val="single" w:sz="6" w:space="0" w:color="000000"/>
              <w:bottom w:val="single" w:sz="4" w:space="0" w:color="auto"/>
              <w:right w:val="single" w:sz="6" w:space="0" w:color="000000"/>
            </w:tcBorders>
          </w:tcPr>
          <w:p w:rsidR="001B7C0E" w:rsidRDefault="001B7C0E" w:rsidP="001B7C0E">
            <w:pPr>
              <w:pStyle w:val="ListParagraph"/>
              <w:spacing w:after="0" w:line="240" w:lineRule="auto"/>
              <w:ind w:left="142"/>
              <w:contextualSpacing w:val="0"/>
              <w:jc w:val="both"/>
              <w:rPr>
                <w:rFonts w:ascii="Times New Roman" w:hAnsi="Times New Roman"/>
                <w:sz w:val="24"/>
                <w:szCs w:val="24"/>
              </w:rPr>
            </w:pPr>
            <w:r>
              <w:rPr>
                <w:rFonts w:ascii="Times New Roman" w:hAnsi="Times New Roman"/>
                <w:sz w:val="24"/>
                <w:szCs w:val="24"/>
              </w:rPr>
              <w:t>FM 24.04.2019. atzinums</w:t>
            </w:r>
          </w:p>
          <w:p w:rsidR="00025FE0" w:rsidRPr="00712B66" w:rsidRDefault="00025FE0" w:rsidP="00DF5A3B">
            <w:pPr>
              <w:pStyle w:val="ListParagraph"/>
              <w:widowControl w:val="0"/>
              <w:spacing w:after="0" w:line="240" w:lineRule="auto"/>
              <w:ind w:left="142"/>
              <w:jc w:val="both"/>
            </w:pPr>
            <w:r w:rsidRPr="000F7C93">
              <w:rPr>
                <w:rFonts w:ascii="Times New Roman" w:hAnsi="Times New Roman"/>
                <w:sz w:val="24"/>
                <w:szCs w:val="24"/>
              </w:rPr>
              <w:t>Lūdzam izvērtēt un papildināt pielikuma sadaļas “Darbības projekta mērķu sasniegšanai” pēdēj</w:t>
            </w:r>
            <w:r>
              <w:rPr>
                <w:rFonts w:ascii="Times New Roman" w:hAnsi="Times New Roman"/>
                <w:sz w:val="24"/>
                <w:szCs w:val="24"/>
              </w:rPr>
              <w:t>o</w:t>
            </w:r>
            <w:r w:rsidRPr="000F7C93">
              <w:rPr>
                <w:rFonts w:ascii="Times New Roman" w:hAnsi="Times New Roman"/>
                <w:sz w:val="24"/>
                <w:szCs w:val="24"/>
              </w:rPr>
              <w:t xml:space="preserve"> punktu, nosakot veikt arī nepieciešamos grozījumus normatīvajos aktos. No </w:t>
            </w:r>
            <w:r>
              <w:rPr>
                <w:rFonts w:ascii="Times New Roman" w:hAnsi="Times New Roman"/>
                <w:sz w:val="24"/>
                <w:szCs w:val="24"/>
              </w:rPr>
              <w:t>pielikumā norādītās informācijas</w:t>
            </w:r>
            <w:r w:rsidRPr="000F7C93">
              <w:rPr>
                <w:rFonts w:ascii="Times New Roman" w:hAnsi="Times New Roman"/>
                <w:sz w:val="24"/>
                <w:szCs w:val="24"/>
              </w:rPr>
              <w:t xml:space="preserve"> izriet, ka tiek izstrādāti tikai priekšlikumi nepieciešam</w:t>
            </w:r>
            <w:r>
              <w:rPr>
                <w:rFonts w:ascii="Times New Roman" w:hAnsi="Times New Roman"/>
                <w:sz w:val="24"/>
                <w:szCs w:val="24"/>
              </w:rPr>
              <w:t>aj</w:t>
            </w:r>
            <w:r w:rsidRPr="000F7C93">
              <w:rPr>
                <w:rFonts w:ascii="Times New Roman" w:hAnsi="Times New Roman"/>
                <w:sz w:val="24"/>
                <w:szCs w:val="24"/>
              </w:rPr>
              <w:t>iem grozījumiem</w:t>
            </w:r>
            <w:r>
              <w:rPr>
                <w:rFonts w:ascii="Times New Roman" w:hAnsi="Times New Roman"/>
                <w:sz w:val="24"/>
                <w:szCs w:val="24"/>
              </w:rPr>
              <w:t xml:space="preserve"> normatīvajos aktos</w:t>
            </w:r>
            <w:r w:rsidRPr="000F7C93">
              <w:rPr>
                <w:rFonts w:ascii="Times New Roman" w:hAnsi="Times New Roman"/>
                <w:sz w:val="24"/>
                <w:szCs w:val="24"/>
              </w:rPr>
              <w:t>, tomēr, lai sasniegtu projekta mērķi</w:t>
            </w:r>
            <w:r>
              <w:rPr>
                <w:rFonts w:ascii="Times New Roman" w:hAnsi="Times New Roman"/>
                <w:sz w:val="24"/>
                <w:szCs w:val="24"/>
              </w:rPr>
              <w:t>,</w:t>
            </w:r>
            <w:r w:rsidRPr="000F7C93">
              <w:rPr>
                <w:rFonts w:ascii="Times New Roman" w:hAnsi="Times New Roman"/>
                <w:sz w:val="24"/>
                <w:szCs w:val="24"/>
              </w:rPr>
              <w:t xml:space="preserve"> būs nepieciešams veikt arī pašus grozījumus normatīvajos aktos. Attiecīgu</w:t>
            </w:r>
            <w:r>
              <w:rPr>
                <w:rFonts w:ascii="Times New Roman" w:hAnsi="Times New Roman"/>
                <w:sz w:val="24"/>
                <w:szCs w:val="24"/>
              </w:rPr>
              <w:t>s</w:t>
            </w:r>
            <w:r w:rsidRPr="000F7C93">
              <w:rPr>
                <w:rFonts w:ascii="Times New Roman" w:hAnsi="Times New Roman"/>
                <w:sz w:val="24"/>
                <w:szCs w:val="24"/>
              </w:rPr>
              <w:t xml:space="preserve"> precizējumu</w:t>
            </w:r>
            <w:r>
              <w:rPr>
                <w:rFonts w:ascii="Times New Roman" w:hAnsi="Times New Roman"/>
                <w:sz w:val="24"/>
                <w:szCs w:val="24"/>
              </w:rPr>
              <w:t>s</w:t>
            </w:r>
            <w:r w:rsidRPr="000F7C93">
              <w:rPr>
                <w:rFonts w:ascii="Times New Roman" w:hAnsi="Times New Roman"/>
                <w:sz w:val="24"/>
                <w:szCs w:val="24"/>
              </w:rPr>
              <w:t xml:space="preserve"> lūdz</w:t>
            </w:r>
            <w:r>
              <w:rPr>
                <w:rFonts w:ascii="Times New Roman" w:hAnsi="Times New Roman"/>
                <w:sz w:val="24"/>
                <w:szCs w:val="24"/>
              </w:rPr>
              <w:t>am</w:t>
            </w:r>
            <w:r w:rsidRPr="000F7C93">
              <w:rPr>
                <w:rFonts w:ascii="Times New Roman" w:hAnsi="Times New Roman"/>
                <w:sz w:val="24"/>
                <w:szCs w:val="24"/>
              </w:rPr>
              <w:t xml:space="preserve"> veikt arī anotācijā.</w:t>
            </w:r>
          </w:p>
        </w:tc>
        <w:tc>
          <w:tcPr>
            <w:tcW w:w="3293" w:type="dxa"/>
            <w:gridSpan w:val="2"/>
            <w:tcBorders>
              <w:left w:val="single" w:sz="6" w:space="0" w:color="000000"/>
              <w:bottom w:val="single" w:sz="4" w:space="0" w:color="auto"/>
              <w:right w:val="single" w:sz="6" w:space="0" w:color="000000"/>
            </w:tcBorders>
          </w:tcPr>
          <w:p w:rsidR="00025FE0" w:rsidRPr="00C167F1" w:rsidRDefault="00C167F1" w:rsidP="00C167F1">
            <w:pPr>
              <w:pStyle w:val="naisc"/>
              <w:spacing w:before="0" w:after="0"/>
              <w:rPr>
                <w:b/>
              </w:rPr>
            </w:pPr>
            <w:r w:rsidRPr="00C167F1">
              <w:rPr>
                <w:b/>
              </w:rPr>
              <w:t>Ņemts vērā.</w:t>
            </w:r>
          </w:p>
        </w:tc>
        <w:tc>
          <w:tcPr>
            <w:tcW w:w="3261" w:type="dxa"/>
            <w:tcBorders>
              <w:top w:val="single" w:sz="4" w:space="0" w:color="auto"/>
              <w:left w:val="single" w:sz="4" w:space="0" w:color="auto"/>
              <w:bottom w:val="single" w:sz="4" w:space="0" w:color="auto"/>
            </w:tcBorders>
          </w:tcPr>
          <w:p w:rsidR="00E358A2" w:rsidRPr="00E358A2" w:rsidRDefault="00E358A2" w:rsidP="00E358A2">
            <w:pPr>
              <w:keepNext/>
              <w:keepLines/>
              <w:spacing w:before="120" w:after="120"/>
              <w:ind w:hanging="2"/>
              <w:jc w:val="center"/>
              <w:outlineLvl w:val="3"/>
              <w:rPr>
                <w:b/>
                <w:iCs/>
              </w:rPr>
            </w:pPr>
            <w:r w:rsidRPr="00E358A2">
              <w:rPr>
                <w:b/>
                <w:iCs/>
              </w:rPr>
              <w:t>Projekta apraksts (kopsavilkums)</w:t>
            </w:r>
          </w:p>
          <w:p w:rsidR="00F61089" w:rsidRPr="007D2A8E" w:rsidRDefault="00F61089" w:rsidP="00E358A2">
            <w:pPr>
              <w:keepNext/>
              <w:keepLines/>
              <w:spacing w:before="120" w:after="120"/>
              <w:ind w:hanging="2"/>
              <w:jc w:val="both"/>
              <w:outlineLvl w:val="3"/>
              <w:rPr>
                <w:b/>
                <w:iCs/>
                <w:u w:val="single"/>
              </w:rPr>
            </w:pPr>
            <w:r w:rsidRPr="007D2A8E">
              <w:rPr>
                <w:b/>
                <w:iCs/>
                <w:u w:val="single"/>
              </w:rPr>
              <w:t>Darbības projekta mērķu sasniegšanai:</w:t>
            </w:r>
          </w:p>
          <w:p w:rsidR="00025FE0" w:rsidRPr="00C167F1" w:rsidRDefault="00F61089" w:rsidP="00C4698E">
            <w:pPr>
              <w:pStyle w:val="ListParagraph"/>
              <w:numPr>
                <w:ilvl w:val="0"/>
                <w:numId w:val="10"/>
              </w:numPr>
              <w:spacing w:after="120" w:line="240" w:lineRule="auto"/>
              <w:ind w:left="282" w:hanging="282"/>
              <w:jc w:val="both"/>
              <w:rPr>
                <w:b/>
              </w:rPr>
            </w:pPr>
            <w:r w:rsidRPr="00F61089">
              <w:rPr>
                <w:rFonts w:ascii="Times New Roman" w:hAnsi="Times New Roman"/>
                <w:sz w:val="24"/>
                <w:szCs w:val="24"/>
              </w:rPr>
              <w:t xml:space="preserve">Priekšlikumu sagatavošana nepieciešamo normatīvo aktu grozījumiem un iesniegšana Ekonomikas ministrijā normatīvo aktu grozījumu veikšanai. </w:t>
            </w:r>
          </w:p>
        </w:tc>
      </w:tr>
      <w:tr w:rsidR="00025FE0" w:rsidRPr="00712B66" w:rsidTr="00AC14D0">
        <w:tc>
          <w:tcPr>
            <w:tcW w:w="675" w:type="dxa"/>
            <w:tcBorders>
              <w:left w:val="single" w:sz="6" w:space="0" w:color="000000"/>
              <w:bottom w:val="single" w:sz="4" w:space="0" w:color="auto"/>
              <w:right w:val="single" w:sz="6" w:space="0" w:color="000000"/>
            </w:tcBorders>
          </w:tcPr>
          <w:p w:rsidR="00025FE0" w:rsidRPr="00712B66" w:rsidRDefault="00025FE0" w:rsidP="00025FE0">
            <w:pPr>
              <w:pStyle w:val="naisc"/>
              <w:numPr>
                <w:ilvl w:val="0"/>
                <w:numId w:val="7"/>
              </w:numPr>
              <w:spacing w:before="0" w:after="0"/>
            </w:pPr>
            <w:r>
              <w:t>33.</w:t>
            </w:r>
          </w:p>
        </w:tc>
        <w:tc>
          <w:tcPr>
            <w:tcW w:w="3261" w:type="dxa"/>
            <w:gridSpan w:val="2"/>
            <w:tcBorders>
              <w:left w:val="single" w:sz="6" w:space="0" w:color="000000"/>
              <w:bottom w:val="single" w:sz="4" w:space="0" w:color="auto"/>
              <w:right w:val="single" w:sz="6" w:space="0" w:color="000000"/>
            </w:tcBorders>
          </w:tcPr>
          <w:p w:rsidR="00DB5DD5" w:rsidRPr="00E358A2" w:rsidRDefault="00E358A2" w:rsidP="00E358A2">
            <w:pPr>
              <w:pStyle w:val="naisc"/>
              <w:spacing w:before="0" w:after="0"/>
              <w:rPr>
                <w:b/>
              </w:rPr>
            </w:pPr>
            <w:r w:rsidRPr="00E358A2">
              <w:rPr>
                <w:b/>
              </w:rPr>
              <w:t>Projekta apraksts (kopsavilkums)</w:t>
            </w:r>
          </w:p>
          <w:p w:rsidR="00025FE0" w:rsidRPr="00DA7BB6" w:rsidRDefault="00DA7BB6" w:rsidP="00DB5DD5">
            <w:pPr>
              <w:pStyle w:val="naisc"/>
              <w:spacing w:before="0" w:after="0"/>
              <w:jc w:val="both"/>
            </w:pPr>
            <w:r w:rsidRPr="00DA7BB6">
              <w:t xml:space="preserve">Tāpat tiks papildinātas esošās integrācijas ar citu iestāžu sistēmām, kā arī realizēti pilnveidojumi Eiropas Parlamenta un Padomes 2016.gada 27.aprīļa Regulas Nr.2016/679 par fizisku personu aizsardzību attiecībā uz personas datu apstrādi un šādu datu brīvu apriti un ar ko atceļ Direktīvu 95/46/EK (Vispārīgā datu aizsardzības regula) prasību ievērošanai automatizējot nepieciešamo </w:t>
            </w:r>
            <w:r w:rsidRPr="00DA7BB6">
              <w:lastRenderedPageBreak/>
              <w:t>pārskatu sagatavošanu par pakalpojumiem, kuri izstrādāti līdz 2018.gada 1.jūlijam (atbilstoši Ministru kabineta 2017.gada 4.jūlija noteikumiem Nr.402 “Valsts pārvaldes e-pakalpojumu noteikumi”). Detalizēti pilnveidojumu un no jauna izveidojamo funkcionalitāšu apraksti, kas iekļauj konteksta izklāstu saistībā ar sistēmas attīstības 1. kārtu, pieejami sadaļu “1 Problēmas apraksts” un “3 Risinājuma apraksts” apakšsadaļās (skat. atsauces tabulas labajā kolonnā).</w:t>
            </w:r>
          </w:p>
        </w:tc>
        <w:tc>
          <w:tcPr>
            <w:tcW w:w="4252" w:type="dxa"/>
            <w:tcBorders>
              <w:left w:val="single" w:sz="6" w:space="0" w:color="000000"/>
              <w:bottom w:val="single" w:sz="4" w:space="0" w:color="auto"/>
              <w:right w:val="single" w:sz="6" w:space="0" w:color="000000"/>
            </w:tcBorders>
          </w:tcPr>
          <w:p w:rsidR="001B7C0E" w:rsidRDefault="001B7C0E" w:rsidP="001B7C0E">
            <w:pPr>
              <w:pStyle w:val="ListParagraph"/>
              <w:spacing w:after="0" w:line="240" w:lineRule="auto"/>
              <w:ind w:left="142"/>
              <w:contextualSpacing w:val="0"/>
              <w:jc w:val="both"/>
              <w:rPr>
                <w:rFonts w:ascii="Times New Roman" w:hAnsi="Times New Roman"/>
                <w:sz w:val="24"/>
                <w:szCs w:val="24"/>
              </w:rPr>
            </w:pPr>
            <w:r>
              <w:rPr>
                <w:rFonts w:ascii="Times New Roman" w:hAnsi="Times New Roman"/>
                <w:sz w:val="24"/>
                <w:szCs w:val="24"/>
              </w:rPr>
              <w:lastRenderedPageBreak/>
              <w:t>FM 24.04.2019. atzinums</w:t>
            </w:r>
          </w:p>
          <w:p w:rsidR="00025FE0" w:rsidRPr="000F7C93" w:rsidRDefault="00025FE0" w:rsidP="00025FE0">
            <w:pPr>
              <w:pStyle w:val="ListParagraph"/>
              <w:widowControl w:val="0"/>
              <w:spacing w:after="0" w:line="240" w:lineRule="auto"/>
              <w:ind w:left="68"/>
              <w:jc w:val="both"/>
              <w:rPr>
                <w:rFonts w:ascii="Times New Roman" w:hAnsi="Times New Roman"/>
                <w:sz w:val="24"/>
                <w:szCs w:val="24"/>
              </w:rPr>
            </w:pPr>
            <w:r w:rsidRPr="000F7C93">
              <w:rPr>
                <w:rFonts w:ascii="Times New Roman" w:hAnsi="Times New Roman"/>
                <w:sz w:val="24"/>
                <w:szCs w:val="24"/>
              </w:rPr>
              <w:t>Lūdzam papildināt pielikumu, norādot</w:t>
            </w:r>
            <w:r>
              <w:rPr>
                <w:rFonts w:ascii="Times New Roman" w:hAnsi="Times New Roman"/>
                <w:sz w:val="24"/>
                <w:szCs w:val="24"/>
              </w:rPr>
              <w:t>,</w:t>
            </w:r>
            <w:r w:rsidRPr="000F7C93">
              <w:rPr>
                <w:rFonts w:ascii="Times New Roman" w:hAnsi="Times New Roman"/>
                <w:sz w:val="24"/>
                <w:szCs w:val="24"/>
              </w:rPr>
              <w:t xml:space="preserve"> kādi papildinājumi tiks veikti Būvniecības informācijas sistēmā (turpmāk – BIS), ņemot vērā Eiropas Parlamenta un Padomes 2016.gada 27.aprīļa Regulas Nr</w:t>
            </w:r>
            <w:r>
              <w:rPr>
                <w:rFonts w:ascii="Times New Roman" w:hAnsi="Times New Roman"/>
                <w:sz w:val="24"/>
                <w:szCs w:val="24"/>
              </w:rPr>
              <w:t>.</w:t>
            </w:r>
            <w:r w:rsidRPr="000F7C93">
              <w:rPr>
                <w:rFonts w:ascii="Times New Roman" w:hAnsi="Times New Roman"/>
                <w:sz w:val="24"/>
                <w:szCs w:val="24"/>
              </w:rPr>
              <w:t xml:space="preserve">2016/679 par fizisku personu aizsardzību attiecībā uz personas datu apstrādi un šādu datu brīvu apriti un ar ko atceļ Direktīvu 95/46/EK (Vispārīgā datu aizsardzības </w:t>
            </w:r>
            <w:r>
              <w:rPr>
                <w:rFonts w:ascii="Times New Roman" w:hAnsi="Times New Roman"/>
                <w:sz w:val="24"/>
                <w:szCs w:val="24"/>
              </w:rPr>
              <w:t>regula) prasības.</w:t>
            </w:r>
          </w:p>
          <w:p w:rsidR="00025FE0" w:rsidRPr="00712B66" w:rsidRDefault="00025FE0" w:rsidP="00025FE0">
            <w:pPr>
              <w:pStyle w:val="naisc"/>
              <w:spacing w:before="0" w:after="0"/>
              <w:ind w:firstLine="720"/>
            </w:pPr>
          </w:p>
        </w:tc>
        <w:tc>
          <w:tcPr>
            <w:tcW w:w="3293" w:type="dxa"/>
            <w:gridSpan w:val="2"/>
            <w:tcBorders>
              <w:left w:val="single" w:sz="6" w:space="0" w:color="000000"/>
              <w:bottom w:val="single" w:sz="4" w:space="0" w:color="auto"/>
              <w:right w:val="single" w:sz="6" w:space="0" w:color="000000"/>
            </w:tcBorders>
          </w:tcPr>
          <w:p w:rsidR="00025FE0" w:rsidRDefault="002A738C" w:rsidP="002A738C">
            <w:pPr>
              <w:pStyle w:val="naisc"/>
              <w:spacing w:before="0" w:after="0"/>
              <w:rPr>
                <w:b/>
              </w:rPr>
            </w:pPr>
            <w:r w:rsidRPr="002A738C">
              <w:rPr>
                <w:b/>
              </w:rPr>
              <w:t>Ņemts vērā.</w:t>
            </w:r>
          </w:p>
          <w:p w:rsidR="002A23EA" w:rsidRDefault="00DC68FA" w:rsidP="00E358A2">
            <w:pPr>
              <w:pStyle w:val="naisc"/>
              <w:spacing w:before="0" w:after="0"/>
              <w:jc w:val="both"/>
              <w:rPr>
                <w:sz w:val="22"/>
                <w:szCs w:val="22"/>
              </w:rPr>
            </w:pPr>
            <w:r w:rsidRPr="00DC68FA">
              <w:t>Apraksts precizēts un papildināts</w:t>
            </w:r>
            <w:r w:rsidR="000B027E">
              <w:t xml:space="preserve"> attiecībā uz </w:t>
            </w:r>
            <w:r w:rsidR="00A14E3A">
              <w:t>BIS 2.kārtas ietvaros paredzētajām darbībām.</w:t>
            </w:r>
            <w:r w:rsidR="00E358A2">
              <w:t xml:space="preserve"> </w:t>
            </w:r>
            <w:r w:rsidR="002A23EA">
              <w:t>Projekt</w:t>
            </w:r>
            <w:r w:rsidR="001D2BD7">
              <w:t>s</w:t>
            </w:r>
            <w:r w:rsidR="00591997">
              <w:t xml:space="preserve"> tiks</w:t>
            </w:r>
            <w:r w:rsidR="002A23EA">
              <w:t xml:space="preserve"> īstenots pēc Agile projekta vadības metodikas, kur detalizēta tehniskās funkcionalitātes izstrāde tiek identificēta un definēta projekta ieviešanas gaitā darba grupās</w:t>
            </w:r>
            <w:r w:rsidR="00E358A2">
              <w:t>, tādējādi š</w:t>
            </w:r>
            <w:r w:rsidR="002A23EA">
              <w:t xml:space="preserve">obrīd detalizētāku </w:t>
            </w:r>
            <w:r w:rsidR="00E358A2">
              <w:t>aprakstu</w:t>
            </w:r>
            <w:r w:rsidR="002A23EA">
              <w:t xml:space="preserve"> nav iespējams sniegt. </w:t>
            </w:r>
          </w:p>
          <w:p w:rsidR="002A23EA" w:rsidRPr="00DC68FA" w:rsidRDefault="002A23EA" w:rsidP="002A738C">
            <w:pPr>
              <w:pStyle w:val="naisc"/>
              <w:spacing w:before="0" w:after="0"/>
            </w:pPr>
          </w:p>
        </w:tc>
        <w:tc>
          <w:tcPr>
            <w:tcW w:w="3261" w:type="dxa"/>
            <w:tcBorders>
              <w:top w:val="single" w:sz="4" w:space="0" w:color="auto"/>
              <w:left w:val="single" w:sz="4" w:space="0" w:color="auto"/>
              <w:bottom w:val="single" w:sz="4" w:space="0" w:color="auto"/>
            </w:tcBorders>
          </w:tcPr>
          <w:p w:rsidR="00E358A2" w:rsidRPr="00E358A2" w:rsidRDefault="00E358A2" w:rsidP="00E358A2">
            <w:pPr>
              <w:jc w:val="center"/>
              <w:rPr>
                <w:b/>
              </w:rPr>
            </w:pPr>
            <w:r w:rsidRPr="00E358A2">
              <w:rPr>
                <w:b/>
              </w:rPr>
              <w:t>Projekta apraksts (kopsavilkums)</w:t>
            </w:r>
          </w:p>
          <w:p w:rsidR="00025FE0" w:rsidRPr="00712B66" w:rsidRDefault="002C0EA0" w:rsidP="00E358A2">
            <w:pPr>
              <w:jc w:val="both"/>
            </w:pPr>
            <w:r>
              <w:t>Papildinot BIS attīstības 1.</w:t>
            </w:r>
            <w:r w:rsidR="00E4398F">
              <w:t> </w:t>
            </w:r>
            <w:r>
              <w:t xml:space="preserve">kārtas projektā paveikto, sistēmas attīstības 2. kārtas ietvaros papildus tabulā minēto procesu attīstībai tiks veikta mobilo iekārtu lietotnes izstrāde, kas vienkāršos gan apziņošanas un informēšanas procesu, gan piekļuvi BIS datiem un procesiem, tādējādi sniedzot svarīgu atbalstu BIS lietotājiem - sevišķi būvniecības ierosinātājiem un uzņēmēju pārstāvjiem, kas cieši </w:t>
            </w:r>
            <w:r>
              <w:lastRenderedPageBreak/>
              <w:t>saistīti ar būvniecības lietas vešanas procesiem. Tāpat tiks papildinātas esošās integrācijas ar citu iestāžu sistēmām, kā arī realizēti pilnveidojumi Eiropas Parlamenta un Padomes 2016.gada 27.aprīļa Regulas Nr.2016/679 par fizisku personu aizsardzību attiecībā uz personas datu apstrādi un šādu datu brīvu apriti un ar ko atceļ Direktīvu 95/46/EK (Vispārīgā datu aizsardzības regula) prasību ievērošanai automatizējot nepieciešamo pārskatu sagatavošanu (</w:t>
            </w:r>
            <w:r w:rsidRPr="002C0EA0">
              <w:t>lai nepieciešamos datus varētu sagatavot operatīvi un ar mazu manuālo darbu</w:t>
            </w:r>
            <w:r>
              <w:t>) par pakalpojumiem, kuri izstrādāti līdz 2018.gada 1.jūlijam (atbilstoši Ministru kabineta 2017.gada 4.jūlija noteikumiem Nr.402 “Valsts pārvaldes e-pakalpojumu noteikumi</w:t>
            </w:r>
            <w:r w:rsidRPr="002C0EA0">
              <w:t>”) un datu sagatavošana pēc pieprasījumiem. Piemēram, lai nodrošinātu Vispārīgā</w:t>
            </w:r>
            <w:r w:rsidR="001D2BD7">
              <w:t>s</w:t>
            </w:r>
            <w:r w:rsidRPr="002C0EA0">
              <w:t xml:space="preserve"> datu aizsardzības regulas prasības, ir nepieciešams no sistēmas iegūt dažādas atskaites vai atbildēt uz pieprasījumiem par datu izmantošanas atbilstību. To </w:t>
            </w:r>
            <w:r w:rsidRPr="002C0EA0">
              <w:lastRenderedPageBreak/>
              <w:t>varētu paveikt ātri izstrādājot risinājumu automātiskai datu iegūšanai no sistēmas.</w:t>
            </w:r>
            <w:r>
              <w:t xml:space="preserve"> Detalizēti pilnveidojumu un no jauna izveidojamo funkcionalitāšu apraksti, kas iekļauj konteksta izklāstu saistībā ar sistēmas attīstības 1. kārtu, pieejami sadaļu “1 Problēmas apraksts” un “3 Risinājuma apraksts” apakšsadaļās (skat. atsauces tabulas labajā kolonnā).</w:t>
            </w:r>
          </w:p>
        </w:tc>
      </w:tr>
      <w:tr w:rsidR="00025FE0" w:rsidRPr="00712B66" w:rsidTr="00AC14D0">
        <w:tc>
          <w:tcPr>
            <w:tcW w:w="675" w:type="dxa"/>
            <w:tcBorders>
              <w:left w:val="single" w:sz="6" w:space="0" w:color="000000"/>
              <w:bottom w:val="single" w:sz="4" w:space="0" w:color="auto"/>
              <w:right w:val="single" w:sz="6" w:space="0" w:color="000000"/>
            </w:tcBorders>
          </w:tcPr>
          <w:p w:rsidR="00025FE0" w:rsidRPr="00712B66" w:rsidRDefault="00025FE0" w:rsidP="00025FE0">
            <w:pPr>
              <w:pStyle w:val="naisc"/>
              <w:numPr>
                <w:ilvl w:val="0"/>
                <w:numId w:val="7"/>
              </w:numPr>
              <w:spacing w:before="0" w:after="0"/>
            </w:pPr>
            <w:r>
              <w:lastRenderedPageBreak/>
              <w:t>.4.</w:t>
            </w:r>
          </w:p>
        </w:tc>
        <w:tc>
          <w:tcPr>
            <w:tcW w:w="3261" w:type="dxa"/>
            <w:gridSpan w:val="2"/>
            <w:tcBorders>
              <w:left w:val="single" w:sz="6" w:space="0" w:color="000000"/>
              <w:bottom w:val="single" w:sz="4" w:space="0" w:color="auto"/>
              <w:right w:val="single" w:sz="6" w:space="0" w:color="000000"/>
            </w:tcBorders>
          </w:tcPr>
          <w:p w:rsidR="00E358A2" w:rsidRPr="00E358A2" w:rsidRDefault="00E358A2" w:rsidP="00E358A2">
            <w:pPr>
              <w:keepNext/>
              <w:keepLines/>
              <w:ind w:left="10"/>
              <w:jc w:val="center"/>
              <w:outlineLvl w:val="3"/>
              <w:rPr>
                <w:b/>
                <w:iCs/>
              </w:rPr>
            </w:pPr>
            <w:r w:rsidRPr="00E358A2">
              <w:rPr>
                <w:b/>
              </w:rPr>
              <w:t>Projekta apraksts (kopsavilkums)</w:t>
            </w:r>
          </w:p>
          <w:p w:rsidR="003772CD" w:rsidRPr="00600F1A" w:rsidRDefault="003772CD" w:rsidP="005D666C">
            <w:pPr>
              <w:keepNext/>
              <w:keepLines/>
              <w:ind w:left="10"/>
              <w:jc w:val="both"/>
              <w:outlineLvl w:val="3"/>
              <w:rPr>
                <w:b/>
                <w:iCs/>
                <w:u w:val="single"/>
              </w:rPr>
            </w:pPr>
            <w:r w:rsidRPr="00600F1A">
              <w:rPr>
                <w:b/>
                <w:iCs/>
                <w:u w:val="single"/>
              </w:rPr>
              <w:t>Darbības projekta mērķu sasniegšanai:</w:t>
            </w:r>
          </w:p>
          <w:p w:rsidR="00025FE0" w:rsidRPr="00712B66" w:rsidRDefault="003772CD" w:rsidP="00E358A2">
            <w:pPr>
              <w:numPr>
                <w:ilvl w:val="0"/>
                <w:numId w:val="7"/>
              </w:numPr>
              <w:ind w:left="29" w:hanging="29"/>
              <w:contextualSpacing/>
              <w:jc w:val="both"/>
            </w:pPr>
            <w:r w:rsidRPr="00600F1A">
              <w:t xml:space="preserve">par projekta publiskiem e-pakalpojumiem tiks veikti „Publiskās pārvaldes informācijas un komunikācijas tehnoloģiju arhitektūras pārvaldības sistēma" (PIKTAPS), "PIKTAPS otrā kārta" un “Pakalpojumu sniegšanas un pārvaldības platforma” (PSPP) projektu </w:t>
            </w:r>
            <w:r w:rsidRPr="00600F1A">
              <w:lastRenderedPageBreak/>
              <w:t>ietvaros sabiedrības informēšanas un izglītošanas pasākumi”;</w:t>
            </w:r>
          </w:p>
        </w:tc>
        <w:tc>
          <w:tcPr>
            <w:tcW w:w="4252" w:type="dxa"/>
            <w:tcBorders>
              <w:left w:val="single" w:sz="6" w:space="0" w:color="000000"/>
              <w:bottom w:val="single" w:sz="4" w:space="0" w:color="auto"/>
              <w:right w:val="single" w:sz="6" w:space="0" w:color="000000"/>
            </w:tcBorders>
          </w:tcPr>
          <w:p w:rsidR="001B7C0E" w:rsidRDefault="001B7C0E" w:rsidP="000C1D1E">
            <w:pPr>
              <w:pStyle w:val="ListParagraph"/>
              <w:spacing w:after="0" w:line="240" w:lineRule="auto"/>
              <w:ind w:left="68"/>
              <w:contextualSpacing w:val="0"/>
              <w:jc w:val="both"/>
              <w:rPr>
                <w:rFonts w:ascii="Times New Roman" w:hAnsi="Times New Roman"/>
                <w:sz w:val="24"/>
                <w:szCs w:val="24"/>
              </w:rPr>
            </w:pPr>
            <w:r w:rsidRPr="001B7C0E">
              <w:rPr>
                <w:rFonts w:ascii="Times New Roman" w:hAnsi="Times New Roman"/>
                <w:sz w:val="24"/>
                <w:szCs w:val="24"/>
              </w:rPr>
              <w:lastRenderedPageBreak/>
              <w:t>FM 24.04.2019. atzinums</w:t>
            </w:r>
          </w:p>
          <w:p w:rsidR="00DB638E" w:rsidRPr="00712B66" w:rsidRDefault="00025FE0" w:rsidP="000C1D1E">
            <w:pPr>
              <w:pStyle w:val="ListParagraph"/>
              <w:spacing w:after="0" w:line="240" w:lineRule="auto"/>
              <w:ind w:left="68"/>
              <w:contextualSpacing w:val="0"/>
              <w:jc w:val="both"/>
            </w:pPr>
            <w:r w:rsidRPr="000F7C93">
              <w:rPr>
                <w:rFonts w:ascii="Times New Roman" w:hAnsi="Times New Roman"/>
                <w:sz w:val="24"/>
                <w:szCs w:val="24"/>
              </w:rPr>
              <w:t>Pielikumā un anotācijā kā viena no projekta darbībām norādīta pasākumu veikšana projekt</w:t>
            </w:r>
            <w:r>
              <w:rPr>
                <w:rFonts w:ascii="Times New Roman" w:hAnsi="Times New Roman"/>
                <w:sz w:val="24"/>
                <w:szCs w:val="24"/>
              </w:rPr>
              <w:t>a</w:t>
            </w:r>
            <w:r w:rsidRPr="000F7C93">
              <w:rPr>
                <w:rFonts w:ascii="Times New Roman" w:hAnsi="Times New Roman"/>
                <w:sz w:val="24"/>
                <w:szCs w:val="24"/>
              </w:rPr>
              <w:t xml:space="preserve"> “Publiskās pārvaldes informācijas un komunikācijas tehnoloģiju arhitektūras pārvaldības sistēma” (PIKTAPS)</w:t>
            </w:r>
            <w:r w:rsidRPr="000F7C93">
              <w:rPr>
                <w:rStyle w:val="FootnoteReference"/>
                <w:sz w:val="24"/>
                <w:szCs w:val="24"/>
              </w:rPr>
              <w:footnoteReference w:id="2"/>
            </w:r>
            <w:r w:rsidRPr="000F7C93">
              <w:rPr>
                <w:rFonts w:ascii="Times New Roman" w:hAnsi="Times New Roman"/>
                <w:sz w:val="24"/>
                <w:szCs w:val="24"/>
              </w:rPr>
              <w:t>, “PIKTAPS otrā kārta”</w:t>
            </w:r>
            <w:r w:rsidRPr="000F7C93">
              <w:rPr>
                <w:rStyle w:val="FootnoteReference"/>
                <w:sz w:val="24"/>
                <w:szCs w:val="24"/>
              </w:rPr>
              <w:footnoteReference w:id="3"/>
            </w:r>
            <w:r w:rsidRPr="000F7C93">
              <w:rPr>
                <w:rFonts w:ascii="Times New Roman" w:hAnsi="Times New Roman"/>
                <w:sz w:val="24"/>
                <w:szCs w:val="24"/>
              </w:rPr>
              <w:t xml:space="preserve"> un “Pakalpojumu sniegšanas un pārvaldības platforma” (PSPP)</w:t>
            </w:r>
            <w:r w:rsidRPr="000F7C93">
              <w:rPr>
                <w:rStyle w:val="FootnoteReference"/>
                <w:sz w:val="24"/>
                <w:szCs w:val="24"/>
              </w:rPr>
              <w:footnoteReference w:id="4"/>
            </w:r>
            <w:r w:rsidRPr="000F7C93">
              <w:rPr>
                <w:rFonts w:ascii="Times New Roman" w:hAnsi="Times New Roman"/>
                <w:sz w:val="24"/>
                <w:szCs w:val="24"/>
              </w:rPr>
              <w:t xml:space="preserve"> ietvaros. Ņemot vērā, ka publicitātes pasākumu veikšana ir </w:t>
            </w:r>
            <w:r w:rsidRPr="001874B3">
              <w:rPr>
                <w:rFonts w:ascii="Times New Roman" w:hAnsi="Times New Roman"/>
                <w:sz w:val="24"/>
                <w:szCs w:val="24"/>
              </w:rPr>
              <w:t xml:space="preserve">minēto projektu darbība, t.i., pasākumi par BIS tiks veikti minēto projektu ietvaros, nevis projektā “Būvniecības procesu un IS attīstība (2. </w:t>
            </w:r>
            <w:r w:rsidRPr="001874B3">
              <w:rPr>
                <w:rFonts w:ascii="Times New Roman" w:hAnsi="Times New Roman"/>
                <w:sz w:val="24"/>
                <w:szCs w:val="24"/>
              </w:rPr>
              <w:lastRenderedPageBreak/>
              <w:t xml:space="preserve">kārta)”, lūdzam svītrot to no projekta darbībām. </w:t>
            </w:r>
          </w:p>
        </w:tc>
        <w:tc>
          <w:tcPr>
            <w:tcW w:w="3293" w:type="dxa"/>
            <w:gridSpan w:val="2"/>
            <w:tcBorders>
              <w:left w:val="single" w:sz="6" w:space="0" w:color="000000"/>
              <w:bottom w:val="single" w:sz="4" w:space="0" w:color="auto"/>
              <w:right w:val="single" w:sz="6" w:space="0" w:color="000000"/>
            </w:tcBorders>
          </w:tcPr>
          <w:p w:rsidR="001464F8" w:rsidRDefault="00B37DBE" w:rsidP="00B37DBE">
            <w:pPr>
              <w:pStyle w:val="naisc"/>
              <w:spacing w:before="0" w:after="0"/>
              <w:rPr>
                <w:b/>
              </w:rPr>
            </w:pPr>
            <w:r w:rsidRPr="002A738C">
              <w:rPr>
                <w:b/>
              </w:rPr>
              <w:lastRenderedPageBreak/>
              <w:t>Ņemts vērā.</w:t>
            </w:r>
            <w:r w:rsidR="001464F8">
              <w:rPr>
                <w:b/>
              </w:rPr>
              <w:t xml:space="preserve"> </w:t>
            </w:r>
          </w:p>
          <w:p w:rsidR="00025FE0" w:rsidRPr="001464F8" w:rsidRDefault="001464F8" w:rsidP="00B37DBE">
            <w:pPr>
              <w:pStyle w:val="naisc"/>
              <w:spacing w:before="0" w:after="0"/>
            </w:pPr>
            <w:r w:rsidRPr="001464F8">
              <w:t>Darbība svītrota.</w:t>
            </w:r>
          </w:p>
        </w:tc>
        <w:tc>
          <w:tcPr>
            <w:tcW w:w="3261" w:type="dxa"/>
            <w:tcBorders>
              <w:top w:val="single" w:sz="4" w:space="0" w:color="auto"/>
              <w:left w:val="single" w:sz="4" w:space="0" w:color="auto"/>
              <w:bottom w:val="single" w:sz="4" w:space="0" w:color="auto"/>
            </w:tcBorders>
          </w:tcPr>
          <w:p w:rsidR="00025FE0" w:rsidRPr="00712B66" w:rsidRDefault="00025FE0" w:rsidP="00025FE0"/>
        </w:tc>
      </w:tr>
      <w:tr w:rsidR="00025FE0" w:rsidRPr="00712B66" w:rsidTr="00AC14D0">
        <w:tc>
          <w:tcPr>
            <w:tcW w:w="675" w:type="dxa"/>
            <w:tcBorders>
              <w:left w:val="single" w:sz="6" w:space="0" w:color="000000"/>
              <w:bottom w:val="single" w:sz="4" w:space="0" w:color="auto"/>
              <w:right w:val="single" w:sz="6" w:space="0" w:color="000000"/>
            </w:tcBorders>
          </w:tcPr>
          <w:p w:rsidR="00025FE0" w:rsidRPr="00712B66" w:rsidRDefault="00DB638E" w:rsidP="00DB638E">
            <w:pPr>
              <w:pStyle w:val="naisc"/>
              <w:spacing w:before="0" w:after="0"/>
              <w:ind w:left="10"/>
            </w:pPr>
            <w:r>
              <w:t>5.</w:t>
            </w:r>
          </w:p>
        </w:tc>
        <w:tc>
          <w:tcPr>
            <w:tcW w:w="3261" w:type="dxa"/>
            <w:gridSpan w:val="2"/>
            <w:tcBorders>
              <w:left w:val="single" w:sz="6" w:space="0" w:color="000000"/>
              <w:bottom w:val="single" w:sz="4" w:space="0" w:color="auto"/>
              <w:right w:val="single" w:sz="6" w:space="0" w:color="000000"/>
            </w:tcBorders>
          </w:tcPr>
          <w:p w:rsidR="006F393F" w:rsidRPr="006F393F" w:rsidRDefault="006F393F" w:rsidP="00E358A2">
            <w:pPr>
              <w:contextualSpacing/>
              <w:jc w:val="center"/>
              <w:rPr>
                <w:b/>
              </w:rPr>
            </w:pPr>
            <w:r w:rsidRPr="006F393F">
              <w:rPr>
                <w:b/>
              </w:rPr>
              <w:t>Anotācij</w:t>
            </w:r>
            <w:r w:rsidR="000168FF">
              <w:rPr>
                <w:b/>
              </w:rPr>
              <w:t>a</w:t>
            </w:r>
          </w:p>
          <w:p w:rsidR="00025FE0" w:rsidRDefault="00BE138D" w:rsidP="00E358A2">
            <w:pPr>
              <w:spacing w:before="120" w:after="120"/>
              <w:ind w:firstLine="37"/>
              <w:contextualSpacing/>
              <w:jc w:val="both"/>
            </w:pPr>
            <w:r w:rsidRPr="00600F1A">
              <w:t>VARAM ar 2019.gada 1.aprīļa vēstuli Nr.14</w:t>
            </w:r>
            <w:r w:rsidRPr="00600F1A">
              <w:noBreakHyphen/>
              <w:t xml:space="preserve">21/2882) ir atbalstījis projekta iekļaušanu IKT mērķarhitektūras 54.0 versijā. Projekts veicina darbības programmas “Izaugsme un nodarbinātība” specifiskā atbalsta mērķa “Nodrošināt publisko datu atkalizmantošanas pieaugumu un efektīvu publiskās pārvaldes un privātā sektora mijiedarbību” 2.2.1.1. pasākumam “Centralizētu publiskās pārvaldes IKT platformu izveide, publiskās pārvaldes procesu optimizēšana un attīstība” izvirzīto rādītāju sasniegšanu, pilnveidojot </w:t>
            </w:r>
            <w:r>
              <w:t xml:space="preserve">8 publiskās </w:t>
            </w:r>
            <w:r w:rsidRPr="00600F1A">
              <w:t>pārvaldes pamatdarbības procesu</w:t>
            </w:r>
            <w:r>
              <w:t>s</w:t>
            </w:r>
            <w:r w:rsidRPr="00600F1A">
              <w:t>, lai tos nodrošinātu tiks pilnveidoti vai izstrādāti 8 publiski pakalpojumi.</w:t>
            </w:r>
          </w:p>
          <w:p w:rsidR="0001069F" w:rsidRDefault="0001069F" w:rsidP="00C71A27">
            <w:pPr>
              <w:spacing w:before="120" w:after="120"/>
              <w:ind w:firstLine="567"/>
              <w:contextualSpacing/>
              <w:jc w:val="both"/>
            </w:pPr>
          </w:p>
          <w:p w:rsidR="0001069F" w:rsidRPr="00595E67" w:rsidRDefault="0001069F" w:rsidP="0001069F">
            <w:pPr>
              <w:keepNext/>
              <w:keepLines/>
              <w:spacing w:before="120" w:after="120"/>
              <w:ind w:firstLine="2"/>
              <w:outlineLvl w:val="3"/>
              <w:rPr>
                <w:b/>
                <w:iCs/>
                <w:lang w:eastAsia="en-US"/>
              </w:rPr>
            </w:pPr>
            <w:r w:rsidRPr="00595E67">
              <w:rPr>
                <w:b/>
                <w:iCs/>
                <w:lang w:eastAsia="en-US"/>
              </w:rPr>
              <w:lastRenderedPageBreak/>
              <w:t>Pielikums:</w:t>
            </w:r>
          </w:p>
          <w:p w:rsidR="0001069F" w:rsidRPr="00595E67" w:rsidRDefault="0001069F" w:rsidP="00E358A2">
            <w:pPr>
              <w:keepNext/>
              <w:keepLines/>
              <w:spacing w:before="120" w:after="120"/>
              <w:jc w:val="both"/>
              <w:outlineLvl w:val="3"/>
              <w:rPr>
                <w:b/>
                <w:iCs/>
                <w:u w:val="single"/>
                <w:lang w:eastAsia="en-US"/>
              </w:rPr>
            </w:pPr>
            <w:r w:rsidRPr="00595E67">
              <w:rPr>
                <w:b/>
                <w:iCs/>
                <w:u w:val="single"/>
                <w:lang w:eastAsia="en-US"/>
              </w:rPr>
              <w:t>Projekta aktivitātes sniegs šādu ieguldījumu SAM rezultāta rādītājos:</w:t>
            </w:r>
          </w:p>
          <w:p w:rsidR="0001069F" w:rsidRPr="00712B66" w:rsidRDefault="0001069F" w:rsidP="00C4698E">
            <w:pPr>
              <w:numPr>
                <w:ilvl w:val="0"/>
                <w:numId w:val="12"/>
              </w:numPr>
              <w:spacing w:before="80" w:after="120"/>
              <w:ind w:left="2" w:firstLine="35"/>
              <w:contextualSpacing/>
              <w:jc w:val="both"/>
            </w:pPr>
            <w:r w:rsidRPr="00595E67">
              <w:rPr>
                <w:lang w:eastAsia="en-US"/>
              </w:rPr>
              <w:t xml:space="preserve">projekta īstenošanas rezultātā tiks pilnveidoti </w:t>
            </w:r>
            <w:r>
              <w:rPr>
                <w:lang w:eastAsia="en-US"/>
              </w:rPr>
              <w:t>8</w:t>
            </w:r>
            <w:r w:rsidRPr="00595E67">
              <w:rPr>
                <w:lang w:eastAsia="en-US"/>
              </w:rPr>
              <w:t xml:space="preserve"> publiskās pārvaldes darbības procesi </w:t>
            </w:r>
          </w:p>
        </w:tc>
        <w:tc>
          <w:tcPr>
            <w:tcW w:w="4252" w:type="dxa"/>
            <w:tcBorders>
              <w:left w:val="single" w:sz="6" w:space="0" w:color="000000"/>
              <w:bottom w:val="single" w:sz="4" w:space="0" w:color="auto"/>
              <w:right w:val="single" w:sz="6" w:space="0" w:color="000000"/>
            </w:tcBorders>
          </w:tcPr>
          <w:p w:rsidR="001B7C0E" w:rsidRDefault="001B7C0E" w:rsidP="00025FE0">
            <w:pPr>
              <w:pStyle w:val="ListParagraph"/>
              <w:spacing w:after="0" w:line="240" w:lineRule="auto"/>
              <w:ind w:left="68"/>
              <w:contextualSpacing w:val="0"/>
              <w:jc w:val="both"/>
              <w:rPr>
                <w:rFonts w:ascii="Times New Roman" w:hAnsi="Times New Roman"/>
                <w:sz w:val="24"/>
                <w:szCs w:val="24"/>
              </w:rPr>
            </w:pPr>
            <w:r w:rsidRPr="001B7C0E">
              <w:rPr>
                <w:rFonts w:ascii="Times New Roman" w:hAnsi="Times New Roman"/>
                <w:sz w:val="24"/>
                <w:szCs w:val="24"/>
              </w:rPr>
              <w:lastRenderedPageBreak/>
              <w:t>FM 24.04.2019. atzinums</w:t>
            </w:r>
          </w:p>
          <w:p w:rsidR="00025FE0" w:rsidRPr="001874B3" w:rsidRDefault="00025FE0" w:rsidP="00025FE0">
            <w:pPr>
              <w:pStyle w:val="ListParagraph"/>
              <w:spacing w:after="0" w:line="240" w:lineRule="auto"/>
              <w:ind w:left="68"/>
              <w:contextualSpacing w:val="0"/>
              <w:jc w:val="both"/>
              <w:rPr>
                <w:rFonts w:ascii="Times New Roman" w:hAnsi="Times New Roman"/>
                <w:sz w:val="24"/>
                <w:szCs w:val="24"/>
              </w:rPr>
            </w:pPr>
            <w:r w:rsidRPr="001874B3">
              <w:rPr>
                <w:rFonts w:ascii="Times New Roman" w:hAnsi="Times New Roman"/>
                <w:sz w:val="24"/>
                <w:szCs w:val="24"/>
              </w:rPr>
              <w:t xml:space="preserve">Lūdzam salāgot pielikumā un anotācijā sniegto informāciju. Anotācijā norādīts, ka tiks pilnveidoti </w:t>
            </w:r>
            <w:r>
              <w:rPr>
                <w:rFonts w:ascii="Times New Roman" w:hAnsi="Times New Roman"/>
                <w:sz w:val="24"/>
                <w:szCs w:val="24"/>
              </w:rPr>
              <w:t>astoņi</w:t>
            </w:r>
            <w:r w:rsidRPr="001874B3">
              <w:rPr>
                <w:rFonts w:ascii="Times New Roman" w:hAnsi="Times New Roman"/>
                <w:sz w:val="24"/>
                <w:szCs w:val="24"/>
              </w:rPr>
              <w:t xml:space="preserve"> publiskās pārvaldes pamatdarbības procesi, savukārt pielikumā norādīts, ka viens no procesiem tiks izveidots.</w:t>
            </w:r>
          </w:p>
          <w:p w:rsidR="00025FE0" w:rsidRPr="00712B66" w:rsidRDefault="00025FE0" w:rsidP="00025FE0">
            <w:pPr>
              <w:pStyle w:val="naisc"/>
              <w:spacing w:before="0" w:after="0"/>
              <w:ind w:firstLine="720"/>
            </w:pPr>
          </w:p>
        </w:tc>
        <w:tc>
          <w:tcPr>
            <w:tcW w:w="3293" w:type="dxa"/>
            <w:gridSpan w:val="2"/>
            <w:tcBorders>
              <w:left w:val="single" w:sz="6" w:space="0" w:color="000000"/>
              <w:bottom w:val="single" w:sz="4" w:space="0" w:color="auto"/>
              <w:right w:val="single" w:sz="6" w:space="0" w:color="000000"/>
            </w:tcBorders>
          </w:tcPr>
          <w:p w:rsidR="00025FE0" w:rsidRPr="006C066F" w:rsidRDefault="006C066F" w:rsidP="006C066F">
            <w:pPr>
              <w:pStyle w:val="naisc"/>
              <w:spacing w:before="0" w:after="0"/>
              <w:ind w:firstLine="720"/>
              <w:jc w:val="both"/>
              <w:rPr>
                <w:b/>
              </w:rPr>
            </w:pPr>
            <w:r w:rsidRPr="006C066F">
              <w:rPr>
                <w:b/>
              </w:rPr>
              <w:t>Ņemts vērā.</w:t>
            </w:r>
          </w:p>
        </w:tc>
        <w:tc>
          <w:tcPr>
            <w:tcW w:w="3261" w:type="dxa"/>
            <w:tcBorders>
              <w:top w:val="single" w:sz="4" w:space="0" w:color="auto"/>
              <w:left w:val="single" w:sz="4" w:space="0" w:color="auto"/>
              <w:bottom w:val="single" w:sz="4" w:space="0" w:color="auto"/>
            </w:tcBorders>
          </w:tcPr>
          <w:p w:rsidR="006F393F" w:rsidRPr="006F393F" w:rsidRDefault="006F393F" w:rsidP="00E358A2">
            <w:pPr>
              <w:contextualSpacing/>
              <w:jc w:val="center"/>
              <w:rPr>
                <w:b/>
              </w:rPr>
            </w:pPr>
            <w:r w:rsidRPr="006F393F">
              <w:rPr>
                <w:b/>
              </w:rPr>
              <w:t>Anotācij</w:t>
            </w:r>
            <w:r w:rsidR="000168FF">
              <w:rPr>
                <w:b/>
              </w:rPr>
              <w:t>a</w:t>
            </w:r>
          </w:p>
          <w:p w:rsidR="004C77F2" w:rsidRDefault="004C77F2" w:rsidP="00E358A2">
            <w:pPr>
              <w:contextualSpacing/>
              <w:jc w:val="both"/>
            </w:pPr>
            <w:r w:rsidRPr="00600F1A">
              <w:t>VARAM ar 2019.gada 1.aprīļa vēstuli Nr.14</w:t>
            </w:r>
            <w:r w:rsidRPr="00600F1A">
              <w:noBreakHyphen/>
              <w:t xml:space="preserve">21/2882) ir atbalstījis projekta iekļaušanu IKT mērķarhitektūras 54.0 versijā. Projekts veicina darbības programmas “Izaugsme un nodarbinātība” specifiskā atbalsta mērķa “Nodrošināt publisko datu atkalizmantošanas pieaugumu un efektīvu publiskās pārvaldes un privātā sektora mijiedarbību” 2.2.1.1. pasākumam “Centralizētu publiskās pārvaldes IKT platformu izveide, publiskās pārvaldes procesu optimizēšana un attīstība” izvirzīto rādītāju sasniegšanu, pilnveidojot </w:t>
            </w:r>
            <w:r>
              <w:t xml:space="preserve">7 publiskās </w:t>
            </w:r>
            <w:r w:rsidRPr="00600F1A">
              <w:t>pārvaldes pamatdarbības procesu</w:t>
            </w:r>
            <w:r>
              <w:t>s un izstrādājot 1</w:t>
            </w:r>
            <w:r w:rsidRPr="009F5F3D">
              <w:t xml:space="preserve"> </w:t>
            </w:r>
            <w:r w:rsidRPr="00600F1A">
              <w:t>publiskās pārvaldes pamatdarbības procesu, lai tos nodrošinātu tiks pilnveidoti vai izstrādāti 8 publiski pakalpojumi.</w:t>
            </w:r>
          </w:p>
          <w:p w:rsidR="00595E67" w:rsidRPr="00595E67" w:rsidRDefault="00595E67" w:rsidP="0001069F">
            <w:pPr>
              <w:keepNext/>
              <w:keepLines/>
              <w:spacing w:before="120" w:after="120"/>
              <w:ind w:firstLine="2"/>
              <w:outlineLvl w:val="3"/>
              <w:rPr>
                <w:b/>
                <w:iCs/>
                <w:lang w:eastAsia="en-US"/>
              </w:rPr>
            </w:pPr>
            <w:r w:rsidRPr="00595E67">
              <w:rPr>
                <w:b/>
                <w:iCs/>
                <w:lang w:eastAsia="en-US"/>
              </w:rPr>
              <w:lastRenderedPageBreak/>
              <w:t>Pielikums:</w:t>
            </w:r>
          </w:p>
          <w:p w:rsidR="00595E67" w:rsidRPr="00595E67" w:rsidRDefault="00595E67" w:rsidP="00E358A2">
            <w:pPr>
              <w:keepNext/>
              <w:keepLines/>
              <w:spacing w:before="120" w:after="120"/>
              <w:ind w:hanging="2"/>
              <w:jc w:val="both"/>
              <w:outlineLvl w:val="3"/>
              <w:rPr>
                <w:b/>
                <w:iCs/>
                <w:u w:val="single"/>
                <w:lang w:eastAsia="en-US"/>
              </w:rPr>
            </w:pPr>
            <w:r w:rsidRPr="00595E67">
              <w:rPr>
                <w:b/>
                <w:iCs/>
                <w:u w:val="single"/>
                <w:lang w:eastAsia="en-US"/>
              </w:rPr>
              <w:t>Projekta aktivitātes sniegs šādu ieguldījumu SAM rezultāta rādītājos:</w:t>
            </w:r>
          </w:p>
          <w:p w:rsidR="00DF5A3B" w:rsidRPr="00712B66" w:rsidRDefault="00595E67" w:rsidP="00C4698E">
            <w:pPr>
              <w:numPr>
                <w:ilvl w:val="0"/>
                <w:numId w:val="12"/>
              </w:numPr>
              <w:spacing w:before="80" w:after="120"/>
              <w:ind w:left="2" w:hanging="2"/>
              <w:contextualSpacing/>
              <w:jc w:val="both"/>
            </w:pPr>
            <w:r w:rsidRPr="00595E67">
              <w:rPr>
                <w:lang w:eastAsia="en-US"/>
              </w:rPr>
              <w:t>projekta īstenošanas rezultātā tiks pilnveidoti 7 publiskās pārvaldes pamatdarbības procesi un izstrādāts 1 publiskās pārvaldes pamatdarbības process;</w:t>
            </w:r>
          </w:p>
        </w:tc>
      </w:tr>
      <w:tr w:rsidR="003B2AFA" w:rsidRPr="00712B66" w:rsidTr="00AC14D0">
        <w:tc>
          <w:tcPr>
            <w:tcW w:w="675" w:type="dxa"/>
            <w:tcBorders>
              <w:left w:val="single" w:sz="6" w:space="0" w:color="000000"/>
              <w:bottom w:val="single" w:sz="4" w:space="0" w:color="auto"/>
              <w:right w:val="single" w:sz="6" w:space="0" w:color="000000"/>
            </w:tcBorders>
          </w:tcPr>
          <w:p w:rsidR="003B2AFA" w:rsidRPr="00712B66" w:rsidRDefault="00AB531F" w:rsidP="003B2AFA">
            <w:pPr>
              <w:pStyle w:val="naisc"/>
              <w:spacing w:before="0" w:after="0"/>
              <w:ind w:firstLine="720"/>
            </w:pPr>
            <w:r>
              <w:lastRenderedPageBreak/>
              <w:t>66.</w:t>
            </w:r>
          </w:p>
        </w:tc>
        <w:tc>
          <w:tcPr>
            <w:tcW w:w="3261" w:type="dxa"/>
            <w:gridSpan w:val="2"/>
            <w:tcBorders>
              <w:left w:val="single" w:sz="6" w:space="0" w:color="000000"/>
              <w:bottom w:val="single" w:sz="4" w:space="0" w:color="auto"/>
              <w:right w:val="single" w:sz="6" w:space="0" w:color="000000"/>
            </w:tcBorders>
          </w:tcPr>
          <w:p w:rsidR="003B2AFA" w:rsidRPr="00DB5DD5" w:rsidRDefault="00DB5DD5" w:rsidP="00DB5DD5">
            <w:pPr>
              <w:pStyle w:val="naisc"/>
              <w:spacing w:before="0" w:after="0"/>
              <w:rPr>
                <w:b/>
              </w:rPr>
            </w:pPr>
            <w:r w:rsidRPr="00DB5DD5">
              <w:rPr>
                <w:b/>
              </w:rPr>
              <w:t>Anotācija</w:t>
            </w:r>
          </w:p>
          <w:p w:rsidR="00E926C8" w:rsidRPr="00600F1A" w:rsidRDefault="00E926C8" w:rsidP="00E926C8">
            <w:pPr>
              <w:jc w:val="both"/>
              <w:rPr>
                <w:iCs/>
              </w:rPr>
            </w:pPr>
          </w:p>
          <w:p w:rsidR="00E926C8" w:rsidRPr="00712B66" w:rsidRDefault="00E926C8" w:rsidP="003B2AFA">
            <w:pPr>
              <w:pStyle w:val="naisc"/>
              <w:spacing w:before="0" w:after="0"/>
              <w:ind w:firstLine="720"/>
            </w:pPr>
          </w:p>
        </w:tc>
        <w:tc>
          <w:tcPr>
            <w:tcW w:w="4252" w:type="dxa"/>
            <w:tcBorders>
              <w:left w:val="single" w:sz="6" w:space="0" w:color="000000"/>
              <w:bottom w:val="single" w:sz="4" w:space="0" w:color="auto"/>
              <w:right w:val="single" w:sz="6" w:space="0" w:color="000000"/>
            </w:tcBorders>
          </w:tcPr>
          <w:p w:rsidR="001B7C0E" w:rsidRDefault="001B7C0E" w:rsidP="003B2AFA">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1B7C0E">
              <w:rPr>
                <w:rFonts w:ascii="Times New Roman" w:hAnsi="Times New Roman"/>
                <w:sz w:val="24"/>
                <w:szCs w:val="24"/>
                <w:lang w:eastAsia="lv-LV"/>
              </w:rPr>
              <w:t>FM 24.04.2019. atzinums</w:t>
            </w:r>
          </w:p>
          <w:p w:rsidR="003B2AFA" w:rsidRPr="00317EA0" w:rsidRDefault="003B2AFA" w:rsidP="003B2AFA">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1874B3">
              <w:rPr>
                <w:rFonts w:ascii="Times New Roman" w:hAnsi="Times New Roman"/>
                <w:sz w:val="24"/>
                <w:szCs w:val="24"/>
                <w:lang w:eastAsia="lv-LV"/>
              </w:rPr>
              <w:t xml:space="preserve">Lūdzam precizēt anotācijas III sadaļu “Tiesību akta projekta </w:t>
            </w:r>
            <w:r w:rsidRPr="00317EA0">
              <w:rPr>
                <w:rFonts w:ascii="Times New Roman" w:hAnsi="Times New Roman"/>
                <w:sz w:val="24"/>
                <w:szCs w:val="24"/>
                <w:lang w:eastAsia="lv-LV"/>
              </w:rPr>
              <w:t>ietekme uz valsts budžetu un pašvaldību budžetiem”:</w:t>
            </w:r>
          </w:p>
          <w:p w:rsidR="003B2AFA" w:rsidRPr="00712B66" w:rsidRDefault="003B2AFA" w:rsidP="00E358A2">
            <w:pPr>
              <w:pStyle w:val="ListParagraph"/>
              <w:widowControl w:val="0"/>
              <w:numPr>
                <w:ilvl w:val="0"/>
                <w:numId w:val="8"/>
              </w:numPr>
              <w:spacing w:after="0" w:line="240" w:lineRule="auto"/>
              <w:ind w:left="68" w:firstLine="0"/>
              <w:jc w:val="both"/>
            </w:pPr>
            <w:r w:rsidRPr="00317EA0">
              <w:rPr>
                <w:rFonts w:ascii="Times New Roman" w:hAnsi="Times New Roman"/>
                <w:sz w:val="24"/>
                <w:szCs w:val="24"/>
              </w:rPr>
              <w:t>4.</w:t>
            </w:r>
            <w:r w:rsidRPr="000F7C93">
              <w:rPr>
                <w:rFonts w:ascii="Times New Roman" w:hAnsi="Times New Roman"/>
                <w:sz w:val="24"/>
                <w:szCs w:val="24"/>
              </w:rPr>
              <w:t>–</w:t>
            </w:r>
            <w:r w:rsidRPr="00317EA0">
              <w:rPr>
                <w:rFonts w:ascii="Times New Roman" w:hAnsi="Times New Roman"/>
                <w:sz w:val="24"/>
                <w:szCs w:val="24"/>
              </w:rPr>
              <w:t xml:space="preserve">8.kolonnas nosaukumā norādot konkrētus gadus </w:t>
            </w:r>
            <w:r w:rsidRPr="000F7C93">
              <w:rPr>
                <w:rFonts w:ascii="Times New Roman" w:hAnsi="Times New Roman"/>
                <w:sz w:val="24"/>
                <w:szCs w:val="24"/>
              </w:rPr>
              <w:t>–</w:t>
            </w:r>
            <w:r w:rsidRPr="00317EA0">
              <w:rPr>
                <w:rFonts w:ascii="Times New Roman" w:hAnsi="Times New Roman"/>
                <w:sz w:val="24"/>
                <w:szCs w:val="24"/>
              </w:rPr>
              <w:t xml:space="preserve"> 2020., 2021., 2022.gads; </w:t>
            </w:r>
          </w:p>
        </w:tc>
        <w:tc>
          <w:tcPr>
            <w:tcW w:w="3293" w:type="dxa"/>
            <w:gridSpan w:val="2"/>
            <w:tcBorders>
              <w:left w:val="single" w:sz="6" w:space="0" w:color="000000"/>
              <w:bottom w:val="single" w:sz="4" w:space="0" w:color="auto"/>
              <w:right w:val="single" w:sz="6" w:space="0" w:color="000000"/>
            </w:tcBorders>
          </w:tcPr>
          <w:p w:rsidR="00610E33" w:rsidRPr="00610E33" w:rsidRDefault="00610E33" w:rsidP="00610E33">
            <w:pPr>
              <w:pStyle w:val="naisc"/>
              <w:tabs>
                <w:tab w:val="left" w:pos="315"/>
              </w:tabs>
              <w:spacing w:before="0" w:after="0"/>
              <w:rPr>
                <w:b/>
              </w:rPr>
            </w:pPr>
            <w:r w:rsidRPr="00610E33">
              <w:rPr>
                <w:b/>
              </w:rPr>
              <w:t>Ņemts vērā.</w:t>
            </w:r>
          </w:p>
          <w:p w:rsidR="006A14C6" w:rsidRDefault="003B2AFA" w:rsidP="0056213C">
            <w:pPr>
              <w:pStyle w:val="naisc"/>
              <w:tabs>
                <w:tab w:val="left" w:pos="315"/>
              </w:tabs>
              <w:spacing w:before="0" w:after="0"/>
              <w:jc w:val="both"/>
            </w:pPr>
            <w:r w:rsidRPr="00D85830">
              <w:t>Veikti precizējumi anotācijas III sadaļas 4.-8.kolonnas nosaukumā</w:t>
            </w:r>
            <w:r w:rsidR="00610E33">
              <w:t>.</w:t>
            </w:r>
            <w:r w:rsidRPr="00D85830">
              <w:t xml:space="preserve"> </w:t>
            </w:r>
          </w:p>
          <w:p w:rsidR="0056213C" w:rsidRPr="00D85830" w:rsidRDefault="0056213C" w:rsidP="00122AF7">
            <w:pPr>
              <w:pStyle w:val="naisc"/>
              <w:tabs>
                <w:tab w:val="left" w:pos="315"/>
              </w:tabs>
              <w:spacing w:before="0" w:after="0"/>
              <w:jc w:val="both"/>
            </w:pPr>
          </w:p>
        </w:tc>
        <w:tc>
          <w:tcPr>
            <w:tcW w:w="3261" w:type="dxa"/>
            <w:tcBorders>
              <w:top w:val="single" w:sz="4" w:space="0" w:color="auto"/>
              <w:left w:val="single" w:sz="4" w:space="0" w:color="auto"/>
              <w:bottom w:val="single" w:sz="4" w:space="0" w:color="auto"/>
            </w:tcBorders>
          </w:tcPr>
          <w:p w:rsidR="003B2AFA" w:rsidRPr="00DB5DD5" w:rsidRDefault="00E358A2" w:rsidP="00DB5DD5">
            <w:pPr>
              <w:jc w:val="center"/>
              <w:rPr>
                <w:b/>
              </w:rPr>
            </w:pPr>
            <w:r>
              <w:rPr>
                <w:b/>
              </w:rPr>
              <w:t>Precizēta a</w:t>
            </w:r>
            <w:r w:rsidR="00DB5DD5">
              <w:rPr>
                <w:b/>
              </w:rPr>
              <w:t>notācija</w:t>
            </w:r>
          </w:p>
        </w:tc>
      </w:tr>
      <w:tr w:rsidR="00025FE0" w:rsidRPr="00712B66" w:rsidTr="00AC14D0">
        <w:tc>
          <w:tcPr>
            <w:tcW w:w="675" w:type="dxa"/>
            <w:tcBorders>
              <w:left w:val="single" w:sz="6" w:space="0" w:color="000000"/>
              <w:bottom w:val="single" w:sz="4" w:space="0" w:color="auto"/>
              <w:right w:val="single" w:sz="6" w:space="0" w:color="000000"/>
            </w:tcBorders>
          </w:tcPr>
          <w:p w:rsidR="00025FE0" w:rsidRPr="00712B66" w:rsidRDefault="00610E33" w:rsidP="00025FE0">
            <w:pPr>
              <w:pStyle w:val="naisc"/>
              <w:spacing w:before="0" w:after="0"/>
              <w:ind w:firstLine="720"/>
            </w:pPr>
            <w:r>
              <w:t>77.</w:t>
            </w:r>
          </w:p>
        </w:tc>
        <w:tc>
          <w:tcPr>
            <w:tcW w:w="3261" w:type="dxa"/>
            <w:gridSpan w:val="2"/>
            <w:tcBorders>
              <w:left w:val="single" w:sz="6" w:space="0" w:color="000000"/>
              <w:bottom w:val="single" w:sz="4" w:space="0" w:color="auto"/>
              <w:right w:val="single" w:sz="6" w:space="0" w:color="000000"/>
            </w:tcBorders>
          </w:tcPr>
          <w:p w:rsidR="00E358A2" w:rsidRPr="00E358A2" w:rsidRDefault="00E358A2" w:rsidP="00E358A2">
            <w:pPr>
              <w:pStyle w:val="naisc"/>
              <w:spacing w:before="0" w:after="0"/>
              <w:rPr>
                <w:b/>
              </w:rPr>
            </w:pPr>
            <w:r w:rsidRPr="00DB5DD5">
              <w:rPr>
                <w:b/>
              </w:rPr>
              <w:t>Anotācija</w:t>
            </w:r>
          </w:p>
          <w:p w:rsidR="00122AF7" w:rsidRPr="00600F1A" w:rsidRDefault="00122AF7" w:rsidP="00122AF7">
            <w:pPr>
              <w:jc w:val="both"/>
              <w:rPr>
                <w:iCs/>
              </w:rPr>
            </w:pPr>
            <w:r w:rsidRPr="00E358A2">
              <w:rPr>
                <w:bCs/>
                <w:iCs/>
              </w:rPr>
              <w:t xml:space="preserve">8 578 EUR – </w:t>
            </w:r>
            <w:r w:rsidRPr="00E358A2">
              <w:rPr>
                <w:iCs/>
              </w:rPr>
              <w:t>projekta ietvaros izstrādāto un ieviesto IKT risinājumu uzturēšanai</w:t>
            </w:r>
            <w:r w:rsidRPr="00600F1A">
              <w:rPr>
                <w:b/>
                <w:iCs/>
              </w:rPr>
              <w:t xml:space="preserve"> </w:t>
            </w:r>
            <w:r w:rsidRPr="00600F1A">
              <w:rPr>
                <w:iCs/>
              </w:rPr>
              <w:t>(</w:t>
            </w:r>
            <w:r w:rsidRPr="00600F1A">
              <w:rPr>
                <w:bCs/>
                <w:iCs/>
              </w:rPr>
              <w:t xml:space="preserve">7 260 </w:t>
            </w:r>
            <w:proofErr w:type="spellStart"/>
            <w:r w:rsidRPr="00600F1A">
              <w:rPr>
                <w:bCs/>
                <w:i/>
                <w:iCs/>
              </w:rPr>
              <w:t>euro</w:t>
            </w:r>
            <w:proofErr w:type="spellEnd"/>
            <w:r w:rsidRPr="00600F1A">
              <w:rPr>
                <w:bCs/>
                <w:iCs/>
              </w:rPr>
              <w:t xml:space="preserve"> - </w:t>
            </w:r>
            <w:r w:rsidRPr="00600F1A">
              <w:rPr>
                <w:iCs/>
              </w:rPr>
              <w:t xml:space="preserve">izmaiņu pieprasījumi projekta ietvaros izstrādātās programmatūras nelieli pielāgošanas darbi atbilstoši citu valsts IS izmaiņām vai pilnveidojumiem; 1 318 </w:t>
            </w:r>
            <w:proofErr w:type="spellStart"/>
            <w:r w:rsidRPr="00600F1A">
              <w:rPr>
                <w:i/>
                <w:iCs/>
              </w:rPr>
              <w:t>euro</w:t>
            </w:r>
            <w:proofErr w:type="spellEnd"/>
            <w:r w:rsidRPr="00600F1A">
              <w:rPr>
                <w:iCs/>
              </w:rPr>
              <w:t xml:space="preserve"> - aplikāciju tehniskās uzturēšanas izmaksas);</w:t>
            </w:r>
          </w:p>
          <w:p w:rsidR="00025FE0" w:rsidRPr="00712B66" w:rsidRDefault="00025FE0" w:rsidP="00025FE0">
            <w:pPr>
              <w:pStyle w:val="naisc"/>
              <w:spacing w:before="0" w:after="0"/>
              <w:ind w:firstLine="720"/>
            </w:pPr>
          </w:p>
        </w:tc>
        <w:tc>
          <w:tcPr>
            <w:tcW w:w="4252" w:type="dxa"/>
            <w:tcBorders>
              <w:left w:val="single" w:sz="6" w:space="0" w:color="000000"/>
              <w:bottom w:val="single" w:sz="4" w:space="0" w:color="auto"/>
              <w:right w:val="single" w:sz="6" w:space="0" w:color="000000"/>
            </w:tcBorders>
          </w:tcPr>
          <w:p w:rsidR="001B7C0E" w:rsidRDefault="001B7C0E" w:rsidP="00122AF7">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1B7C0E">
              <w:rPr>
                <w:rFonts w:ascii="Times New Roman" w:hAnsi="Times New Roman"/>
                <w:sz w:val="24"/>
                <w:szCs w:val="24"/>
                <w:lang w:eastAsia="lv-LV"/>
              </w:rPr>
              <w:t>FM 24.04.2019. atzinums</w:t>
            </w:r>
          </w:p>
          <w:p w:rsidR="00122AF7" w:rsidRPr="00317EA0" w:rsidRDefault="00122AF7" w:rsidP="00122AF7">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1874B3">
              <w:rPr>
                <w:rFonts w:ascii="Times New Roman" w:hAnsi="Times New Roman"/>
                <w:sz w:val="24"/>
                <w:szCs w:val="24"/>
                <w:lang w:eastAsia="lv-LV"/>
              </w:rPr>
              <w:t xml:space="preserve">Lūdzam precizēt anotācijas III sadaļu “Tiesību akta projekta </w:t>
            </w:r>
            <w:r w:rsidRPr="00317EA0">
              <w:rPr>
                <w:rFonts w:ascii="Times New Roman" w:hAnsi="Times New Roman"/>
                <w:sz w:val="24"/>
                <w:szCs w:val="24"/>
                <w:lang w:eastAsia="lv-LV"/>
              </w:rPr>
              <w:t>ietekme uz valsts budžetu un pašvaldību budžetiem”:</w:t>
            </w:r>
          </w:p>
          <w:p w:rsidR="00122AF7" w:rsidRPr="00B16A1F" w:rsidRDefault="00122AF7" w:rsidP="00122AF7">
            <w:pPr>
              <w:pStyle w:val="ListParagraph"/>
              <w:widowControl w:val="0"/>
              <w:spacing w:after="0" w:line="240" w:lineRule="auto"/>
              <w:ind w:left="68"/>
              <w:jc w:val="both"/>
              <w:rPr>
                <w:rFonts w:ascii="Times New Roman" w:hAnsi="Times New Roman"/>
                <w:sz w:val="24"/>
                <w:szCs w:val="24"/>
              </w:rPr>
            </w:pPr>
            <w:r>
              <w:rPr>
                <w:rFonts w:ascii="Times New Roman" w:hAnsi="Times New Roman"/>
                <w:sz w:val="24"/>
                <w:szCs w:val="24"/>
              </w:rPr>
              <w:t>b)  </w:t>
            </w:r>
            <w:r w:rsidRPr="00B16A1F">
              <w:rPr>
                <w:rFonts w:ascii="Times New Roman" w:hAnsi="Times New Roman"/>
                <w:sz w:val="24"/>
                <w:szCs w:val="24"/>
              </w:rPr>
              <w:t>informācijas un komunikācijas tehnoloģiju risinājumu uzturēšanas izmaksām 8 578 </w:t>
            </w:r>
            <w:proofErr w:type="spellStart"/>
            <w:r w:rsidRPr="00B16A1F">
              <w:rPr>
                <w:rFonts w:ascii="Times New Roman" w:hAnsi="Times New Roman"/>
                <w:i/>
                <w:sz w:val="24"/>
                <w:szCs w:val="24"/>
              </w:rPr>
              <w:t>euro</w:t>
            </w:r>
            <w:proofErr w:type="spellEnd"/>
            <w:r w:rsidRPr="00B16A1F">
              <w:rPr>
                <w:rFonts w:ascii="Times New Roman" w:hAnsi="Times New Roman"/>
                <w:sz w:val="24"/>
                <w:szCs w:val="24"/>
              </w:rPr>
              <w:t xml:space="preserve"> apmērā pašreiz ir norādītas tikai izmaksu pozīcijas, kam attiecīgi lūdzam sniegt detalizētu aprēķinu;</w:t>
            </w:r>
          </w:p>
          <w:p w:rsidR="00025FE0" w:rsidRPr="00712B66" w:rsidRDefault="00025FE0" w:rsidP="00025FE0">
            <w:pPr>
              <w:pStyle w:val="naisc"/>
              <w:spacing w:before="0" w:after="0"/>
              <w:ind w:firstLine="720"/>
            </w:pPr>
          </w:p>
        </w:tc>
        <w:tc>
          <w:tcPr>
            <w:tcW w:w="3293" w:type="dxa"/>
            <w:gridSpan w:val="2"/>
            <w:tcBorders>
              <w:left w:val="single" w:sz="6" w:space="0" w:color="000000"/>
              <w:bottom w:val="single" w:sz="4" w:space="0" w:color="auto"/>
              <w:right w:val="single" w:sz="6" w:space="0" w:color="000000"/>
            </w:tcBorders>
          </w:tcPr>
          <w:p w:rsidR="00FC7495" w:rsidRPr="00FC7495" w:rsidRDefault="00FC7495" w:rsidP="00FC7495">
            <w:pPr>
              <w:pStyle w:val="naisc"/>
              <w:spacing w:before="0" w:after="0"/>
              <w:rPr>
                <w:b/>
              </w:rPr>
            </w:pPr>
            <w:r w:rsidRPr="00FC7495">
              <w:rPr>
                <w:b/>
              </w:rPr>
              <w:t>Ņemts vērā</w:t>
            </w:r>
            <w:r>
              <w:rPr>
                <w:b/>
              </w:rPr>
              <w:t>.</w:t>
            </w:r>
          </w:p>
          <w:p w:rsidR="00025FE0" w:rsidRPr="00712B66" w:rsidRDefault="00FC7495" w:rsidP="00FC7495">
            <w:pPr>
              <w:pStyle w:val="naisc"/>
              <w:spacing w:before="0" w:after="0"/>
              <w:jc w:val="both"/>
            </w:pPr>
            <w:r>
              <w:t>Attiecībā uz informācijas un komunikācijas tehnoloģiju risinājumu uzturēšanas izmaksām, paskaidrojam: projekta laikā tiks izstrādāta papildus funkcionalitāte jauna procesa (</w:t>
            </w:r>
            <w:r w:rsidRPr="001D2127">
              <w:t>Būvniecības atkritumu/būvgružu uzskaite)</w:t>
            </w:r>
            <w:r>
              <w:t xml:space="preserve"> nodrošināšanai, kā arī tiks izveidota mobilā aplikācija </w:t>
            </w:r>
            <w:r w:rsidRPr="001D2127">
              <w:t>Apziņošanas un informēšanas proces</w:t>
            </w:r>
            <w:r>
              <w:t>a pilnveidei.</w:t>
            </w:r>
            <w:r w:rsidR="00E358A2">
              <w:t xml:space="preserve"> Izmaksas papildinātas ar aprēķiniem.</w:t>
            </w:r>
          </w:p>
        </w:tc>
        <w:tc>
          <w:tcPr>
            <w:tcW w:w="3261" w:type="dxa"/>
            <w:tcBorders>
              <w:top w:val="single" w:sz="4" w:space="0" w:color="auto"/>
              <w:left w:val="single" w:sz="4" w:space="0" w:color="auto"/>
              <w:bottom w:val="single" w:sz="4" w:space="0" w:color="auto"/>
            </w:tcBorders>
          </w:tcPr>
          <w:p w:rsidR="00E358A2" w:rsidRPr="00E358A2" w:rsidRDefault="00E358A2" w:rsidP="00E358A2">
            <w:pPr>
              <w:jc w:val="center"/>
              <w:rPr>
                <w:b/>
                <w:bCs/>
                <w:iCs/>
              </w:rPr>
            </w:pPr>
            <w:r>
              <w:rPr>
                <w:b/>
                <w:bCs/>
                <w:iCs/>
              </w:rPr>
              <w:t>Precizēta anotācija</w:t>
            </w:r>
          </w:p>
          <w:p w:rsidR="00122AF7" w:rsidRDefault="00122AF7" w:rsidP="00122AF7">
            <w:pPr>
              <w:jc w:val="both"/>
              <w:rPr>
                <w:iCs/>
              </w:rPr>
            </w:pPr>
            <w:r w:rsidRPr="00E358A2">
              <w:rPr>
                <w:bCs/>
                <w:iCs/>
              </w:rPr>
              <w:t xml:space="preserve">8 578 EUR – </w:t>
            </w:r>
            <w:r w:rsidRPr="00E358A2">
              <w:rPr>
                <w:iCs/>
              </w:rPr>
              <w:t>projekta ietvaros izstrādāto un ieviesto IKT risinājumu uzturēšanai</w:t>
            </w:r>
            <w:r w:rsidRPr="00600F1A">
              <w:rPr>
                <w:b/>
                <w:iCs/>
              </w:rPr>
              <w:t xml:space="preserve"> </w:t>
            </w:r>
            <w:r w:rsidRPr="00600F1A">
              <w:rPr>
                <w:iCs/>
              </w:rPr>
              <w:t>(</w:t>
            </w:r>
            <w:r w:rsidRPr="00600F1A">
              <w:rPr>
                <w:bCs/>
                <w:iCs/>
              </w:rPr>
              <w:t xml:space="preserve">7 260 </w:t>
            </w:r>
            <w:proofErr w:type="spellStart"/>
            <w:r w:rsidRPr="00600F1A">
              <w:rPr>
                <w:bCs/>
                <w:i/>
                <w:iCs/>
              </w:rPr>
              <w:t>euro</w:t>
            </w:r>
            <w:proofErr w:type="spellEnd"/>
            <w:r w:rsidRPr="00600F1A">
              <w:rPr>
                <w:bCs/>
                <w:iCs/>
              </w:rPr>
              <w:t xml:space="preserve"> - </w:t>
            </w:r>
            <w:r w:rsidRPr="00600F1A">
              <w:rPr>
                <w:iCs/>
              </w:rPr>
              <w:t xml:space="preserve">izmaiņu pieprasījumi projekta ietvaros izstrādātās programmatūras nelieli pielāgošanas darbi atbilstoši citu valsts IS izmaiņām vai pilnveidojumiem; 1 318 </w:t>
            </w:r>
            <w:proofErr w:type="spellStart"/>
            <w:r w:rsidRPr="00600F1A">
              <w:rPr>
                <w:i/>
                <w:iCs/>
              </w:rPr>
              <w:t>euro</w:t>
            </w:r>
            <w:proofErr w:type="spellEnd"/>
            <w:r w:rsidRPr="00600F1A">
              <w:rPr>
                <w:iCs/>
              </w:rPr>
              <w:t xml:space="preserve"> - aplikāciju tehniskās uzturēšanas izmaksas);</w:t>
            </w:r>
          </w:p>
          <w:p w:rsidR="00122AF7" w:rsidRDefault="00122AF7" w:rsidP="00122AF7">
            <w:pPr>
              <w:jc w:val="both"/>
              <w:rPr>
                <w:iCs/>
              </w:rPr>
            </w:pPr>
          </w:p>
          <w:p w:rsidR="00025FE0" w:rsidRPr="00712B66" w:rsidRDefault="00122AF7" w:rsidP="00E358A2">
            <w:pPr>
              <w:pStyle w:val="naisc"/>
              <w:tabs>
                <w:tab w:val="left" w:pos="315"/>
              </w:tabs>
              <w:spacing w:before="0" w:after="0"/>
              <w:jc w:val="both"/>
            </w:pPr>
            <w:r>
              <w:t xml:space="preserve">Ņemot vērā BVKB pieredzi, šāda apjoma funkcionalitātes </w:t>
            </w:r>
            <w:r>
              <w:lastRenderedPageBreak/>
              <w:t xml:space="preserve">uzturēšanas procesa īstenošanai nepieciešamas 20 cilvēkdienas gadā </w:t>
            </w:r>
            <w:r w:rsidRPr="00F6226D">
              <w:t>(atbilstoši esošajam uzturēšanas līgumam, kas noslēgts ar SIA “</w:t>
            </w:r>
            <w:proofErr w:type="spellStart"/>
            <w:r w:rsidRPr="00F6226D">
              <w:t>Tieto</w:t>
            </w:r>
            <w:proofErr w:type="spellEnd"/>
            <w:r w:rsidRPr="00F6226D">
              <w:t xml:space="preserve"> Latvia” 2017.gadā, vienas cilvēkdienas izmaksas ir 363 EUR iesk. PVN: 20 x 363 = 7260 EUR</w:t>
            </w:r>
            <w:r>
              <w:t>.</w:t>
            </w:r>
            <w:r w:rsidRPr="00F6226D">
              <w:t xml:space="preserve"> Jaunizveidoto aplikāciju tehniskajai uzturēšanai (aplikācijas komponenšu migrācija uz jaunāku OS (operētājsistēmu) un testa vides atjaunošana no produkcijas), ņemot vērā apjomu un 2018.gada datus līdzīgo aplikāciju uzturēšanas izmaksas, būs nepieciešamas 3,63 cilvēkdienas gadā (3</w:t>
            </w:r>
            <w:r w:rsidR="001D2BD7">
              <w:t>,</w:t>
            </w:r>
            <w:r w:rsidRPr="00F6226D">
              <w:t>63 CD x 363 = 1318 EUR iesk. PVN)</w:t>
            </w:r>
            <w:r>
              <w:t>.</w:t>
            </w:r>
          </w:p>
        </w:tc>
      </w:tr>
      <w:tr w:rsidR="005C6C41" w:rsidRPr="00712B66" w:rsidTr="00AC14D0">
        <w:tc>
          <w:tcPr>
            <w:tcW w:w="675" w:type="dxa"/>
            <w:tcBorders>
              <w:left w:val="single" w:sz="6" w:space="0" w:color="000000"/>
              <w:bottom w:val="single" w:sz="4" w:space="0" w:color="auto"/>
              <w:right w:val="single" w:sz="6" w:space="0" w:color="000000"/>
            </w:tcBorders>
          </w:tcPr>
          <w:p w:rsidR="005C6C41" w:rsidRDefault="005C6C41" w:rsidP="00025FE0">
            <w:pPr>
              <w:pStyle w:val="naisc"/>
              <w:spacing w:before="0" w:after="0"/>
              <w:ind w:firstLine="720"/>
            </w:pPr>
          </w:p>
          <w:p w:rsidR="009A7F0F" w:rsidRPr="009A7F0F" w:rsidRDefault="009A7F0F" w:rsidP="009A7F0F">
            <w:r>
              <w:t>8.</w:t>
            </w:r>
          </w:p>
        </w:tc>
        <w:tc>
          <w:tcPr>
            <w:tcW w:w="3261" w:type="dxa"/>
            <w:gridSpan w:val="2"/>
            <w:tcBorders>
              <w:left w:val="single" w:sz="6" w:space="0" w:color="000000"/>
              <w:bottom w:val="single" w:sz="4" w:space="0" w:color="auto"/>
              <w:right w:val="single" w:sz="6" w:space="0" w:color="000000"/>
            </w:tcBorders>
          </w:tcPr>
          <w:p w:rsidR="00E358A2" w:rsidRPr="00E358A2" w:rsidRDefault="00E358A2" w:rsidP="00E358A2">
            <w:pPr>
              <w:jc w:val="center"/>
              <w:rPr>
                <w:b/>
                <w:bCs/>
                <w:iCs/>
              </w:rPr>
            </w:pPr>
            <w:r w:rsidRPr="00E358A2">
              <w:rPr>
                <w:b/>
                <w:bCs/>
                <w:iCs/>
              </w:rPr>
              <w:t>Anotācija</w:t>
            </w:r>
          </w:p>
          <w:p w:rsidR="005C6C41" w:rsidRPr="009A7F0F" w:rsidRDefault="009A7F0F" w:rsidP="00122AF7">
            <w:pPr>
              <w:jc w:val="both"/>
              <w:rPr>
                <w:bCs/>
                <w:iCs/>
              </w:rPr>
            </w:pPr>
            <w:r w:rsidRPr="009A7F0F">
              <w:rPr>
                <w:bCs/>
                <w:iCs/>
              </w:rPr>
              <w:t xml:space="preserve">62 477 EUR – personāla atlīdzības izmaksas (finansējums divu darba vietu atlīdzībai, kur vienas darba vietas atlīdzībai nepieciešams finansējums 31 238,5 </w:t>
            </w:r>
            <w:proofErr w:type="spellStart"/>
            <w:r w:rsidRPr="009A7F0F">
              <w:rPr>
                <w:bCs/>
                <w:iCs/>
              </w:rPr>
              <w:t>euro</w:t>
            </w:r>
            <w:proofErr w:type="spellEnd"/>
            <w:r w:rsidRPr="009A7F0F">
              <w:rPr>
                <w:bCs/>
                <w:iCs/>
              </w:rPr>
              <w:t xml:space="preserve"> apmērā (18.6 saime IV līmenis) sastāda: 1732 </w:t>
            </w:r>
            <w:proofErr w:type="spellStart"/>
            <w:r w:rsidRPr="009A7F0F">
              <w:rPr>
                <w:bCs/>
                <w:iCs/>
              </w:rPr>
              <w:t>euro</w:t>
            </w:r>
            <w:proofErr w:type="spellEnd"/>
            <w:r w:rsidRPr="009A7F0F">
              <w:rPr>
                <w:bCs/>
                <w:iCs/>
              </w:rPr>
              <w:t xml:space="preserve"> x 12 mēneši = 20 784 </w:t>
            </w:r>
            <w:proofErr w:type="spellStart"/>
            <w:r w:rsidRPr="009A7F0F">
              <w:rPr>
                <w:bCs/>
                <w:iCs/>
              </w:rPr>
              <w:t>euro</w:t>
            </w:r>
            <w:proofErr w:type="spellEnd"/>
            <w:r w:rsidRPr="009A7F0F">
              <w:rPr>
                <w:bCs/>
                <w:iCs/>
              </w:rPr>
              <w:t xml:space="preserve"> gadā; 10% piemaksa = 2078,40 </w:t>
            </w:r>
            <w:proofErr w:type="spellStart"/>
            <w:r w:rsidRPr="009A7F0F">
              <w:rPr>
                <w:bCs/>
                <w:iCs/>
              </w:rPr>
              <w:t>euro</w:t>
            </w:r>
            <w:proofErr w:type="spellEnd"/>
            <w:r w:rsidRPr="009A7F0F">
              <w:rPr>
                <w:bCs/>
                <w:iCs/>
              </w:rPr>
              <w:t xml:space="preserve"> gadā; Atvaļinājuma pabalsts = 866 </w:t>
            </w:r>
            <w:proofErr w:type="spellStart"/>
            <w:r w:rsidRPr="009A7F0F">
              <w:rPr>
                <w:bCs/>
                <w:iCs/>
              </w:rPr>
              <w:lastRenderedPageBreak/>
              <w:t>euro</w:t>
            </w:r>
            <w:proofErr w:type="spellEnd"/>
            <w:r w:rsidRPr="009A7F0F">
              <w:rPr>
                <w:bCs/>
                <w:iCs/>
              </w:rPr>
              <w:t xml:space="preserve"> gadā; Novērtēšanas prēmija = 1125,80 </w:t>
            </w:r>
            <w:proofErr w:type="spellStart"/>
            <w:r w:rsidRPr="009A7F0F">
              <w:rPr>
                <w:bCs/>
                <w:iCs/>
              </w:rPr>
              <w:t>euro</w:t>
            </w:r>
            <w:proofErr w:type="spellEnd"/>
            <w:r w:rsidRPr="009A7F0F">
              <w:rPr>
                <w:bCs/>
                <w:iCs/>
              </w:rPr>
              <w:t xml:space="preserve"> gadā; Apmācības un darba devēja pabalsti, kompensācijas – 248,69 </w:t>
            </w:r>
            <w:proofErr w:type="spellStart"/>
            <w:r w:rsidRPr="009A7F0F">
              <w:rPr>
                <w:bCs/>
                <w:iCs/>
              </w:rPr>
              <w:t>euro</w:t>
            </w:r>
            <w:proofErr w:type="spellEnd"/>
            <w:r w:rsidRPr="009A7F0F">
              <w:rPr>
                <w:bCs/>
                <w:iCs/>
              </w:rPr>
              <w:t xml:space="preserve"> gadā; Kopā gadā 25148,64 + 5932 (darba devēja nodoklis 23,59%) + 214 </w:t>
            </w:r>
            <w:proofErr w:type="spellStart"/>
            <w:r w:rsidRPr="009A7F0F">
              <w:rPr>
                <w:bCs/>
                <w:iCs/>
              </w:rPr>
              <w:t>euro</w:t>
            </w:r>
            <w:proofErr w:type="spellEnd"/>
            <w:r w:rsidRPr="009A7F0F">
              <w:rPr>
                <w:bCs/>
                <w:iCs/>
              </w:rPr>
              <w:t xml:space="preserve"> (veselības apdrošināšana) = 24435 </w:t>
            </w:r>
            <w:proofErr w:type="spellStart"/>
            <w:r w:rsidRPr="009A7F0F">
              <w:rPr>
                <w:bCs/>
                <w:iCs/>
              </w:rPr>
              <w:t>euro</w:t>
            </w:r>
            <w:proofErr w:type="spellEnd"/>
            <w:r w:rsidRPr="009A7F0F">
              <w:rPr>
                <w:bCs/>
                <w:iCs/>
              </w:rPr>
              <w:t>.)* Pēc Centrālās Statistikas pārvaldes datiem, 2018.gada 3.ceturksnī darba samaksa IKT nozarē salīdzinot ar 2017.gada 3.ceturksni, pieaugusi par 8,4%. Pieņemts, ka vidēji darba samaksa IKT nozarē valsts pārvaldes iestādē pieaug katru gadu vidēji par 2%. Ar jaunas funkcionalitātes ieviešanu BIS pievienosies arī jaunas lietotāju grupas, kurām būs nepieciešams informatīvais un tehniskais atbalsts. Pēc pieredzes ar "Būvniecības procesu un IS attīstība (1.kārta)" projektu jaunizstrādātas funkcionalitātes atbalstam provizoriski būs nepieciešamas divas štata vietas.).</w:t>
            </w:r>
          </w:p>
        </w:tc>
        <w:tc>
          <w:tcPr>
            <w:tcW w:w="4252" w:type="dxa"/>
            <w:tcBorders>
              <w:left w:val="single" w:sz="6" w:space="0" w:color="000000"/>
              <w:bottom w:val="single" w:sz="4" w:space="0" w:color="auto"/>
              <w:right w:val="single" w:sz="6" w:space="0" w:color="000000"/>
            </w:tcBorders>
          </w:tcPr>
          <w:p w:rsidR="001B7C0E" w:rsidRDefault="001B7C0E" w:rsidP="00122AF7">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1B7C0E">
              <w:rPr>
                <w:rFonts w:ascii="Times New Roman" w:hAnsi="Times New Roman"/>
                <w:sz w:val="24"/>
                <w:szCs w:val="24"/>
                <w:lang w:eastAsia="lv-LV"/>
              </w:rPr>
              <w:lastRenderedPageBreak/>
              <w:t>FM 24.04.2019. atzinums</w:t>
            </w:r>
          </w:p>
          <w:p w:rsidR="005C6C41" w:rsidRDefault="005C6C41" w:rsidP="00122AF7">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5C6C41">
              <w:rPr>
                <w:rFonts w:ascii="Times New Roman" w:hAnsi="Times New Roman"/>
                <w:sz w:val="24"/>
                <w:szCs w:val="24"/>
                <w:lang w:eastAsia="lv-LV"/>
              </w:rPr>
              <w:t>Lūdzam precizēt anotācijas III sadaļu “Tiesību akta projekta ietekme uz valsts budžetu un pašvaldību budžetiem”:</w:t>
            </w:r>
          </w:p>
          <w:p w:rsidR="005C6C41" w:rsidRPr="001874B3" w:rsidRDefault="005C6C41" w:rsidP="00122AF7">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Pr>
                <w:rFonts w:ascii="Times New Roman" w:hAnsi="Times New Roman"/>
                <w:sz w:val="24"/>
                <w:szCs w:val="24"/>
                <w:lang w:eastAsia="lv-LV"/>
              </w:rPr>
              <w:t>c)</w:t>
            </w:r>
            <w:r>
              <w:t xml:space="preserve"> </w:t>
            </w:r>
            <w:r w:rsidRPr="005C6C41">
              <w:rPr>
                <w:rFonts w:ascii="Times New Roman" w:hAnsi="Times New Roman"/>
                <w:sz w:val="24"/>
                <w:szCs w:val="24"/>
                <w:lang w:eastAsia="lv-LV"/>
              </w:rPr>
              <w:t>uzskatām, ka BIS attīstības 2.kārtas uzturēšanu ir jānodrošina ar BIS uzturēšanai jau 2017.gadā izveidotajām divām amata vietām, līdz ar to personāla atlīdzības izmaksas no kopējām uzturēšanas izmaksām ir svītrojamas.</w:t>
            </w:r>
          </w:p>
        </w:tc>
        <w:tc>
          <w:tcPr>
            <w:tcW w:w="3293" w:type="dxa"/>
            <w:gridSpan w:val="2"/>
            <w:tcBorders>
              <w:left w:val="single" w:sz="6" w:space="0" w:color="000000"/>
              <w:bottom w:val="single" w:sz="4" w:space="0" w:color="auto"/>
              <w:right w:val="single" w:sz="6" w:space="0" w:color="000000"/>
            </w:tcBorders>
          </w:tcPr>
          <w:p w:rsidR="005C6C41" w:rsidRDefault="005C6C41" w:rsidP="00FC7495">
            <w:pPr>
              <w:pStyle w:val="naisc"/>
              <w:spacing w:before="0" w:after="0"/>
              <w:rPr>
                <w:b/>
              </w:rPr>
            </w:pPr>
            <w:r>
              <w:rPr>
                <w:b/>
              </w:rPr>
              <w:t>Ņemts vērā</w:t>
            </w:r>
            <w:r w:rsidR="00C232B3">
              <w:rPr>
                <w:b/>
              </w:rPr>
              <w:t xml:space="preserve"> </w:t>
            </w:r>
          </w:p>
          <w:p w:rsidR="00B332FD" w:rsidRPr="00B332FD" w:rsidRDefault="00B332FD" w:rsidP="00FC7495">
            <w:pPr>
              <w:pStyle w:val="naisc"/>
              <w:spacing w:before="0" w:after="0"/>
            </w:pPr>
            <w:r>
              <w:t>Saskaņots elektroniskajā saskaņošanā</w:t>
            </w:r>
          </w:p>
          <w:p w:rsidR="005C6C41" w:rsidRDefault="005C6C41" w:rsidP="005C6C41">
            <w:pPr>
              <w:jc w:val="both"/>
              <w:rPr>
                <w:b/>
                <w:bCs/>
                <w:sz w:val="28"/>
                <w:szCs w:val="28"/>
              </w:rPr>
            </w:pPr>
            <w:r>
              <w:t xml:space="preserve">BIS ir plašas </w:t>
            </w:r>
            <w:r w:rsidRPr="00213CBE">
              <w:t>p</w:t>
            </w:r>
            <w:r w:rsidRPr="00213CBE">
              <w:rPr>
                <w:bCs/>
              </w:rPr>
              <w:t>ubliskās komunikācijas mērķauditorijas platforma</w:t>
            </w:r>
            <w:r>
              <w:rPr>
                <w:bCs/>
              </w:rPr>
              <w:t>, kuras dalībnieki ir</w:t>
            </w:r>
            <w:r w:rsidRPr="00213CBE">
              <w:rPr>
                <w:bCs/>
              </w:rPr>
              <w:t>:</w:t>
            </w:r>
            <w:r>
              <w:rPr>
                <w:b/>
                <w:bCs/>
                <w:sz w:val="28"/>
                <w:szCs w:val="28"/>
              </w:rPr>
              <w:t xml:space="preserve"> </w:t>
            </w:r>
          </w:p>
          <w:p w:rsidR="005C6C41" w:rsidRPr="001F4833" w:rsidRDefault="005C6C41" w:rsidP="005C6C41">
            <w:pPr>
              <w:numPr>
                <w:ilvl w:val="0"/>
                <w:numId w:val="14"/>
              </w:numPr>
              <w:tabs>
                <w:tab w:val="left" w:pos="315"/>
              </w:tabs>
              <w:ind w:left="32" w:firstLine="0"/>
              <w:jc w:val="both"/>
            </w:pPr>
            <w:r w:rsidRPr="001F4833">
              <w:rPr>
                <w:bCs/>
                <w:sz w:val="28"/>
                <w:szCs w:val="28"/>
              </w:rPr>
              <w:t>s</w:t>
            </w:r>
            <w:r w:rsidRPr="001F4833">
              <w:t>abiedrība kopumā/BIS publiskā portāla lietotāji (nereģistrētie lietotāji un reģistrētie lietotāji):</w:t>
            </w:r>
          </w:p>
          <w:p w:rsidR="005C6C41" w:rsidRDefault="005C6C41" w:rsidP="005C6C41">
            <w:pPr>
              <w:pStyle w:val="ListParagraph"/>
              <w:numPr>
                <w:ilvl w:val="1"/>
                <w:numId w:val="14"/>
              </w:numPr>
              <w:tabs>
                <w:tab w:val="left" w:pos="540"/>
              </w:tabs>
              <w:spacing w:after="0" w:line="240" w:lineRule="auto"/>
              <w:ind w:left="174" w:firstLine="0"/>
              <w:jc w:val="both"/>
              <w:rPr>
                <w:rFonts w:ascii="Times New Roman" w:hAnsi="Times New Roman"/>
                <w:sz w:val="24"/>
                <w:szCs w:val="24"/>
              </w:rPr>
            </w:pPr>
            <w:r>
              <w:rPr>
                <w:rFonts w:ascii="Times New Roman" w:hAnsi="Times New Roman"/>
                <w:sz w:val="24"/>
                <w:szCs w:val="24"/>
              </w:rPr>
              <w:lastRenderedPageBreak/>
              <w:t>nekustamā īpašuma īpašnieki (~ 860 tūkstoši iedzīvotāju – VZD dati);</w:t>
            </w:r>
          </w:p>
          <w:p w:rsidR="005C6C41" w:rsidRDefault="005C6C41" w:rsidP="005C6C41">
            <w:pPr>
              <w:pStyle w:val="ListParagraph"/>
              <w:numPr>
                <w:ilvl w:val="1"/>
                <w:numId w:val="14"/>
              </w:numPr>
              <w:tabs>
                <w:tab w:val="left" w:pos="540"/>
              </w:tabs>
              <w:spacing w:after="0" w:line="240" w:lineRule="auto"/>
              <w:ind w:left="174" w:firstLine="0"/>
              <w:jc w:val="both"/>
              <w:rPr>
                <w:rFonts w:ascii="Times New Roman" w:hAnsi="Times New Roman"/>
                <w:sz w:val="24"/>
                <w:szCs w:val="24"/>
              </w:rPr>
            </w:pPr>
            <w:r>
              <w:rPr>
                <w:rFonts w:ascii="Times New Roman" w:hAnsi="Times New Roman"/>
                <w:sz w:val="24"/>
                <w:szCs w:val="24"/>
              </w:rPr>
              <w:t>būvspeciālisti (29 454 kopā, tai skaitā 13 509 aktīvi - BIS reģistru dati);</w:t>
            </w:r>
          </w:p>
          <w:p w:rsidR="005C6C41" w:rsidRDefault="005C6C41" w:rsidP="005C6C41">
            <w:pPr>
              <w:pStyle w:val="ListParagraph"/>
              <w:numPr>
                <w:ilvl w:val="1"/>
                <w:numId w:val="14"/>
              </w:numPr>
              <w:tabs>
                <w:tab w:val="left" w:pos="540"/>
              </w:tabs>
              <w:spacing w:after="0" w:line="240" w:lineRule="auto"/>
              <w:ind w:left="174" w:firstLine="0"/>
              <w:jc w:val="both"/>
              <w:rPr>
                <w:rFonts w:ascii="Times New Roman" w:hAnsi="Times New Roman"/>
                <w:sz w:val="24"/>
                <w:szCs w:val="24"/>
              </w:rPr>
            </w:pPr>
            <w:r>
              <w:rPr>
                <w:rFonts w:ascii="Times New Roman" w:hAnsi="Times New Roman"/>
                <w:sz w:val="24"/>
                <w:szCs w:val="24"/>
              </w:rPr>
              <w:t>projektētāji, tai skaitā ierosinātāji;</w:t>
            </w:r>
          </w:p>
          <w:p w:rsidR="005C6C41" w:rsidRDefault="005C6C41" w:rsidP="005C6C41">
            <w:pPr>
              <w:pStyle w:val="ListParagraph"/>
              <w:numPr>
                <w:ilvl w:val="1"/>
                <w:numId w:val="14"/>
              </w:numPr>
              <w:tabs>
                <w:tab w:val="left" w:pos="540"/>
              </w:tabs>
              <w:spacing w:after="0" w:line="240" w:lineRule="auto"/>
              <w:ind w:left="174" w:firstLine="0"/>
              <w:jc w:val="both"/>
              <w:rPr>
                <w:rFonts w:ascii="Times New Roman" w:hAnsi="Times New Roman"/>
                <w:sz w:val="24"/>
                <w:szCs w:val="24"/>
              </w:rPr>
            </w:pPr>
            <w:r>
              <w:rPr>
                <w:rFonts w:ascii="Times New Roman" w:hAnsi="Times New Roman"/>
                <w:sz w:val="24"/>
                <w:szCs w:val="24"/>
              </w:rPr>
              <w:t>būvniecības procesa dalībnieki, tai skaitā būvkomersanti;</w:t>
            </w:r>
          </w:p>
          <w:p w:rsidR="005C6C41" w:rsidRDefault="005C6C41" w:rsidP="005C6C41">
            <w:pPr>
              <w:pStyle w:val="ListParagraph"/>
              <w:numPr>
                <w:ilvl w:val="1"/>
                <w:numId w:val="14"/>
              </w:numPr>
              <w:tabs>
                <w:tab w:val="left" w:pos="540"/>
              </w:tabs>
              <w:spacing w:after="0" w:line="240" w:lineRule="auto"/>
              <w:ind w:left="174" w:firstLine="0"/>
              <w:jc w:val="both"/>
              <w:rPr>
                <w:rFonts w:ascii="Times New Roman" w:hAnsi="Times New Roman"/>
                <w:sz w:val="24"/>
                <w:szCs w:val="24"/>
              </w:rPr>
            </w:pPr>
            <w:r>
              <w:rPr>
                <w:rFonts w:ascii="Times New Roman" w:hAnsi="Times New Roman"/>
                <w:sz w:val="24"/>
                <w:szCs w:val="24"/>
              </w:rPr>
              <w:t>dzīvojamo māju pārvaldnieki (746 kopā, tai skaitā 714 aktīvi - BIS reģistru dati);</w:t>
            </w:r>
          </w:p>
          <w:p w:rsidR="005C6C41" w:rsidRDefault="005C6C41" w:rsidP="005C6C41">
            <w:pPr>
              <w:pStyle w:val="ListParagraph"/>
              <w:numPr>
                <w:ilvl w:val="1"/>
                <w:numId w:val="14"/>
              </w:numPr>
              <w:tabs>
                <w:tab w:val="left" w:pos="540"/>
              </w:tabs>
              <w:spacing w:after="0" w:line="240" w:lineRule="auto"/>
              <w:ind w:left="174" w:firstLine="0"/>
              <w:jc w:val="both"/>
              <w:rPr>
                <w:rFonts w:ascii="Times New Roman" w:hAnsi="Times New Roman"/>
                <w:sz w:val="24"/>
                <w:szCs w:val="24"/>
              </w:rPr>
            </w:pPr>
            <w:r>
              <w:rPr>
                <w:rFonts w:ascii="Times New Roman" w:hAnsi="Times New Roman"/>
                <w:sz w:val="24"/>
                <w:szCs w:val="24"/>
              </w:rPr>
              <w:t>Būvkomersanti (14 850 kopā, tai skaitā 5533 aktīvi - BIS reģistru dati);</w:t>
            </w:r>
          </w:p>
          <w:p w:rsidR="005C6C41" w:rsidRDefault="005C6C41" w:rsidP="005C6C41">
            <w:pPr>
              <w:pStyle w:val="ListParagraph"/>
              <w:numPr>
                <w:ilvl w:val="1"/>
                <w:numId w:val="14"/>
              </w:numPr>
              <w:tabs>
                <w:tab w:val="left" w:pos="540"/>
              </w:tabs>
              <w:spacing w:after="0" w:line="240" w:lineRule="auto"/>
              <w:ind w:left="174" w:firstLine="0"/>
              <w:jc w:val="both"/>
              <w:rPr>
                <w:rFonts w:ascii="Times New Roman" w:hAnsi="Times New Roman"/>
                <w:sz w:val="24"/>
                <w:szCs w:val="24"/>
              </w:rPr>
            </w:pPr>
            <w:proofErr w:type="spellStart"/>
            <w:r>
              <w:rPr>
                <w:rFonts w:ascii="Times New Roman" w:hAnsi="Times New Roman"/>
                <w:sz w:val="24"/>
                <w:szCs w:val="24"/>
              </w:rPr>
              <w:t>Energoauditori</w:t>
            </w:r>
            <w:proofErr w:type="spellEnd"/>
            <w:r>
              <w:rPr>
                <w:rFonts w:ascii="Times New Roman" w:hAnsi="Times New Roman"/>
                <w:sz w:val="24"/>
                <w:szCs w:val="24"/>
              </w:rPr>
              <w:t xml:space="preserve"> (364 kopā,  tai skaitā 195 aktīvi - BIS reģistru dati).</w:t>
            </w:r>
          </w:p>
          <w:p w:rsidR="005C6C41" w:rsidRDefault="005C6C41" w:rsidP="005C6C41">
            <w:pPr>
              <w:pStyle w:val="ListParagraph"/>
              <w:numPr>
                <w:ilvl w:val="0"/>
                <w:numId w:val="14"/>
              </w:numPr>
              <w:tabs>
                <w:tab w:val="left" w:pos="315"/>
              </w:tabs>
              <w:spacing w:after="0" w:line="240" w:lineRule="auto"/>
              <w:ind w:left="32" w:firstLine="0"/>
              <w:jc w:val="both"/>
              <w:rPr>
                <w:rFonts w:ascii="Times New Roman" w:hAnsi="Times New Roman"/>
                <w:sz w:val="24"/>
                <w:szCs w:val="24"/>
              </w:rPr>
            </w:pPr>
            <w:r>
              <w:rPr>
                <w:rFonts w:ascii="Times New Roman" w:hAnsi="Times New Roman"/>
                <w:sz w:val="24"/>
                <w:szCs w:val="24"/>
              </w:rPr>
              <w:t xml:space="preserve">Būvvaldes (87 iestādes). </w:t>
            </w:r>
          </w:p>
          <w:p w:rsidR="005C6C41" w:rsidRDefault="005C6C41" w:rsidP="005C6C41">
            <w:pPr>
              <w:pStyle w:val="ListParagraph"/>
              <w:numPr>
                <w:ilvl w:val="0"/>
                <w:numId w:val="14"/>
              </w:numPr>
              <w:tabs>
                <w:tab w:val="left" w:pos="315"/>
              </w:tabs>
              <w:spacing w:after="0" w:line="240" w:lineRule="auto"/>
              <w:ind w:left="32" w:firstLine="0"/>
              <w:jc w:val="both"/>
              <w:rPr>
                <w:rFonts w:ascii="Times New Roman" w:hAnsi="Times New Roman"/>
                <w:sz w:val="24"/>
                <w:szCs w:val="24"/>
              </w:rPr>
            </w:pPr>
            <w:r>
              <w:rPr>
                <w:rFonts w:ascii="Times New Roman" w:hAnsi="Times New Roman"/>
                <w:sz w:val="24"/>
                <w:szCs w:val="24"/>
              </w:rPr>
              <w:t xml:space="preserve">Būvvaldes un iestādes, kas pilda būvvaldes funkcijas (BVKB, EM, VARAM, VDZTI, LVC). </w:t>
            </w:r>
          </w:p>
          <w:p w:rsidR="005C6C41" w:rsidRDefault="005C6C41" w:rsidP="005C6C41">
            <w:pPr>
              <w:pStyle w:val="ListParagraph"/>
              <w:numPr>
                <w:ilvl w:val="0"/>
                <w:numId w:val="14"/>
              </w:numPr>
              <w:tabs>
                <w:tab w:val="left" w:pos="315"/>
              </w:tabs>
              <w:spacing w:after="0" w:line="240" w:lineRule="auto"/>
              <w:ind w:left="32" w:firstLine="0"/>
              <w:jc w:val="both"/>
              <w:rPr>
                <w:rFonts w:ascii="Times New Roman" w:hAnsi="Times New Roman"/>
                <w:sz w:val="24"/>
                <w:szCs w:val="24"/>
              </w:rPr>
            </w:pPr>
            <w:r>
              <w:rPr>
                <w:rFonts w:ascii="Times New Roman" w:hAnsi="Times New Roman"/>
                <w:sz w:val="24"/>
                <w:szCs w:val="24"/>
              </w:rPr>
              <w:t xml:space="preserve">Tehnisko noteikumu izdevēji (~ 1500 iestādes – BVKB dati). </w:t>
            </w:r>
          </w:p>
          <w:p w:rsidR="005C6C41" w:rsidRDefault="005C6C41" w:rsidP="005C6C41">
            <w:pPr>
              <w:pStyle w:val="ListParagraph"/>
              <w:numPr>
                <w:ilvl w:val="0"/>
                <w:numId w:val="14"/>
              </w:numPr>
              <w:tabs>
                <w:tab w:val="left" w:pos="315"/>
              </w:tabs>
              <w:spacing w:after="0" w:line="240" w:lineRule="auto"/>
              <w:ind w:left="32" w:firstLine="0"/>
              <w:jc w:val="both"/>
              <w:rPr>
                <w:rFonts w:ascii="Times New Roman" w:hAnsi="Times New Roman"/>
                <w:sz w:val="24"/>
                <w:szCs w:val="24"/>
              </w:rPr>
            </w:pPr>
            <w:r>
              <w:rPr>
                <w:rFonts w:ascii="Times New Roman" w:hAnsi="Times New Roman"/>
                <w:sz w:val="24"/>
                <w:szCs w:val="24"/>
              </w:rPr>
              <w:t xml:space="preserve">Nevalstiskās organizācijas, būvniecības nozares profesionāļu asociācijas, padomes: </w:t>
            </w:r>
            <w:r>
              <w:rPr>
                <w:rFonts w:ascii="Times New Roman" w:hAnsi="Times New Roman"/>
                <w:sz w:val="24"/>
                <w:szCs w:val="24"/>
              </w:rPr>
              <w:lastRenderedPageBreak/>
              <w:t xml:space="preserve">Inženierkomunikāciju turētāju sadarbības padome, Latvijas Būvniecības padome, LIKTA, Latvijas Pašvaldību savienība, VAS “Latvijas ceļi”, VAS “Valsts Nekustamie Īpašumi”, Latvijas Lielo pilsētu asociācija, Latvijas Namu pārvaldītāju un apsaimniekotāju asociācija). </w:t>
            </w:r>
          </w:p>
          <w:p w:rsidR="005C6C41" w:rsidRDefault="005C6C41" w:rsidP="005C6C41">
            <w:pPr>
              <w:pStyle w:val="ListParagraph"/>
              <w:numPr>
                <w:ilvl w:val="0"/>
                <w:numId w:val="14"/>
              </w:numPr>
              <w:tabs>
                <w:tab w:val="left" w:pos="315"/>
              </w:tabs>
              <w:spacing w:after="0" w:line="240" w:lineRule="auto"/>
              <w:ind w:left="32" w:firstLine="0"/>
              <w:jc w:val="both"/>
              <w:rPr>
                <w:rFonts w:ascii="Times New Roman" w:hAnsi="Times New Roman"/>
                <w:sz w:val="24"/>
                <w:szCs w:val="24"/>
              </w:rPr>
            </w:pPr>
            <w:r>
              <w:rPr>
                <w:rFonts w:ascii="Times New Roman" w:hAnsi="Times New Roman"/>
                <w:sz w:val="24"/>
                <w:szCs w:val="24"/>
              </w:rPr>
              <w:t xml:space="preserve">Būvniecības procesa uzraugošās un kontrolējošās iestādes (EM, VID, VUGD, VDI, PTAC, NKMP, DVI). </w:t>
            </w:r>
          </w:p>
          <w:p w:rsidR="005C6C41" w:rsidRDefault="005C6C41" w:rsidP="005C6C41">
            <w:pPr>
              <w:pStyle w:val="ListParagraph"/>
              <w:numPr>
                <w:ilvl w:val="0"/>
                <w:numId w:val="14"/>
              </w:numPr>
              <w:tabs>
                <w:tab w:val="left" w:pos="315"/>
              </w:tabs>
              <w:spacing w:after="0" w:line="240" w:lineRule="auto"/>
              <w:ind w:left="32" w:firstLine="0"/>
              <w:jc w:val="both"/>
              <w:rPr>
                <w:rFonts w:ascii="Times New Roman" w:hAnsi="Times New Roman"/>
                <w:sz w:val="24"/>
                <w:szCs w:val="24"/>
              </w:rPr>
            </w:pPr>
            <w:r>
              <w:rPr>
                <w:rFonts w:ascii="Times New Roman" w:hAnsi="Times New Roman"/>
                <w:sz w:val="24"/>
                <w:szCs w:val="24"/>
              </w:rPr>
              <w:t xml:space="preserve">IS saskarņu sadarbības partneri (UR, TA (VVDZ), </w:t>
            </w:r>
            <w:proofErr w:type="spellStart"/>
            <w:r>
              <w:rPr>
                <w:rFonts w:ascii="Times New Roman" w:hAnsi="Times New Roman"/>
                <w:sz w:val="24"/>
                <w:szCs w:val="24"/>
              </w:rPr>
              <w:t>IeMIC</w:t>
            </w:r>
            <w:proofErr w:type="spellEnd"/>
            <w:r>
              <w:rPr>
                <w:rFonts w:ascii="Times New Roman" w:hAnsi="Times New Roman"/>
                <w:sz w:val="24"/>
                <w:szCs w:val="24"/>
              </w:rPr>
              <w:t xml:space="preserve"> (SD), VID, PMLP, ZMNĪ, LĢIA, VRAA (TAPIS, EIS, Maksājumu modulis, latvija.lv), VZD (NĪVKIS, Adrešu reģistrs, ATIS, digitālo lietu krātuve), LVRTC, IZM.</w:t>
            </w:r>
          </w:p>
          <w:p w:rsidR="005C6C41" w:rsidRDefault="005C6C41" w:rsidP="005C6C41">
            <w:pPr>
              <w:pStyle w:val="ListParagraph"/>
              <w:numPr>
                <w:ilvl w:val="0"/>
                <w:numId w:val="14"/>
              </w:numPr>
              <w:tabs>
                <w:tab w:val="left" w:pos="315"/>
              </w:tabs>
              <w:spacing w:after="0" w:line="240" w:lineRule="auto"/>
              <w:ind w:left="32" w:firstLine="0"/>
              <w:jc w:val="both"/>
              <w:rPr>
                <w:rFonts w:ascii="Times New Roman" w:hAnsi="Times New Roman"/>
                <w:sz w:val="24"/>
                <w:szCs w:val="24"/>
              </w:rPr>
            </w:pPr>
            <w:r>
              <w:rPr>
                <w:rFonts w:ascii="Times New Roman" w:hAnsi="Times New Roman"/>
                <w:sz w:val="24"/>
                <w:szCs w:val="24"/>
              </w:rPr>
              <w:t xml:space="preserve">Sertificēšanas iestādes (9 iestādes). </w:t>
            </w:r>
          </w:p>
          <w:p w:rsidR="00222D62" w:rsidRDefault="00222D62" w:rsidP="00222D62">
            <w:pPr>
              <w:pStyle w:val="ListParagraph"/>
              <w:tabs>
                <w:tab w:val="left" w:pos="315"/>
              </w:tabs>
              <w:spacing w:after="0" w:line="240" w:lineRule="auto"/>
              <w:ind w:left="34"/>
              <w:jc w:val="both"/>
              <w:rPr>
                <w:rFonts w:ascii="Times New Roman" w:hAnsi="Times New Roman"/>
                <w:sz w:val="24"/>
                <w:szCs w:val="24"/>
              </w:rPr>
            </w:pPr>
          </w:p>
          <w:p w:rsidR="00222D62" w:rsidRDefault="005C6C41" w:rsidP="005C6C41">
            <w:pPr>
              <w:pStyle w:val="ListParagraph"/>
              <w:tabs>
                <w:tab w:val="left" w:pos="315"/>
              </w:tabs>
              <w:spacing w:after="0" w:line="240" w:lineRule="auto"/>
              <w:ind w:left="32"/>
              <w:jc w:val="both"/>
              <w:rPr>
                <w:rFonts w:ascii="Times New Roman" w:hAnsi="Times New Roman"/>
                <w:sz w:val="24"/>
                <w:szCs w:val="24"/>
              </w:rPr>
            </w:pPr>
            <w:r>
              <w:rPr>
                <w:rFonts w:ascii="Times New Roman" w:hAnsi="Times New Roman"/>
                <w:sz w:val="24"/>
                <w:szCs w:val="24"/>
              </w:rPr>
              <w:t xml:space="preserve">No 2020.gada BIS lietotāju skaits </w:t>
            </w:r>
            <w:r w:rsidR="00222D62">
              <w:rPr>
                <w:rFonts w:ascii="Times New Roman" w:hAnsi="Times New Roman"/>
                <w:sz w:val="24"/>
                <w:szCs w:val="24"/>
              </w:rPr>
              <w:t xml:space="preserve">būtiski </w:t>
            </w:r>
            <w:r>
              <w:rPr>
                <w:rFonts w:ascii="Times New Roman" w:hAnsi="Times New Roman"/>
                <w:sz w:val="24"/>
                <w:szCs w:val="24"/>
              </w:rPr>
              <w:t>pieaugs, ņemot vērā, ka būvniecības administratīvais process pilnā apjomā tiks īstenots elektroniski BIS</w:t>
            </w:r>
            <w:r w:rsidR="00222D62">
              <w:rPr>
                <w:rFonts w:ascii="Times New Roman" w:hAnsi="Times New Roman"/>
                <w:sz w:val="24"/>
                <w:szCs w:val="24"/>
              </w:rPr>
              <w:t xml:space="preserve"> saskaņā ar pieņemtajiem grozījumiem Būvniecības likumā</w:t>
            </w:r>
            <w:r w:rsidR="00E358A2">
              <w:rPr>
                <w:rFonts w:ascii="Times New Roman" w:hAnsi="Times New Roman"/>
                <w:sz w:val="24"/>
                <w:szCs w:val="24"/>
              </w:rPr>
              <w:t xml:space="preserve">, tādējādi </w:t>
            </w:r>
            <w:r w:rsidR="00E358A2">
              <w:rPr>
                <w:rFonts w:ascii="Times New Roman" w:hAnsi="Times New Roman"/>
                <w:sz w:val="24"/>
                <w:szCs w:val="24"/>
              </w:rPr>
              <w:lastRenderedPageBreak/>
              <w:t>arī sniedzamais atbalsta apjoms BIS lietotājiem pieaugs.</w:t>
            </w:r>
            <w:r>
              <w:rPr>
                <w:rFonts w:ascii="Times New Roman" w:hAnsi="Times New Roman"/>
                <w:sz w:val="24"/>
                <w:szCs w:val="24"/>
              </w:rPr>
              <w:t xml:space="preserve"> </w:t>
            </w:r>
          </w:p>
          <w:p w:rsidR="005C6C41" w:rsidRPr="00717216" w:rsidRDefault="00222D62" w:rsidP="005C6C41">
            <w:pPr>
              <w:pStyle w:val="ListParagraph"/>
              <w:tabs>
                <w:tab w:val="left" w:pos="315"/>
              </w:tabs>
              <w:spacing w:after="0" w:line="240" w:lineRule="auto"/>
              <w:ind w:left="32"/>
              <w:jc w:val="both"/>
              <w:rPr>
                <w:rFonts w:ascii="Times New Roman" w:hAnsi="Times New Roman"/>
                <w:sz w:val="24"/>
                <w:szCs w:val="24"/>
              </w:rPr>
            </w:pPr>
            <w:r>
              <w:rPr>
                <w:rFonts w:ascii="Times New Roman" w:hAnsi="Times New Roman"/>
                <w:sz w:val="24"/>
                <w:szCs w:val="24"/>
              </w:rPr>
              <w:t>P</w:t>
            </w:r>
            <w:r w:rsidR="005C6C41">
              <w:rPr>
                <w:rFonts w:ascii="Times New Roman" w:hAnsi="Times New Roman"/>
                <w:sz w:val="24"/>
                <w:szCs w:val="24"/>
              </w:rPr>
              <w:t xml:space="preserve">ēc </w:t>
            </w:r>
            <w:r w:rsidR="009A7F0F">
              <w:rPr>
                <w:rFonts w:ascii="Times New Roman" w:hAnsi="Times New Roman"/>
                <w:sz w:val="24"/>
                <w:szCs w:val="24"/>
              </w:rPr>
              <w:t xml:space="preserve">Būvniecības procesu un IS attīstība (2.kārta) </w:t>
            </w:r>
            <w:r w:rsidR="005C6C41">
              <w:rPr>
                <w:rFonts w:ascii="Times New Roman" w:hAnsi="Times New Roman"/>
                <w:sz w:val="24"/>
                <w:szCs w:val="24"/>
              </w:rPr>
              <w:t xml:space="preserve">projekta beigām, ņemot vērā projekta ietvaros </w:t>
            </w:r>
            <w:r w:rsidR="009A7F0F">
              <w:rPr>
                <w:rFonts w:ascii="Times New Roman" w:hAnsi="Times New Roman"/>
                <w:sz w:val="24"/>
                <w:szCs w:val="24"/>
              </w:rPr>
              <w:t xml:space="preserve">izveidotās </w:t>
            </w:r>
            <w:r w:rsidR="005C6C41">
              <w:rPr>
                <w:rFonts w:ascii="Times New Roman" w:hAnsi="Times New Roman"/>
                <w:sz w:val="24"/>
                <w:szCs w:val="24"/>
              </w:rPr>
              <w:t>jaun</w:t>
            </w:r>
            <w:r w:rsidR="009A7F0F">
              <w:rPr>
                <w:rFonts w:ascii="Times New Roman" w:hAnsi="Times New Roman"/>
                <w:sz w:val="24"/>
                <w:szCs w:val="24"/>
              </w:rPr>
              <w:t>ā</w:t>
            </w:r>
            <w:r w:rsidR="005C6C41">
              <w:rPr>
                <w:rFonts w:ascii="Times New Roman" w:hAnsi="Times New Roman"/>
                <w:sz w:val="24"/>
                <w:szCs w:val="24"/>
              </w:rPr>
              <w:t xml:space="preserve">s funkcionalitātes (piemēram, daudzdzīvokļu māju iedzīvotājiem un pārvaldniekiem ēkas pārvaldīšanas instrumentu izveidi, lēmumu pieņemšanas balsošanas rīka izveide u.c.), ir sagaidāms lietotāju </w:t>
            </w:r>
            <w:r w:rsidR="009A7F0F">
              <w:rPr>
                <w:rFonts w:ascii="Times New Roman" w:hAnsi="Times New Roman"/>
                <w:sz w:val="24"/>
                <w:szCs w:val="24"/>
              </w:rPr>
              <w:t xml:space="preserve">skaita </w:t>
            </w:r>
            <w:r w:rsidR="005C6C41">
              <w:rPr>
                <w:rFonts w:ascii="Times New Roman" w:hAnsi="Times New Roman"/>
                <w:sz w:val="24"/>
                <w:szCs w:val="24"/>
              </w:rPr>
              <w:t>pieaugums vēl par ~100 tūkst. lietotāju)</w:t>
            </w:r>
            <w:r w:rsidR="009A7F0F">
              <w:rPr>
                <w:rFonts w:ascii="Times New Roman" w:hAnsi="Times New Roman"/>
                <w:sz w:val="24"/>
                <w:szCs w:val="24"/>
              </w:rPr>
              <w:t>.</w:t>
            </w:r>
            <w:r w:rsidR="00717216">
              <w:t xml:space="preserve"> </w:t>
            </w:r>
            <w:r w:rsidR="00717216" w:rsidRPr="00717216">
              <w:rPr>
                <w:rFonts w:ascii="Times New Roman" w:hAnsi="Times New Roman"/>
                <w:sz w:val="24"/>
                <w:szCs w:val="24"/>
              </w:rPr>
              <w:t>BIS lietotāji potenciāli ir visi Latvijas iedzīvotāji, kā arī uzņēmēji un investori no ārzemēm.</w:t>
            </w:r>
          </w:p>
          <w:p w:rsidR="00717216" w:rsidRDefault="00717216" w:rsidP="00717216">
            <w:pPr>
              <w:pStyle w:val="naisc"/>
              <w:spacing w:before="0" w:after="0"/>
              <w:ind w:firstLine="38"/>
              <w:jc w:val="both"/>
            </w:pPr>
          </w:p>
          <w:p w:rsidR="005C6C41" w:rsidRDefault="005C6C41" w:rsidP="00717216">
            <w:pPr>
              <w:pStyle w:val="naisc"/>
              <w:spacing w:before="0" w:after="0"/>
              <w:ind w:firstLine="38"/>
              <w:jc w:val="both"/>
            </w:pPr>
            <w:r>
              <w:t>B</w:t>
            </w:r>
            <w:r w:rsidR="00717216">
              <w:t>ūvniecības procesu un IS attīstības</w:t>
            </w:r>
            <w:r>
              <w:t xml:space="preserve"> </w:t>
            </w:r>
            <w:r w:rsidR="00717216">
              <w:t>(</w:t>
            </w:r>
            <w:r>
              <w:t>2. kārtas</w:t>
            </w:r>
            <w:r w:rsidR="00717216">
              <w:t>)</w:t>
            </w:r>
            <w:r>
              <w:t xml:space="preserve"> ietvaros tiks izstrādāti papildinājumi esošajos </w:t>
            </w:r>
            <w:r w:rsidR="00717216">
              <w:t>m</w:t>
            </w:r>
            <w:r>
              <w:t xml:space="preserve">oduļos un jauni moduļi, kas ievērojami paplašinās informācijas sistēmas lietotāju loku, kā arī nodrošinās pilnīgi jaunu </w:t>
            </w:r>
            <w:proofErr w:type="spellStart"/>
            <w:r>
              <w:t>saskarnes</w:t>
            </w:r>
            <w:proofErr w:type="spellEnd"/>
            <w:r>
              <w:t xml:space="preserve"> veidu ar sistēmu - mobilo aplikāciju. Mobilās aplikācijas nodrošinājums informācijas sistēmai saistās ar pilnīgi jaunu </w:t>
            </w:r>
            <w:r>
              <w:lastRenderedPageBreak/>
              <w:t>lietotāju atbalsta jomu, kas ievērojami paplašinās esošos atbalsta apmērus, kuri šobrīd sniedz palīdzību lietotājiem darbā ar sistēmu no datora, izmantojot interneta pārlūkprogrammas - atšķirība no mobilajām aplikācijām, kurām nepieciešama lokāla instalācija uz mobilās ierīces vai arī specializēta mobilo ierīču “</w:t>
            </w:r>
            <w:proofErr w:type="spellStart"/>
            <w:r>
              <w:t>web</w:t>
            </w:r>
            <w:proofErr w:type="spellEnd"/>
            <w:r>
              <w:t xml:space="preserve">” risinājuma izmantošana. </w:t>
            </w:r>
            <w:r w:rsidR="00222D62">
              <w:t xml:space="preserve">Tāpat </w:t>
            </w:r>
            <w:r>
              <w:t>BIS tiks papildināta ar būves ekspluatācijas lietu  uzturēšanu, kas piesaistīs pilnīgi jaunu un krietni plašāku lietotāju loku - iedzīvotāju daļu, kuri nav saistīti ar būvniecības atļaujas izsniegšanas procesiem vai pašu būvniecību, bet gan ar būvju ekspluatāciju</w:t>
            </w:r>
            <w:r w:rsidR="00222D62">
              <w:t>, pi</w:t>
            </w:r>
            <w:r>
              <w:t>emēram, daudzdzīvokļu māju pārvaldīšana</w:t>
            </w:r>
            <w:r w:rsidR="00222D62">
              <w:t>s</w:t>
            </w:r>
            <w:r>
              <w:t xml:space="preserve"> rīki piesaistīs visu daudzdzīvokļu māju dzīvokļu īpašniekus, īrniekus, pārvaldniekus, uzturētājus un citus iesaistītos. BIS tiks papildināta, lai nodrošinātu arī būvniecības industrijā arvien plašāko pielietoto BIM (būves informācijas modelēšanas) pieeju, kuras izmantošana </w:t>
            </w:r>
            <w:r>
              <w:lastRenderedPageBreak/>
              <w:t>paplašina BIS atbalsta speciālistiem nepieciešamo zināšanu un darbu apjomu. Arī papildinot un sistēmā ietverot būvgružu uzskaites un izsekošanas risinājumu, tiek radīta jauna sistēmas darbības sfēra, kas veicinās visaptverošu un centralizētu ar būvniecību saistīto procesu pārvaldību - tas vienlaikus</w:t>
            </w:r>
            <w:r w:rsidR="00222D62">
              <w:t xml:space="preserve"> </w:t>
            </w:r>
            <w:r>
              <w:t>arī</w:t>
            </w:r>
            <w:r w:rsidR="00222D62">
              <w:t xml:space="preserve"> </w:t>
            </w:r>
            <w:r>
              <w:t>paplašina informācijas sistēmas darb</w:t>
            </w:r>
            <w:r w:rsidR="00222D62">
              <w:t>ības nodrošināšanai un lietotāju atbalstam</w:t>
            </w:r>
            <w:r>
              <w:t xml:space="preserve"> nepieciešamo darbu apjomu.</w:t>
            </w:r>
          </w:p>
          <w:p w:rsidR="005C6C41" w:rsidRPr="00FC7495" w:rsidRDefault="005C6C41" w:rsidP="00E358A2">
            <w:pPr>
              <w:jc w:val="both"/>
              <w:rPr>
                <w:b/>
              </w:rPr>
            </w:pPr>
            <w:r>
              <w:br/>
            </w:r>
            <w:r w:rsidR="00717216">
              <w:t>Papildus 2 štata vietas</w:t>
            </w:r>
            <w:r w:rsidR="00B14B17">
              <w:t>,</w:t>
            </w:r>
            <w:r w:rsidR="00717216">
              <w:t xml:space="preserve"> ar atbilstošu finansējumu</w:t>
            </w:r>
            <w:r w:rsidR="00B14B17">
              <w:t>,</w:t>
            </w:r>
            <w:r w:rsidR="00717216">
              <w:t xml:space="preserve"> </w:t>
            </w:r>
            <w:r w:rsidR="00C232B3">
              <w:t>būs</w:t>
            </w:r>
            <w:r w:rsidR="00717216">
              <w:t xml:space="preserve"> nepieciešam</w:t>
            </w:r>
            <w:r w:rsidR="00C232B3">
              <w:t>a</w:t>
            </w:r>
            <w:r w:rsidR="00717216">
              <w:t>s, lai nodrošinātu izstrādāto risinājumu ilgtspējību un kvalitatīvu darbību produktīvajā vidē</w:t>
            </w:r>
            <w:r w:rsidR="00B14B17">
              <w:t xml:space="preserve"> un nodrošinātu atbalsta sniegšanu BIS lietotājiem.</w:t>
            </w:r>
            <w:r w:rsidR="00717216">
              <w:t> </w:t>
            </w:r>
            <w:r w:rsidR="00C232B3">
              <w:t xml:space="preserve">Jautājums par precīzu nepieciešamā finansējuma apmēru tiks izvērtēts pēc projekta pabeigšanas un finansējums tiks pieprasīts normatīvajos aktos noteiktajā kārtībā. </w:t>
            </w:r>
          </w:p>
        </w:tc>
        <w:tc>
          <w:tcPr>
            <w:tcW w:w="3261" w:type="dxa"/>
            <w:tcBorders>
              <w:top w:val="single" w:sz="4" w:space="0" w:color="auto"/>
              <w:left w:val="single" w:sz="4" w:space="0" w:color="auto"/>
              <w:bottom w:val="single" w:sz="4" w:space="0" w:color="auto"/>
            </w:tcBorders>
          </w:tcPr>
          <w:p w:rsidR="00E358A2" w:rsidRPr="00E358A2" w:rsidRDefault="00E358A2" w:rsidP="00E358A2">
            <w:pPr>
              <w:jc w:val="center"/>
              <w:rPr>
                <w:b/>
                <w:bCs/>
                <w:iCs/>
              </w:rPr>
            </w:pPr>
            <w:r>
              <w:rPr>
                <w:b/>
                <w:bCs/>
                <w:iCs/>
              </w:rPr>
              <w:lastRenderedPageBreak/>
              <w:t>Precizēta anotācija</w:t>
            </w:r>
            <w:r w:rsidR="00905EA0">
              <w:rPr>
                <w:b/>
                <w:bCs/>
                <w:iCs/>
              </w:rPr>
              <w:t xml:space="preserve">, pievienots Ministru kabineta sēdes </w:t>
            </w:r>
            <w:proofErr w:type="spellStart"/>
            <w:r w:rsidR="00905EA0">
              <w:rPr>
                <w:b/>
                <w:bCs/>
                <w:iCs/>
              </w:rPr>
              <w:t>protokollēmuma</w:t>
            </w:r>
            <w:proofErr w:type="spellEnd"/>
            <w:r w:rsidR="00905EA0">
              <w:rPr>
                <w:b/>
                <w:bCs/>
                <w:iCs/>
              </w:rPr>
              <w:t xml:space="preserve"> projekts </w:t>
            </w:r>
          </w:p>
          <w:p w:rsidR="005C6C41" w:rsidRDefault="005C6C41" w:rsidP="00122AF7">
            <w:pPr>
              <w:jc w:val="both"/>
              <w:rPr>
                <w:bCs/>
                <w:iCs/>
              </w:rPr>
            </w:pPr>
            <w:r w:rsidRPr="005C6C41">
              <w:rPr>
                <w:bCs/>
                <w:iCs/>
              </w:rPr>
              <w:t xml:space="preserve">Papildināta </w:t>
            </w:r>
            <w:r>
              <w:rPr>
                <w:bCs/>
                <w:iCs/>
              </w:rPr>
              <w:t>anotācijas III sadaļa “Tiesību akta projekta ietekme uz valsts budžetu un pašvaldību budžetiem”. “</w:t>
            </w:r>
            <w:r w:rsidR="003C4D02" w:rsidRPr="003C4D02">
              <w:rPr>
                <w:bCs/>
                <w:iCs/>
              </w:rPr>
              <w:t xml:space="preserve">Nepieciešamās štata vietas </w:t>
            </w:r>
            <w:r w:rsidR="001143E8">
              <w:rPr>
                <w:bCs/>
                <w:iCs/>
              </w:rPr>
              <w:t xml:space="preserve">paredzēts </w:t>
            </w:r>
            <w:r w:rsidR="003C4D02" w:rsidRPr="003C4D02">
              <w:rPr>
                <w:bCs/>
                <w:iCs/>
              </w:rPr>
              <w:t>pārdalīt no Centrālās statistikas pārvaldes</w:t>
            </w:r>
            <w:r>
              <w:rPr>
                <w:bCs/>
                <w:iCs/>
              </w:rPr>
              <w:t>.”</w:t>
            </w:r>
          </w:p>
          <w:p w:rsidR="005C6C41" w:rsidRDefault="005C6C41" w:rsidP="00122AF7">
            <w:pPr>
              <w:jc w:val="both"/>
              <w:rPr>
                <w:bCs/>
                <w:iCs/>
              </w:rPr>
            </w:pPr>
          </w:p>
          <w:p w:rsidR="003C4D02" w:rsidRDefault="003C4D02" w:rsidP="00122AF7">
            <w:pPr>
              <w:jc w:val="both"/>
              <w:rPr>
                <w:bCs/>
                <w:iCs/>
              </w:rPr>
            </w:pPr>
            <w:r>
              <w:rPr>
                <w:bCs/>
                <w:iCs/>
              </w:rPr>
              <w:lastRenderedPageBreak/>
              <w:t xml:space="preserve">Pievienots Ministru kabineta sēdes </w:t>
            </w:r>
            <w:proofErr w:type="spellStart"/>
            <w:r>
              <w:rPr>
                <w:bCs/>
                <w:iCs/>
              </w:rPr>
              <w:t>protokollēmuma</w:t>
            </w:r>
            <w:proofErr w:type="spellEnd"/>
            <w:r>
              <w:rPr>
                <w:bCs/>
                <w:iCs/>
              </w:rPr>
              <w:t xml:space="preserve"> projekts, kurā iekļauts 4.punkts: </w:t>
            </w:r>
          </w:p>
          <w:p w:rsidR="005C6C41" w:rsidRPr="005C6C41" w:rsidRDefault="003C4D02" w:rsidP="00122AF7">
            <w:pPr>
              <w:jc w:val="both"/>
              <w:rPr>
                <w:bCs/>
                <w:iCs/>
              </w:rPr>
            </w:pPr>
            <w:r>
              <w:rPr>
                <w:bCs/>
                <w:iCs/>
              </w:rPr>
              <w:t>“</w:t>
            </w:r>
            <w:r w:rsidRPr="003C4D02">
              <w:rPr>
                <w:bCs/>
                <w:iCs/>
              </w:rPr>
              <w:t>4. Jautājumu par nepieciešamo valsts budžeta finansējumu pēc Būvniecības procesu un IS attīstības (2.kārta) projekta pabeigšanas projekta rezultātu uzturēšanai</w:t>
            </w:r>
            <w:r w:rsidR="00C232B3">
              <w:rPr>
                <w:bCs/>
                <w:iCs/>
              </w:rPr>
              <w:t xml:space="preserve"> ne vairāk kā </w:t>
            </w:r>
            <w:r w:rsidRPr="003C4D02">
              <w:rPr>
                <w:bCs/>
                <w:iCs/>
              </w:rPr>
              <w:t xml:space="preserve">100 223 </w:t>
            </w:r>
            <w:proofErr w:type="spellStart"/>
            <w:r w:rsidRPr="003C4D02">
              <w:rPr>
                <w:bCs/>
                <w:iCs/>
              </w:rPr>
              <w:t>euro</w:t>
            </w:r>
            <w:proofErr w:type="spellEnd"/>
            <w:r w:rsidRPr="003C4D02">
              <w:rPr>
                <w:bCs/>
                <w:iCs/>
              </w:rPr>
              <w:t xml:space="preserve"> apmērā </w:t>
            </w:r>
            <w:r w:rsidR="00FF332F">
              <w:rPr>
                <w:bCs/>
                <w:iCs/>
              </w:rPr>
              <w:t>pieprasīt</w:t>
            </w:r>
            <w:r w:rsidRPr="003C4D02">
              <w:rPr>
                <w:bCs/>
                <w:iCs/>
              </w:rPr>
              <w:t xml:space="preserve"> normatīvajos aktos noteiktajā kārtībā</w:t>
            </w:r>
            <w:r w:rsidR="00C232B3">
              <w:rPr>
                <w:bCs/>
                <w:iCs/>
              </w:rPr>
              <w:t>.</w:t>
            </w:r>
            <w:r>
              <w:rPr>
                <w:bCs/>
                <w:iCs/>
              </w:rPr>
              <w:t>”</w:t>
            </w:r>
          </w:p>
        </w:tc>
      </w:tr>
      <w:tr w:rsidR="00B332FD" w:rsidRPr="00712B66" w:rsidTr="00AC14D0">
        <w:tc>
          <w:tcPr>
            <w:tcW w:w="675" w:type="dxa"/>
            <w:tcBorders>
              <w:left w:val="single" w:sz="6" w:space="0" w:color="000000"/>
              <w:bottom w:val="single" w:sz="4" w:space="0" w:color="auto"/>
              <w:right w:val="single" w:sz="6" w:space="0" w:color="000000"/>
            </w:tcBorders>
          </w:tcPr>
          <w:p w:rsidR="00B332FD" w:rsidRDefault="00B332FD" w:rsidP="00025FE0">
            <w:pPr>
              <w:pStyle w:val="naisc"/>
              <w:spacing w:before="0" w:after="0"/>
              <w:ind w:firstLine="720"/>
            </w:pPr>
            <w:r>
              <w:lastRenderedPageBreak/>
              <w:t>99.</w:t>
            </w:r>
          </w:p>
        </w:tc>
        <w:tc>
          <w:tcPr>
            <w:tcW w:w="3261" w:type="dxa"/>
            <w:gridSpan w:val="2"/>
            <w:tcBorders>
              <w:left w:val="single" w:sz="6" w:space="0" w:color="000000"/>
              <w:bottom w:val="single" w:sz="4" w:space="0" w:color="auto"/>
              <w:right w:val="single" w:sz="6" w:space="0" w:color="000000"/>
            </w:tcBorders>
          </w:tcPr>
          <w:p w:rsidR="00B332FD" w:rsidRPr="00E358A2" w:rsidRDefault="00B332FD" w:rsidP="00E358A2">
            <w:pPr>
              <w:jc w:val="center"/>
              <w:rPr>
                <w:b/>
                <w:bCs/>
                <w:iCs/>
              </w:rPr>
            </w:pPr>
            <w:r>
              <w:rPr>
                <w:b/>
                <w:bCs/>
                <w:iCs/>
              </w:rPr>
              <w:t xml:space="preserve">MK rīkojuma projekts un MK </w:t>
            </w:r>
            <w:proofErr w:type="spellStart"/>
            <w:r>
              <w:rPr>
                <w:b/>
                <w:bCs/>
                <w:iCs/>
              </w:rPr>
              <w:t>protokollēmuma</w:t>
            </w:r>
            <w:proofErr w:type="spellEnd"/>
            <w:r>
              <w:rPr>
                <w:b/>
                <w:bCs/>
                <w:iCs/>
              </w:rPr>
              <w:t xml:space="preserve"> projekts</w:t>
            </w:r>
          </w:p>
        </w:tc>
        <w:tc>
          <w:tcPr>
            <w:tcW w:w="4252" w:type="dxa"/>
            <w:tcBorders>
              <w:left w:val="single" w:sz="6" w:space="0" w:color="000000"/>
              <w:bottom w:val="single" w:sz="4" w:space="0" w:color="auto"/>
              <w:right w:val="single" w:sz="6" w:space="0" w:color="000000"/>
            </w:tcBorders>
          </w:tcPr>
          <w:p w:rsidR="00B332FD" w:rsidRPr="001B7C0E" w:rsidRDefault="00B332FD" w:rsidP="000C1D0A">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1B7C0E">
              <w:rPr>
                <w:rFonts w:ascii="Times New Roman" w:hAnsi="Times New Roman"/>
                <w:sz w:val="24"/>
                <w:szCs w:val="24"/>
                <w:lang w:eastAsia="lv-LV"/>
              </w:rPr>
              <w:t>FM 06.06.2019. atzinums</w:t>
            </w:r>
          </w:p>
          <w:p w:rsidR="00B332FD" w:rsidRPr="00B332FD" w:rsidRDefault="00B332FD" w:rsidP="000C1D0A">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B332FD">
              <w:rPr>
                <w:rFonts w:ascii="Times New Roman" w:hAnsi="Times New Roman"/>
                <w:sz w:val="24"/>
                <w:szCs w:val="24"/>
                <w:lang w:eastAsia="lv-LV"/>
              </w:rPr>
              <w:t>1.</w:t>
            </w:r>
            <w:r w:rsidRPr="00B332FD">
              <w:rPr>
                <w:rFonts w:ascii="Times New Roman" w:hAnsi="Times New Roman"/>
                <w:sz w:val="24"/>
                <w:szCs w:val="24"/>
                <w:lang w:eastAsia="lv-LV"/>
              </w:rPr>
              <w:tab/>
              <w:t xml:space="preserve">Lūdzam izteikt rīkojuma projekta 5.punktu šādā redakcijā: </w:t>
            </w:r>
          </w:p>
          <w:p w:rsidR="00B332FD" w:rsidRPr="005C6C41" w:rsidRDefault="00B332FD" w:rsidP="000C1D0A">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B332FD">
              <w:rPr>
                <w:rFonts w:ascii="Times New Roman" w:hAnsi="Times New Roman"/>
                <w:sz w:val="24"/>
                <w:szCs w:val="24"/>
                <w:lang w:eastAsia="lv-LV"/>
              </w:rPr>
              <w:lastRenderedPageBreak/>
              <w:t xml:space="preserve">“Pēc projekta pabeigšanas noteikt projekta uzturēšanas izmaksas ne vairāk kā 100 223 </w:t>
            </w:r>
            <w:proofErr w:type="spellStart"/>
            <w:r w:rsidRPr="00B332FD">
              <w:rPr>
                <w:rFonts w:ascii="Times New Roman" w:hAnsi="Times New Roman"/>
                <w:sz w:val="24"/>
                <w:szCs w:val="24"/>
                <w:lang w:eastAsia="lv-LV"/>
              </w:rPr>
              <w:t>euro</w:t>
            </w:r>
            <w:proofErr w:type="spellEnd"/>
            <w:r w:rsidRPr="00B332FD">
              <w:rPr>
                <w:rFonts w:ascii="Times New Roman" w:hAnsi="Times New Roman"/>
                <w:sz w:val="24"/>
                <w:szCs w:val="24"/>
                <w:lang w:eastAsia="lv-LV"/>
              </w:rPr>
              <w:t xml:space="preserve"> gadā, pieprasot papildu finansējumu normatīvajos aktos noteiktajā kārtībā.”. Vienlaikus lūdzam svītrot MK sēdes </w:t>
            </w:r>
            <w:proofErr w:type="spellStart"/>
            <w:r w:rsidRPr="00B332FD">
              <w:rPr>
                <w:rFonts w:ascii="Times New Roman" w:hAnsi="Times New Roman"/>
                <w:sz w:val="24"/>
                <w:szCs w:val="24"/>
                <w:lang w:eastAsia="lv-LV"/>
              </w:rPr>
              <w:t>protokollēmuma</w:t>
            </w:r>
            <w:proofErr w:type="spellEnd"/>
            <w:r w:rsidRPr="00B332FD">
              <w:rPr>
                <w:rFonts w:ascii="Times New Roman" w:hAnsi="Times New Roman"/>
                <w:sz w:val="24"/>
                <w:szCs w:val="24"/>
                <w:lang w:eastAsia="lv-LV"/>
              </w:rPr>
              <w:t xml:space="preserve"> projekta 4.punktu.</w:t>
            </w:r>
          </w:p>
        </w:tc>
        <w:tc>
          <w:tcPr>
            <w:tcW w:w="3293" w:type="dxa"/>
            <w:gridSpan w:val="2"/>
            <w:tcBorders>
              <w:left w:val="single" w:sz="6" w:space="0" w:color="000000"/>
              <w:bottom w:val="single" w:sz="4" w:space="0" w:color="auto"/>
              <w:right w:val="single" w:sz="6" w:space="0" w:color="000000"/>
            </w:tcBorders>
          </w:tcPr>
          <w:p w:rsidR="00B332FD" w:rsidRDefault="00B332FD" w:rsidP="00FC7495">
            <w:pPr>
              <w:pStyle w:val="naisc"/>
              <w:spacing w:before="0" w:after="0"/>
              <w:rPr>
                <w:b/>
              </w:rPr>
            </w:pPr>
            <w:r>
              <w:rPr>
                <w:b/>
              </w:rPr>
              <w:lastRenderedPageBreak/>
              <w:t>Ņemts vērā</w:t>
            </w:r>
          </w:p>
        </w:tc>
        <w:tc>
          <w:tcPr>
            <w:tcW w:w="3261" w:type="dxa"/>
            <w:tcBorders>
              <w:top w:val="single" w:sz="4" w:space="0" w:color="auto"/>
              <w:left w:val="single" w:sz="4" w:space="0" w:color="auto"/>
              <w:bottom w:val="single" w:sz="4" w:space="0" w:color="auto"/>
            </w:tcBorders>
          </w:tcPr>
          <w:p w:rsidR="00B332FD" w:rsidRDefault="00B332FD" w:rsidP="00B332FD">
            <w:pPr>
              <w:jc w:val="both"/>
              <w:rPr>
                <w:bCs/>
                <w:iCs/>
              </w:rPr>
            </w:pPr>
            <w:r w:rsidRPr="00B332FD">
              <w:rPr>
                <w:b/>
                <w:bCs/>
                <w:iCs/>
              </w:rPr>
              <w:t>MK rīkojuma projekta</w:t>
            </w:r>
            <w:r w:rsidRPr="00B332FD">
              <w:rPr>
                <w:bCs/>
                <w:iCs/>
              </w:rPr>
              <w:t xml:space="preserve"> 5.punkts izteikts </w:t>
            </w:r>
            <w:r>
              <w:rPr>
                <w:bCs/>
                <w:iCs/>
              </w:rPr>
              <w:t>sekojošā redakcijā:</w:t>
            </w:r>
          </w:p>
          <w:p w:rsidR="00B332FD" w:rsidRDefault="00B332FD" w:rsidP="00B332FD">
            <w:pPr>
              <w:jc w:val="both"/>
              <w:rPr>
                <w:bCs/>
                <w:iCs/>
              </w:rPr>
            </w:pPr>
            <w:r w:rsidRPr="00B332FD">
              <w:rPr>
                <w:bCs/>
                <w:iCs/>
              </w:rPr>
              <w:lastRenderedPageBreak/>
              <w:t xml:space="preserve">“Pēc projekta pabeigšanas noteikt projekta uzturēšanas izmaksas ne vairāk kā 100 223 </w:t>
            </w:r>
            <w:proofErr w:type="spellStart"/>
            <w:r w:rsidRPr="00B332FD">
              <w:rPr>
                <w:bCs/>
                <w:iCs/>
              </w:rPr>
              <w:t>euro</w:t>
            </w:r>
            <w:proofErr w:type="spellEnd"/>
            <w:r w:rsidRPr="00B332FD">
              <w:rPr>
                <w:bCs/>
                <w:iCs/>
              </w:rPr>
              <w:t xml:space="preserve"> gadā, pieprasot papildu finansējumu normatīvajos aktos noteiktajā kārtībā.”</w:t>
            </w:r>
          </w:p>
          <w:p w:rsidR="00B332FD" w:rsidRDefault="00B332FD" w:rsidP="00B332FD">
            <w:pPr>
              <w:jc w:val="both"/>
              <w:rPr>
                <w:bCs/>
                <w:iCs/>
              </w:rPr>
            </w:pPr>
          </w:p>
          <w:p w:rsidR="00B332FD" w:rsidRPr="00B332FD" w:rsidRDefault="00B332FD" w:rsidP="00B332FD">
            <w:pPr>
              <w:jc w:val="both"/>
              <w:rPr>
                <w:bCs/>
                <w:iCs/>
              </w:rPr>
            </w:pPr>
            <w:r w:rsidRPr="00B332FD">
              <w:rPr>
                <w:b/>
                <w:bCs/>
                <w:iCs/>
              </w:rPr>
              <w:t xml:space="preserve">MK </w:t>
            </w:r>
            <w:proofErr w:type="spellStart"/>
            <w:r w:rsidRPr="00B332FD">
              <w:rPr>
                <w:b/>
                <w:bCs/>
                <w:iCs/>
              </w:rPr>
              <w:t>protokollēmuma</w:t>
            </w:r>
            <w:proofErr w:type="spellEnd"/>
            <w:r w:rsidRPr="00B332FD">
              <w:rPr>
                <w:b/>
                <w:bCs/>
                <w:iCs/>
              </w:rPr>
              <w:t xml:space="preserve"> projektā</w:t>
            </w:r>
            <w:r>
              <w:rPr>
                <w:bCs/>
                <w:iCs/>
              </w:rPr>
              <w:t xml:space="preserve"> svītrots 4.punkts. </w:t>
            </w:r>
          </w:p>
        </w:tc>
      </w:tr>
      <w:tr w:rsidR="00452B26" w:rsidRPr="00712B66" w:rsidTr="00AC14D0">
        <w:tc>
          <w:tcPr>
            <w:tcW w:w="675" w:type="dxa"/>
            <w:tcBorders>
              <w:left w:val="single" w:sz="6" w:space="0" w:color="000000"/>
              <w:bottom w:val="single" w:sz="4" w:space="0" w:color="auto"/>
              <w:right w:val="single" w:sz="6" w:space="0" w:color="000000"/>
            </w:tcBorders>
          </w:tcPr>
          <w:p w:rsidR="00452B26" w:rsidRDefault="00452B26" w:rsidP="00025FE0">
            <w:pPr>
              <w:pStyle w:val="naisc"/>
              <w:spacing w:before="0" w:after="0"/>
              <w:ind w:firstLine="720"/>
            </w:pPr>
            <w:r>
              <w:lastRenderedPageBreak/>
              <w:t>110.</w:t>
            </w:r>
          </w:p>
        </w:tc>
        <w:tc>
          <w:tcPr>
            <w:tcW w:w="3261" w:type="dxa"/>
            <w:gridSpan w:val="2"/>
            <w:tcBorders>
              <w:left w:val="single" w:sz="6" w:space="0" w:color="000000"/>
              <w:bottom w:val="single" w:sz="4" w:space="0" w:color="auto"/>
              <w:right w:val="single" w:sz="6" w:space="0" w:color="000000"/>
            </w:tcBorders>
          </w:tcPr>
          <w:p w:rsidR="00452B26" w:rsidRDefault="00452B26" w:rsidP="00E358A2">
            <w:pPr>
              <w:jc w:val="center"/>
              <w:rPr>
                <w:b/>
                <w:bCs/>
                <w:iCs/>
              </w:rPr>
            </w:pPr>
            <w:r>
              <w:rPr>
                <w:b/>
                <w:bCs/>
                <w:iCs/>
              </w:rPr>
              <w:t>Anotācija</w:t>
            </w:r>
          </w:p>
        </w:tc>
        <w:tc>
          <w:tcPr>
            <w:tcW w:w="4252" w:type="dxa"/>
            <w:tcBorders>
              <w:left w:val="single" w:sz="6" w:space="0" w:color="000000"/>
              <w:bottom w:val="single" w:sz="4" w:space="0" w:color="auto"/>
              <w:right w:val="single" w:sz="6" w:space="0" w:color="000000"/>
            </w:tcBorders>
          </w:tcPr>
          <w:p w:rsidR="00452B26" w:rsidRPr="001B7C0E" w:rsidRDefault="00452B26" w:rsidP="00452B26">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1B7C0E">
              <w:rPr>
                <w:rFonts w:ascii="Times New Roman" w:hAnsi="Times New Roman"/>
                <w:sz w:val="24"/>
                <w:szCs w:val="24"/>
                <w:lang w:eastAsia="lv-LV"/>
              </w:rPr>
              <w:t>FM 06.06.2019. atzinums</w:t>
            </w:r>
          </w:p>
          <w:p w:rsidR="00452B26" w:rsidRDefault="00452B26" w:rsidP="00122AF7">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452B26">
              <w:rPr>
                <w:rFonts w:ascii="Times New Roman" w:hAnsi="Times New Roman"/>
                <w:sz w:val="24"/>
                <w:szCs w:val="24"/>
                <w:lang w:eastAsia="lv-LV"/>
              </w:rPr>
              <w:t>2.</w:t>
            </w:r>
            <w:r w:rsidRPr="00452B26">
              <w:rPr>
                <w:rFonts w:ascii="Times New Roman" w:hAnsi="Times New Roman"/>
                <w:sz w:val="24"/>
                <w:szCs w:val="24"/>
                <w:lang w:eastAsia="lv-LV"/>
              </w:rPr>
              <w:tab/>
              <w:t>Lūdzam norādīt anotācijas III sadaļas “Tiesību akta projekta ietekme uz valsts budžetu un pašvaldību budžetiem” (turpmāk – III sadaļa) 7.punktā “Amata vietu skaita izmaiņas”, ka kopējais amata vietu skaits EM nepalielināsies, ņemot vērā, ka nepieciešamās divas amata vietas paredzēts pārcelt no Centrālās statistikas pārvaldes.</w:t>
            </w:r>
          </w:p>
        </w:tc>
        <w:tc>
          <w:tcPr>
            <w:tcW w:w="3293" w:type="dxa"/>
            <w:gridSpan w:val="2"/>
            <w:tcBorders>
              <w:left w:val="single" w:sz="6" w:space="0" w:color="000000"/>
              <w:bottom w:val="single" w:sz="4" w:space="0" w:color="auto"/>
              <w:right w:val="single" w:sz="6" w:space="0" w:color="000000"/>
            </w:tcBorders>
          </w:tcPr>
          <w:p w:rsidR="00452B26" w:rsidRDefault="00452B26" w:rsidP="00FC7495">
            <w:pPr>
              <w:pStyle w:val="naisc"/>
              <w:spacing w:before="0" w:after="0"/>
              <w:rPr>
                <w:b/>
              </w:rPr>
            </w:pPr>
            <w:r>
              <w:rPr>
                <w:b/>
              </w:rPr>
              <w:t>Ņemts vērā</w:t>
            </w:r>
          </w:p>
        </w:tc>
        <w:tc>
          <w:tcPr>
            <w:tcW w:w="3261" w:type="dxa"/>
            <w:tcBorders>
              <w:top w:val="single" w:sz="4" w:space="0" w:color="auto"/>
              <w:left w:val="single" w:sz="4" w:space="0" w:color="auto"/>
              <w:bottom w:val="single" w:sz="4" w:space="0" w:color="auto"/>
            </w:tcBorders>
          </w:tcPr>
          <w:p w:rsidR="00452B26" w:rsidRDefault="00452B26" w:rsidP="00B332FD">
            <w:pPr>
              <w:jc w:val="both"/>
              <w:rPr>
                <w:b/>
                <w:bCs/>
                <w:iCs/>
              </w:rPr>
            </w:pPr>
            <w:r>
              <w:rPr>
                <w:b/>
                <w:bCs/>
                <w:iCs/>
              </w:rPr>
              <w:t>Precizēta Anotācija</w:t>
            </w:r>
          </w:p>
          <w:p w:rsidR="00452B26" w:rsidRPr="00452B26" w:rsidRDefault="00F40310" w:rsidP="00B332FD">
            <w:pPr>
              <w:jc w:val="both"/>
              <w:rPr>
                <w:bCs/>
                <w:iCs/>
              </w:rPr>
            </w:pPr>
            <w:r>
              <w:rPr>
                <w:bCs/>
                <w:iCs/>
              </w:rPr>
              <w:t xml:space="preserve">7.punkts “Amata vietu skaita izmaiņas”: </w:t>
            </w:r>
            <w:r w:rsidR="00452B26">
              <w:rPr>
                <w:bCs/>
                <w:iCs/>
              </w:rPr>
              <w:t>“</w:t>
            </w:r>
            <w:r w:rsidR="00452B26" w:rsidRPr="00452B26">
              <w:rPr>
                <w:bCs/>
                <w:iCs/>
              </w:rPr>
              <w:t>Kopējais amata vietu skaits Ekonomikas ministrijas resorā nepalielināsies, ņemot vērā, ka nepieciešamās divas amata vietas pēc projekta pabeigšanas, projekta rezultātu uzturēšanai, paredzēts pārcelt no Centrālās statistikas pārvaldes.</w:t>
            </w:r>
            <w:r w:rsidR="00452B26">
              <w:rPr>
                <w:bCs/>
                <w:iCs/>
              </w:rPr>
              <w:t>”</w:t>
            </w:r>
          </w:p>
        </w:tc>
      </w:tr>
      <w:tr w:rsidR="00F40310" w:rsidRPr="00712B66" w:rsidTr="00AC14D0">
        <w:tc>
          <w:tcPr>
            <w:tcW w:w="675" w:type="dxa"/>
            <w:tcBorders>
              <w:left w:val="single" w:sz="6" w:space="0" w:color="000000"/>
              <w:bottom w:val="single" w:sz="4" w:space="0" w:color="auto"/>
              <w:right w:val="single" w:sz="6" w:space="0" w:color="000000"/>
            </w:tcBorders>
          </w:tcPr>
          <w:p w:rsidR="00F40310" w:rsidRDefault="00F40310" w:rsidP="00025FE0">
            <w:pPr>
              <w:pStyle w:val="naisc"/>
              <w:spacing w:before="0" w:after="0"/>
              <w:ind w:firstLine="720"/>
            </w:pPr>
            <w:r>
              <w:t>111.</w:t>
            </w:r>
          </w:p>
        </w:tc>
        <w:tc>
          <w:tcPr>
            <w:tcW w:w="3261" w:type="dxa"/>
            <w:gridSpan w:val="2"/>
            <w:tcBorders>
              <w:left w:val="single" w:sz="6" w:space="0" w:color="000000"/>
              <w:bottom w:val="single" w:sz="4" w:space="0" w:color="auto"/>
              <w:right w:val="single" w:sz="6" w:space="0" w:color="000000"/>
            </w:tcBorders>
          </w:tcPr>
          <w:p w:rsidR="00F40310" w:rsidRDefault="00F40310" w:rsidP="00E358A2">
            <w:pPr>
              <w:jc w:val="center"/>
              <w:rPr>
                <w:b/>
                <w:bCs/>
                <w:iCs/>
              </w:rPr>
            </w:pPr>
            <w:r>
              <w:rPr>
                <w:b/>
                <w:bCs/>
                <w:iCs/>
              </w:rPr>
              <w:t>Anotācija</w:t>
            </w:r>
          </w:p>
        </w:tc>
        <w:tc>
          <w:tcPr>
            <w:tcW w:w="4252" w:type="dxa"/>
            <w:tcBorders>
              <w:left w:val="single" w:sz="6" w:space="0" w:color="000000"/>
              <w:bottom w:val="single" w:sz="4" w:space="0" w:color="auto"/>
              <w:right w:val="single" w:sz="6" w:space="0" w:color="000000"/>
            </w:tcBorders>
          </w:tcPr>
          <w:p w:rsidR="00F40310" w:rsidRPr="001B7C0E" w:rsidRDefault="00F40310" w:rsidP="00452B26">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1B7C0E">
              <w:rPr>
                <w:rFonts w:ascii="Times New Roman" w:hAnsi="Times New Roman"/>
                <w:sz w:val="24"/>
                <w:szCs w:val="24"/>
                <w:lang w:eastAsia="lv-LV"/>
              </w:rPr>
              <w:t>FM 06.06.2019. atzinums</w:t>
            </w:r>
          </w:p>
          <w:p w:rsidR="00F40310" w:rsidRPr="00F40310" w:rsidRDefault="00F40310" w:rsidP="00452B26">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F40310">
              <w:rPr>
                <w:rFonts w:ascii="Times New Roman" w:hAnsi="Times New Roman"/>
                <w:sz w:val="24"/>
                <w:szCs w:val="24"/>
                <w:lang w:eastAsia="lv-LV"/>
              </w:rPr>
              <w:t>3.</w:t>
            </w:r>
            <w:r w:rsidRPr="00F40310">
              <w:rPr>
                <w:rFonts w:ascii="Times New Roman" w:hAnsi="Times New Roman"/>
                <w:sz w:val="24"/>
                <w:szCs w:val="24"/>
                <w:lang w:eastAsia="lv-LV"/>
              </w:rPr>
              <w:tab/>
              <w:t xml:space="preserve">Lūdzam norādīt anotācijas III sadaļas 6.punktā “Detalizēts ieņēmumu un izdevumu aprēķins” sniegto informāciju par projekta rezultātu uzturēšanai papildus nepieciešamo finansējumu 100 223 </w:t>
            </w:r>
            <w:proofErr w:type="spellStart"/>
            <w:r w:rsidRPr="00F40310">
              <w:rPr>
                <w:rFonts w:ascii="Times New Roman" w:hAnsi="Times New Roman"/>
                <w:i/>
                <w:sz w:val="24"/>
                <w:szCs w:val="24"/>
                <w:lang w:eastAsia="lv-LV"/>
              </w:rPr>
              <w:t>euro</w:t>
            </w:r>
            <w:proofErr w:type="spellEnd"/>
            <w:r w:rsidRPr="00F40310">
              <w:rPr>
                <w:rFonts w:ascii="Times New Roman" w:hAnsi="Times New Roman"/>
                <w:sz w:val="24"/>
                <w:szCs w:val="24"/>
                <w:lang w:eastAsia="lv-LV"/>
              </w:rPr>
              <w:t xml:space="preserve"> apmērā, kas tiks pieprasīts normatīvajos aktos noteiktajā kārtībā, anotācijas III sadaļas 8.punktā “Cita informācija”.</w:t>
            </w:r>
          </w:p>
        </w:tc>
        <w:tc>
          <w:tcPr>
            <w:tcW w:w="3293" w:type="dxa"/>
            <w:gridSpan w:val="2"/>
            <w:tcBorders>
              <w:left w:val="single" w:sz="6" w:space="0" w:color="000000"/>
              <w:bottom w:val="single" w:sz="4" w:space="0" w:color="auto"/>
              <w:right w:val="single" w:sz="6" w:space="0" w:color="000000"/>
            </w:tcBorders>
          </w:tcPr>
          <w:p w:rsidR="00F40310" w:rsidRDefault="00F40310" w:rsidP="00FC7495">
            <w:pPr>
              <w:pStyle w:val="naisc"/>
              <w:spacing w:before="0" w:after="0"/>
              <w:rPr>
                <w:b/>
              </w:rPr>
            </w:pPr>
            <w:r>
              <w:rPr>
                <w:b/>
              </w:rPr>
              <w:t>Ņemts vērā</w:t>
            </w:r>
          </w:p>
        </w:tc>
        <w:tc>
          <w:tcPr>
            <w:tcW w:w="3261" w:type="dxa"/>
            <w:tcBorders>
              <w:top w:val="single" w:sz="4" w:space="0" w:color="auto"/>
              <w:left w:val="single" w:sz="4" w:space="0" w:color="auto"/>
              <w:bottom w:val="single" w:sz="4" w:space="0" w:color="auto"/>
            </w:tcBorders>
          </w:tcPr>
          <w:p w:rsidR="00F40310" w:rsidRDefault="00F40310" w:rsidP="00B332FD">
            <w:pPr>
              <w:jc w:val="both"/>
              <w:rPr>
                <w:bCs/>
                <w:iCs/>
              </w:rPr>
            </w:pPr>
            <w:r>
              <w:rPr>
                <w:b/>
                <w:bCs/>
                <w:iCs/>
              </w:rPr>
              <w:t xml:space="preserve">Precizēta anotācija </w:t>
            </w:r>
          </w:p>
          <w:p w:rsidR="00F40310" w:rsidRPr="00F40310" w:rsidRDefault="00F40310" w:rsidP="00B332FD">
            <w:pPr>
              <w:jc w:val="both"/>
              <w:rPr>
                <w:bCs/>
                <w:iCs/>
              </w:rPr>
            </w:pPr>
            <w:r>
              <w:rPr>
                <w:bCs/>
                <w:iCs/>
              </w:rPr>
              <w:t xml:space="preserve">Informācija par projekta rezultātu uzturēšanai nepieciešamo papildus finansējumu, kas tiks pieprasīts normatīvajos aktos noteiktajā kārtībā pārcelta no </w:t>
            </w:r>
            <w:r w:rsidRPr="00F40310">
              <w:rPr>
                <w:bCs/>
                <w:iCs/>
              </w:rPr>
              <w:t>anotācijas III sadaļas 6.punkt</w:t>
            </w:r>
            <w:r>
              <w:rPr>
                <w:bCs/>
                <w:iCs/>
              </w:rPr>
              <w:t>a uz</w:t>
            </w:r>
            <w:r w:rsidRPr="00F40310">
              <w:rPr>
                <w:bCs/>
                <w:iCs/>
              </w:rPr>
              <w:t xml:space="preserve"> III sadaļas 8.punkt</w:t>
            </w:r>
            <w:r>
              <w:rPr>
                <w:bCs/>
                <w:iCs/>
              </w:rPr>
              <w:t>u.</w:t>
            </w:r>
          </w:p>
        </w:tc>
      </w:tr>
      <w:tr w:rsidR="00F1228C" w:rsidRPr="00712B66" w:rsidTr="000C1D1E">
        <w:trPr>
          <w:trHeight w:val="4446"/>
        </w:trPr>
        <w:tc>
          <w:tcPr>
            <w:tcW w:w="675" w:type="dxa"/>
            <w:tcBorders>
              <w:left w:val="single" w:sz="6" w:space="0" w:color="000000"/>
              <w:bottom w:val="single" w:sz="4" w:space="0" w:color="auto"/>
              <w:right w:val="single" w:sz="6" w:space="0" w:color="000000"/>
            </w:tcBorders>
          </w:tcPr>
          <w:p w:rsidR="00F1228C" w:rsidRPr="00712B66" w:rsidRDefault="00610E33" w:rsidP="00F1228C">
            <w:pPr>
              <w:pStyle w:val="naisc"/>
              <w:spacing w:before="0" w:after="0"/>
              <w:ind w:firstLine="720"/>
            </w:pPr>
            <w:r>
              <w:lastRenderedPageBreak/>
              <w:t>.</w:t>
            </w:r>
            <w:r w:rsidR="001B7C0E">
              <w:t>12</w:t>
            </w:r>
            <w:r>
              <w:t>.</w:t>
            </w:r>
          </w:p>
        </w:tc>
        <w:tc>
          <w:tcPr>
            <w:tcW w:w="3261" w:type="dxa"/>
            <w:gridSpan w:val="2"/>
            <w:tcBorders>
              <w:left w:val="single" w:sz="6" w:space="0" w:color="000000"/>
              <w:bottom w:val="single" w:sz="4" w:space="0" w:color="auto"/>
              <w:right w:val="single" w:sz="6" w:space="0" w:color="000000"/>
            </w:tcBorders>
          </w:tcPr>
          <w:p w:rsidR="00F1228C" w:rsidRPr="00E358A2" w:rsidRDefault="00E358A2" w:rsidP="00E358A2">
            <w:pPr>
              <w:pStyle w:val="naisc"/>
              <w:spacing w:before="0" w:after="0"/>
              <w:rPr>
                <w:b/>
              </w:rPr>
            </w:pPr>
            <w:r>
              <w:rPr>
                <w:b/>
              </w:rPr>
              <w:t>Anotācija</w:t>
            </w:r>
          </w:p>
        </w:tc>
        <w:tc>
          <w:tcPr>
            <w:tcW w:w="4252" w:type="dxa"/>
            <w:tcBorders>
              <w:left w:val="single" w:sz="6" w:space="0" w:color="000000"/>
              <w:bottom w:val="single" w:sz="4" w:space="0" w:color="auto"/>
              <w:right w:val="single" w:sz="6" w:space="0" w:color="000000"/>
            </w:tcBorders>
          </w:tcPr>
          <w:p w:rsidR="001B7C0E" w:rsidRDefault="001B7C0E" w:rsidP="00F1228C">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1B7C0E">
              <w:rPr>
                <w:rFonts w:ascii="Times New Roman" w:hAnsi="Times New Roman"/>
                <w:sz w:val="24"/>
                <w:szCs w:val="24"/>
                <w:lang w:eastAsia="lv-LV"/>
              </w:rPr>
              <w:t>FM 24.04.2019. atzinums</w:t>
            </w:r>
          </w:p>
          <w:p w:rsidR="00F1228C" w:rsidRPr="00317EA0" w:rsidRDefault="00F1228C" w:rsidP="00F1228C">
            <w:pPr>
              <w:pStyle w:val="ListParagraph"/>
              <w:widowControl w:val="0"/>
              <w:autoSpaceDE w:val="0"/>
              <w:autoSpaceDN w:val="0"/>
              <w:adjustRightInd w:val="0"/>
              <w:spacing w:after="0" w:line="240" w:lineRule="auto"/>
              <w:ind w:left="68"/>
              <w:jc w:val="both"/>
              <w:rPr>
                <w:rFonts w:ascii="Times New Roman" w:hAnsi="Times New Roman"/>
                <w:sz w:val="24"/>
                <w:szCs w:val="24"/>
                <w:lang w:eastAsia="lv-LV"/>
              </w:rPr>
            </w:pPr>
            <w:r w:rsidRPr="001874B3">
              <w:rPr>
                <w:rFonts w:ascii="Times New Roman" w:hAnsi="Times New Roman"/>
                <w:sz w:val="24"/>
                <w:szCs w:val="24"/>
                <w:lang w:eastAsia="lv-LV"/>
              </w:rPr>
              <w:t xml:space="preserve">Lūdzam precizēt anotācijas III sadaļu “Tiesību akta projekta </w:t>
            </w:r>
            <w:r w:rsidRPr="00317EA0">
              <w:rPr>
                <w:rFonts w:ascii="Times New Roman" w:hAnsi="Times New Roman"/>
                <w:sz w:val="24"/>
                <w:szCs w:val="24"/>
                <w:lang w:eastAsia="lv-LV"/>
              </w:rPr>
              <w:t>ietekme uz valsts budžetu un pašvaldību budžetiem”:</w:t>
            </w:r>
          </w:p>
          <w:p w:rsidR="00F1228C" w:rsidRPr="00317EA0" w:rsidRDefault="00F1228C" w:rsidP="00F1228C">
            <w:pPr>
              <w:pStyle w:val="ListParagraph"/>
              <w:widowControl w:val="0"/>
              <w:tabs>
                <w:tab w:val="left" w:pos="455"/>
              </w:tabs>
              <w:spacing w:after="0" w:line="240" w:lineRule="auto"/>
              <w:ind w:left="68"/>
              <w:jc w:val="both"/>
              <w:rPr>
                <w:rFonts w:ascii="Times New Roman" w:hAnsi="Times New Roman"/>
                <w:sz w:val="24"/>
                <w:szCs w:val="24"/>
              </w:rPr>
            </w:pPr>
            <w:r>
              <w:rPr>
                <w:rFonts w:ascii="Times New Roman" w:hAnsi="Times New Roman"/>
                <w:sz w:val="24"/>
                <w:szCs w:val="24"/>
              </w:rPr>
              <w:t>d)   </w:t>
            </w:r>
            <w:r w:rsidRPr="00317EA0">
              <w:rPr>
                <w:rFonts w:ascii="Times New Roman" w:hAnsi="Times New Roman"/>
                <w:sz w:val="24"/>
                <w:szCs w:val="24"/>
              </w:rPr>
              <w:t xml:space="preserve">8.punktā </w:t>
            </w:r>
            <w:r>
              <w:rPr>
                <w:rFonts w:ascii="Times New Roman" w:hAnsi="Times New Roman"/>
                <w:sz w:val="24"/>
                <w:szCs w:val="24"/>
              </w:rPr>
              <w:t>lūdzam norādīt informāciju</w:t>
            </w:r>
            <w:r w:rsidRPr="00317EA0">
              <w:rPr>
                <w:rFonts w:ascii="Times New Roman" w:hAnsi="Times New Roman"/>
                <w:sz w:val="24"/>
                <w:szCs w:val="24"/>
              </w:rPr>
              <w:t xml:space="preserve"> šādā redakcijā: </w:t>
            </w:r>
          </w:p>
          <w:p w:rsidR="00F1228C" w:rsidRPr="00712B66" w:rsidRDefault="00F1228C" w:rsidP="000C1D1E">
            <w:pPr>
              <w:ind w:left="68"/>
              <w:jc w:val="both"/>
            </w:pPr>
            <w:r w:rsidRPr="00431BA8">
              <w:t xml:space="preserve">“Projekta īstenošanai nepieciešamie valsts budžeta līdzekļi normatīvajos aktos noteiktajā kārtībā tiks pieprasīti no 74.resora </w:t>
            </w:r>
            <w:r>
              <w:t>“</w:t>
            </w:r>
            <w:r w:rsidRPr="00431BA8">
              <w:t xml:space="preserve">Gadskārtējā valsts budžeta izpildes procesā pārdalāmais finansējums” 80.00.00 programmas </w:t>
            </w:r>
            <w:r>
              <w:t>“</w:t>
            </w:r>
            <w:r w:rsidRPr="00431BA8">
              <w:t xml:space="preserve">Nesadalītais finansējums Eiropas Savienības politiku instrumentu un pārējās ārvalstu finanšu palīdzības līdzfinansēto projektu un pasākumu īstenošanai”. </w:t>
            </w:r>
          </w:p>
        </w:tc>
        <w:tc>
          <w:tcPr>
            <w:tcW w:w="3293" w:type="dxa"/>
            <w:gridSpan w:val="2"/>
            <w:tcBorders>
              <w:left w:val="single" w:sz="6" w:space="0" w:color="000000"/>
              <w:bottom w:val="single" w:sz="4" w:space="0" w:color="auto"/>
              <w:right w:val="single" w:sz="6" w:space="0" w:color="000000"/>
            </w:tcBorders>
          </w:tcPr>
          <w:p w:rsidR="000C71FB" w:rsidRPr="00FC7495" w:rsidRDefault="000C71FB" w:rsidP="000C71FB">
            <w:pPr>
              <w:pStyle w:val="naisc"/>
              <w:spacing w:before="0" w:after="0"/>
              <w:rPr>
                <w:b/>
              </w:rPr>
            </w:pPr>
            <w:r w:rsidRPr="00FC7495">
              <w:rPr>
                <w:b/>
              </w:rPr>
              <w:t>Ņemts vērā</w:t>
            </w:r>
            <w:r>
              <w:rPr>
                <w:b/>
              </w:rPr>
              <w:t>.</w:t>
            </w:r>
          </w:p>
          <w:p w:rsidR="00F1228C" w:rsidRPr="00712B66" w:rsidRDefault="00A422F1" w:rsidP="000C1D1E">
            <w:pPr>
              <w:pStyle w:val="naisc"/>
              <w:tabs>
                <w:tab w:val="left" w:pos="315"/>
              </w:tabs>
              <w:spacing w:before="0" w:after="0"/>
              <w:jc w:val="both"/>
            </w:pPr>
            <w:r w:rsidRPr="00E522BB">
              <w:t>Veikti precizējumi anotācijas III sadaļ</w:t>
            </w:r>
            <w:r w:rsidR="00A50D6C" w:rsidRPr="00E522BB">
              <w:t>ā,</w:t>
            </w:r>
            <w:r w:rsidRPr="00E522BB">
              <w:t xml:space="preserve"> 8.punkt</w:t>
            </w:r>
            <w:r w:rsidR="00A50D6C" w:rsidRPr="00E522BB">
              <w:t>u</w:t>
            </w:r>
            <w:r w:rsidRPr="00E522BB">
              <w:t xml:space="preserve"> papildin</w:t>
            </w:r>
            <w:r w:rsidR="00A50D6C" w:rsidRPr="00E522BB">
              <w:t>ot</w:t>
            </w:r>
            <w:r w:rsidRPr="00E522BB">
              <w:t xml:space="preserve"> ar attiecīgo informāciju.</w:t>
            </w:r>
          </w:p>
        </w:tc>
        <w:tc>
          <w:tcPr>
            <w:tcW w:w="3261" w:type="dxa"/>
            <w:tcBorders>
              <w:top w:val="single" w:sz="4" w:space="0" w:color="auto"/>
              <w:left w:val="single" w:sz="4" w:space="0" w:color="auto"/>
              <w:bottom w:val="single" w:sz="4" w:space="0" w:color="auto"/>
            </w:tcBorders>
          </w:tcPr>
          <w:p w:rsidR="00E358A2" w:rsidRDefault="00E358A2" w:rsidP="00E358A2">
            <w:pPr>
              <w:jc w:val="center"/>
              <w:rPr>
                <w:b/>
                <w:iCs/>
              </w:rPr>
            </w:pPr>
            <w:r>
              <w:rPr>
                <w:b/>
                <w:iCs/>
              </w:rPr>
              <w:t>Precizēta anotācija</w:t>
            </w:r>
          </w:p>
          <w:p w:rsidR="00F1228C" w:rsidRPr="006215EB" w:rsidRDefault="006215EB" w:rsidP="00F1228C">
            <w:pPr>
              <w:rPr>
                <w:b/>
                <w:iCs/>
              </w:rPr>
            </w:pPr>
            <w:r w:rsidRPr="006215EB">
              <w:rPr>
                <w:b/>
                <w:iCs/>
              </w:rPr>
              <w:t>8. Cita informācija</w:t>
            </w:r>
          </w:p>
          <w:p w:rsidR="006215EB" w:rsidRPr="00712B66" w:rsidRDefault="006215EB" w:rsidP="006215EB">
            <w:pPr>
              <w:jc w:val="both"/>
            </w:pPr>
            <w:r w:rsidRPr="00600F1A">
              <w:t>Projekta īstenošanai nepieciešamie valsts budžeta līdzekļi normatīvajos aktos noteiktajā kārtībā tiks pieprasīti no 74.resora “Gadskārtējā valsts budžeta izpildes procesā pārdalāmais finansējums” 80.00.00 programmas “Nesadalītais finans</w:t>
            </w:r>
            <w:r w:rsidRPr="00A3019C">
              <w:t>ējums Eiropas Savienības politiku instrumentu un pārējās ārvalstu finanšu palīdzības līdzfinansēto projektu un pasākumu īstenošanai.</w:t>
            </w:r>
          </w:p>
        </w:tc>
      </w:tr>
      <w:tr w:rsidR="00C4698E" w:rsidRPr="00712B66" w:rsidTr="00D91297">
        <w:tc>
          <w:tcPr>
            <w:tcW w:w="14742" w:type="dxa"/>
            <w:gridSpan w:val="7"/>
            <w:tcBorders>
              <w:left w:val="single" w:sz="6" w:space="0" w:color="000000"/>
              <w:bottom w:val="single" w:sz="4" w:space="0" w:color="auto"/>
            </w:tcBorders>
          </w:tcPr>
          <w:p w:rsidR="00C4698E" w:rsidRPr="00712B66" w:rsidRDefault="00C4698E" w:rsidP="00C4698E">
            <w:pPr>
              <w:jc w:val="center"/>
            </w:pPr>
            <w:r w:rsidRPr="00F6780F">
              <w:rPr>
                <w:b/>
              </w:rPr>
              <w:t>Tieslietu ministrija</w:t>
            </w:r>
          </w:p>
        </w:tc>
      </w:tr>
      <w:tr w:rsidR="0098399A" w:rsidRPr="00712B66" w:rsidTr="00AC14D0">
        <w:tc>
          <w:tcPr>
            <w:tcW w:w="675" w:type="dxa"/>
            <w:tcBorders>
              <w:left w:val="single" w:sz="6" w:space="0" w:color="000000"/>
              <w:bottom w:val="single" w:sz="4" w:space="0" w:color="auto"/>
              <w:right w:val="single" w:sz="6" w:space="0" w:color="000000"/>
            </w:tcBorders>
          </w:tcPr>
          <w:p w:rsidR="0098399A" w:rsidRPr="00F9132D" w:rsidRDefault="0098399A" w:rsidP="00F1228C">
            <w:pPr>
              <w:pStyle w:val="naisc"/>
              <w:spacing w:before="0" w:after="0"/>
              <w:ind w:firstLine="720"/>
            </w:pPr>
            <w:r w:rsidRPr="00F9132D">
              <w:t>.</w:t>
            </w:r>
            <w:r w:rsidR="009A7F0F">
              <w:t>1</w:t>
            </w:r>
            <w:r w:rsidR="001B7C0E">
              <w:t>3</w:t>
            </w:r>
            <w:r w:rsidRPr="00F9132D">
              <w:t>.</w:t>
            </w:r>
          </w:p>
          <w:p w:rsidR="0098399A" w:rsidRPr="00F9132D" w:rsidRDefault="0098399A" w:rsidP="00F1228C">
            <w:pPr>
              <w:pStyle w:val="naisc"/>
              <w:spacing w:before="0" w:after="0"/>
              <w:ind w:firstLine="720"/>
            </w:pPr>
            <w:r w:rsidRPr="00F9132D">
              <w:t>9</w:t>
            </w:r>
          </w:p>
        </w:tc>
        <w:tc>
          <w:tcPr>
            <w:tcW w:w="3261" w:type="dxa"/>
            <w:gridSpan w:val="2"/>
            <w:tcBorders>
              <w:left w:val="single" w:sz="6" w:space="0" w:color="000000"/>
              <w:bottom w:val="single" w:sz="4" w:space="0" w:color="auto"/>
              <w:right w:val="single" w:sz="6" w:space="0" w:color="000000"/>
            </w:tcBorders>
          </w:tcPr>
          <w:p w:rsidR="0098399A" w:rsidRPr="00F9132D" w:rsidRDefault="0098399A" w:rsidP="0098399A">
            <w:pPr>
              <w:jc w:val="center"/>
              <w:rPr>
                <w:b/>
              </w:rPr>
            </w:pPr>
            <w:bookmarkStart w:id="2" w:name="_Toc1028740"/>
            <w:r w:rsidRPr="00F9132D">
              <w:rPr>
                <w:b/>
              </w:rPr>
              <w:t>Anotācija</w:t>
            </w:r>
          </w:p>
          <w:p w:rsidR="0098399A" w:rsidRPr="00F9132D" w:rsidRDefault="0098399A" w:rsidP="0098399A">
            <w:pPr>
              <w:numPr>
                <w:ilvl w:val="1"/>
                <w:numId w:val="11"/>
              </w:numPr>
              <w:tabs>
                <w:tab w:val="clear" w:pos="1440"/>
                <w:tab w:val="num" w:pos="313"/>
              </w:tabs>
              <w:ind w:left="0" w:firstLine="0"/>
              <w:rPr>
                <w:b/>
              </w:rPr>
            </w:pPr>
            <w:r w:rsidRPr="00F9132D">
              <w:rPr>
                <w:b/>
              </w:rPr>
              <w:t>Atvērto datu kopu papildināšana</w:t>
            </w:r>
            <w:bookmarkEnd w:id="2"/>
          </w:p>
          <w:p w:rsidR="0098399A" w:rsidRPr="00F9132D" w:rsidRDefault="0098399A" w:rsidP="0098399A">
            <w:pPr>
              <w:jc w:val="both"/>
            </w:pPr>
            <w:r w:rsidRPr="00F9132D">
              <w:t xml:space="preserve">BIS attīstības un pilnveidošanas rezultātā tiek paplašinātas gan esošās datu kopas, gan jaunas datu kopas, kuras ir lietderīgas atkalizmantošanas nolūkiem, līdz ar to tās ir iespējams publicēt atvērto datu kopu veidā. Veicot BIS izstrādi un attīstīšanu, ir nodrošināta platforma datu kopu publicēšanai atvērto datu kopu veidā. BIS funkcionalitātei </w:t>
            </w:r>
            <w:r w:rsidRPr="00F9132D">
              <w:lastRenderedPageBreak/>
              <w:t>paplašinoties, nepieciešams veikt atvērto datu kopu papildināšanu ar jauniem datiem vai esošo datu kopu paplašināšanu.</w:t>
            </w:r>
          </w:p>
          <w:p w:rsidR="0098399A" w:rsidRPr="00F9132D" w:rsidRDefault="0098399A" w:rsidP="00F1228C">
            <w:pPr>
              <w:pStyle w:val="naisc"/>
              <w:spacing w:before="0" w:after="0"/>
              <w:ind w:firstLine="720"/>
            </w:pPr>
          </w:p>
        </w:tc>
        <w:tc>
          <w:tcPr>
            <w:tcW w:w="4252" w:type="dxa"/>
            <w:tcBorders>
              <w:left w:val="single" w:sz="6" w:space="0" w:color="000000"/>
              <w:bottom w:val="single" w:sz="4" w:space="0" w:color="auto"/>
              <w:right w:val="single" w:sz="6" w:space="0" w:color="000000"/>
            </w:tcBorders>
          </w:tcPr>
          <w:p w:rsidR="0098399A" w:rsidRPr="00F6780F" w:rsidRDefault="0098399A" w:rsidP="0098399A">
            <w:pPr>
              <w:pStyle w:val="naisc"/>
              <w:spacing w:before="0" w:after="0"/>
              <w:jc w:val="both"/>
              <w:rPr>
                <w:b/>
              </w:rPr>
            </w:pPr>
            <w:r w:rsidRPr="00075DD6">
              <w:lastRenderedPageBreak/>
              <w:t xml:space="preserve">Tieslietu ministrijas ieskatā nav pieļaujama tāda informācijas sistēmas izveide, kas dublē citu informācijas sistēmu datus. Dati glabājami tajā informācijas sistēmā, kurā tie radīti, bet informācijas apmaiņas ietvaros tiek nodrošināta informācijas sistēmu sadarbība un informācijas apmaiņa. Attiecībā uz atvērotajiem datiem vēršam uzmanību, ka minētais jautājums ir skatāms valsts mērogā un datu atvēršana nodrošināma, ja tam ir paredzēts attiecīgs finansējums. Nav pieļaujama situācija, kad atvērto datu veidā BIS izplatītu datus, kuru pirmavots ir Valsts zemes dienesta </w:t>
            </w:r>
            <w:r w:rsidRPr="00075DD6">
              <w:lastRenderedPageBreak/>
              <w:t>informācijas sistēmas (Valsts adrešu reģistrs, Apgrūtināto teritoriju informācijas sistēma, Nekustamā īpašuma valsts kadastra informācijas sistēma) un kuru izplatīšana saskaņā ar normatīvajiem aktiem ir maksas pakalpojums.</w:t>
            </w:r>
          </w:p>
        </w:tc>
        <w:tc>
          <w:tcPr>
            <w:tcW w:w="3293" w:type="dxa"/>
            <w:gridSpan w:val="2"/>
            <w:tcBorders>
              <w:left w:val="single" w:sz="6" w:space="0" w:color="000000"/>
              <w:bottom w:val="single" w:sz="4" w:space="0" w:color="auto"/>
              <w:right w:val="single" w:sz="6" w:space="0" w:color="000000"/>
            </w:tcBorders>
          </w:tcPr>
          <w:p w:rsidR="0098399A" w:rsidRPr="00075DD6" w:rsidRDefault="0098399A" w:rsidP="001141B4">
            <w:pPr>
              <w:jc w:val="center"/>
              <w:rPr>
                <w:b/>
              </w:rPr>
            </w:pPr>
            <w:r w:rsidRPr="00075DD6">
              <w:rPr>
                <w:b/>
              </w:rPr>
              <w:lastRenderedPageBreak/>
              <w:t>Ņemts vērā</w:t>
            </w:r>
          </w:p>
          <w:p w:rsidR="00EF3A99" w:rsidRPr="00075DD6" w:rsidRDefault="00EF3A99" w:rsidP="0098399A">
            <w:pPr>
              <w:jc w:val="both"/>
            </w:pPr>
            <w:r>
              <w:t>Būvniecības likuma 24.panta trešajā daļā noteikts skaidrs regulējums par strukturēto datu publicēšanu atvērto datu veidā : “</w:t>
            </w:r>
            <w:r w:rsidRPr="00EF3A99">
              <w:t>(3) Būvniecības informācijas sistēmas dati ir publiski pieejami bez maksas, tajā strukturētos datus publicē atvērto datu veidā, izņemot datus, kuru publiskā pieejamība ir ierobežota saskaņā ar normatīvajiem aktiem vai normatīvajos aktos ir paredzēta samaksa.</w:t>
            </w:r>
            <w:r>
              <w:t>”</w:t>
            </w:r>
          </w:p>
          <w:p w:rsidR="0098399A" w:rsidRPr="00712B66" w:rsidRDefault="0098399A" w:rsidP="0098399A">
            <w:pPr>
              <w:pStyle w:val="naisc"/>
              <w:spacing w:before="0" w:after="0"/>
              <w:ind w:firstLine="720"/>
              <w:jc w:val="both"/>
            </w:pPr>
          </w:p>
        </w:tc>
        <w:tc>
          <w:tcPr>
            <w:tcW w:w="3261" w:type="dxa"/>
            <w:tcBorders>
              <w:top w:val="single" w:sz="4" w:space="0" w:color="auto"/>
              <w:left w:val="single" w:sz="4" w:space="0" w:color="auto"/>
              <w:bottom w:val="single" w:sz="4" w:space="0" w:color="auto"/>
            </w:tcBorders>
          </w:tcPr>
          <w:p w:rsidR="00B662DF" w:rsidRPr="00B662DF" w:rsidRDefault="00B662DF" w:rsidP="00B662DF">
            <w:pPr>
              <w:jc w:val="center"/>
              <w:rPr>
                <w:b/>
              </w:rPr>
            </w:pPr>
            <w:r>
              <w:rPr>
                <w:b/>
              </w:rPr>
              <w:lastRenderedPageBreak/>
              <w:t xml:space="preserve">Ministru kabineta sēdes </w:t>
            </w:r>
            <w:proofErr w:type="spellStart"/>
            <w:r>
              <w:rPr>
                <w:b/>
              </w:rPr>
              <w:t>protokollēmuma</w:t>
            </w:r>
            <w:proofErr w:type="spellEnd"/>
            <w:r>
              <w:rPr>
                <w:b/>
              </w:rPr>
              <w:t xml:space="preserve"> projekts</w:t>
            </w:r>
          </w:p>
          <w:p w:rsidR="00B662DF" w:rsidRDefault="00B662DF" w:rsidP="0098399A">
            <w:pPr>
              <w:jc w:val="both"/>
            </w:pPr>
          </w:p>
          <w:p w:rsidR="00B662DF" w:rsidRDefault="00B662DF" w:rsidP="0098399A">
            <w:pPr>
              <w:jc w:val="both"/>
            </w:pPr>
            <w:r>
              <w:t xml:space="preserve">Pievienots </w:t>
            </w:r>
            <w:r w:rsidRPr="00B662DF">
              <w:t>Ministru kabineta s</w:t>
            </w:r>
            <w:r>
              <w:t xml:space="preserve">ēdes </w:t>
            </w:r>
            <w:proofErr w:type="spellStart"/>
            <w:r>
              <w:t>protokollēmuma</w:t>
            </w:r>
            <w:proofErr w:type="spellEnd"/>
            <w:r>
              <w:t xml:space="preserve"> projekts, kurā 2.punkt</w:t>
            </w:r>
            <w:r w:rsidR="00C4698E">
              <w:t>ā</w:t>
            </w:r>
            <w:r>
              <w:t xml:space="preserve"> noteikts:</w:t>
            </w:r>
          </w:p>
          <w:p w:rsidR="0098399A" w:rsidRPr="00B662DF" w:rsidRDefault="00B662DF" w:rsidP="0098399A">
            <w:pPr>
              <w:jc w:val="both"/>
            </w:pPr>
            <w:r>
              <w:t>“</w:t>
            </w:r>
            <w:r w:rsidRPr="00B662DF">
              <w:t>2. Noteikt, ka Būvniecības procesu un IS attīstības (2.kārta) projekta īstenošanas ietvaros netiks grozīts Būvniecības likuma 24.panta trešajā daļā nostiprinātais princips attiecībā uz BIS datu publisko pieejamību (stājas spēkā 2019. gada 13.martā).</w:t>
            </w:r>
            <w:r>
              <w:t>”</w:t>
            </w:r>
          </w:p>
        </w:tc>
      </w:tr>
      <w:tr w:rsidR="0098399A" w:rsidRPr="00712B66" w:rsidTr="0098399A">
        <w:trPr>
          <w:trHeight w:val="50"/>
        </w:trPr>
        <w:tc>
          <w:tcPr>
            <w:tcW w:w="675" w:type="dxa"/>
            <w:tcBorders>
              <w:left w:val="single" w:sz="6" w:space="0" w:color="000000"/>
              <w:bottom w:val="single" w:sz="4" w:space="0" w:color="auto"/>
              <w:right w:val="single" w:sz="6" w:space="0" w:color="000000"/>
            </w:tcBorders>
          </w:tcPr>
          <w:p w:rsidR="0098399A" w:rsidRDefault="0098399A" w:rsidP="00F1228C">
            <w:pPr>
              <w:pStyle w:val="naisc"/>
              <w:spacing w:before="0" w:after="0"/>
              <w:ind w:firstLine="720"/>
            </w:pPr>
          </w:p>
          <w:p w:rsidR="0098399A" w:rsidRDefault="0098399A" w:rsidP="00F1228C">
            <w:pPr>
              <w:pStyle w:val="naisc"/>
              <w:spacing w:before="0" w:after="0"/>
              <w:ind w:firstLine="720"/>
            </w:pPr>
            <w:r>
              <w:t>.1</w:t>
            </w:r>
            <w:r w:rsidR="001B7C0E">
              <w:t>4</w:t>
            </w:r>
            <w:r>
              <w:t>.</w:t>
            </w:r>
          </w:p>
          <w:p w:rsidR="0098399A" w:rsidRDefault="0098399A" w:rsidP="00F1228C">
            <w:pPr>
              <w:pStyle w:val="naisc"/>
              <w:spacing w:before="0" w:after="0"/>
              <w:ind w:firstLine="720"/>
            </w:pPr>
          </w:p>
          <w:p w:rsidR="0098399A" w:rsidRDefault="0098399A" w:rsidP="00F1228C">
            <w:pPr>
              <w:pStyle w:val="naisc"/>
              <w:spacing w:before="0" w:after="0"/>
              <w:ind w:firstLine="720"/>
            </w:pPr>
          </w:p>
        </w:tc>
        <w:tc>
          <w:tcPr>
            <w:tcW w:w="3261" w:type="dxa"/>
            <w:gridSpan w:val="2"/>
            <w:tcBorders>
              <w:left w:val="single" w:sz="6" w:space="0" w:color="000000"/>
              <w:bottom w:val="single" w:sz="4" w:space="0" w:color="auto"/>
              <w:right w:val="single" w:sz="6" w:space="0" w:color="000000"/>
            </w:tcBorders>
          </w:tcPr>
          <w:p w:rsidR="00FD5306" w:rsidRPr="00F9132D" w:rsidRDefault="00FD5306" w:rsidP="00FD5306">
            <w:pPr>
              <w:jc w:val="center"/>
              <w:rPr>
                <w:b/>
              </w:rPr>
            </w:pPr>
            <w:bookmarkStart w:id="3" w:name="_Toc1028723"/>
            <w:bookmarkStart w:id="4" w:name="_Toc1028731"/>
            <w:r w:rsidRPr="00F9132D">
              <w:rPr>
                <w:b/>
              </w:rPr>
              <w:t>Anotācija</w:t>
            </w:r>
            <w:r w:rsidR="00B662DF">
              <w:rPr>
                <w:b/>
              </w:rPr>
              <w:t xml:space="preserve"> un Projekta apraksts</w:t>
            </w:r>
          </w:p>
          <w:bookmarkEnd w:id="3"/>
          <w:bookmarkEnd w:id="4"/>
          <w:p w:rsidR="0098399A" w:rsidRPr="00F9132D" w:rsidRDefault="0098399A" w:rsidP="0098399A">
            <w:pPr>
              <w:jc w:val="both"/>
            </w:pPr>
          </w:p>
          <w:p w:rsidR="0098399A" w:rsidRPr="00F9132D" w:rsidRDefault="0098399A" w:rsidP="00F1228C">
            <w:pPr>
              <w:pStyle w:val="naisc"/>
              <w:spacing w:before="0" w:after="0"/>
              <w:ind w:firstLine="720"/>
            </w:pPr>
          </w:p>
        </w:tc>
        <w:tc>
          <w:tcPr>
            <w:tcW w:w="4252" w:type="dxa"/>
            <w:tcBorders>
              <w:left w:val="single" w:sz="6" w:space="0" w:color="000000"/>
              <w:bottom w:val="single" w:sz="4" w:space="0" w:color="auto"/>
              <w:right w:val="single" w:sz="6" w:space="0" w:color="000000"/>
            </w:tcBorders>
          </w:tcPr>
          <w:p w:rsidR="0098399A" w:rsidRDefault="0098399A" w:rsidP="0098399A">
            <w:pPr>
              <w:jc w:val="both"/>
            </w:pPr>
            <w:r w:rsidRPr="00B34CD6">
              <w:t xml:space="preserve">Tieslietu ministrijas ieskatā rīkojuma projektam pievienotajā anotācijā un projekta apraksta kopsavilkumā norādītajam attiecībā uz pieteikto risināmo problēmu par piekļuvi mājas lietai vai būves ekspluatācijas lietai saskatāmi informācijas sistēmu datu dublēšanās riski. Ņemot vērā, ka saskaņā ar Ministru kabineta 2010. gada 28. septembra noteikumu Nr. 908 “Mājas lietas vešanas un aktualizēšanas noteikumi” 21. punktā noteikto mājas lietas pirmajā sadaļā iekļauj tāda dokumenta kopiju, kas apliecina īpašumtiesības uz nekustamo īpašumu, un dzīvojamās mājas (dzīvokļa īpašuma) kadastrālās uzmērīšanas lietas kopiju, kā arī normatīvajos aktos noteiktos dzīvojamās mājas pamatdokumentus, pastāv bažas, ka tādējādi BIS tiktu dublēta jau esošajās informācijas sistēmās (VVDZ,  NĪVKIS) uzkrātā informācija, kā arī izplatīta būves kadastrālās uzmērīšanas lieta trešajām personām. Papildus minētajam vēlamies uzsvērt, ka atbilstoši Būvniecības likuma 24. pantā noteiktajam BIS ir valsts sistēma, kas ietver </w:t>
            </w:r>
            <w:r w:rsidRPr="00B34CD6">
              <w:lastRenderedPageBreak/>
              <w:t>būvniecības procesam un tā kontrolei nepieciešamos datus, un tās mērķis ir nodrošināt datu uzglabāšanu un apriti starp publiskās pārvaldes institūcijām, kontroles institūcijām un būvniecības dalībniekiem, kā arī sabiedrības iesaisti būvniecības procesā. Būvniecības informācijas sistēmas pārzinis un turētājs ir birojs. Mājas lietas vai būves ekspluatācijas lietas izveide un informācijas pieejamības nodrošināšana Tieslietu ministrijas ieskatā ir ārpus šī likumā noteiktā BIS darbības ietvara. BIS kā darba vide būvniecības procesa nodrošināšanai un uzraudzīšanai normatīvajos aktos noteiktajām institūcijām un speciālistiem ir atbalstāma, bet tajā uzkrāto datu, kas tiek saņemti no citām valsts informācijas sistēmām, izplatīšana trešajām personām nav atbalstāma, jo ir pretrunā Valsts informācijas sistēmu likuma 8. pantā noteiktajām valsts informācijas sistēmas turētāja funkcijām attiecībā uz datu apstrādi, tai skaitā publicēšanu</w:t>
            </w:r>
            <w:r w:rsidR="00E92877">
              <w:t>.</w:t>
            </w:r>
          </w:p>
          <w:p w:rsidR="0098399A" w:rsidRPr="00F6780F" w:rsidRDefault="0098399A" w:rsidP="00F6780F">
            <w:pPr>
              <w:pStyle w:val="naisc"/>
              <w:spacing w:before="0" w:after="0"/>
              <w:rPr>
                <w:b/>
              </w:rPr>
            </w:pPr>
          </w:p>
        </w:tc>
        <w:tc>
          <w:tcPr>
            <w:tcW w:w="3293" w:type="dxa"/>
            <w:gridSpan w:val="2"/>
            <w:tcBorders>
              <w:left w:val="single" w:sz="6" w:space="0" w:color="000000"/>
              <w:bottom w:val="single" w:sz="4" w:space="0" w:color="auto"/>
              <w:right w:val="single" w:sz="6" w:space="0" w:color="000000"/>
            </w:tcBorders>
          </w:tcPr>
          <w:p w:rsidR="0098399A" w:rsidRPr="00476EF9" w:rsidRDefault="0098399A" w:rsidP="001141B4">
            <w:pPr>
              <w:jc w:val="center"/>
              <w:rPr>
                <w:b/>
              </w:rPr>
            </w:pPr>
            <w:r>
              <w:rPr>
                <w:b/>
              </w:rPr>
              <w:lastRenderedPageBreak/>
              <w:t>Ņ</w:t>
            </w:r>
            <w:r w:rsidRPr="00476EF9">
              <w:rPr>
                <w:b/>
              </w:rPr>
              <w:t>emts vērā</w:t>
            </w:r>
          </w:p>
          <w:p w:rsidR="00F50CAC" w:rsidRPr="004E0712" w:rsidRDefault="0098399A" w:rsidP="00F50CAC">
            <w:pPr>
              <w:spacing w:after="60"/>
              <w:jc w:val="both"/>
            </w:pPr>
            <w:r w:rsidRPr="004E0712">
              <w:t>BVKB un pašvaldības būvval</w:t>
            </w:r>
            <w:r>
              <w:t>des</w:t>
            </w:r>
            <w:r w:rsidRPr="004E0712">
              <w:t xml:space="preserve"> funkcij</w:t>
            </w:r>
            <w:r>
              <w:t>ās ietilpst</w:t>
            </w:r>
            <w:r w:rsidRPr="004E0712">
              <w:t xml:space="preserve"> būvju ekspluatācijas uzraudzība.</w:t>
            </w:r>
            <w:r>
              <w:t xml:space="preserve"> </w:t>
            </w:r>
            <w:r w:rsidR="00F50CAC" w:rsidRPr="004E0712">
              <w:t xml:space="preserve">Būvniecības likuma 21.pants regulē būves ekspluatācijas uzraudzības ietvaros veicamās darbības. Savukārt Ministru kabineta 2015.gada 30.jūnija noteikumu Nr.337 “Noteikumi par Latvijas būvnormatīvu LBN 405-15 “Būvju tehniskā apsekošana”” precizē gadījumus, kad būvju ekspluatācijas laikā jāveic to tehniskā apsekošana. Saskaņā ar noteikumu 2.punktu būves apsekošanas mērķis ir noteikt būves atbilstību Būvniecības likuma 9.pantā minētajām būvei būtiskām prasībām. </w:t>
            </w:r>
          </w:p>
          <w:p w:rsidR="00F50CAC" w:rsidRPr="004E0712" w:rsidRDefault="00F50CAC" w:rsidP="00F50CAC">
            <w:pPr>
              <w:jc w:val="both"/>
            </w:pPr>
            <w:r w:rsidRPr="004E0712">
              <w:t xml:space="preserve">Dzīvojamo māju pārvaldīšanas likuma 6.panta otrās daļas 1.punkta d) apakšpunkts noteic, ka dzīvojamās mājas, tajā esošo iekārtu un komunikāciju apsekošana ir viena no </w:t>
            </w:r>
            <w:r w:rsidRPr="004E0712">
              <w:lastRenderedPageBreak/>
              <w:t>dzīvojamās mājas obligāti veicamām pārvaldīšanas darbībām. Ministru kabineta 2010.gada 28.septembra noteikumi Nr.907 “Noteikumi par dzīvojamās mājas apsekošanu, tehnisko apkopi, kārtējo remontu un energoefektivitātes minimālajam prasībām” detalizēti regulē tieši dzīvojamo māju apsekošanas kārtību</w:t>
            </w:r>
            <w:r>
              <w:t xml:space="preserve"> un pārvaldnieka pienākumus šajā procesā</w:t>
            </w:r>
            <w:r w:rsidRPr="004E0712">
              <w:t>.</w:t>
            </w:r>
          </w:p>
          <w:p w:rsidR="0098399A" w:rsidRPr="00712B66" w:rsidRDefault="00F50CAC" w:rsidP="00F50CAC">
            <w:pPr>
              <w:spacing w:after="60"/>
              <w:jc w:val="both"/>
            </w:pPr>
            <w:r w:rsidRPr="004E0712">
              <w:t xml:space="preserve">Līdz ar to būves ekspluatācijas uzraudzības lietā, kuras ietvaros </w:t>
            </w:r>
            <w:r>
              <w:t>tiks</w:t>
            </w:r>
            <w:r w:rsidRPr="004E0712">
              <w:t xml:space="preserve"> izstrādāts arī dzīvojamās mājas pārvaldīšanas rīks</w:t>
            </w:r>
            <w:r>
              <w:t xml:space="preserve"> (ar iespēju pievienot pārvaldnieka veiktus ikgadējās profilaktiskās apsekošanas rezultātus)</w:t>
            </w:r>
            <w:r w:rsidRPr="004E0712">
              <w:t>, vienkopus būs apkopota informācija par būve</w:t>
            </w:r>
            <w:r>
              <w:t>i veikto</w:t>
            </w:r>
            <w:r w:rsidRPr="004E0712">
              <w:t xml:space="preserve"> tehnisko </w:t>
            </w:r>
            <w:r>
              <w:t xml:space="preserve">apsekošanu, būvspeciālista konstatētajiem bojājumiem un ieteikumiem būves atjaunošanas, pārbūves vai restaurācijas darbu veikšanā, kā arī secinājumi par būves </w:t>
            </w:r>
            <w:r w:rsidRPr="004E0712">
              <w:t xml:space="preserve">drošumu un </w:t>
            </w:r>
            <w:r>
              <w:t xml:space="preserve">tās </w:t>
            </w:r>
            <w:r w:rsidRPr="004E0712">
              <w:t xml:space="preserve">atbilstību Būvniecības likuma 9.pantā būvei noteiktajām būtiskām prasībām. </w:t>
            </w:r>
          </w:p>
        </w:tc>
        <w:tc>
          <w:tcPr>
            <w:tcW w:w="3261" w:type="dxa"/>
            <w:tcBorders>
              <w:top w:val="single" w:sz="4" w:space="0" w:color="auto"/>
              <w:left w:val="single" w:sz="4" w:space="0" w:color="auto"/>
              <w:bottom w:val="single" w:sz="4" w:space="0" w:color="auto"/>
            </w:tcBorders>
          </w:tcPr>
          <w:p w:rsidR="00B662DF" w:rsidRPr="00B662DF" w:rsidRDefault="00B662DF" w:rsidP="00B662DF">
            <w:pPr>
              <w:jc w:val="center"/>
              <w:rPr>
                <w:b/>
              </w:rPr>
            </w:pPr>
            <w:r>
              <w:rPr>
                <w:b/>
              </w:rPr>
              <w:lastRenderedPageBreak/>
              <w:t xml:space="preserve">Ministru kabineta sēdes </w:t>
            </w:r>
            <w:proofErr w:type="spellStart"/>
            <w:r>
              <w:rPr>
                <w:b/>
              </w:rPr>
              <w:t>protokollēmuma</w:t>
            </w:r>
            <w:proofErr w:type="spellEnd"/>
            <w:r>
              <w:rPr>
                <w:b/>
              </w:rPr>
              <w:t xml:space="preserve"> projekts</w:t>
            </w:r>
          </w:p>
          <w:p w:rsidR="00B662DF" w:rsidRDefault="00B662DF" w:rsidP="00B662DF">
            <w:pPr>
              <w:jc w:val="both"/>
            </w:pPr>
          </w:p>
          <w:p w:rsidR="00B662DF" w:rsidRDefault="00B662DF" w:rsidP="00B662DF">
            <w:pPr>
              <w:jc w:val="both"/>
            </w:pPr>
            <w:r>
              <w:t xml:space="preserve">Pievienots </w:t>
            </w:r>
            <w:r w:rsidRPr="00B662DF">
              <w:t>Ministru kabineta s</w:t>
            </w:r>
            <w:r>
              <w:t xml:space="preserve">ēdes </w:t>
            </w:r>
            <w:proofErr w:type="spellStart"/>
            <w:r>
              <w:t>protokollēmuma</w:t>
            </w:r>
            <w:proofErr w:type="spellEnd"/>
            <w:r>
              <w:t xml:space="preserve"> projekts, kurā 3.punkt</w:t>
            </w:r>
            <w:r w:rsidR="00C4698E">
              <w:t>ā</w:t>
            </w:r>
            <w:r>
              <w:t xml:space="preserve"> noteikts:</w:t>
            </w:r>
          </w:p>
          <w:p w:rsidR="00B662DF" w:rsidRDefault="00B662DF" w:rsidP="00B662DF">
            <w:pPr>
              <w:jc w:val="both"/>
            </w:pPr>
            <w:r>
              <w:t>“</w:t>
            </w:r>
            <w:r w:rsidRPr="00B662DF">
              <w:t>3. Noteikt, ka Būvniecības procesu un IS attīstības (2.kārta) projekta  īstenošanā, veidojot Būvniecības informācijas sistēmā uzturamo datu kopas, tiks respektēti datu sākotnējās izcelsmes nosacījumi, proti, netiks pieļauta ar citās informācijas sistēmās esošiem datiem vienādas precizitātes un nozīmes datu paralēlā iegūšana un uzturēšana.</w:t>
            </w:r>
            <w:r>
              <w:t>”</w:t>
            </w:r>
          </w:p>
          <w:p w:rsidR="00B662DF" w:rsidRDefault="00B662DF" w:rsidP="00FD5306">
            <w:pPr>
              <w:jc w:val="center"/>
              <w:rPr>
                <w:b/>
              </w:rPr>
            </w:pPr>
          </w:p>
          <w:p w:rsidR="0098399A" w:rsidRPr="00712B66" w:rsidRDefault="0098399A" w:rsidP="0098399A">
            <w:pPr>
              <w:jc w:val="both"/>
            </w:pPr>
          </w:p>
        </w:tc>
      </w:tr>
      <w:tr w:rsidR="009007B4" w:rsidRPr="00712B66" w:rsidTr="00F50CAC">
        <w:tblPrEx>
          <w:tblBorders>
            <w:top w:val="none" w:sz="0" w:space="0" w:color="auto"/>
            <w:left w:val="none" w:sz="0" w:space="0" w:color="auto"/>
            <w:bottom w:val="none" w:sz="0" w:space="0" w:color="auto"/>
            <w:right w:val="none" w:sz="0" w:space="0" w:color="auto"/>
          </w:tblBorders>
        </w:tblPrEx>
        <w:trPr>
          <w:gridAfter w:val="2"/>
          <w:wAfter w:w="5433" w:type="dxa"/>
          <w:trHeight w:val="339"/>
        </w:trPr>
        <w:tc>
          <w:tcPr>
            <w:tcW w:w="3082" w:type="dxa"/>
            <w:gridSpan w:val="2"/>
          </w:tcPr>
          <w:p w:rsidR="000C1D1E" w:rsidRDefault="000C1D1E" w:rsidP="009007B4">
            <w:pPr>
              <w:pStyle w:val="naiskr"/>
              <w:spacing w:before="0" w:after="0"/>
            </w:pPr>
          </w:p>
          <w:p w:rsidR="009007B4" w:rsidRPr="00712B66" w:rsidRDefault="009007B4" w:rsidP="009007B4">
            <w:pPr>
              <w:pStyle w:val="naiskr"/>
              <w:spacing w:before="0" w:after="0"/>
            </w:pPr>
            <w:r w:rsidRPr="00712B66">
              <w:t>Atbildīgā amatpersona</w:t>
            </w:r>
          </w:p>
        </w:tc>
        <w:tc>
          <w:tcPr>
            <w:tcW w:w="6227" w:type="dxa"/>
            <w:gridSpan w:val="3"/>
          </w:tcPr>
          <w:p w:rsidR="009007B4" w:rsidRPr="00712B66" w:rsidRDefault="009007B4" w:rsidP="009007B4">
            <w:pPr>
              <w:pStyle w:val="naiskr"/>
              <w:spacing w:before="0" w:after="0"/>
              <w:ind w:firstLine="720"/>
            </w:pPr>
            <w:r w:rsidRPr="00712B66">
              <w:t>  </w:t>
            </w:r>
          </w:p>
        </w:tc>
      </w:tr>
      <w:tr w:rsidR="009007B4" w:rsidRPr="00712B66" w:rsidTr="00AC14D0">
        <w:tblPrEx>
          <w:tblBorders>
            <w:top w:val="none" w:sz="0" w:space="0" w:color="auto"/>
            <w:left w:val="none" w:sz="0" w:space="0" w:color="auto"/>
            <w:bottom w:val="none" w:sz="0" w:space="0" w:color="auto"/>
            <w:right w:val="none" w:sz="0" w:space="0" w:color="auto"/>
          </w:tblBorders>
        </w:tblPrEx>
        <w:trPr>
          <w:gridAfter w:val="2"/>
          <w:wAfter w:w="5433" w:type="dxa"/>
        </w:trPr>
        <w:tc>
          <w:tcPr>
            <w:tcW w:w="3082" w:type="dxa"/>
            <w:gridSpan w:val="2"/>
          </w:tcPr>
          <w:p w:rsidR="009007B4" w:rsidRPr="00712B66" w:rsidRDefault="009007B4" w:rsidP="009007B4">
            <w:pPr>
              <w:pStyle w:val="naiskr"/>
              <w:spacing w:before="0" w:after="0"/>
              <w:ind w:firstLine="720"/>
            </w:pPr>
          </w:p>
        </w:tc>
        <w:tc>
          <w:tcPr>
            <w:tcW w:w="6227" w:type="dxa"/>
            <w:gridSpan w:val="3"/>
            <w:tcBorders>
              <w:top w:val="single" w:sz="6" w:space="0" w:color="000000"/>
            </w:tcBorders>
          </w:tcPr>
          <w:p w:rsidR="009007B4" w:rsidRPr="00712B66" w:rsidRDefault="009007B4" w:rsidP="009007B4">
            <w:pPr>
              <w:pStyle w:val="naisc"/>
              <w:spacing w:before="0" w:after="0"/>
              <w:ind w:firstLine="720"/>
            </w:pPr>
            <w:r w:rsidRPr="00712B66">
              <w:t>(paraksts*)</w:t>
            </w:r>
          </w:p>
        </w:tc>
      </w:tr>
    </w:tbl>
    <w:p w:rsidR="000C1D1E" w:rsidRDefault="000C1D1E" w:rsidP="00320D2B">
      <w:pPr>
        <w:pStyle w:val="naisf"/>
        <w:spacing w:before="0" w:after="0"/>
        <w:ind w:firstLine="0"/>
      </w:pPr>
    </w:p>
    <w:p w:rsidR="00317DC7" w:rsidRPr="00712B66" w:rsidRDefault="00184479" w:rsidP="00320D2B">
      <w:pPr>
        <w:pStyle w:val="naisf"/>
        <w:spacing w:before="0" w:after="0"/>
        <w:ind w:firstLine="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3F1BEF" w:rsidRDefault="003F1BEF" w:rsidP="008025A9">
      <w:pPr>
        <w:pStyle w:val="naisf"/>
        <w:spacing w:before="0" w:after="0"/>
        <w:ind w:firstLine="0"/>
      </w:pPr>
    </w:p>
    <w:p w:rsidR="00D46F5E" w:rsidRDefault="00D46F5E" w:rsidP="008025A9">
      <w:pPr>
        <w:pStyle w:val="naisf"/>
        <w:spacing w:before="0" w:after="0"/>
        <w:ind w:firstLine="0"/>
      </w:pPr>
      <w:r>
        <w:t>Olga Feldmane</w:t>
      </w:r>
    </w:p>
    <w:p w:rsidR="00DC4C50" w:rsidRDefault="00D46F5E" w:rsidP="008025A9">
      <w:pPr>
        <w:pStyle w:val="naisf"/>
        <w:spacing w:before="0" w:after="0"/>
        <w:ind w:firstLine="0"/>
      </w:pPr>
      <w:r>
        <w:t xml:space="preserve">Ekonomikas ministrijas </w:t>
      </w:r>
    </w:p>
    <w:p w:rsidR="00D46F5E" w:rsidRDefault="00D46F5E" w:rsidP="008025A9">
      <w:pPr>
        <w:pStyle w:val="naisf"/>
        <w:spacing w:before="0" w:after="0"/>
        <w:ind w:firstLine="0"/>
      </w:pPr>
      <w:r>
        <w:t>Būvniecības politikas departamenta</w:t>
      </w:r>
      <w:r w:rsidR="00DC4C50">
        <w:t xml:space="preserve"> direktore</w:t>
      </w:r>
    </w:p>
    <w:p w:rsidR="00DC4C50" w:rsidRPr="00320D2B" w:rsidRDefault="00320D2B" w:rsidP="008025A9">
      <w:pPr>
        <w:pStyle w:val="naisf"/>
        <w:spacing w:before="0" w:after="0"/>
        <w:ind w:firstLine="0"/>
      </w:pPr>
      <w:r w:rsidRPr="00320D2B">
        <w:t xml:space="preserve">Tālrunis: </w:t>
      </w:r>
      <w:r w:rsidR="00DC4C50" w:rsidRPr="00320D2B">
        <w:t>67013</w:t>
      </w:r>
      <w:r w:rsidRPr="00320D2B">
        <w:rPr>
          <w:shd w:val="clear" w:color="auto" w:fill="FFFFFF"/>
        </w:rPr>
        <w:t>257, fakss: 67280882</w:t>
      </w:r>
    </w:p>
    <w:p w:rsidR="007116C7" w:rsidRDefault="00DC4C50" w:rsidP="00323AC0">
      <w:pPr>
        <w:pStyle w:val="naisf"/>
        <w:spacing w:before="0" w:after="0"/>
        <w:ind w:firstLine="0"/>
        <w:rPr>
          <w:sz w:val="28"/>
          <w:szCs w:val="28"/>
        </w:rPr>
      </w:pPr>
      <w:r>
        <w:t>olga.feldmane@em.gov.lv</w:t>
      </w:r>
    </w:p>
    <w:sectPr w:rsidR="007116C7"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78C" w:rsidRDefault="0068678C">
      <w:r>
        <w:separator/>
      </w:r>
    </w:p>
  </w:endnote>
  <w:endnote w:type="continuationSeparator" w:id="0">
    <w:p w:rsidR="0068678C" w:rsidRDefault="0068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6F" w:rsidRPr="00015C84" w:rsidRDefault="000F6F6F" w:rsidP="000F6F6F">
    <w:pPr>
      <w:pStyle w:val="Footer"/>
      <w:rPr>
        <w:sz w:val="20"/>
        <w:szCs w:val="20"/>
      </w:rPr>
    </w:pPr>
    <w:r>
      <w:rPr>
        <w:sz w:val="20"/>
        <w:szCs w:val="20"/>
      </w:rPr>
      <w:t>EM</w:t>
    </w:r>
    <w:r w:rsidRPr="00015C84">
      <w:rPr>
        <w:sz w:val="20"/>
        <w:szCs w:val="20"/>
      </w:rPr>
      <w:t>izz_</w:t>
    </w:r>
    <w:r w:rsidR="00DE1A51">
      <w:rPr>
        <w:sz w:val="20"/>
        <w:szCs w:val="20"/>
      </w:rPr>
      <w:t>14</w:t>
    </w:r>
    <w:r w:rsidR="00112195">
      <w:rPr>
        <w:sz w:val="20"/>
        <w:szCs w:val="20"/>
      </w:rPr>
      <w:t>0</w:t>
    </w:r>
    <w:r w:rsidR="00383161">
      <w:rPr>
        <w:sz w:val="20"/>
        <w:szCs w:val="20"/>
      </w:rPr>
      <w:t>6</w:t>
    </w:r>
    <w:r>
      <w:rPr>
        <w:sz w:val="20"/>
        <w:szCs w:val="20"/>
      </w:rPr>
      <w:t>19</w:t>
    </w:r>
    <w:r w:rsidRPr="00015C84">
      <w:rPr>
        <w:sz w:val="20"/>
        <w:szCs w:val="20"/>
      </w:rPr>
      <w:t>_</w:t>
    </w:r>
    <w:r>
      <w:rPr>
        <w:sz w:val="20"/>
        <w:szCs w:val="20"/>
      </w:rPr>
      <w:t>BISII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015C84" w:rsidRDefault="007844B6" w:rsidP="00364BB6">
    <w:pPr>
      <w:pStyle w:val="Footer"/>
      <w:rPr>
        <w:sz w:val="20"/>
        <w:szCs w:val="20"/>
      </w:rPr>
    </w:pPr>
    <w:bookmarkStart w:id="5" w:name="_Hlk7097689"/>
    <w:bookmarkStart w:id="6" w:name="_Hlk7097690"/>
    <w:r>
      <w:rPr>
        <w:sz w:val="20"/>
        <w:szCs w:val="20"/>
      </w:rPr>
      <w:t>EM</w:t>
    </w:r>
    <w:r w:rsidR="00015C84" w:rsidRPr="00015C84">
      <w:rPr>
        <w:sz w:val="20"/>
        <w:szCs w:val="20"/>
      </w:rPr>
      <w:t>izz_</w:t>
    </w:r>
    <w:r w:rsidR="00DE1A51">
      <w:rPr>
        <w:sz w:val="20"/>
        <w:szCs w:val="20"/>
      </w:rPr>
      <w:t>14</w:t>
    </w:r>
    <w:r>
      <w:rPr>
        <w:sz w:val="20"/>
        <w:szCs w:val="20"/>
      </w:rPr>
      <w:t>0</w:t>
    </w:r>
    <w:r w:rsidR="00383161">
      <w:rPr>
        <w:sz w:val="20"/>
        <w:szCs w:val="20"/>
      </w:rPr>
      <w:t>6</w:t>
    </w:r>
    <w:r>
      <w:rPr>
        <w:sz w:val="20"/>
        <w:szCs w:val="20"/>
      </w:rPr>
      <w:t>19</w:t>
    </w:r>
    <w:r w:rsidR="00015C84" w:rsidRPr="00015C84">
      <w:rPr>
        <w:sz w:val="20"/>
        <w:szCs w:val="20"/>
      </w:rPr>
      <w:t>_</w:t>
    </w:r>
    <w:r>
      <w:rPr>
        <w:sz w:val="20"/>
        <w:szCs w:val="20"/>
      </w:rPr>
      <w:t>BISII</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78C" w:rsidRDefault="0068678C">
      <w:r>
        <w:separator/>
      </w:r>
    </w:p>
  </w:footnote>
  <w:footnote w:type="continuationSeparator" w:id="0">
    <w:p w:rsidR="0068678C" w:rsidRDefault="0068678C">
      <w:r>
        <w:continuationSeparator/>
      </w:r>
    </w:p>
  </w:footnote>
  <w:footnote w:id="1">
    <w:p w:rsidR="00025FE0" w:rsidRPr="00DE6407" w:rsidRDefault="00025FE0" w:rsidP="007F240F">
      <w:pPr>
        <w:pStyle w:val="FootnoteText"/>
      </w:pPr>
      <w:r w:rsidRPr="00DE6407">
        <w:rPr>
          <w:rStyle w:val="FootnoteReference"/>
        </w:rPr>
        <w:footnoteRef/>
      </w:r>
      <w:r w:rsidRPr="00DE6407">
        <w:t xml:space="preserve"> Ministru kabineta 2017.gada 10.augusta rīkojums Nr.422 “Par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un 2.2.1.2.pasākuma “Kultūras mantojuma digitalizācija” projektu iesniegumu atlases 2.kārtas projektu sarakstu Eiropas Savienības fondu</w:t>
      </w:r>
      <w:r>
        <w:t xml:space="preserve"> </w:t>
      </w:r>
      <w:r w:rsidRPr="00DE6407">
        <w:t>2014.–2020. gada plānošanas periodam”</w:t>
      </w:r>
      <w:r>
        <w:t>.</w:t>
      </w:r>
    </w:p>
  </w:footnote>
  <w:footnote w:id="2">
    <w:p w:rsidR="00025FE0" w:rsidRPr="000F7C93" w:rsidRDefault="00025FE0" w:rsidP="00C37ACD">
      <w:pPr>
        <w:pStyle w:val="FootnoteText"/>
      </w:pPr>
      <w:r w:rsidRPr="000F7C93">
        <w:rPr>
          <w:rStyle w:val="FootnoteReference"/>
        </w:rPr>
        <w:footnoteRef/>
      </w:r>
      <w:r w:rsidRPr="000F7C93">
        <w:t xml:space="preserve"> Darbības programma</w:t>
      </w:r>
      <w:r>
        <w:t>s</w:t>
      </w:r>
      <w:r w:rsidRPr="000F7C93">
        <w:t xml:space="preserve"> “Izaugsme un nodarbinātība” 2.2.1.1.pasākuma “Centralizētu publiskās pārvaldes IKT platformu izveide, publiskās pārvaldes procesu optimizēšana un attīstība” projekts Nr.2.2.1.1/16/I/001 “Publiskās pārvaldes informācijas un komunikāciju tehnoloģiju arhitektūras pārvaldības sistēma (PIKTAPS)”</w:t>
      </w:r>
      <w:r>
        <w:t>.</w:t>
      </w:r>
    </w:p>
  </w:footnote>
  <w:footnote w:id="3">
    <w:p w:rsidR="00025FE0" w:rsidRPr="000F7C93" w:rsidRDefault="00025FE0" w:rsidP="00C37ACD">
      <w:pPr>
        <w:pStyle w:val="FootnoteText"/>
      </w:pPr>
      <w:r w:rsidRPr="000F7C93">
        <w:rPr>
          <w:rStyle w:val="FootnoteReference"/>
        </w:rPr>
        <w:footnoteRef/>
      </w:r>
      <w:r w:rsidRPr="000F7C93">
        <w:t xml:space="preserve"> Darbības programma</w:t>
      </w:r>
      <w:r>
        <w:t>s</w:t>
      </w:r>
      <w:r w:rsidRPr="000F7C93">
        <w:t xml:space="preserve"> “Izaugsme un nodarbinātība” 2.2.1.1.pasākuma “Centralizētu publiskās pārvaldes IKT platformu izveide, publiskās pārvaldes procesu optimizēšana un attīstība” projekts Nr.2.2.1.1/19/I/002 “Publiskās pārvaldes informācijas un komunikāciju tehnoloģiju arhitektūras pārvaldības sistēma 2.kārta (PIKTAPS 2)”</w:t>
      </w:r>
      <w:r>
        <w:t>.</w:t>
      </w:r>
    </w:p>
  </w:footnote>
  <w:footnote w:id="4">
    <w:p w:rsidR="00025FE0" w:rsidRDefault="00025FE0" w:rsidP="00C37ACD">
      <w:pPr>
        <w:pStyle w:val="FootnoteText"/>
      </w:pPr>
      <w:r w:rsidRPr="000F7C93">
        <w:rPr>
          <w:rStyle w:val="FootnoteReference"/>
        </w:rPr>
        <w:footnoteRef/>
      </w:r>
      <w:r w:rsidRPr="000F7C93">
        <w:t xml:space="preserve"> Darbības programma</w:t>
      </w:r>
      <w:r>
        <w:t>s</w:t>
      </w:r>
      <w:r w:rsidRPr="000F7C93">
        <w:t xml:space="preserve"> “Izaugsme un nodarbinātība” 2.2.1.1.pasākuma “Centralizētu publiskās pārvaldes IKT platformu izveide, publiskās pārvaldes procesu optimizēšana un attīstība” projekts Nr. 2.2.1.1/17/I/015 “Pakalpojumu sniegšanas un pārvaldības platforma”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EB8F682">
      <w:start w:val="1"/>
      <w:numFmt w:val="bullet"/>
      <w:lvlText w:val=""/>
      <w:lvlJc w:val="left"/>
      <w:pPr>
        <w:tabs>
          <w:tab w:val="num" w:pos="720"/>
        </w:tabs>
        <w:ind w:left="720" w:hanging="360"/>
      </w:pPr>
      <w:rPr>
        <w:rFonts w:ascii="Symbol" w:hAnsi="Symbol"/>
      </w:rPr>
    </w:lvl>
    <w:lvl w:ilvl="1" w:tplc="7B8296B4">
      <w:start w:val="1"/>
      <w:numFmt w:val="bullet"/>
      <w:lvlText w:val="o"/>
      <w:lvlJc w:val="left"/>
      <w:pPr>
        <w:tabs>
          <w:tab w:val="num" w:pos="1440"/>
        </w:tabs>
        <w:ind w:left="1440" w:hanging="360"/>
      </w:pPr>
      <w:rPr>
        <w:rFonts w:ascii="Courier New" w:hAnsi="Courier New"/>
      </w:rPr>
    </w:lvl>
    <w:lvl w:ilvl="2" w:tplc="FCB69A3A">
      <w:start w:val="1"/>
      <w:numFmt w:val="bullet"/>
      <w:lvlText w:val=""/>
      <w:lvlJc w:val="left"/>
      <w:pPr>
        <w:tabs>
          <w:tab w:val="num" w:pos="2160"/>
        </w:tabs>
        <w:ind w:left="2160" w:hanging="360"/>
      </w:pPr>
      <w:rPr>
        <w:rFonts w:ascii="Wingdings" w:hAnsi="Wingdings"/>
      </w:rPr>
    </w:lvl>
    <w:lvl w:ilvl="3" w:tplc="4190AB8E">
      <w:start w:val="1"/>
      <w:numFmt w:val="bullet"/>
      <w:lvlText w:val=""/>
      <w:lvlJc w:val="left"/>
      <w:pPr>
        <w:tabs>
          <w:tab w:val="num" w:pos="2880"/>
        </w:tabs>
        <w:ind w:left="2880" w:hanging="360"/>
      </w:pPr>
      <w:rPr>
        <w:rFonts w:ascii="Symbol" w:hAnsi="Symbol"/>
      </w:rPr>
    </w:lvl>
    <w:lvl w:ilvl="4" w:tplc="15F0FE8C">
      <w:start w:val="1"/>
      <w:numFmt w:val="bullet"/>
      <w:lvlText w:val="o"/>
      <w:lvlJc w:val="left"/>
      <w:pPr>
        <w:tabs>
          <w:tab w:val="num" w:pos="3600"/>
        </w:tabs>
        <w:ind w:left="3600" w:hanging="360"/>
      </w:pPr>
      <w:rPr>
        <w:rFonts w:ascii="Courier New" w:hAnsi="Courier New"/>
      </w:rPr>
    </w:lvl>
    <w:lvl w:ilvl="5" w:tplc="C9CE5F10">
      <w:start w:val="1"/>
      <w:numFmt w:val="bullet"/>
      <w:lvlText w:val=""/>
      <w:lvlJc w:val="left"/>
      <w:pPr>
        <w:tabs>
          <w:tab w:val="num" w:pos="4320"/>
        </w:tabs>
        <w:ind w:left="4320" w:hanging="360"/>
      </w:pPr>
      <w:rPr>
        <w:rFonts w:ascii="Wingdings" w:hAnsi="Wingdings"/>
      </w:rPr>
    </w:lvl>
    <w:lvl w:ilvl="6" w:tplc="86C489E2">
      <w:start w:val="1"/>
      <w:numFmt w:val="bullet"/>
      <w:lvlText w:val=""/>
      <w:lvlJc w:val="left"/>
      <w:pPr>
        <w:tabs>
          <w:tab w:val="num" w:pos="5040"/>
        </w:tabs>
        <w:ind w:left="5040" w:hanging="360"/>
      </w:pPr>
      <w:rPr>
        <w:rFonts w:ascii="Symbol" w:hAnsi="Symbol"/>
      </w:rPr>
    </w:lvl>
    <w:lvl w:ilvl="7" w:tplc="38AA470C">
      <w:start w:val="1"/>
      <w:numFmt w:val="bullet"/>
      <w:lvlText w:val="o"/>
      <w:lvlJc w:val="left"/>
      <w:pPr>
        <w:tabs>
          <w:tab w:val="num" w:pos="5760"/>
        </w:tabs>
        <w:ind w:left="5760" w:hanging="360"/>
      </w:pPr>
      <w:rPr>
        <w:rFonts w:ascii="Courier New" w:hAnsi="Courier New"/>
      </w:rPr>
    </w:lvl>
    <w:lvl w:ilvl="8" w:tplc="10F0499A">
      <w:start w:val="1"/>
      <w:numFmt w:val="bullet"/>
      <w:lvlText w:val=""/>
      <w:lvlJc w:val="left"/>
      <w:pPr>
        <w:tabs>
          <w:tab w:val="num" w:pos="6480"/>
        </w:tabs>
        <w:ind w:left="6480" w:hanging="360"/>
      </w:pPr>
      <w:rPr>
        <w:rFonts w:ascii="Wingdings" w:hAnsi="Wingdings"/>
      </w:rPr>
    </w:lvl>
  </w:abstractNum>
  <w:abstractNum w:abstractNumId="1" w15:restartNumberingAfterBreak="0">
    <w:nsid w:val="06C55995"/>
    <w:multiLevelType w:val="hybridMultilevel"/>
    <w:tmpl w:val="F3A0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74273"/>
    <w:multiLevelType w:val="multilevel"/>
    <w:tmpl w:val="F244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A402F"/>
    <w:multiLevelType w:val="hybridMultilevel"/>
    <w:tmpl w:val="3926F608"/>
    <w:lvl w:ilvl="0" w:tplc="D1E4B9E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2F243035"/>
    <w:multiLevelType w:val="hybridMultilevel"/>
    <w:tmpl w:val="254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A375A"/>
    <w:multiLevelType w:val="hybridMultilevel"/>
    <w:tmpl w:val="FE84AAFA"/>
    <w:lvl w:ilvl="0" w:tplc="207808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E4F97"/>
    <w:multiLevelType w:val="hybridMultilevel"/>
    <w:tmpl w:val="545A86D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9C140C5"/>
    <w:multiLevelType w:val="hybridMultilevel"/>
    <w:tmpl w:val="03F8C16E"/>
    <w:lvl w:ilvl="0" w:tplc="04260017">
      <w:start w:val="1"/>
      <w:numFmt w:val="lowerLetter"/>
      <w:lvlText w:val="%1)"/>
      <w:lvlJc w:val="left"/>
      <w:pPr>
        <w:ind w:left="107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4A21AC"/>
    <w:multiLevelType w:val="hybridMultilevel"/>
    <w:tmpl w:val="DC181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E30026"/>
    <w:multiLevelType w:val="hybridMultilevel"/>
    <w:tmpl w:val="02606B14"/>
    <w:lvl w:ilvl="0" w:tplc="55F8912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DE3780"/>
    <w:multiLevelType w:val="hybridMultilevel"/>
    <w:tmpl w:val="E4F66C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F8B7383"/>
    <w:multiLevelType w:val="hybridMultilevel"/>
    <w:tmpl w:val="DBA87A2C"/>
    <w:lvl w:ilvl="0" w:tplc="0426000F">
      <w:start w:val="1"/>
      <w:numFmt w:val="decimal"/>
      <w:lvlText w:val="%1."/>
      <w:lvlJc w:val="left"/>
      <w:pPr>
        <w:ind w:left="730" w:hanging="360"/>
      </w:pPr>
    </w:lvl>
    <w:lvl w:ilvl="1" w:tplc="04260019" w:tentative="1">
      <w:start w:val="1"/>
      <w:numFmt w:val="lowerLetter"/>
      <w:lvlText w:val="%2."/>
      <w:lvlJc w:val="left"/>
      <w:pPr>
        <w:ind w:left="1450" w:hanging="360"/>
      </w:pPr>
    </w:lvl>
    <w:lvl w:ilvl="2" w:tplc="0426001B" w:tentative="1">
      <w:start w:val="1"/>
      <w:numFmt w:val="lowerRoman"/>
      <w:lvlText w:val="%3."/>
      <w:lvlJc w:val="right"/>
      <w:pPr>
        <w:ind w:left="2170" w:hanging="180"/>
      </w:pPr>
    </w:lvl>
    <w:lvl w:ilvl="3" w:tplc="0426000F" w:tentative="1">
      <w:start w:val="1"/>
      <w:numFmt w:val="decimal"/>
      <w:lvlText w:val="%4."/>
      <w:lvlJc w:val="left"/>
      <w:pPr>
        <w:ind w:left="2890" w:hanging="360"/>
      </w:pPr>
    </w:lvl>
    <w:lvl w:ilvl="4" w:tplc="04260019" w:tentative="1">
      <w:start w:val="1"/>
      <w:numFmt w:val="lowerLetter"/>
      <w:lvlText w:val="%5."/>
      <w:lvlJc w:val="left"/>
      <w:pPr>
        <w:ind w:left="3610" w:hanging="360"/>
      </w:pPr>
    </w:lvl>
    <w:lvl w:ilvl="5" w:tplc="0426001B" w:tentative="1">
      <w:start w:val="1"/>
      <w:numFmt w:val="lowerRoman"/>
      <w:lvlText w:val="%6."/>
      <w:lvlJc w:val="right"/>
      <w:pPr>
        <w:ind w:left="4330" w:hanging="180"/>
      </w:pPr>
    </w:lvl>
    <w:lvl w:ilvl="6" w:tplc="0426000F" w:tentative="1">
      <w:start w:val="1"/>
      <w:numFmt w:val="decimal"/>
      <w:lvlText w:val="%7."/>
      <w:lvlJc w:val="left"/>
      <w:pPr>
        <w:ind w:left="5050" w:hanging="360"/>
      </w:pPr>
    </w:lvl>
    <w:lvl w:ilvl="7" w:tplc="04260019" w:tentative="1">
      <w:start w:val="1"/>
      <w:numFmt w:val="lowerLetter"/>
      <w:lvlText w:val="%8."/>
      <w:lvlJc w:val="left"/>
      <w:pPr>
        <w:ind w:left="5770" w:hanging="360"/>
      </w:pPr>
    </w:lvl>
    <w:lvl w:ilvl="8" w:tplc="0426001B" w:tentative="1">
      <w:start w:val="1"/>
      <w:numFmt w:val="lowerRoman"/>
      <w:lvlText w:val="%9."/>
      <w:lvlJc w:val="right"/>
      <w:pPr>
        <w:ind w:left="6490" w:hanging="180"/>
      </w:pPr>
    </w:lvl>
  </w:abstractNum>
  <w:abstractNum w:abstractNumId="15" w15:restartNumberingAfterBreak="0">
    <w:nsid w:val="70C75FDD"/>
    <w:multiLevelType w:val="hybridMultilevel"/>
    <w:tmpl w:val="F99207F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2"/>
  </w:num>
  <w:num w:numId="4">
    <w:abstractNumId w:val="11"/>
  </w:num>
  <w:num w:numId="5">
    <w:abstractNumId w:val="8"/>
  </w:num>
  <w:num w:numId="6">
    <w:abstractNumId w:val="3"/>
  </w:num>
  <w:num w:numId="7">
    <w:abstractNumId w:val="14"/>
  </w:num>
  <w:num w:numId="8">
    <w:abstractNumId w:val="7"/>
  </w:num>
  <w:num w:numId="9">
    <w:abstractNumId w:val="10"/>
  </w:num>
  <w:num w:numId="10">
    <w:abstractNumId w:val="4"/>
  </w:num>
  <w:num w:numId="11">
    <w:abstractNumId w:val="0"/>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069F"/>
    <w:rsid w:val="0001118D"/>
    <w:rsid w:val="0001131F"/>
    <w:rsid w:val="00011663"/>
    <w:rsid w:val="0001249F"/>
    <w:rsid w:val="000125C0"/>
    <w:rsid w:val="0001270C"/>
    <w:rsid w:val="000136AA"/>
    <w:rsid w:val="00013B4C"/>
    <w:rsid w:val="00013BF6"/>
    <w:rsid w:val="0001554C"/>
    <w:rsid w:val="00015B94"/>
    <w:rsid w:val="00015C84"/>
    <w:rsid w:val="00015DE5"/>
    <w:rsid w:val="000168FF"/>
    <w:rsid w:val="00016D05"/>
    <w:rsid w:val="000172E2"/>
    <w:rsid w:val="00017449"/>
    <w:rsid w:val="00020249"/>
    <w:rsid w:val="00022338"/>
    <w:rsid w:val="0002296A"/>
    <w:rsid w:val="00022B0F"/>
    <w:rsid w:val="00022B9A"/>
    <w:rsid w:val="00023FD6"/>
    <w:rsid w:val="0002416A"/>
    <w:rsid w:val="00024CCD"/>
    <w:rsid w:val="00024D20"/>
    <w:rsid w:val="000253DB"/>
    <w:rsid w:val="00025FE0"/>
    <w:rsid w:val="000278E7"/>
    <w:rsid w:val="00027A63"/>
    <w:rsid w:val="00027F9D"/>
    <w:rsid w:val="000307B5"/>
    <w:rsid w:val="00031CD5"/>
    <w:rsid w:val="00032457"/>
    <w:rsid w:val="0003413A"/>
    <w:rsid w:val="000349CA"/>
    <w:rsid w:val="0003557A"/>
    <w:rsid w:val="00035C06"/>
    <w:rsid w:val="000366DF"/>
    <w:rsid w:val="000376CD"/>
    <w:rsid w:val="00040A5C"/>
    <w:rsid w:val="00040C6C"/>
    <w:rsid w:val="00043005"/>
    <w:rsid w:val="0004345F"/>
    <w:rsid w:val="00044026"/>
    <w:rsid w:val="0004509B"/>
    <w:rsid w:val="00046075"/>
    <w:rsid w:val="00046CAD"/>
    <w:rsid w:val="00046F5C"/>
    <w:rsid w:val="00047385"/>
    <w:rsid w:val="00050554"/>
    <w:rsid w:val="00053706"/>
    <w:rsid w:val="00053E04"/>
    <w:rsid w:val="00055467"/>
    <w:rsid w:val="000579E6"/>
    <w:rsid w:val="00060E03"/>
    <w:rsid w:val="00063F5E"/>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61E"/>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25F5"/>
    <w:rsid w:val="000A4035"/>
    <w:rsid w:val="000A483A"/>
    <w:rsid w:val="000A55D2"/>
    <w:rsid w:val="000A64D3"/>
    <w:rsid w:val="000A64DC"/>
    <w:rsid w:val="000A77B9"/>
    <w:rsid w:val="000A7EA7"/>
    <w:rsid w:val="000B027E"/>
    <w:rsid w:val="000B0403"/>
    <w:rsid w:val="000B057B"/>
    <w:rsid w:val="000B06E7"/>
    <w:rsid w:val="000B0C94"/>
    <w:rsid w:val="000B15E5"/>
    <w:rsid w:val="000B2382"/>
    <w:rsid w:val="000B3171"/>
    <w:rsid w:val="000B34A5"/>
    <w:rsid w:val="000B45E6"/>
    <w:rsid w:val="000B4746"/>
    <w:rsid w:val="000B7966"/>
    <w:rsid w:val="000B7CB1"/>
    <w:rsid w:val="000C0AE6"/>
    <w:rsid w:val="000C0D0D"/>
    <w:rsid w:val="000C199A"/>
    <w:rsid w:val="000C1D0A"/>
    <w:rsid w:val="000C1D1E"/>
    <w:rsid w:val="000C2555"/>
    <w:rsid w:val="000C2C19"/>
    <w:rsid w:val="000C3545"/>
    <w:rsid w:val="000C498A"/>
    <w:rsid w:val="000C4C16"/>
    <w:rsid w:val="000C56FC"/>
    <w:rsid w:val="000C71FB"/>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6F6F"/>
    <w:rsid w:val="000F7695"/>
    <w:rsid w:val="001002DA"/>
    <w:rsid w:val="001012E3"/>
    <w:rsid w:val="00101EEB"/>
    <w:rsid w:val="00102934"/>
    <w:rsid w:val="0010375A"/>
    <w:rsid w:val="001038ED"/>
    <w:rsid w:val="001042B0"/>
    <w:rsid w:val="00106F4F"/>
    <w:rsid w:val="001071D3"/>
    <w:rsid w:val="001075A8"/>
    <w:rsid w:val="00107CBA"/>
    <w:rsid w:val="00110259"/>
    <w:rsid w:val="00110AA9"/>
    <w:rsid w:val="00112156"/>
    <w:rsid w:val="00112195"/>
    <w:rsid w:val="0011254D"/>
    <w:rsid w:val="00113177"/>
    <w:rsid w:val="001139C2"/>
    <w:rsid w:val="001141B4"/>
    <w:rsid w:val="001143E8"/>
    <w:rsid w:val="00114559"/>
    <w:rsid w:val="00114ABA"/>
    <w:rsid w:val="00114EA9"/>
    <w:rsid w:val="00115ED0"/>
    <w:rsid w:val="0011683C"/>
    <w:rsid w:val="001179E8"/>
    <w:rsid w:val="0012021B"/>
    <w:rsid w:val="0012222D"/>
    <w:rsid w:val="00122AF7"/>
    <w:rsid w:val="001255E6"/>
    <w:rsid w:val="00125FE7"/>
    <w:rsid w:val="0013053A"/>
    <w:rsid w:val="0013066A"/>
    <w:rsid w:val="001315EF"/>
    <w:rsid w:val="00131F39"/>
    <w:rsid w:val="00132375"/>
    <w:rsid w:val="00132E73"/>
    <w:rsid w:val="00133505"/>
    <w:rsid w:val="00134188"/>
    <w:rsid w:val="00137403"/>
    <w:rsid w:val="00140372"/>
    <w:rsid w:val="00140706"/>
    <w:rsid w:val="0014122A"/>
    <w:rsid w:val="00141E85"/>
    <w:rsid w:val="0014319C"/>
    <w:rsid w:val="001436B3"/>
    <w:rsid w:val="00143976"/>
    <w:rsid w:val="00143DAC"/>
    <w:rsid w:val="00144622"/>
    <w:rsid w:val="00144781"/>
    <w:rsid w:val="00144917"/>
    <w:rsid w:val="001464F8"/>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52"/>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398"/>
    <w:rsid w:val="00184479"/>
    <w:rsid w:val="0018472C"/>
    <w:rsid w:val="00184838"/>
    <w:rsid w:val="00185755"/>
    <w:rsid w:val="00187398"/>
    <w:rsid w:val="00187F73"/>
    <w:rsid w:val="00187FB0"/>
    <w:rsid w:val="001902E9"/>
    <w:rsid w:val="00190327"/>
    <w:rsid w:val="00190A0A"/>
    <w:rsid w:val="001926F2"/>
    <w:rsid w:val="00193BCE"/>
    <w:rsid w:val="00193D4E"/>
    <w:rsid w:val="00194B87"/>
    <w:rsid w:val="00194F05"/>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368"/>
    <w:rsid w:val="001B7C0E"/>
    <w:rsid w:val="001C0824"/>
    <w:rsid w:val="001C0B83"/>
    <w:rsid w:val="001C1510"/>
    <w:rsid w:val="001C1989"/>
    <w:rsid w:val="001C1D01"/>
    <w:rsid w:val="001C28FD"/>
    <w:rsid w:val="001C3349"/>
    <w:rsid w:val="001C4064"/>
    <w:rsid w:val="001C41BD"/>
    <w:rsid w:val="001C4ABA"/>
    <w:rsid w:val="001C52F5"/>
    <w:rsid w:val="001C546B"/>
    <w:rsid w:val="001C5EA2"/>
    <w:rsid w:val="001C6608"/>
    <w:rsid w:val="001C6C7D"/>
    <w:rsid w:val="001D1CB1"/>
    <w:rsid w:val="001D2127"/>
    <w:rsid w:val="001D2AC0"/>
    <w:rsid w:val="001D2BD7"/>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5CFF"/>
    <w:rsid w:val="001E5EF4"/>
    <w:rsid w:val="001E6C15"/>
    <w:rsid w:val="001E774F"/>
    <w:rsid w:val="001E77F5"/>
    <w:rsid w:val="001E7C1D"/>
    <w:rsid w:val="001F073F"/>
    <w:rsid w:val="001F3009"/>
    <w:rsid w:val="001F3358"/>
    <w:rsid w:val="001F35CB"/>
    <w:rsid w:val="001F390F"/>
    <w:rsid w:val="001F4833"/>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3CBE"/>
    <w:rsid w:val="00214809"/>
    <w:rsid w:val="002149A1"/>
    <w:rsid w:val="00214E7A"/>
    <w:rsid w:val="00215BFE"/>
    <w:rsid w:val="00215C44"/>
    <w:rsid w:val="00216E73"/>
    <w:rsid w:val="0021774C"/>
    <w:rsid w:val="00217FF6"/>
    <w:rsid w:val="00222386"/>
    <w:rsid w:val="00222D62"/>
    <w:rsid w:val="00222F51"/>
    <w:rsid w:val="002230E1"/>
    <w:rsid w:val="00223361"/>
    <w:rsid w:val="002244BA"/>
    <w:rsid w:val="002247AA"/>
    <w:rsid w:val="00224DA7"/>
    <w:rsid w:val="002261CB"/>
    <w:rsid w:val="002268BF"/>
    <w:rsid w:val="002270F0"/>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3B3"/>
    <w:rsid w:val="002434B2"/>
    <w:rsid w:val="002442F4"/>
    <w:rsid w:val="002445EA"/>
    <w:rsid w:val="00244ECE"/>
    <w:rsid w:val="00244FC5"/>
    <w:rsid w:val="00245D1D"/>
    <w:rsid w:val="00247CE6"/>
    <w:rsid w:val="00250EDA"/>
    <w:rsid w:val="00251502"/>
    <w:rsid w:val="002518E8"/>
    <w:rsid w:val="00251C10"/>
    <w:rsid w:val="00251F03"/>
    <w:rsid w:val="00252E1E"/>
    <w:rsid w:val="002538BA"/>
    <w:rsid w:val="0025469D"/>
    <w:rsid w:val="00254D3D"/>
    <w:rsid w:val="002552B1"/>
    <w:rsid w:val="002552CF"/>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09F6"/>
    <w:rsid w:val="00271103"/>
    <w:rsid w:val="00271884"/>
    <w:rsid w:val="002721FA"/>
    <w:rsid w:val="0027230C"/>
    <w:rsid w:val="00272B99"/>
    <w:rsid w:val="0027380D"/>
    <w:rsid w:val="0027468E"/>
    <w:rsid w:val="00274826"/>
    <w:rsid w:val="00275005"/>
    <w:rsid w:val="002752AB"/>
    <w:rsid w:val="002756D6"/>
    <w:rsid w:val="0027573C"/>
    <w:rsid w:val="002805A9"/>
    <w:rsid w:val="002815D0"/>
    <w:rsid w:val="002820A7"/>
    <w:rsid w:val="00283B82"/>
    <w:rsid w:val="00283E13"/>
    <w:rsid w:val="00286478"/>
    <w:rsid w:val="00287EDD"/>
    <w:rsid w:val="0029141B"/>
    <w:rsid w:val="00291666"/>
    <w:rsid w:val="002927D3"/>
    <w:rsid w:val="00294BDE"/>
    <w:rsid w:val="00295DB6"/>
    <w:rsid w:val="0029788B"/>
    <w:rsid w:val="00297D1B"/>
    <w:rsid w:val="00297F4D"/>
    <w:rsid w:val="002A0226"/>
    <w:rsid w:val="002A0661"/>
    <w:rsid w:val="002A1CF2"/>
    <w:rsid w:val="002A23EA"/>
    <w:rsid w:val="002A2645"/>
    <w:rsid w:val="002A2ED0"/>
    <w:rsid w:val="002A3A84"/>
    <w:rsid w:val="002A4C3E"/>
    <w:rsid w:val="002A56BC"/>
    <w:rsid w:val="002A5C53"/>
    <w:rsid w:val="002A6AD6"/>
    <w:rsid w:val="002A72CC"/>
    <w:rsid w:val="002A738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05F"/>
    <w:rsid w:val="002B538B"/>
    <w:rsid w:val="002B581B"/>
    <w:rsid w:val="002C0EA0"/>
    <w:rsid w:val="002C2892"/>
    <w:rsid w:val="002C58AB"/>
    <w:rsid w:val="002C6D84"/>
    <w:rsid w:val="002C7D21"/>
    <w:rsid w:val="002D1564"/>
    <w:rsid w:val="002D1CA4"/>
    <w:rsid w:val="002D2C09"/>
    <w:rsid w:val="002D2C45"/>
    <w:rsid w:val="002D4969"/>
    <w:rsid w:val="002D4EE1"/>
    <w:rsid w:val="002D4F49"/>
    <w:rsid w:val="002D778E"/>
    <w:rsid w:val="002D7FF1"/>
    <w:rsid w:val="002E04D7"/>
    <w:rsid w:val="002E06DD"/>
    <w:rsid w:val="002E171A"/>
    <w:rsid w:val="002E2A24"/>
    <w:rsid w:val="002E3D66"/>
    <w:rsid w:val="002E3F11"/>
    <w:rsid w:val="002E4B11"/>
    <w:rsid w:val="002E4F70"/>
    <w:rsid w:val="002E5782"/>
    <w:rsid w:val="002E5826"/>
    <w:rsid w:val="002E5886"/>
    <w:rsid w:val="002E5AD3"/>
    <w:rsid w:val="002E635D"/>
    <w:rsid w:val="002E7562"/>
    <w:rsid w:val="002F071F"/>
    <w:rsid w:val="002F16D5"/>
    <w:rsid w:val="002F1A90"/>
    <w:rsid w:val="002F1C2F"/>
    <w:rsid w:val="002F3C25"/>
    <w:rsid w:val="002F3D1C"/>
    <w:rsid w:val="002F4EA1"/>
    <w:rsid w:val="002F52DE"/>
    <w:rsid w:val="002F55C1"/>
    <w:rsid w:val="002F797A"/>
    <w:rsid w:val="002F7E8F"/>
    <w:rsid w:val="00300483"/>
    <w:rsid w:val="00301C91"/>
    <w:rsid w:val="00303AF6"/>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D2B"/>
    <w:rsid w:val="00320F38"/>
    <w:rsid w:val="00321183"/>
    <w:rsid w:val="00321694"/>
    <w:rsid w:val="00321F0A"/>
    <w:rsid w:val="003223CE"/>
    <w:rsid w:val="0032297F"/>
    <w:rsid w:val="00322A2D"/>
    <w:rsid w:val="00322E80"/>
    <w:rsid w:val="00323AC0"/>
    <w:rsid w:val="00324D5B"/>
    <w:rsid w:val="00325045"/>
    <w:rsid w:val="00325D91"/>
    <w:rsid w:val="003267B4"/>
    <w:rsid w:val="00331193"/>
    <w:rsid w:val="003333D4"/>
    <w:rsid w:val="003347FD"/>
    <w:rsid w:val="00334951"/>
    <w:rsid w:val="00336411"/>
    <w:rsid w:val="0033678D"/>
    <w:rsid w:val="0033720D"/>
    <w:rsid w:val="003373E8"/>
    <w:rsid w:val="00341516"/>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02C"/>
    <w:rsid w:val="003772CD"/>
    <w:rsid w:val="00377353"/>
    <w:rsid w:val="0037736B"/>
    <w:rsid w:val="00381F57"/>
    <w:rsid w:val="0038216E"/>
    <w:rsid w:val="003822E5"/>
    <w:rsid w:val="003830B8"/>
    <w:rsid w:val="00383161"/>
    <w:rsid w:val="00383262"/>
    <w:rsid w:val="00390A6E"/>
    <w:rsid w:val="003A157A"/>
    <w:rsid w:val="003A283F"/>
    <w:rsid w:val="003A2A16"/>
    <w:rsid w:val="003A2FDD"/>
    <w:rsid w:val="003A3C43"/>
    <w:rsid w:val="003A3EBD"/>
    <w:rsid w:val="003A5CCC"/>
    <w:rsid w:val="003A70FF"/>
    <w:rsid w:val="003A74D2"/>
    <w:rsid w:val="003A756B"/>
    <w:rsid w:val="003A7902"/>
    <w:rsid w:val="003B23D7"/>
    <w:rsid w:val="003B2AFA"/>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87E"/>
    <w:rsid w:val="003C4D02"/>
    <w:rsid w:val="003C506A"/>
    <w:rsid w:val="003C567C"/>
    <w:rsid w:val="003C59B8"/>
    <w:rsid w:val="003C6809"/>
    <w:rsid w:val="003C7897"/>
    <w:rsid w:val="003D0713"/>
    <w:rsid w:val="003D0937"/>
    <w:rsid w:val="003D17E6"/>
    <w:rsid w:val="003D1A20"/>
    <w:rsid w:val="003D1AC9"/>
    <w:rsid w:val="003D1DBD"/>
    <w:rsid w:val="003D2AC9"/>
    <w:rsid w:val="003D2CD8"/>
    <w:rsid w:val="003D3724"/>
    <w:rsid w:val="003D46A7"/>
    <w:rsid w:val="003D5E28"/>
    <w:rsid w:val="003D6376"/>
    <w:rsid w:val="003E1235"/>
    <w:rsid w:val="003E2A35"/>
    <w:rsid w:val="003E2B56"/>
    <w:rsid w:val="003E2CE1"/>
    <w:rsid w:val="003E2DCB"/>
    <w:rsid w:val="003E4C3F"/>
    <w:rsid w:val="003E4D7C"/>
    <w:rsid w:val="003E52FF"/>
    <w:rsid w:val="003E5FA8"/>
    <w:rsid w:val="003E6252"/>
    <w:rsid w:val="003F1200"/>
    <w:rsid w:val="003F1421"/>
    <w:rsid w:val="003F1844"/>
    <w:rsid w:val="003F1BEF"/>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6D9A"/>
    <w:rsid w:val="004373E1"/>
    <w:rsid w:val="004374A3"/>
    <w:rsid w:val="00437A7E"/>
    <w:rsid w:val="00437B6C"/>
    <w:rsid w:val="00440144"/>
    <w:rsid w:val="0044064E"/>
    <w:rsid w:val="0044079C"/>
    <w:rsid w:val="00440805"/>
    <w:rsid w:val="004412E1"/>
    <w:rsid w:val="00441554"/>
    <w:rsid w:val="00442E48"/>
    <w:rsid w:val="00443DCD"/>
    <w:rsid w:val="00443E7E"/>
    <w:rsid w:val="00444C06"/>
    <w:rsid w:val="004454DF"/>
    <w:rsid w:val="00445BC9"/>
    <w:rsid w:val="00446804"/>
    <w:rsid w:val="00446E5E"/>
    <w:rsid w:val="004478D4"/>
    <w:rsid w:val="00450380"/>
    <w:rsid w:val="004505C6"/>
    <w:rsid w:val="004520CD"/>
    <w:rsid w:val="00452B26"/>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376E"/>
    <w:rsid w:val="00464B48"/>
    <w:rsid w:val="00465231"/>
    <w:rsid w:val="004662AD"/>
    <w:rsid w:val="00466516"/>
    <w:rsid w:val="00467B65"/>
    <w:rsid w:val="00470CFD"/>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925"/>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7F2"/>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1482"/>
    <w:rsid w:val="00512344"/>
    <w:rsid w:val="00512BBC"/>
    <w:rsid w:val="005134FB"/>
    <w:rsid w:val="005135FD"/>
    <w:rsid w:val="0051366C"/>
    <w:rsid w:val="00514EB7"/>
    <w:rsid w:val="0051684F"/>
    <w:rsid w:val="00516A92"/>
    <w:rsid w:val="00516B9F"/>
    <w:rsid w:val="00517693"/>
    <w:rsid w:val="005200F9"/>
    <w:rsid w:val="005205AB"/>
    <w:rsid w:val="00523378"/>
    <w:rsid w:val="0052550F"/>
    <w:rsid w:val="00526A64"/>
    <w:rsid w:val="00526C0F"/>
    <w:rsid w:val="0052702A"/>
    <w:rsid w:val="00530397"/>
    <w:rsid w:val="00530F73"/>
    <w:rsid w:val="00533B8E"/>
    <w:rsid w:val="00535417"/>
    <w:rsid w:val="00535833"/>
    <w:rsid w:val="00536D28"/>
    <w:rsid w:val="005372C5"/>
    <w:rsid w:val="00537A26"/>
    <w:rsid w:val="00540B46"/>
    <w:rsid w:val="00540E47"/>
    <w:rsid w:val="00543283"/>
    <w:rsid w:val="0054364C"/>
    <w:rsid w:val="00544656"/>
    <w:rsid w:val="00546747"/>
    <w:rsid w:val="00547510"/>
    <w:rsid w:val="00547ECC"/>
    <w:rsid w:val="00551D5A"/>
    <w:rsid w:val="00551EC3"/>
    <w:rsid w:val="00554A44"/>
    <w:rsid w:val="00554C53"/>
    <w:rsid w:val="00554F18"/>
    <w:rsid w:val="00555220"/>
    <w:rsid w:val="005555F0"/>
    <w:rsid w:val="00555739"/>
    <w:rsid w:val="00556E75"/>
    <w:rsid w:val="00556F2D"/>
    <w:rsid w:val="0055775E"/>
    <w:rsid w:val="0056069A"/>
    <w:rsid w:val="00560C3B"/>
    <w:rsid w:val="00561D3C"/>
    <w:rsid w:val="00561EA1"/>
    <w:rsid w:val="0056213C"/>
    <w:rsid w:val="00562799"/>
    <w:rsid w:val="00564235"/>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87E5B"/>
    <w:rsid w:val="00590EEF"/>
    <w:rsid w:val="00591997"/>
    <w:rsid w:val="005933AA"/>
    <w:rsid w:val="005940AA"/>
    <w:rsid w:val="00594614"/>
    <w:rsid w:val="00594E10"/>
    <w:rsid w:val="00595E67"/>
    <w:rsid w:val="00596306"/>
    <w:rsid w:val="00596487"/>
    <w:rsid w:val="005A0809"/>
    <w:rsid w:val="005A0B91"/>
    <w:rsid w:val="005A1494"/>
    <w:rsid w:val="005A1F8F"/>
    <w:rsid w:val="005A3590"/>
    <w:rsid w:val="005A4A1C"/>
    <w:rsid w:val="005A5BD8"/>
    <w:rsid w:val="005A6116"/>
    <w:rsid w:val="005A692A"/>
    <w:rsid w:val="005A6AB8"/>
    <w:rsid w:val="005B11C2"/>
    <w:rsid w:val="005B180A"/>
    <w:rsid w:val="005B382C"/>
    <w:rsid w:val="005B3C11"/>
    <w:rsid w:val="005B40DA"/>
    <w:rsid w:val="005B4226"/>
    <w:rsid w:val="005B5AA4"/>
    <w:rsid w:val="005B656B"/>
    <w:rsid w:val="005B71B3"/>
    <w:rsid w:val="005B76A4"/>
    <w:rsid w:val="005B7EA2"/>
    <w:rsid w:val="005C04A7"/>
    <w:rsid w:val="005C0742"/>
    <w:rsid w:val="005C17A4"/>
    <w:rsid w:val="005C27CC"/>
    <w:rsid w:val="005C370D"/>
    <w:rsid w:val="005C504E"/>
    <w:rsid w:val="005C6153"/>
    <w:rsid w:val="005C6C41"/>
    <w:rsid w:val="005C78B0"/>
    <w:rsid w:val="005C7B95"/>
    <w:rsid w:val="005D01EB"/>
    <w:rsid w:val="005D0DFB"/>
    <w:rsid w:val="005D1112"/>
    <w:rsid w:val="005D237C"/>
    <w:rsid w:val="005D25E2"/>
    <w:rsid w:val="005D25FF"/>
    <w:rsid w:val="005D2632"/>
    <w:rsid w:val="005D295E"/>
    <w:rsid w:val="005D38E0"/>
    <w:rsid w:val="005D3F32"/>
    <w:rsid w:val="005D4E3E"/>
    <w:rsid w:val="005D666C"/>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0E33"/>
    <w:rsid w:val="006123C6"/>
    <w:rsid w:val="00612C02"/>
    <w:rsid w:val="00612CDD"/>
    <w:rsid w:val="0061562E"/>
    <w:rsid w:val="00616D41"/>
    <w:rsid w:val="00617292"/>
    <w:rsid w:val="006200A9"/>
    <w:rsid w:val="006215EB"/>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4DA"/>
    <w:rsid w:val="00647E6B"/>
    <w:rsid w:val="00650E84"/>
    <w:rsid w:val="0065198B"/>
    <w:rsid w:val="006525AF"/>
    <w:rsid w:val="0065266A"/>
    <w:rsid w:val="006537F9"/>
    <w:rsid w:val="00653F9C"/>
    <w:rsid w:val="00655470"/>
    <w:rsid w:val="006557BF"/>
    <w:rsid w:val="00656FEE"/>
    <w:rsid w:val="0065758F"/>
    <w:rsid w:val="00660897"/>
    <w:rsid w:val="00661028"/>
    <w:rsid w:val="006617BD"/>
    <w:rsid w:val="0066194D"/>
    <w:rsid w:val="00662C15"/>
    <w:rsid w:val="00664232"/>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208"/>
    <w:rsid w:val="00681CC1"/>
    <w:rsid w:val="0068233B"/>
    <w:rsid w:val="00682E11"/>
    <w:rsid w:val="00683081"/>
    <w:rsid w:val="00684C95"/>
    <w:rsid w:val="006850D3"/>
    <w:rsid w:val="00685249"/>
    <w:rsid w:val="006854F3"/>
    <w:rsid w:val="006856B9"/>
    <w:rsid w:val="00685BDE"/>
    <w:rsid w:val="00686085"/>
    <w:rsid w:val="0068636F"/>
    <w:rsid w:val="0068678C"/>
    <w:rsid w:val="00687C0D"/>
    <w:rsid w:val="00691237"/>
    <w:rsid w:val="006920E6"/>
    <w:rsid w:val="00692555"/>
    <w:rsid w:val="00696566"/>
    <w:rsid w:val="006966BA"/>
    <w:rsid w:val="0069722D"/>
    <w:rsid w:val="006A0052"/>
    <w:rsid w:val="006A0A9E"/>
    <w:rsid w:val="006A14C6"/>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66F"/>
    <w:rsid w:val="006C0D75"/>
    <w:rsid w:val="006C1C48"/>
    <w:rsid w:val="006C3C1D"/>
    <w:rsid w:val="006C41FF"/>
    <w:rsid w:val="006C5145"/>
    <w:rsid w:val="006C65A8"/>
    <w:rsid w:val="006D04B1"/>
    <w:rsid w:val="006D05AD"/>
    <w:rsid w:val="006D0EC1"/>
    <w:rsid w:val="006D16F8"/>
    <w:rsid w:val="006D1813"/>
    <w:rsid w:val="006D24A9"/>
    <w:rsid w:val="006D2AF3"/>
    <w:rsid w:val="006D3579"/>
    <w:rsid w:val="006D4D79"/>
    <w:rsid w:val="006D4FBD"/>
    <w:rsid w:val="006D5879"/>
    <w:rsid w:val="006D63AD"/>
    <w:rsid w:val="006D63FD"/>
    <w:rsid w:val="006D65B4"/>
    <w:rsid w:val="006D754A"/>
    <w:rsid w:val="006D7B9C"/>
    <w:rsid w:val="006E04C6"/>
    <w:rsid w:val="006E0A65"/>
    <w:rsid w:val="006E1B01"/>
    <w:rsid w:val="006E2D33"/>
    <w:rsid w:val="006E3E3D"/>
    <w:rsid w:val="006E4836"/>
    <w:rsid w:val="006E5DDD"/>
    <w:rsid w:val="006E7811"/>
    <w:rsid w:val="006F04DA"/>
    <w:rsid w:val="006F0557"/>
    <w:rsid w:val="006F0EA3"/>
    <w:rsid w:val="006F1B5D"/>
    <w:rsid w:val="006F212B"/>
    <w:rsid w:val="006F37F7"/>
    <w:rsid w:val="006F393F"/>
    <w:rsid w:val="006F4A61"/>
    <w:rsid w:val="006F4ADC"/>
    <w:rsid w:val="006F643D"/>
    <w:rsid w:val="006F675C"/>
    <w:rsid w:val="006F6D13"/>
    <w:rsid w:val="006F7759"/>
    <w:rsid w:val="006F7D95"/>
    <w:rsid w:val="007005D8"/>
    <w:rsid w:val="00700D41"/>
    <w:rsid w:val="00701B21"/>
    <w:rsid w:val="00702384"/>
    <w:rsid w:val="00704BAE"/>
    <w:rsid w:val="00705807"/>
    <w:rsid w:val="00705C74"/>
    <w:rsid w:val="00705C78"/>
    <w:rsid w:val="007060E1"/>
    <w:rsid w:val="00706824"/>
    <w:rsid w:val="00706B85"/>
    <w:rsid w:val="007071FC"/>
    <w:rsid w:val="00707A08"/>
    <w:rsid w:val="00707C84"/>
    <w:rsid w:val="00710A59"/>
    <w:rsid w:val="00710FDE"/>
    <w:rsid w:val="0071113F"/>
    <w:rsid w:val="007116C7"/>
    <w:rsid w:val="007119D6"/>
    <w:rsid w:val="00711C5A"/>
    <w:rsid w:val="00712B66"/>
    <w:rsid w:val="00713C31"/>
    <w:rsid w:val="0071428D"/>
    <w:rsid w:val="007144C9"/>
    <w:rsid w:val="00716B3C"/>
    <w:rsid w:val="007170C2"/>
    <w:rsid w:val="00717216"/>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42D"/>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045"/>
    <w:rsid w:val="0076467D"/>
    <w:rsid w:val="00766D90"/>
    <w:rsid w:val="00767BF3"/>
    <w:rsid w:val="00767C19"/>
    <w:rsid w:val="00767D4E"/>
    <w:rsid w:val="00771067"/>
    <w:rsid w:val="007713DA"/>
    <w:rsid w:val="007722ED"/>
    <w:rsid w:val="0077348E"/>
    <w:rsid w:val="0077408B"/>
    <w:rsid w:val="0077430E"/>
    <w:rsid w:val="00774AF6"/>
    <w:rsid w:val="00774EC8"/>
    <w:rsid w:val="00776781"/>
    <w:rsid w:val="007776CC"/>
    <w:rsid w:val="00777CE9"/>
    <w:rsid w:val="00780D05"/>
    <w:rsid w:val="00783C7B"/>
    <w:rsid w:val="007844B6"/>
    <w:rsid w:val="00784F4E"/>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58E"/>
    <w:rsid w:val="007B5E25"/>
    <w:rsid w:val="007B6E0E"/>
    <w:rsid w:val="007C27FB"/>
    <w:rsid w:val="007C2CBB"/>
    <w:rsid w:val="007C309C"/>
    <w:rsid w:val="007C4209"/>
    <w:rsid w:val="007C5EB9"/>
    <w:rsid w:val="007C7449"/>
    <w:rsid w:val="007C7EA5"/>
    <w:rsid w:val="007D140E"/>
    <w:rsid w:val="007D1A95"/>
    <w:rsid w:val="007D245E"/>
    <w:rsid w:val="007D2A8E"/>
    <w:rsid w:val="007D3764"/>
    <w:rsid w:val="007D3C89"/>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40F"/>
    <w:rsid w:val="007F4224"/>
    <w:rsid w:val="007F4DD2"/>
    <w:rsid w:val="007F4FB9"/>
    <w:rsid w:val="007F7022"/>
    <w:rsid w:val="007F7690"/>
    <w:rsid w:val="008011CC"/>
    <w:rsid w:val="00801404"/>
    <w:rsid w:val="008017AA"/>
    <w:rsid w:val="00801CBA"/>
    <w:rsid w:val="00801D92"/>
    <w:rsid w:val="008025A9"/>
    <w:rsid w:val="00804BCF"/>
    <w:rsid w:val="00804FA4"/>
    <w:rsid w:val="00805275"/>
    <w:rsid w:val="00806A62"/>
    <w:rsid w:val="00806E55"/>
    <w:rsid w:val="008075CE"/>
    <w:rsid w:val="00812069"/>
    <w:rsid w:val="00812179"/>
    <w:rsid w:val="008124E2"/>
    <w:rsid w:val="00813928"/>
    <w:rsid w:val="00815321"/>
    <w:rsid w:val="008166DB"/>
    <w:rsid w:val="008173E0"/>
    <w:rsid w:val="008175C1"/>
    <w:rsid w:val="008200D4"/>
    <w:rsid w:val="00820370"/>
    <w:rsid w:val="00820CC6"/>
    <w:rsid w:val="00822C41"/>
    <w:rsid w:val="0082439D"/>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3FD3"/>
    <w:rsid w:val="00844ADD"/>
    <w:rsid w:val="0084534E"/>
    <w:rsid w:val="00846062"/>
    <w:rsid w:val="008474C1"/>
    <w:rsid w:val="00847C1C"/>
    <w:rsid w:val="0085055E"/>
    <w:rsid w:val="00850C3B"/>
    <w:rsid w:val="00851605"/>
    <w:rsid w:val="00852122"/>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3E36"/>
    <w:rsid w:val="008645D6"/>
    <w:rsid w:val="0086552B"/>
    <w:rsid w:val="008655A2"/>
    <w:rsid w:val="0086584F"/>
    <w:rsid w:val="008670D6"/>
    <w:rsid w:val="008671C7"/>
    <w:rsid w:val="00867EB8"/>
    <w:rsid w:val="00870335"/>
    <w:rsid w:val="00870AA2"/>
    <w:rsid w:val="00873D88"/>
    <w:rsid w:val="0087433B"/>
    <w:rsid w:val="0087621E"/>
    <w:rsid w:val="008767B2"/>
    <w:rsid w:val="00877328"/>
    <w:rsid w:val="0087787A"/>
    <w:rsid w:val="00877E80"/>
    <w:rsid w:val="008802F0"/>
    <w:rsid w:val="00880992"/>
    <w:rsid w:val="00880F52"/>
    <w:rsid w:val="00881692"/>
    <w:rsid w:val="00881F1E"/>
    <w:rsid w:val="00883143"/>
    <w:rsid w:val="00884EC8"/>
    <w:rsid w:val="00886154"/>
    <w:rsid w:val="00890277"/>
    <w:rsid w:val="0089061A"/>
    <w:rsid w:val="008915C6"/>
    <w:rsid w:val="00891677"/>
    <w:rsid w:val="00892090"/>
    <w:rsid w:val="00892DB5"/>
    <w:rsid w:val="00894B61"/>
    <w:rsid w:val="00895255"/>
    <w:rsid w:val="00895DF1"/>
    <w:rsid w:val="00896645"/>
    <w:rsid w:val="008975D2"/>
    <w:rsid w:val="008A035B"/>
    <w:rsid w:val="008A0459"/>
    <w:rsid w:val="008A0C8B"/>
    <w:rsid w:val="008A1218"/>
    <w:rsid w:val="008A15B6"/>
    <w:rsid w:val="008A1A6E"/>
    <w:rsid w:val="008A202A"/>
    <w:rsid w:val="008A36C9"/>
    <w:rsid w:val="008A5AF9"/>
    <w:rsid w:val="008B16DE"/>
    <w:rsid w:val="008B251F"/>
    <w:rsid w:val="008B2602"/>
    <w:rsid w:val="008B2727"/>
    <w:rsid w:val="008B2746"/>
    <w:rsid w:val="008B316B"/>
    <w:rsid w:val="008B3A15"/>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353"/>
    <w:rsid w:val="008C7CA5"/>
    <w:rsid w:val="008C7D9D"/>
    <w:rsid w:val="008D0416"/>
    <w:rsid w:val="008D13C6"/>
    <w:rsid w:val="008D1B04"/>
    <w:rsid w:val="008D3235"/>
    <w:rsid w:val="008D33C8"/>
    <w:rsid w:val="008D3893"/>
    <w:rsid w:val="008D45CD"/>
    <w:rsid w:val="008D55F1"/>
    <w:rsid w:val="008D5CD7"/>
    <w:rsid w:val="008D6BD1"/>
    <w:rsid w:val="008D718E"/>
    <w:rsid w:val="008E04EF"/>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2D3F"/>
    <w:rsid w:val="008F57DD"/>
    <w:rsid w:val="008F5AEE"/>
    <w:rsid w:val="008F6EAA"/>
    <w:rsid w:val="008F7800"/>
    <w:rsid w:val="008F7BCA"/>
    <w:rsid w:val="009007B4"/>
    <w:rsid w:val="00900F4D"/>
    <w:rsid w:val="0090167B"/>
    <w:rsid w:val="00902DEC"/>
    <w:rsid w:val="0090342E"/>
    <w:rsid w:val="00903D3A"/>
    <w:rsid w:val="009044B9"/>
    <w:rsid w:val="009047B1"/>
    <w:rsid w:val="00904C86"/>
    <w:rsid w:val="00905EA0"/>
    <w:rsid w:val="0090680D"/>
    <w:rsid w:val="0091045D"/>
    <w:rsid w:val="0091281A"/>
    <w:rsid w:val="00912B24"/>
    <w:rsid w:val="009139B5"/>
    <w:rsid w:val="00914514"/>
    <w:rsid w:val="00914549"/>
    <w:rsid w:val="00914C08"/>
    <w:rsid w:val="00914F2F"/>
    <w:rsid w:val="00916057"/>
    <w:rsid w:val="009162A9"/>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7C9"/>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2A"/>
    <w:rsid w:val="0095144C"/>
    <w:rsid w:val="0095165B"/>
    <w:rsid w:val="00951B17"/>
    <w:rsid w:val="00951B8D"/>
    <w:rsid w:val="009536A8"/>
    <w:rsid w:val="00954596"/>
    <w:rsid w:val="009545BF"/>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074C"/>
    <w:rsid w:val="00971116"/>
    <w:rsid w:val="00971D43"/>
    <w:rsid w:val="00972E28"/>
    <w:rsid w:val="00973030"/>
    <w:rsid w:val="009733F3"/>
    <w:rsid w:val="009748E4"/>
    <w:rsid w:val="00975B4B"/>
    <w:rsid w:val="00975EC7"/>
    <w:rsid w:val="00976D65"/>
    <w:rsid w:val="00977CE6"/>
    <w:rsid w:val="009807AC"/>
    <w:rsid w:val="00980C18"/>
    <w:rsid w:val="009810E9"/>
    <w:rsid w:val="0098141C"/>
    <w:rsid w:val="00981AA9"/>
    <w:rsid w:val="00981C91"/>
    <w:rsid w:val="00983132"/>
    <w:rsid w:val="00983314"/>
    <w:rsid w:val="0098399A"/>
    <w:rsid w:val="00983CCD"/>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7F0F"/>
    <w:rsid w:val="009A7FFA"/>
    <w:rsid w:val="009B01DF"/>
    <w:rsid w:val="009B020D"/>
    <w:rsid w:val="009B072F"/>
    <w:rsid w:val="009B07A1"/>
    <w:rsid w:val="009B09CC"/>
    <w:rsid w:val="009B173B"/>
    <w:rsid w:val="009B18DB"/>
    <w:rsid w:val="009B1A1A"/>
    <w:rsid w:val="009B2608"/>
    <w:rsid w:val="009B2A71"/>
    <w:rsid w:val="009B4027"/>
    <w:rsid w:val="009B4975"/>
    <w:rsid w:val="009B561F"/>
    <w:rsid w:val="009B5773"/>
    <w:rsid w:val="009B5D2D"/>
    <w:rsid w:val="009C058F"/>
    <w:rsid w:val="009C2B3E"/>
    <w:rsid w:val="009C2EA2"/>
    <w:rsid w:val="009C3721"/>
    <w:rsid w:val="009C4141"/>
    <w:rsid w:val="009C46F1"/>
    <w:rsid w:val="009C4B55"/>
    <w:rsid w:val="009C5A07"/>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144"/>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277"/>
    <w:rsid w:val="00A03767"/>
    <w:rsid w:val="00A04834"/>
    <w:rsid w:val="00A05628"/>
    <w:rsid w:val="00A07DCF"/>
    <w:rsid w:val="00A07E6A"/>
    <w:rsid w:val="00A12979"/>
    <w:rsid w:val="00A131A9"/>
    <w:rsid w:val="00A1496E"/>
    <w:rsid w:val="00A14E3A"/>
    <w:rsid w:val="00A14F84"/>
    <w:rsid w:val="00A15E4D"/>
    <w:rsid w:val="00A16D6D"/>
    <w:rsid w:val="00A17C75"/>
    <w:rsid w:val="00A17F81"/>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05B"/>
    <w:rsid w:val="00A30F6A"/>
    <w:rsid w:val="00A3146C"/>
    <w:rsid w:val="00A32AEA"/>
    <w:rsid w:val="00A32F32"/>
    <w:rsid w:val="00A33E80"/>
    <w:rsid w:val="00A33EFE"/>
    <w:rsid w:val="00A372A1"/>
    <w:rsid w:val="00A4148D"/>
    <w:rsid w:val="00A422F1"/>
    <w:rsid w:val="00A44D0E"/>
    <w:rsid w:val="00A4621D"/>
    <w:rsid w:val="00A509FB"/>
    <w:rsid w:val="00A50D6C"/>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445"/>
    <w:rsid w:val="00A61F0C"/>
    <w:rsid w:val="00A61FF0"/>
    <w:rsid w:val="00A62580"/>
    <w:rsid w:val="00A63AC9"/>
    <w:rsid w:val="00A63E0B"/>
    <w:rsid w:val="00A64502"/>
    <w:rsid w:val="00A64B5F"/>
    <w:rsid w:val="00A64C5D"/>
    <w:rsid w:val="00A65EA0"/>
    <w:rsid w:val="00A66517"/>
    <w:rsid w:val="00A67B0E"/>
    <w:rsid w:val="00A718EF"/>
    <w:rsid w:val="00A72134"/>
    <w:rsid w:val="00A726A8"/>
    <w:rsid w:val="00A72951"/>
    <w:rsid w:val="00A73505"/>
    <w:rsid w:val="00A74598"/>
    <w:rsid w:val="00A75E02"/>
    <w:rsid w:val="00A76E79"/>
    <w:rsid w:val="00A7771B"/>
    <w:rsid w:val="00A77B53"/>
    <w:rsid w:val="00A811F1"/>
    <w:rsid w:val="00A82887"/>
    <w:rsid w:val="00A83010"/>
    <w:rsid w:val="00A83BF5"/>
    <w:rsid w:val="00A84CD1"/>
    <w:rsid w:val="00A85E2E"/>
    <w:rsid w:val="00A861F3"/>
    <w:rsid w:val="00A8728F"/>
    <w:rsid w:val="00A8756A"/>
    <w:rsid w:val="00A87B9A"/>
    <w:rsid w:val="00A87F7D"/>
    <w:rsid w:val="00A906B7"/>
    <w:rsid w:val="00A9070E"/>
    <w:rsid w:val="00A92DD4"/>
    <w:rsid w:val="00A94310"/>
    <w:rsid w:val="00A94D0F"/>
    <w:rsid w:val="00A94F13"/>
    <w:rsid w:val="00A9568C"/>
    <w:rsid w:val="00A95BED"/>
    <w:rsid w:val="00A95EA2"/>
    <w:rsid w:val="00A9787E"/>
    <w:rsid w:val="00A97AF9"/>
    <w:rsid w:val="00AA03E3"/>
    <w:rsid w:val="00AA08E8"/>
    <w:rsid w:val="00AA093C"/>
    <w:rsid w:val="00AA0DB4"/>
    <w:rsid w:val="00AA11C5"/>
    <w:rsid w:val="00AA17E2"/>
    <w:rsid w:val="00AA21B7"/>
    <w:rsid w:val="00AA3827"/>
    <w:rsid w:val="00AA382D"/>
    <w:rsid w:val="00AA4A2C"/>
    <w:rsid w:val="00AA59A6"/>
    <w:rsid w:val="00AA6299"/>
    <w:rsid w:val="00AA6E05"/>
    <w:rsid w:val="00AB0262"/>
    <w:rsid w:val="00AB14A1"/>
    <w:rsid w:val="00AB202A"/>
    <w:rsid w:val="00AB531F"/>
    <w:rsid w:val="00AB5555"/>
    <w:rsid w:val="00AB55A9"/>
    <w:rsid w:val="00AB55AD"/>
    <w:rsid w:val="00AB5D1B"/>
    <w:rsid w:val="00AB6918"/>
    <w:rsid w:val="00AB6B40"/>
    <w:rsid w:val="00AB740A"/>
    <w:rsid w:val="00AC14D0"/>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3B90"/>
    <w:rsid w:val="00AF4F4A"/>
    <w:rsid w:val="00B00C24"/>
    <w:rsid w:val="00B00F93"/>
    <w:rsid w:val="00B01BBE"/>
    <w:rsid w:val="00B03F92"/>
    <w:rsid w:val="00B04266"/>
    <w:rsid w:val="00B055D8"/>
    <w:rsid w:val="00B06CD6"/>
    <w:rsid w:val="00B06EBC"/>
    <w:rsid w:val="00B0734D"/>
    <w:rsid w:val="00B100B2"/>
    <w:rsid w:val="00B11D2D"/>
    <w:rsid w:val="00B123F0"/>
    <w:rsid w:val="00B12891"/>
    <w:rsid w:val="00B146C1"/>
    <w:rsid w:val="00B146E7"/>
    <w:rsid w:val="00B14B17"/>
    <w:rsid w:val="00B156DF"/>
    <w:rsid w:val="00B15ABB"/>
    <w:rsid w:val="00B16973"/>
    <w:rsid w:val="00B16A1F"/>
    <w:rsid w:val="00B2036A"/>
    <w:rsid w:val="00B21057"/>
    <w:rsid w:val="00B2202B"/>
    <w:rsid w:val="00B23422"/>
    <w:rsid w:val="00B24948"/>
    <w:rsid w:val="00B24CBD"/>
    <w:rsid w:val="00B25CA3"/>
    <w:rsid w:val="00B30028"/>
    <w:rsid w:val="00B31E8D"/>
    <w:rsid w:val="00B3313B"/>
    <w:rsid w:val="00B331E8"/>
    <w:rsid w:val="00B331EA"/>
    <w:rsid w:val="00B332FD"/>
    <w:rsid w:val="00B34732"/>
    <w:rsid w:val="00B352A0"/>
    <w:rsid w:val="00B353B8"/>
    <w:rsid w:val="00B35C56"/>
    <w:rsid w:val="00B36F17"/>
    <w:rsid w:val="00B372ED"/>
    <w:rsid w:val="00B376D1"/>
    <w:rsid w:val="00B37DBE"/>
    <w:rsid w:val="00B40603"/>
    <w:rsid w:val="00B40AF6"/>
    <w:rsid w:val="00B41071"/>
    <w:rsid w:val="00B425C0"/>
    <w:rsid w:val="00B42DB6"/>
    <w:rsid w:val="00B46957"/>
    <w:rsid w:val="00B47B54"/>
    <w:rsid w:val="00B50E99"/>
    <w:rsid w:val="00B51926"/>
    <w:rsid w:val="00B51F9A"/>
    <w:rsid w:val="00B53BF4"/>
    <w:rsid w:val="00B54DA7"/>
    <w:rsid w:val="00B56791"/>
    <w:rsid w:val="00B600C6"/>
    <w:rsid w:val="00B60167"/>
    <w:rsid w:val="00B60FC0"/>
    <w:rsid w:val="00B61665"/>
    <w:rsid w:val="00B63528"/>
    <w:rsid w:val="00B63DAF"/>
    <w:rsid w:val="00B63E98"/>
    <w:rsid w:val="00B65754"/>
    <w:rsid w:val="00B65ED9"/>
    <w:rsid w:val="00B661AA"/>
    <w:rsid w:val="00B66242"/>
    <w:rsid w:val="00B662DF"/>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1E7"/>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B7EBA"/>
    <w:rsid w:val="00BC01FC"/>
    <w:rsid w:val="00BC0967"/>
    <w:rsid w:val="00BC1F79"/>
    <w:rsid w:val="00BC2201"/>
    <w:rsid w:val="00BC3C7A"/>
    <w:rsid w:val="00BC7DC6"/>
    <w:rsid w:val="00BD1039"/>
    <w:rsid w:val="00BD13B5"/>
    <w:rsid w:val="00BD2EFC"/>
    <w:rsid w:val="00BD340E"/>
    <w:rsid w:val="00BD60AD"/>
    <w:rsid w:val="00BD6C02"/>
    <w:rsid w:val="00BE1244"/>
    <w:rsid w:val="00BE138D"/>
    <w:rsid w:val="00BE1474"/>
    <w:rsid w:val="00BE165D"/>
    <w:rsid w:val="00BE2394"/>
    <w:rsid w:val="00BE2702"/>
    <w:rsid w:val="00BE4326"/>
    <w:rsid w:val="00BE58E5"/>
    <w:rsid w:val="00BE5F4F"/>
    <w:rsid w:val="00BE60DB"/>
    <w:rsid w:val="00BF0191"/>
    <w:rsid w:val="00BF13EC"/>
    <w:rsid w:val="00BF1C07"/>
    <w:rsid w:val="00BF3DEE"/>
    <w:rsid w:val="00BF54AC"/>
    <w:rsid w:val="00BF54BD"/>
    <w:rsid w:val="00BF6B8E"/>
    <w:rsid w:val="00C025A5"/>
    <w:rsid w:val="00C03C78"/>
    <w:rsid w:val="00C04FD3"/>
    <w:rsid w:val="00C05DC8"/>
    <w:rsid w:val="00C065A2"/>
    <w:rsid w:val="00C07919"/>
    <w:rsid w:val="00C103F9"/>
    <w:rsid w:val="00C104AC"/>
    <w:rsid w:val="00C110E1"/>
    <w:rsid w:val="00C1198F"/>
    <w:rsid w:val="00C11FA1"/>
    <w:rsid w:val="00C12E21"/>
    <w:rsid w:val="00C12E65"/>
    <w:rsid w:val="00C13C20"/>
    <w:rsid w:val="00C13F74"/>
    <w:rsid w:val="00C146D3"/>
    <w:rsid w:val="00C167F1"/>
    <w:rsid w:val="00C16BE0"/>
    <w:rsid w:val="00C21C39"/>
    <w:rsid w:val="00C2325C"/>
    <w:rsid w:val="00C232B3"/>
    <w:rsid w:val="00C239ED"/>
    <w:rsid w:val="00C24D9D"/>
    <w:rsid w:val="00C25CF3"/>
    <w:rsid w:val="00C263E9"/>
    <w:rsid w:val="00C2775A"/>
    <w:rsid w:val="00C27DDD"/>
    <w:rsid w:val="00C3063A"/>
    <w:rsid w:val="00C30BAD"/>
    <w:rsid w:val="00C31E8F"/>
    <w:rsid w:val="00C335DA"/>
    <w:rsid w:val="00C33D3E"/>
    <w:rsid w:val="00C362E0"/>
    <w:rsid w:val="00C36ED4"/>
    <w:rsid w:val="00C376CC"/>
    <w:rsid w:val="00C37ACD"/>
    <w:rsid w:val="00C400F7"/>
    <w:rsid w:val="00C40EC6"/>
    <w:rsid w:val="00C419AD"/>
    <w:rsid w:val="00C41B5F"/>
    <w:rsid w:val="00C41D2A"/>
    <w:rsid w:val="00C437BA"/>
    <w:rsid w:val="00C44395"/>
    <w:rsid w:val="00C443B3"/>
    <w:rsid w:val="00C45CE8"/>
    <w:rsid w:val="00C4698E"/>
    <w:rsid w:val="00C46F06"/>
    <w:rsid w:val="00C47114"/>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892"/>
    <w:rsid w:val="00C629CB"/>
    <w:rsid w:val="00C62B75"/>
    <w:rsid w:val="00C657B5"/>
    <w:rsid w:val="00C661E1"/>
    <w:rsid w:val="00C66686"/>
    <w:rsid w:val="00C678C4"/>
    <w:rsid w:val="00C71215"/>
    <w:rsid w:val="00C71A27"/>
    <w:rsid w:val="00C7216B"/>
    <w:rsid w:val="00C727BE"/>
    <w:rsid w:val="00C732A9"/>
    <w:rsid w:val="00C73448"/>
    <w:rsid w:val="00C73E2E"/>
    <w:rsid w:val="00C74546"/>
    <w:rsid w:val="00C748E2"/>
    <w:rsid w:val="00C765B6"/>
    <w:rsid w:val="00C7776C"/>
    <w:rsid w:val="00C8398D"/>
    <w:rsid w:val="00C84B0C"/>
    <w:rsid w:val="00C84BC2"/>
    <w:rsid w:val="00C85139"/>
    <w:rsid w:val="00C85657"/>
    <w:rsid w:val="00C91C88"/>
    <w:rsid w:val="00C939C3"/>
    <w:rsid w:val="00C9417E"/>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1A2"/>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445"/>
    <w:rsid w:val="00CE645E"/>
    <w:rsid w:val="00CE68E2"/>
    <w:rsid w:val="00CE706E"/>
    <w:rsid w:val="00CE70B1"/>
    <w:rsid w:val="00CE7AE4"/>
    <w:rsid w:val="00CF014D"/>
    <w:rsid w:val="00CF0A4C"/>
    <w:rsid w:val="00CF150A"/>
    <w:rsid w:val="00CF2225"/>
    <w:rsid w:val="00CF25E7"/>
    <w:rsid w:val="00CF3C77"/>
    <w:rsid w:val="00CF45A2"/>
    <w:rsid w:val="00CF52E7"/>
    <w:rsid w:val="00CF64B5"/>
    <w:rsid w:val="00CF7853"/>
    <w:rsid w:val="00D004ED"/>
    <w:rsid w:val="00D0260F"/>
    <w:rsid w:val="00D031E7"/>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1A34"/>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74A"/>
    <w:rsid w:val="00D42E5B"/>
    <w:rsid w:val="00D439D1"/>
    <w:rsid w:val="00D43C68"/>
    <w:rsid w:val="00D444B2"/>
    <w:rsid w:val="00D453E4"/>
    <w:rsid w:val="00D45914"/>
    <w:rsid w:val="00D46F5E"/>
    <w:rsid w:val="00D47226"/>
    <w:rsid w:val="00D50B21"/>
    <w:rsid w:val="00D51349"/>
    <w:rsid w:val="00D527AF"/>
    <w:rsid w:val="00D529E1"/>
    <w:rsid w:val="00D534C2"/>
    <w:rsid w:val="00D5410F"/>
    <w:rsid w:val="00D564DF"/>
    <w:rsid w:val="00D576DD"/>
    <w:rsid w:val="00D57CB4"/>
    <w:rsid w:val="00D61477"/>
    <w:rsid w:val="00D619E2"/>
    <w:rsid w:val="00D61F65"/>
    <w:rsid w:val="00D62036"/>
    <w:rsid w:val="00D620CC"/>
    <w:rsid w:val="00D634B8"/>
    <w:rsid w:val="00D63EF3"/>
    <w:rsid w:val="00D64441"/>
    <w:rsid w:val="00D64FB0"/>
    <w:rsid w:val="00D65497"/>
    <w:rsid w:val="00D654DA"/>
    <w:rsid w:val="00D65E5E"/>
    <w:rsid w:val="00D6609E"/>
    <w:rsid w:val="00D67A9F"/>
    <w:rsid w:val="00D67C20"/>
    <w:rsid w:val="00D70C1B"/>
    <w:rsid w:val="00D70E5C"/>
    <w:rsid w:val="00D7146C"/>
    <w:rsid w:val="00D718CD"/>
    <w:rsid w:val="00D7416F"/>
    <w:rsid w:val="00D754CB"/>
    <w:rsid w:val="00D755F2"/>
    <w:rsid w:val="00D762AC"/>
    <w:rsid w:val="00D775E7"/>
    <w:rsid w:val="00D77B9E"/>
    <w:rsid w:val="00D81CA9"/>
    <w:rsid w:val="00D839D8"/>
    <w:rsid w:val="00D83F9E"/>
    <w:rsid w:val="00D840C2"/>
    <w:rsid w:val="00D84562"/>
    <w:rsid w:val="00D85830"/>
    <w:rsid w:val="00D85C16"/>
    <w:rsid w:val="00D86169"/>
    <w:rsid w:val="00D8732E"/>
    <w:rsid w:val="00D9097D"/>
    <w:rsid w:val="00D91294"/>
    <w:rsid w:val="00D91297"/>
    <w:rsid w:val="00D9186A"/>
    <w:rsid w:val="00D92D47"/>
    <w:rsid w:val="00D94213"/>
    <w:rsid w:val="00D94BEB"/>
    <w:rsid w:val="00D94EA5"/>
    <w:rsid w:val="00D95F32"/>
    <w:rsid w:val="00DA024A"/>
    <w:rsid w:val="00DA07EE"/>
    <w:rsid w:val="00DA09CA"/>
    <w:rsid w:val="00DA0A58"/>
    <w:rsid w:val="00DA1C85"/>
    <w:rsid w:val="00DA1CC9"/>
    <w:rsid w:val="00DA2E58"/>
    <w:rsid w:val="00DA328E"/>
    <w:rsid w:val="00DA3AA6"/>
    <w:rsid w:val="00DA46C1"/>
    <w:rsid w:val="00DA70DD"/>
    <w:rsid w:val="00DA7BB6"/>
    <w:rsid w:val="00DB011B"/>
    <w:rsid w:val="00DB088F"/>
    <w:rsid w:val="00DB0B4A"/>
    <w:rsid w:val="00DB1487"/>
    <w:rsid w:val="00DB19B4"/>
    <w:rsid w:val="00DB19F1"/>
    <w:rsid w:val="00DB26AE"/>
    <w:rsid w:val="00DB4411"/>
    <w:rsid w:val="00DB466D"/>
    <w:rsid w:val="00DB5DD5"/>
    <w:rsid w:val="00DB5FD0"/>
    <w:rsid w:val="00DB638E"/>
    <w:rsid w:val="00DB7395"/>
    <w:rsid w:val="00DB75C2"/>
    <w:rsid w:val="00DB7E2C"/>
    <w:rsid w:val="00DC027B"/>
    <w:rsid w:val="00DC0A64"/>
    <w:rsid w:val="00DC0FC4"/>
    <w:rsid w:val="00DC1B9A"/>
    <w:rsid w:val="00DC2344"/>
    <w:rsid w:val="00DC2E4F"/>
    <w:rsid w:val="00DC384C"/>
    <w:rsid w:val="00DC40C4"/>
    <w:rsid w:val="00DC4AFD"/>
    <w:rsid w:val="00DC4C50"/>
    <w:rsid w:val="00DC4D87"/>
    <w:rsid w:val="00DC4D8A"/>
    <w:rsid w:val="00DC68FA"/>
    <w:rsid w:val="00DC6DF6"/>
    <w:rsid w:val="00DC7BFE"/>
    <w:rsid w:val="00DD08C7"/>
    <w:rsid w:val="00DD1A10"/>
    <w:rsid w:val="00DD200D"/>
    <w:rsid w:val="00DD2990"/>
    <w:rsid w:val="00DD2F6A"/>
    <w:rsid w:val="00DD2FE9"/>
    <w:rsid w:val="00DD3A7E"/>
    <w:rsid w:val="00DD434E"/>
    <w:rsid w:val="00DD4402"/>
    <w:rsid w:val="00DD4FFA"/>
    <w:rsid w:val="00DD60D0"/>
    <w:rsid w:val="00DD6200"/>
    <w:rsid w:val="00DD686C"/>
    <w:rsid w:val="00DD6E86"/>
    <w:rsid w:val="00DE0E5D"/>
    <w:rsid w:val="00DE1A51"/>
    <w:rsid w:val="00DE1CAD"/>
    <w:rsid w:val="00DE447F"/>
    <w:rsid w:val="00DE48F0"/>
    <w:rsid w:val="00DE4A77"/>
    <w:rsid w:val="00DE68EE"/>
    <w:rsid w:val="00DE6D24"/>
    <w:rsid w:val="00DE7285"/>
    <w:rsid w:val="00DE7C40"/>
    <w:rsid w:val="00DF0EA5"/>
    <w:rsid w:val="00DF15AF"/>
    <w:rsid w:val="00DF1F1D"/>
    <w:rsid w:val="00DF23A5"/>
    <w:rsid w:val="00DF4C6E"/>
    <w:rsid w:val="00DF5A3B"/>
    <w:rsid w:val="00DF6666"/>
    <w:rsid w:val="00DF745E"/>
    <w:rsid w:val="00DF762E"/>
    <w:rsid w:val="00E0044E"/>
    <w:rsid w:val="00E00816"/>
    <w:rsid w:val="00E0239F"/>
    <w:rsid w:val="00E0267B"/>
    <w:rsid w:val="00E0398D"/>
    <w:rsid w:val="00E04441"/>
    <w:rsid w:val="00E0555E"/>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29B"/>
    <w:rsid w:val="00E33E21"/>
    <w:rsid w:val="00E349DF"/>
    <w:rsid w:val="00E34BC4"/>
    <w:rsid w:val="00E3540C"/>
    <w:rsid w:val="00E358A2"/>
    <w:rsid w:val="00E36187"/>
    <w:rsid w:val="00E36332"/>
    <w:rsid w:val="00E364D4"/>
    <w:rsid w:val="00E36C9B"/>
    <w:rsid w:val="00E37638"/>
    <w:rsid w:val="00E37E9D"/>
    <w:rsid w:val="00E41B71"/>
    <w:rsid w:val="00E42569"/>
    <w:rsid w:val="00E434A0"/>
    <w:rsid w:val="00E4398F"/>
    <w:rsid w:val="00E44D30"/>
    <w:rsid w:val="00E4597F"/>
    <w:rsid w:val="00E46CB7"/>
    <w:rsid w:val="00E4723D"/>
    <w:rsid w:val="00E5077C"/>
    <w:rsid w:val="00E50EC8"/>
    <w:rsid w:val="00E5159B"/>
    <w:rsid w:val="00E515C6"/>
    <w:rsid w:val="00E522BB"/>
    <w:rsid w:val="00E52E0D"/>
    <w:rsid w:val="00E52FE2"/>
    <w:rsid w:val="00E531CE"/>
    <w:rsid w:val="00E54629"/>
    <w:rsid w:val="00E54715"/>
    <w:rsid w:val="00E54D6B"/>
    <w:rsid w:val="00E54E6F"/>
    <w:rsid w:val="00E55338"/>
    <w:rsid w:val="00E569AF"/>
    <w:rsid w:val="00E570B2"/>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6C8"/>
    <w:rsid w:val="00E92877"/>
    <w:rsid w:val="00E92E99"/>
    <w:rsid w:val="00E968FD"/>
    <w:rsid w:val="00E96D55"/>
    <w:rsid w:val="00E97993"/>
    <w:rsid w:val="00EA0D5D"/>
    <w:rsid w:val="00EA1192"/>
    <w:rsid w:val="00EA153F"/>
    <w:rsid w:val="00EA2788"/>
    <w:rsid w:val="00EA2C6E"/>
    <w:rsid w:val="00EA4964"/>
    <w:rsid w:val="00EA4F1A"/>
    <w:rsid w:val="00EB02DE"/>
    <w:rsid w:val="00EB09EB"/>
    <w:rsid w:val="00EB0A07"/>
    <w:rsid w:val="00EB1B69"/>
    <w:rsid w:val="00EB1C78"/>
    <w:rsid w:val="00EB3B46"/>
    <w:rsid w:val="00EB4F08"/>
    <w:rsid w:val="00EB5254"/>
    <w:rsid w:val="00EB6DC1"/>
    <w:rsid w:val="00EC2534"/>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3A99"/>
    <w:rsid w:val="00EF402C"/>
    <w:rsid w:val="00EF45E0"/>
    <w:rsid w:val="00EF4E6F"/>
    <w:rsid w:val="00EF5C82"/>
    <w:rsid w:val="00EF7A15"/>
    <w:rsid w:val="00F01F8C"/>
    <w:rsid w:val="00F035A6"/>
    <w:rsid w:val="00F04037"/>
    <w:rsid w:val="00F04AD0"/>
    <w:rsid w:val="00F10033"/>
    <w:rsid w:val="00F10848"/>
    <w:rsid w:val="00F10B68"/>
    <w:rsid w:val="00F11F55"/>
    <w:rsid w:val="00F1228C"/>
    <w:rsid w:val="00F12DEC"/>
    <w:rsid w:val="00F13151"/>
    <w:rsid w:val="00F15523"/>
    <w:rsid w:val="00F16391"/>
    <w:rsid w:val="00F2062B"/>
    <w:rsid w:val="00F213BC"/>
    <w:rsid w:val="00F21A18"/>
    <w:rsid w:val="00F21E61"/>
    <w:rsid w:val="00F220EA"/>
    <w:rsid w:val="00F222CD"/>
    <w:rsid w:val="00F24EA4"/>
    <w:rsid w:val="00F2625A"/>
    <w:rsid w:val="00F31A03"/>
    <w:rsid w:val="00F3283C"/>
    <w:rsid w:val="00F32918"/>
    <w:rsid w:val="00F32D0F"/>
    <w:rsid w:val="00F343F0"/>
    <w:rsid w:val="00F34620"/>
    <w:rsid w:val="00F34AAB"/>
    <w:rsid w:val="00F34C4D"/>
    <w:rsid w:val="00F350CF"/>
    <w:rsid w:val="00F35582"/>
    <w:rsid w:val="00F37004"/>
    <w:rsid w:val="00F376A1"/>
    <w:rsid w:val="00F37B8E"/>
    <w:rsid w:val="00F40310"/>
    <w:rsid w:val="00F41746"/>
    <w:rsid w:val="00F41E79"/>
    <w:rsid w:val="00F4315F"/>
    <w:rsid w:val="00F44452"/>
    <w:rsid w:val="00F445F6"/>
    <w:rsid w:val="00F4512F"/>
    <w:rsid w:val="00F45763"/>
    <w:rsid w:val="00F45BCF"/>
    <w:rsid w:val="00F45BEA"/>
    <w:rsid w:val="00F45CFE"/>
    <w:rsid w:val="00F46877"/>
    <w:rsid w:val="00F47F3E"/>
    <w:rsid w:val="00F50CAC"/>
    <w:rsid w:val="00F523D7"/>
    <w:rsid w:val="00F530E6"/>
    <w:rsid w:val="00F532C7"/>
    <w:rsid w:val="00F540DB"/>
    <w:rsid w:val="00F5476A"/>
    <w:rsid w:val="00F54EE5"/>
    <w:rsid w:val="00F55358"/>
    <w:rsid w:val="00F5589B"/>
    <w:rsid w:val="00F5603C"/>
    <w:rsid w:val="00F5605C"/>
    <w:rsid w:val="00F564B9"/>
    <w:rsid w:val="00F57909"/>
    <w:rsid w:val="00F61089"/>
    <w:rsid w:val="00F612D6"/>
    <w:rsid w:val="00F6226D"/>
    <w:rsid w:val="00F63400"/>
    <w:rsid w:val="00F636C6"/>
    <w:rsid w:val="00F6433D"/>
    <w:rsid w:val="00F64FCF"/>
    <w:rsid w:val="00F6573E"/>
    <w:rsid w:val="00F662EB"/>
    <w:rsid w:val="00F67606"/>
    <w:rsid w:val="00F6780F"/>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563"/>
    <w:rsid w:val="00F9132D"/>
    <w:rsid w:val="00F91941"/>
    <w:rsid w:val="00F92E3F"/>
    <w:rsid w:val="00F938D2"/>
    <w:rsid w:val="00F96389"/>
    <w:rsid w:val="00F9650E"/>
    <w:rsid w:val="00F96B73"/>
    <w:rsid w:val="00F977C7"/>
    <w:rsid w:val="00FA0890"/>
    <w:rsid w:val="00FA164A"/>
    <w:rsid w:val="00FA28E3"/>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26"/>
    <w:rsid w:val="00FC0FB5"/>
    <w:rsid w:val="00FC102A"/>
    <w:rsid w:val="00FC154C"/>
    <w:rsid w:val="00FC1DBC"/>
    <w:rsid w:val="00FC2637"/>
    <w:rsid w:val="00FC393B"/>
    <w:rsid w:val="00FC4052"/>
    <w:rsid w:val="00FC5252"/>
    <w:rsid w:val="00FC6356"/>
    <w:rsid w:val="00FC7495"/>
    <w:rsid w:val="00FC7D01"/>
    <w:rsid w:val="00FD0130"/>
    <w:rsid w:val="00FD0373"/>
    <w:rsid w:val="00FD0582"/>
    <w:rsid w:val="00FD0C93"/>
    <w:rsid w:val="00FD1062"/>
    <w:rsid w:val="00FD2589"/>
    <w:rsid w:val="00FD4876"/>
    <w:rsid w:val="00FD52A3"/>
    <w:rsid w:val="00FD5306"/>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32F"/>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168CDA"/>
  <w15:chartTrackingRefBased/>
  <w15:docId w15:val="{0C78DFB7-D605-4E27-841F-98259A17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rsid w:val="00446E5E"/>
    <w:pPr>
      <w:jc w:val="both"/>
    </w:pPr>
    <w:rPr>
      <w:sz w:val="20"/>
      <w:szCs w:val="20"/>
      <w:lang w:eastAsia="en-US"/>
    </w:rPr>
  </w:style>
  <w:style w:type="character" w:customStyle="1" w:styleId="FootnoteTextChar">
    <w:name w:val="Footnote Text Char"/>
    <w:link w:val="FootnoteText"/>
    <w:uiPriority w:val="99"/>
    <w:semiHidden/>
    <w:rsid w:val="00446E5E"/>
    <w:rPr>
      <w:lang w:eastAsia="en-US"/>
    </w:rPr>
  </w:style>
  <w:style w:type="character" w:styleId="FootnoteReference">
    <w:name w:val="footnote reference"/>
    <w:uiPriority w:val="99"/>
    <w:semiHidden/>
    <w:rsid w:val="00446E5E"/>
    <w:rPr>
      <w:rFonts w:ascii="Times New Roman" w:hAnsi="Times New Roman"/>
      <w:vertAlign w:val="superscript"/>
    </w:rPr>
  </w:style>
  <w:style w:type="paragraph" w:customStyle="1" w:styleId="tv213">
    <w:name w:val="tv213"/>
    <w:basedOn w:val="Normal"/>
    <w:rsid w:val="00F4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574">
      <w:bodyDiv w:val="1"/>
      <w:marLeft w:val="0"/>
      <w:marRight w:val="0"/>
      <w:marTop w:val="0"/>
      <w:marBottom w:val="0"/>
      <w:divBdr>
        <w:top w:val="none" w:sz="0" w:space="0" w:color="auto"/>
        <w:left w:val="none" w:sz="0" w:space="0" w:color="auto"/>
        <w:bottom w:val="none" w:sz="0" w:space="0" w:color="auto"/>
        <w:right w:val="none" w:sz="0" w:space="0" w:color="auto"/>
      </w:divBdr>
    </w:div>
    <w:div w:id="26118778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4432624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873116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6435432">
      <w:bodyDiv w:val="1"/>
      <w:marLeft w:val="0"/>
      <w:marRight w:val="0"/>
      <w:marTop w:val="0"/>
      <w:marBottom w:val="0"/>
      <w:divBdr>
        <w:top w:val="none" w:sz="0" w:space="0" w:color="auto"/>
        <w:left w:val="none" w:sz="0" w:space="0" w:color="auto"/>
        <w:bottom w:val="none" w:sz="0" w:space="0" w:color="auto"/>
        <w:right w:val="none" w:sz="0" w:space="0" w:color="auto"/>
      </w:divBdr>
    </w:div>
    <w:div w:id="19263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24</Pages>
  <Words>4612</Words>
  <Characters>33559</Characters>
  <Application>Microsoft Office Word</Application>
  <DocSecurity>0</DocSecurity>
  <Lines>279</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informācijas sabiedrības attīstības pamatnostādņu ieviešanu publiskās pārvaldes informācijas sistēmu jomā (mērķarhitektūras 54.0 versija - Būvniecības procesu un IS attīstība (2.kārta))"</vt:lpstr>
      <vt:lpstr>Ministru kabineta rīkojuma projekts "Par informācijas sabiedrības attīstības pamatnostādņu ieviešanu publiskās pārvaldes informācijas sistēmu jomā (mērķarhitektūras 54.0 versija - Būvniecības procesu un IS attīstība (2.kārta))"</vt:lpstr>
    </vt:vector>
  </TitlesOfParts>
  <Company>Būvniecības valsts kontroles birojs</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54.0 versija - Būvniecības procesu un IS attīstība (2.kārta))"</dc:title>
  <dc:subject>Izziņa</dc:subject>
  <dc:creator>Kristīne Fomina</dc:creator>
  <cp:keywords/>
  <dc:description>67013343, kristine.fomina@bvkb.gov.lv</dc:description>
  <cp:lastModifiedBy>Olga Feldmane</cp:lastModifiedBy>
  <cp:revision>7</cp:revision>
  <cp:lastPrinted>2019-06-17T12:42:00Z</cp:lastPrinted>
  <dcterms:created xsi:type="dcterms:W3CDTF">2019-06-14T12:57:00Z</dcterms:created>
  <dcterms:modified xsi:type="dcterms:W3CDTF">2019-06-19T06:26:00Z</dcterms:modified>
</cp:coreProperties>
</file>