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FB774" w14:textId="77777777" w:rsidR="007D0E8A" w:rsidRPr="00820287" w:rsidRDefault="00E86F30" w:rsidP="007D0E8A">
      <w:pPr>
        <w:jc w:val="center"/>
        <w:rPr>
          <w:b/>
          <w:sz w:val="24"/>
          <w:szCs w:val="24"/>
        </w:rPr>
      </w:pPr>
      <w:bookmarkStart w:id="0" w:name="OLE_LINK1"/>
      <w:bookmarkStart w:id="1" w:name="OLE_LINK2"/>
      <w:r w:rsidRPr="00830D49">
        <w:rPr>
          <w:b/>
          <w:bCs/>
          <w:sz w:val="24"/>
          <w:szCs w:val="24"/>
          <w:lang w:eastAsia="lv-LV"/>
        </w:rPr>
        <w:t>Ministru kabineta noteikumu projekta “Grozījumi Ministru kabineta 2013.gada 3.janvāra noteikumos Nr.17 “Pievienotās vērtības nodokļa likuma normu piemērošanas kārtība un atsevišķas prasības pievienotās vērtības nodokļa maksāšanai un administrēšanai””</w:t>
      </w:r>
      <w:r>
        <w:rPr>
          <w:b/>
          <w:bCs/>
          <w:sz w:val="24"/>
          <w:szCs w:val="24"/>
          <w:lang w:eastAsia="lv-LV"/>
        </w:rPr>
        <w:t xml:space="preserve"> </w:t>
      </w:r>
      <w:r w:rsidR="007D0E8A" w:rsidRPr="00820287">
        <w:rPr>
          <w:b/>
          <w:sz w:val="24"/>
          <w:szCs w:val="24"/>
        </w:rPr>
        <w:t>sākotnējās ietekmes novērtējuma ziņojums (anotācija)</w:t>
      </w:r>
    </w:p>
    <w:p w14:paraId="43FD9F61" w14:textId="77777777" w:rsidR="008A238C" w:rsidRPr="00820287" w:rsidRDefault="008A238C" w:rsidP="00AA2836">
      <w:pPr>
        <w:jc w:val="center"/>
        <w:rPr>
          <w:sz w:val="24"/>
          <w:szCs w:val="24"/>
          <w:lang w:eastAsia="lv-LV"/>
        </w:rPr>
      </w:pPr>
    </w:p>
    <w:tbl>
      <w:tblPr>
        <w:tblW w:w="50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50"/>
        <w:gridCol w:w="52"/>
        <w:gridCol w:w="77"/>
        <w:gridCol w:w="221"/>
        <w:gridCol w:w="1504"/>
        <w:gridCol w:w="247"/>
        <w:gridCol w:w="708"/>
        <w:gridCol w:w="42"/>
        <w:gridCol w:w="131"/>
        <w:gridCol w:w="1177"/>
        <w:gridCol w:w="1150"/>
        <w:gridCol w:w="1153"/>
        <w:gridCol w:w="2301"/>
      </w:tblGrid>
      <w:tr w:rsidR="00F207FB" w:rsidRPr="00820287" w14:paraId="43C13B64" w14:textId="77777777" w:rsidTr="00E47BAE">
        <w:tc>
          <w:tcPr>
            <w:tcW w:w="5000" w:type="pct"/>
            <w:gridSpan w:val="13"/>
            <w:vAlign w:val="center"/>
            <w:hideMark/>
          </w:tcPr>
          <w:p w14:paraId="73D81597" w14:textId="77777777" w:rsidR="009E66E6" w:rsidRPr="00820287" w:rsidRDefault="009E66E6" w:rsidP="00464800">
            <w:pPr>
              <w:spacing w:before="100" w:beforeAutospacing="1" w:after="100" w:afterAutospacing="1" w:line="360" w:lineRule="auto"/>
              <w:ind w:firstLine="300"/>
              <w:jc w:val="center"/>
              <w:rPr>
                <w:rFonts w:eastAsia="Times New Roman"/>
                <w:b/>
                <w:bCs/>
                <w:sz w:val="24"/>
                <w:szCs w:val="24"/>
                <w:lang w:eastAsia="lv-LV"/>
              </w:rPr>
            </w:pPr>
            <w:r w:rsidRPr="00820287">
              <w:rPr>
                <w:rFonts w:eastAsia="Times New Roman"/>
                <w:b/>
                <w:bCs/>
                <w:sz w:val="24"/>
                <w:szCs w:val="24"/>
                <w:lang w:eastAsia="lv-LV"/>
              </w:rPr>
              <w:t>Tiesību akta projekta anotācijas kopsavilkums</w:t>
            </w:r>
          </w:p>
        </w:tc>
      </w:tr>
      <w:tr w:rsidR="00D96306" w:rsidRPr="00820287" w14:paraId="1CBD0696" w14:textId="02C5100C" w:rsidTr="00E47BAE">
        <w:tc>
          <w:tcPr>
            <w:tcW w:w="1791" w:type="pct"/>
            <w:gridSpan w:val="8"/>
            <w:hideMark/>
          </w:tcPr>
          <w:p w14:paraId="671036C7" w14:textId="77777777" w:rsidR="009E66E6" w:rsidRPr="00820287" w:rsidRDefault="009E66E6" w:rsidP="00464800">
            <w:pPr>
              <w:jc w:val="both"/>
              <w:rPr>
                <w:rFonts w:eastAsia="Times New Roman"/>
                <w:sz w:val="24"/>
                <w:szCs w:val="24"/>
                <w:lang w:eastAsia="lv-LV"/>
              </w:rPr>
            </w:pPr>
            <w:r w:rsidRPr="00820287">
              <w:rPr>
                <w:rFonts w:eastAsia="Times New Roman"/>
                <w:sz w:val="24"/>
                <w:szCs w:val="24"/>
                <w:lang w:eastAsia="lv-LV"/>
              </w:rPr>
              <w:t>Mērķis, risinājums un projekta spēkā stāšanās laiks (500 zīmes bez atstarpēm)</w:t>
            </w:r>
          </w:p>
        </w:tc>
        <w:tc>
          <w:tcPr>
            <w:tcW w:w="3209" w:type="pct"/>
            <w:gridSpan w:val="5"/>
            <w:hideMark/>
          </w:tcPr>
          <w:p w14:paraId="74126D1F" w14:textId="35B659C1" w:rsidR="00EF18FC" w:rsidRDefault="00E86F30" w:rsidP="00EF18FC">
            <w:pPr>
              <w:tabs>
                <w:tab w:val="left" w:pos="340"/>
              </w:tabs>
              <w:ind w:left="113" w:right="113"/>
              <w:jc w:val="both"/>
              <w:rPr>
                <w:rFonts w:eastAsia="Times New Roman"/>
                <w:sz w:val="24"/>
                <w:szCs w:val="24"/>
                <w:lang w:eastAsia="lv-LV"/>
              </w:rPr>
            </w:pPr>
            <w:r>
              <w:rPr>
                <w:iCs/>
                <w:sz w:val="24"/>
                <w:szCs w:val="24"/>
              </w:rPr>
              <w:t>Ministru kabineta noteikumu projekta</w:t>
            </w:r>
            <w:r w:rsidR="006F5B6A" w:rsidRPr="0005528B">
              <w:rPr>
                <w:iCs/>
                <w:sz w:val="24"/>
                <w:szCs w:val="24"/>
              </w:rPr>
              <w:t xml:space="preserve"> mērķis ir </w:t>
            </w:r>
            <w:r w:rsidR="00966E22" w:rsidRPr="00966E22">
              <w:rPr>
                <w:rFonts w:eastAsia="Times New Roman"/>
                <w:sz w:val="24"/>
                <w:szCs w:val="24"/>
                <w:lang w:eastAsia="lv-LV"/>
              </w:rPr>
              <w:t xml:space="preserve">saskaņot </w:t>
            </w:r>
            <w:r w:rsidR="003F3E20">
              <w:rPr>
                <w:rFonts w:eastAsia="Times New Roman"/>
                <w:sz w:val="24"/>
                <w:szCs w:val="24"/>
                <w:lang w:eastAsia="lv-LV"/>
              </w:rPr>
              <w:t xml:space="preserve">spēkā esošo </w:t>
            </w:r>
            <w:r w:rsidR="00966E22" w:rsidRPr="00966E22">
              <w:rPr>
                <w:rFonts w:eastAsia="Times New Roman"/>
                <w:sz w:val="24"/>
                <w:szCs w:val="24"/>
                <w:lang w:eastAsia="lv-LV"/>
              </w:rPr>
              <w:t>Ministru kabineta noteikumu regulējumu ar Eiropas Savienības regulējumu un Pievienotās vērtības nodokļa likumu</w:t>
            </w:r>
            <w:r w:rsidR="001447FD">
              <w:rPr>
                <w:rFonts w:eastAsia="Times New Roman"/>
                <w:iCs/>
                <w:sz w:val="24"/>
                <w:szCs w:val="24"/>
              </w:rPr>
              <w:t xml:space="preserve"> attiecībā uz </w:t>
            </w:r>
            <w:r w:rsidR="001447FD">
              <w:rPr>
                <w:sz w:val="24"/>
                <w:szCs w:val="24"/>
              </w:rPr>
              <w:t xml:space="preserve">apgrieztās jeb reversās PVN maksāšanas kārtības piemērošanu un </w:t>
            </w:r>
            <w:r w:rsidR="001447FD">
              <w:rPr>
                <w:rFonts w:eastAsia="Times New Roman"/>
                <w:sz w:val="24"/>
                <w:szCs w:val="24"/>
                <w:lang w:eastAsia="lv-LV"/>
              </w:rPr>
              <w:t xml:space="preserve">īpašās atļaujas importa darījumos apturēšanu un anulēšanu. </w:t>
            </w:r>
          </w:p>
          <w:p w14:paraId="01F12FA2" w14:textId="19AD893D" w:rsidR="00F61984" w:rsidRPr="00820287" w:rsidRDefault="001B16A9" w:rsidP="006A72C5">
            <w:pPr>
              <w:tabs>
                <w:tab w:val="left" w:pos="340"/>
              </w:tabs>
              <w:ind w:left="113" w:right="113"/>
              <w:jc w:val="both"/>
              <w:rPr>
                <w:rFonts w:eastAsia="Times New Roman"/>
                <w:sz w:val="24"/>
                <w:szCs w:val="24"/>
                <w:lang w:eastAsia="lv-LV"/>
              </w:rPr>
            </w:pPr>
            <w:r>
              <w:rPr>
                <w:iCs/>
                <w:sz w:val="24"/>
                <w:szCs w:val="24"/>
              </w:rPr>
              <w:t xml:space="preserve">Paredzēts, ka </w:t>
            </w:r>
            <w:r w:rsidR="00966E22">
              <w:rPr>
                <w:iCs/>
                <w:sz w:val="24"/>
                <w:szCs w:val="24"/>
              </w:rPr>
              <w:t xml:space="preserve">Ministru kabineta noteikumu </w:t>
            </w:r>
            <w:r w:rsidR="00E460FA">
              <w:rPr>
                <w:iCs/>
                <w:sz w:val="24"/>
                <w:szCs w:val="24"/>
              </w:rPr>
              <w:t xml:space="preserve">projekts </w:t>
            </w:r>
            <w:r>
              <w:rPr>
                <w:iCs/>
                <w:sz w:val="24"/>
                <w:szCs w:val="24"/>
              </w:rPr>
              <w:t xml:space="preserve">stāsies </w:t>
            </w:r>
            <w:r w:rsidR="00E460FA">
              <w:rPr>
                <w:iCs/>
                <w:sz w:val="24"/>
                <w:szCs w:val="24"/>
              </w:rPr>
              <w:t xml:space="preserve">spēkā </w:t>
            </w:r>
            <w:r w:rsidR="00EF18FC">
              <w:rPr>
                <w:iCs/>
                <w:sz w:val="24"/>
                <w:szCs w:val="24"/>
              </w:rPr>
              <w:t>2019.gada 1.jūlijā</w:t>
            </w:r>
            <w:r w:rsidR="00763FD8">
              <w:rPr>
                <w:iCs/>
                <w:sz w:val="24"/>
                <w:szCs w:val="24"/>
              </w:rPr>
              <w:t xml:space="preserve"> vienlaikus ar </w:t>
            </w:r>
            <w:r w:rsidR="00711B9E">
              <w:rPr>
                <w:iCs/>
                <w:sz w:val="24"/>
                <w:szCs w:val="24"/>
              </w:rPr>
              <w:t>grozījumiem Pievienotās vērtības nodokļa likumā</w:t>
            </w:r>
            <w:r w:rsidR="007C5DFC">
              <w:rPr>
                <w:iCs/>
                <w:sz w:val="24"/>
                <w:szCs w:val="24"/>
              </w:rPr>
              <w:t xml:space="preserve"> (Nr. 57/Lp13)</w:t>
            </w:r>
            <w:bookmarkStart w:id="2" w:name="_GoBack"/>
            <w:bookmarkEnd w:id="2"/>
            <w:r w:rsidR="00711B9E">
              <w:rPr>
                <w:iCs/>
                <w:sz w:val="24"/>
                <w:szCs w:val="24"/>
              </w:rPr>
              <w:t xml:space="preserve">, kurus </w:t>
            </w:r>
            <w:r w:rsidR="001B4713">
              <w:rPr>
                <w:iCs/>
                <w:sz w:val="24"/>
                <w:szCs w:val="24"/>
              </w:rPr>
              <w:t>Saeima pieņēma 2019.gada 30.maijā</w:t>
            </w:r>
            <w:r w:rsidR="006A72C5">
              <w:rPr>
                <w:iCs/>
                <w:sz w:val="24"/>
                <w:szCs w:val="24"/>
              </w:rPr>
              <w:t xml:space="preserve">. </w:t>
            </w:r>
          </w:p>
        </w:tc>
      </w:tr>
      <w:bookmarkEnd w:id="0"/>
      <w:bookmarkEnd w:id="1"/>
      <w:tr w:rsidR="00F207FB" w:rsidRPr="00820287" w14:paraId="4A05E4AC" w14:textId="77777777" w:rsidTr="00E47BAE">
        <w:tblPrEx>
          <w:tblCellSpacing w:w="0" w:type="dxa"/>
          <w:tblCellMar>
            <w:top w:w="0" w:type="dxa"/>
            <w:left w:w="0" w:type="dxa"/>
            <w:bottom w:w="0" w:type="dxa"/>
            <w:right w:w="0" w:type="dxa"/>
          </w:tblCellMar>
        </w:tblPrEx>
        <w:trPr>
          <w:trHeight w:val="362"/>
          <w:tblCellSpacing w:w="0" w:type="dxa"/>
        </w:trPr>
        <w:tc>
          <w:tcPr>
            <w:tcW w:w="5000" w:type="pct"/>
            <w:gridSpan w:val="13"/>
            <w:tcBorders>
              <w:top w:val="single" w:sz="4" w:space="0" w:color="auto"/>
              <w:left w:val="nil"/>
              <w:bottom w:val="single" w:sz="4" w:space="0" w:color="auto"/>
              <w:right w:val="nil"/>
            </w:tcBorders>
            <w:vAlign w:val="center"/>
            <w:hideMark/>
          </w:tcPr>
          <w:p w14:paraId="1AB26CD5" w14:textId="77777777" w:rsidR="005A039A" w:rsidRPr="00820287" w:rsidRDefault="005A039A" w:rsidP="006F5B6A">
            <w:pPr>
              <w:ind w:right="-213"/>
              <w:jc w:val="center"/>
              <w:rPr>
                <w:rFonts w:eastAsia="Times New Roman"/>
                <w:sz w:val="24"/>
                <w:szCs w:val="24"/>
                <w:lang w:eastAsia="lv-LV"/>
              </w:rPr>
            </w:pPr>
            <w:r w:rsidRPr="00820287">
              <w:rPr>
                <w:rFonts w:eastAsia="Times New Roman"/>
                <w:b/>
                <w:bCs/>
                <w:sz w:val="24"/>
                <w:szCs w:val="24"/>
                <w:lang w:eastAsia="lv-LV"/>
              </w:rPr>
              <w:t>I. Tiesību akta projekta izstrādes nepieciešamība</w:t>
            </w:r>
          </w:p>
        </w:tc>
      </w:tr>
      <w:tr w:rsidR="00F207FB" w:rsidRPr="00820287" w14:paraId="1F584DD5" w14:textId="77777777" w:rsidTr="00E47BAE">
        <w:tblPrEx>
          <w:tblCellSpacing w:w="0" w:type="dxa"/>
          <w:tblCellMar>
            <w:top w:w="0" w:type="dxa"/>
            <w:left w:w="0" w:type="dxa"/>
            <w:bottom w:w="0" w:type="dxa"/>
            <w:right w:w="0" w:type="dxa"/>
          </w:tblCellMar>
        </w:tblPrEx>
        <w:trPr>
          <w:trHeight w:val="361"/>
          <w:tblCellSpacing w:w="0" w:type="dxa"/>
        </w:trPr>
        <w:tc>
          <w:tcPr>
            <w:tcW w:w="272" w:type="pct"/>
            <w:gridSpan w:val="2"/>
            <w:tcBorders>
              <w:top w:val="single" w:sz="4" w:space="0" w:color="auto"/>
              <w:bottom w:val="single" w:sz="4" w:space="0" w:color="auto"/>
              <w:right w:val="single" w:sz="4" w:space="0" w:color="auto"/>
            </w:tcBorders>
            <w:hideMark/>
          </w:tcPr>
          <w:p w14:paraId="5F22644A" w14:textId="77777777" w:rsidR="005A039A" w:rsidRPr="00820287" w:rsidRDefault="005A039A" w:rsidP="00AA2836">
            <w:pPr>
              <w:rPr>
                <w:rFonts w:eastAsia="Times New Roman"/>
                <w:sz w:val="24"/>
                <w:szCs w:val="24"/>
                <w:lang w:eastAsia="lv-LV"/>
              </w:rPr>
            </w:pPr>
            <w:r w:rsidRPr="00820287">
              <w:rPr>
                <w:rFonts w:eastAsia="Times New Roman"/>
                <w:sz w:val="24"/>
                <w:szCs w:val="24"/>
                <w:lang w:eastAsia="lv-LV"/>
              </w:rPr>
              <w:t>1.</w:t>
            </w:r>
          </w:p>
        </w:tc>
        <w:tc>
          <w:tcPr>
            <w:tcW w:w="1519" w:type="pct"/>
            <w:gridSpan w:val="6"/>
            <w:tcBorders>
              <w:top w:val="single" w:sz="4" w:space="0" w:color="auto"/>
              <w:left w:val="single" w:sz="4" w:space="0" w:color="auto"/>
              <w:bottom w:val="single" w:sz="4" w:space="0" w:color="auto"/>
              <w:right w:val="single" w:sz="4" w:space="0" w:color="auto"/>
            </w:tcBorders>
            <w:hideMark/>
          </w:tcPr>
          <w:p w14:paraId="456E4180" w14:textId="77777777" w:rsidR="005A039A" w:rsidRPr="00820287" w:rsidRDefault="005A039A" w:rsidP="00AA2836">
            <w:pPr>
              <w:rPr>
                <w:rFonts w:eastAsia="Times New Roman"/>
                <w:sz w:val="24"/>
                <w:szCs w:val="24"/>
                <w:lang w:eastAsia="lv-LV"/>
              </w:rPr>
            </w:pPr>
            <w:r w:rsidRPr="00820287">
              <w:rPr>
                <w:rFonts w:eastAsia="Times New Roman"/>
                <w:sz w:val="24"/>
                <w:szCs w:val="24"/>
                <w:lang w:eastAsia="lv-LV"/>
              </w:rPr>
              <w:t> Pamatojums</w:t>
            </w:r>
          </w:p>
        </w:tc>
        <w:tc>
          <w:tcPr>
            <w:tcW w:w="3209" w:type="pct"/>
            <w:gridSpan w:val="5"/>
            <w:tcBorders>
              <w:top w:val="single" w:sz="4" w:space="0" w:color="auto"/>
              <w:left w:val="single" w:sz="4" w:space="0" w:color="auto"/>
              <w:bottom w:val="single" w:sz="4" w:space="0" w:color="auto"/>
              <w:right w:val="nil"/>
            </w:tcBorders>
            <w:hideMark/>
          </w:tcPr>
          <w:p w14:paraId="4D75914B" w14:textId="77777777" w:rsidR="00F061FB" w:rsidRPr="004271FD" w:rsidRDefault="00966E22" w:rsidP="00711B9E">
            <w:pPr>
              <w:tabs>
                <w:tab w:val="left" w:pos="340"/>
              </w:tabs>
              <w:ind w:left="113" w:right="113"/>
              <w:jc w:val="both"/>
              <w:rPr>
                <w:sz w:val="24"/>
                <w:szCs w:val="24"/>
              </w:rPr>
            </w:pPr>
            <w:r w:rsidRPr="004271FD">
              <w:rPr>
                <w:rFonts w:eastAsia="Times New Roman"/>
                <w:sz w:val="24"/>
                <w:szCs w:val="24"/>
                <w:lang w:eastAsia="lv-LV"/>
              </w:rPr>
              <w:t xml:space="preserve">Ministru kabineta noteikumu </w:t>
            </w:r>
            <w:r w:rsidR="00F61984" w:rsidRPr="004271FD">
              <w:rPr>
                <w:sz w:val="24"/>
                <w:szCs w:val="24"/>
              </w:rPr>
              <w:t xml:space="preserve">projekts </w:t>
            </w:r>
            <w:r w:rsidRPr="004271FD">
              <w:rPr>
                <w:sz w:val="24"/>
                <w:szCs w:val="24"/>
              </w:rPr>
              <w:t xml:space="preserve">“Grozījumi Ministru </w:t>
            </w:r>
            <w:r w:rsidRPr="00711B9E">
              <w:rPr>
                <w:iCs/>
                <w:sz w:val="24"/>
                <w:szCs w:val="24"/>
              </w:rPr>
              <w:t>kabineta</w:t>
            </w:r>
            <w:r w:rsidRPr="004271FD">
              <w:rPr>
                <w:sz w:val="24"/>
                <w:szCs w:val="24"/>
              </w:rPr>
              <w:t xml:space="preserve"> 2013.gada 3.janvāra noteikumos Nr.17 “Pievienotās vērtības nodokļa likuma normu piemērošanas kārtība un atsevišķas prasības pievienotās vērtības nodokļa maksāšanai un administrēšanai”” (turpmāk – Ministru kabineta noteikumu </w:t>
            </w:r>
            <w:r w:rsidR="00F261D0" w:rsidRPr="004271FD">
              <w:rPr>
                <w:sz w:val="24"/>
                <w:szCs w:val="24"/>
              </w:rPr>
              <w:t xml:space="preserve">projekts) </w:t>
            </w:r>
            <w:r w:rsidR="00F61984" w:rsidRPr="004271FD">
              <w:rPr>
                <w:sz w:val="24"/>
                <w:szCs w:val="24"/>
              </w:rPr>
              <w:t>ir izstrādāts, lai</w:t>
            </w:r>
            <w:r w:rsidR="00F061FB" w:rsidRPr="004271FD">
              <w:rPr>
                <w:sz w:val="24"/>
                <w:szCs w:val="24"/>
              </w:rPr>
              <w:t>:</w:t>
            </w:r>
          </w:p>
          <w:p w14:paraId="4F81FE0A" w14:textId="7A18D5A9" w:rsidR="00F061FB" w:rsidRPr="004271FD" w:rsidRDefault="00966E22" w:rsidP="00C3708B">
            <w:pPr>
              <w:pStyle w:val="ListParagraph"/>
              <w:numPr>
                <w:ilvl w:val="0"/>
                <w:numId w:val="5"/>
              </w:numPr>
              <w:spacing w:after="0" w:line="240" w:lineRule="auto"/>
              <w:ind w:left="654" w:right="113"/>
              <w:jc w:val="both"/>
              <w:rPr>
                <w:sz w:val="24"/>
                <w:szCs w:val="24"/>
              </w:rPr>
            </w:pPr>
            <w:r w:rsidRPr="004271FD">
              <w:rPr>
                <w:sz w:val="24"/>
                <w:szCs w:val="24"/>
              </w:rPr>
              <w:t>precizētu melno un krāsaino metālu pusfabrik</w:t>
            </w:r>
            <w:r w:rsidR="0075346E" w:rsidRPr="004271FD">
              <w:rPr>
                <w:sz w:val="24"/>
                <w:szCs w:val="24"/>
              </w:rPr>
              <w:t xml:space="preserve">ātu sarakstu </w:t>
            </w:r>
            <w:r w:rsidRPr="004271FD">
              <w:rPr>
                <w:sz w:val="24"/>
                <w:szCs w:val="24"/>
              </w:rPr>
              <w:t>atbilstoši Padomes 2006.gada 28.novembra direktīvas 2006/112/EK par kopējo pievienotās vērtības nodokļa sistēmu</w:t>
            </w:r>
            <w:r w:rsidR="00355DF8" w:rsidRPr="004271FD">
              <w:rPr>
                <w:sz w:val="24"/>
                <w:szCs w:val="24"/>
              </w:rPr>
              <w:t xml:space="preserve"> (turpmāk - Direktīva 2006/112/EK)</w:t>
            </w:r>
            <w:r w:rsidRPr="004271FD">
              <w:rPr>
                <w:sz w:val="24"/>
                <w:szCs w:val="24"/>
              </w:rPr>
              <w:t xml:space="preserve"> 199.a</w:t>
            </w:r>
            <w:r w:rsidR="0075346E" w:rsidRPr="004271FD">
              <w:rPr>
                <w:sz w:val="24"/>
                <w:szCs w:val="24"/>
              </w:rPr>
              <w:t> </w:t>
            </w:r>
            <w:r w:rsidRPr="004271FD">
              <w:rPr>
                <w:sz w:val="24"/>
                <w:szCs w:val="24"/>
              </w:rPr>
              <w:t>panta 1.punkta “j” apakšpunkta</w:t>
            </w:r>
            <w:r w:rsidR="0075346E" w:rsidRPr="004271FD">
              <w:rPr>
                <w:sz w:val="24"/>
                <w:szCs w:val="24"/>
              </w:rPr>
              <w:t xml:space="preserve"> tvēruma</w:t>
            </w:r>
            <w:r w:rsidRPr="004271FD">
              <w:rPr>
                <w:sz w:val="24"/>
                <w:szCs w:val="24"/>
              </w:rPr>
              <w:t>m,</w:t>
            </w:r>
          </w:p>
          <w:p w14:paraId="17DF5C43" w14:textId="332ED18C" w:rsidR="00F061FB" w:rsidRPr="004271FD" w:rsidRDefault="002F6421" w:rsidP="00C3708B">
            <w:pPr>
              <w:pStyle w:val="ListParagraph"/>
              <w:numPr>
                <w:ilvl w:val="0"/>
                <w:numId w:val="5"/>
              </w:numPr>
              <w:spacing w:after="0" w:line="240" w:lineRule="auto"/>
              <w:ind w:left="654" w:right="113"/>
              <w:jc w:val="both"/>
              <w:rPr>
                <w:sz w:val="24"/>
                <w:szCs w:val="24"/>
              </w:rPr>
            </w:pPr>
            <w:r w:rsidRPr="004271FD">
              <w:rPr>
                <w:rFonts w:eastAsia="Times New Roman"/>
                <w:sz w:val="24"/>
                <w:szCs w:val="24"/>
                <w:lang w:eastAsia="lv-LV"/>
              </w:rPr>
              <w:t xml:space="preserve">veiktu precizējumus </w:t>
            </w:r>
            <w:r w:rsidRPr="004271FD">
              <w:rPr>
                <w:sz w:val="24"/>
                <w:szCs w:val="24"/>
              </w:rPr>
              <w:t xml:space="preserve">informācijas saturā, ko pievienotās vērtības nodokļa (turpmāk – PVN) maksātājs, kas neveic saimniecisko darbību Eiropas Savienībā, paziņo Valsts ieņēmumu dienestam (turpmāk – VID), </w:t>
            </w:r>
            <w:r w:rsidRPr="004271FD">
              <w:rPr>
                <w:rFonts w:eastAsia="Times New Roman"/>
                <w:sz w:val="24"/>
                <w:szCs w:val="24"/>
                <w:lang w:eastAsia="lv-LV"/>
              </w:rPr>
              <w:t xml:space="preserve">izvēloties piemērot </w:t>
            </w:r>
            <w:proofErr w:type="spellStart"/>
            <w:r w:rsidRPr="004271FD">
              <w:rPr>
                <w:rFonts w:eastAsia="Times New Roman"/>
                <w:sz w:val="24"/>
                <w:szCs w:val="24"/>
                <w:lang w:eastAsia="lv-LV"/>
              </w:rPr>
              <w:t>ārpussavienības</w:t>
            </w:r>
            <w:proofErr w:type="spellEnd"/>
            <w:r w:rsidRPr="004271FD">
              <w:rPr>
                <w:rFonts w:eastAsia="Times New Roman"/>
                <w:sz w:val="24"/>
                <w:szCs w:val="24"/>
                <w:lang w:eastAsia="lv-LV"/>
              </w:rPr>
              <w:t xml:space="preserve"> režīmu</w:t>
            </w:r>
            <w:r>
              <w:rPr>
                <w:rStyle w:val="FootnoteReference"/>
                <w:rFonts w:eastAsia="Times New Roman"/>
                <w:sz w:val="24"/>
                <w:szCs w:val="24"/>
                <w:lang w:eastAsia="lv-LV"/>
              </w:rPr>
              <w:footnoteReference w:id="1"/>
            </w:r>
            <w:r w:rsidR="00711B9E">
              <w:rPr>
                <w:rFonts w:eastAsia="Times New Roman"/>
                <w:sz w:val="24"/>
                <w:szCs w:val="24"/>
                <w:lang w:eastAsia="lv-LV"/>
              </w:rPr>
              <w:t>,</w:t>
            </w:r>
          </w:p>
          <w:p w14:paraId="5ECBCDD4" w14:textId="0BA351FD" w:rsidR="00107D3C" w:rsidRPr="004271FD" w:rsidRDefault="00F061FB" w:rsidP="00C3708B">
            <w:pPr>
              <w:pStyle w:val="ListParagraph"/>
              <w:numPr>
                <w:ilvl w:val="0"/>
                <w:numId w:val="5"/>
              </w:numPr>
              <w:spacing w:after="0" w:line="240" w:lineRule="auto"/>
              <w:ind w:left="654" w:right="113"/>
              <w:jc w:val="both"/>
              <w:rPr>
                <w:sz w:val="24"/>
                <w:szCs w:val="24"/>
              </w:rPr>
            </w:pPr>
            <w:r w:rsidRPr="00B0118E">
              <w:rPr>
                <w:rFonts w:eastAsia="Times New Roman"/>
                <w:sz w:val="24"/>
                <w:szCs w:val="24"/>
                <w:lang w:eastAsia="lv-LV"/>
              </w:rPr>
              <w:t>tehniskus</w:t>
            </w:r>
            <w:r w:rsidRPr="00F061FB">
              <w:rPr>
                <w:rFonts w:eastAsia="Times New Roman"/>
                <w:sz w:val="24"/>
                <w:szCs w:val="24"/>
                <w:lang w:eastAsia="lv-LV"/>
              </w:rPr>
              <w:t xml:space="preserve"> </w:t>
            </w:r>
            <w:r w:rsidR="00262995" w:rsidRPr="004271FD">
              <w:rPr>
                <w:rFonts w:eastAsia="Times New Roman"/>
                <w:sz w:val="24"/>
                <w:szCs w:val="24"/>
                <w:lang w:eastAsia="lv-LV"/>
              </w:rPr>
              <w:t>precizējumus</w:t>
            </w:r>
            <w:r>
              <w:rPr>
                <w:rFonts w:eastAsia="Times New Roman"/>
                <w:sz w:val="24"/>
                <w:szCs w:val="24"/>
                <w:lang w:eastAsia="lv-LV"/>
              </w:rPr>
              <w:t xml:space="preserve">, lai noteikumu teksts atbilstu Pievienotās </w:t>
            </w:r>
            <w:r w:rsidR="00711B9E">
              <w:rPr>
                <w:rFonts w:eastAsia="Times New Roman"/>
                <w:sz w:val="24"/>
                <w:szCs w:val="24"/>
                <w:lang w:eastAsia="lv-LV"/>
              </w:rPr>
              <w:t>vērtības nodokļa likuma tekstam,</w:t>
            </w:r>
          </w:p>
          <w:p w14:paraId="31D3A471" w14:textId="53C5308B" w:rsidR="001447FD" w:rsidRPr="004271FD" w:rsidRDefault="00C21C79" w:rsidP="00C3708B">
            <w:pPr>
              <w:pStyle w:val="ListParagraph"/>
              <w:numPr>
                <w:ilvl w:val="0"/>
                <w:numId w:val="5"/>
              </w:numPr>
              <w:spacing w:after="0" w:line="240" w:lineRule="auto"/>
              <w:ind w:left="654" w:right="113"/>
              <w:jc w:val="both"/>
              <w:rPr>
                <w:sz w:val="24"/>
                <w:szCs w:val="24"/>
              </w:rPr>
            </w:pPr>
            <w:r>
              <w:rPr>
                <w:sz w:val="24"/>
                <w:szCs w:val="24"/>
              </w:rPr>
              <w:t xml:space="preserve">precizētu </w:t>
            </w:r>
            <w:r w:rsidRPr="00AE4CAC">
              <w:rPr>
                <w:sz w:val="24"/>
                <w:szCs w:val="24"/>
              </w:rPr>
              <w:t>atļauj</w:t>
            </w:r>
            <w:r>
              <w:rPr>
                <w:sz w:val="24"/>
                <w:szCs w:val="24"/>
              </w:rPr>
              <w:t>as</w:t>
            </w:r>
            <w:r w:rsidRPr="00AE4CAC">
              <w:rPr>
                <w:sz w:val="24"/>
                <w:szCs w:val="24"/>
              </w:rPr>
              <w:t xml:space="preserve"> </w:t>
            </w:r>
            <w:r w:rsidRPr="00AE4CAC">
              <w:rPr>
                <w:rFonts w:eastAsia="Times New Roman"/>
                <w:sz w:val="24"/>
                <w:szCs w:val="24"/>
                <w:lang w:eastAsia="lv-LV"/>
              </w:rPr>
              <w:t xml:space="preserve">īpašā PVN režīma preču importa darījumos </w:t>
            </w:r>
            <w:r>
              <w:rPr>
                <w:rFonts w:eastAsia="Times New Roman"/>
                <w:sz w:val="24"/>
                <w:szCs w:val="24"/>
                <w:lang w:eastAsia="lv-LV"/>
              </w:rPr>
              <w:t xml:space="preserve">apturēšanas un anulēšanas nosacījumus, izpildot </w:t>
            </w:r>
            <w:r w:rsidR="00F061FB" w:rsidRPr="006E3395">
              <w:rPr>
                <w:sz w:val="24"/>
                <w:szCs w:val="24"/>
              </w:rPr>
              <w:t>Ministru kabineta 2018.gada 23.oktobra</w:t>
            </w:r>
            <w:r w:rsidR="00F3453A">
              <w:rPr>
                <w:sz w:val="24"/>
                <w:szCs w:val="24"/>
              </w:rPr>
              <w:t xml:space="preserve"> sēdes</w:t>
            </w:r>
            <w:r w:rsidR="00F061FB" w:rsidRPr="006E3395">
              <w:rPr>
                <w:sz w:val="24"/>
                <w:szCs w:val="24"/>
              </w:rPr>
              <w:t xml:space="preserve"> protokola Nr.49 56.§ “Latvijas Republikas nostājas projekts uz Eiropas Komisijas 2018.gada 24.septembra papildu formālo paziņojumu pārkāpuma procedūras lietā Nr.2018/2149” 5.punktā </w:t>
            </w:r>
            <w:r w:rsidR="00F061FB">
              <w:rPr>
                <w:sz w:val="24"/>
                <w:szCs w:val="24"/>
              </w:rPr>
              <w:t>doto</w:t>
            </w:r>
            <w:r w:rsidR="00F061FB" w:rsidRPr="006E3395">
              <w:rPr>
                <w:sz w:val="24"/>
                <w:szCs w:val="24"/>
              </w:rPr>
              <w:t xml:space="preserve"> uzdevumu</w:t>
            </w:r>
            <w:r>
              <w:rPr>
                <w:sz w:val="24"/>
                <w:szCs w:val="24"/>
              </w:rPr>
              <w:t>, proti,</w:t>
            </w:r>
            <w:r w:rsidR="00F061FB">
              <w:rPr>
                <w:sz w:val="24"/>
                <w:szCs w:val="24"/>
              </w:rPr>
              <w:t xml:space="preserve"> l</w:t>
            </w:r>
            <w:r w:rsidR="00F061FB" w:rsidRPr="006E3395">
              <w:rPr>
                <w:sz w:val="24"/>
                <w:szCs w:val="24"/>
              </w:rPr>
              <w:t xml:space="preserve">ai cīnītos pret negodprātīgiem </w:t>
            </w:r>
            <w:r w:rsidR="00F061FB" w:rsidRPr="006E3395">
              <w:rPr>
                <w:sz w:val="24"/>
                <w:szCs w:val="24"/>
              </w:rPr>
              <w:lastRenderedPageBreak/>
              <w:t xml:space="preserve">nodokļu maksātājiem un </w:t>
            </w:r>
            <w:r w:rsidR="00F061FB">
              <w:rPr>
                <w:sz w:val="24"/>
                <w:szCs w:val="24"/>
              </w:rPr>
              <w:t>PVN</w:t>
            </w:r>
            <w:r w:rsidR="00F061FB" w:rsidRPr="006E3395">
              <w:rPr>
                <w:sz w:val="24"/>
                <w:szCs w:val="24"/>
              </w:rPr>
              <w:t xml:space="preserve"> </w:t>
            </w:r>
            <w:proofErr w:type="spellStart"/>
            <w:r w:rsidR="00F061FB" w:rsidRPr="006E3395">
              <w:rPr>
                <w:sz w:val="24"/>
                <w:szCs w:val="24"/>
              </w:rPr>
              <w:t>krāpniecību</w:t>
            </w:r>
            <w:proofErr w:type="spellEnd"/>
            <w:r w:rsidR="00F061FB" w:rsidRPr="006E3395">
              <w:rPr>
                <w:sz w:val="24"/>
                <w:szCs w:val="24"/>
              </w:rPr>
              <w:t xml:space="preserve">, noteiktu stingrākus kritērijus īpašajam </w:t>
            </w:r>
            <w:r w:rsidR="00F061FB">
              <w:rPr>
                <w:sz w:val="24"/>
                <w:szCs w:val="24"/>
              </w:rPr>
              <w:t>PVN</w:t>
            </w:r>
            <w:r w:rsidR="00F061FB" w:rsidRPr="006E3395">
              <w:rPr>
                <w:sz w:val="24"/>
                <w:szCs w:val="24"/>
              </w:rPr>
              <w:t xml:space="preserve"> </w:t>
            </w:r>
            <w:r w:rsidR="00F061FB">
              <w:rPr>
                <w:sz w:val="24"/>
                <w:szCs w:val="24"/>
              </w:rPr>
              <w:t>režīmam preču importa darījumos</w:t>
            </w:r>
            <w:r w:rsidR="00F061FB" w:rsidRPr="006E3395">
              <w:rPr>
                <w:sz w:val="24"/>
                <w:szCs w:val="24"/>
              </w:rPr>
              <w:t>.</w:t>
            </w:r>
          </w:p>
        </w:tc>
      </w:tr>
      <w:tr w:rsidR="00F207FB" w:rsidRPr="00334215" w14:paraId="6025F530" w14:textId="77777777" w:rsidTr="00E47BAE">
        <w:tblPrEx>
          <w:tblCellSpacing w:w="0" w:type="dxa"/>
          <w:tblCellMar>
            <w:top w:w="0" w:type="dxa"/>
            <w:left w:w="0" w:type="dxa"/>
            <w:bottom w:w="0" w:type="dxa"/>
            <w:right w:w="0" w:type="dxa"/>
          </w:tblCellMar>
        </w:tblPrEx>
        <w:trPr>
          <w:trHeight w:val="699"/>
          <w:tblCellSpacing w:w="0" w:type="dxa"/>
        </w:trPr>
        <w:tc>
          <w:tcPr>
            <w:tcW w:w="272" w:type="pct"/>
            <w:gridSpan w:val="2"/>
            <w:hideMark/>
          </w:tcPr>
          <w:p w14:paraId="19AEA27F" w14:textId="77777777" w:rsidR="005A039A" w:rsidRPr="005C7DA8" w:rsidRDefault="007D6062" w:rsidP="00AA2836">
            <w:pPr>
              <w:jc w:val="both"/>
              <w:rPr>
                <w:rFonts w:eastAsia="Times New Roman"/>
                <w:sz w:val="24"/>
                <w:szCs w:val="24"/>
                <w:lang w:eastAsia="lv-LV"/>
              </w:rPr>
            </w:pPr>
            <w:r w:rsidRPr="005C7DA8">
              <w:rPr>
                <w:rFonts w:eastAsia="Times New Roman"/>
                <w:sz w:val="24"/>
                <w:szCs w:val="24"/>
                <w:lang w:eastAsia="lv-LV"/>
              </w:rPr>
              <w:lastRenderedPageBreak/>
              <w:t>2.</w:t>
            </w:r>
          </w:p>
        </w:tc>
        <w:tc>
          <w:tcPr>
            <w:tcW w:w="1519" w:type="pct"/>
            <w:gridSpan w:val="6"/>
            <w:hideMark/>
          </w:tcPr>
          <w:p w14:paraId="5B9CABDD" w14:textId="77777777" w:rsidR="005A039A" w:rsidRPr="005C7DA8" w:rsidRDefault="002F024F" w:rsidP="005C7F85">
            <w:pPr>
              <w:tabs>
                <w:tab w:val="left" w:pos="341"/>
              </w:tabs>
              <w:ind w:left="114" w:right="126"/>
              <w:rPr>
                <w:rFonts w:eastAsia="Times New Roman"/>
                <w:sz w:val="24"/>
                <w:szCs w:val="24"/>
                <w:lang w:eastAsia="lv-LV"/>
              </w:rPr>
            </w:pPr>
            <w:r w:rsidRPr="005C7DA8">
              <w:rPr>
                <w:rFonts w:eastAsia="Times New Roman"/>
                <w:sz w:val="24"/>
                <w:szCs w:val="24"/>
                <w:lang w:eastAsia="lv-LV"/>
              </w:rPr>
              <w:t xml:space="preserve">Pašreizējā situācija un </w:t>
            </w:r>
            <w:r w:rsidR="005A039A" w:rsidRPr="005C7DA8">
              <w:rPr>
                <w:rFonts w:eastAsia="Times New Roman"/>
                <w:sz w:val="24"/>
                <w:szCs w:val="24"/>
                <w:lang w:eastAsia="lv-LV"/>
              </w:rPr>
              <w:t>problēmas</w:t>
            </w:r>
            <w:r w:rsidR="00BD669C" w:rsidRPr="005C7DA8">
              <w:rPr>
                <w:rFonts w:eastAsia="Times New Roman"/>
                <w:sz w:val="24"/>
                <w:szCs w:val="24"/>
                <w:lang w:eastAsia="lv-LV"/>
              </w:rPr>
              <w:t>, kuru risināšanai tiesību akta projekts izstrādāts, izstrādātā tiesi</w:t>
            </w:r>
            <w:r w:rsidR="00BD2110" w:rsidRPr="005C7DA8">
              <w:rPr>
                <w:rFonts w:eastAsia="Times New Roman"/>
                <w:sz w:val="24"/>
                <w:szCs w:val="24"/>
                <w:lang w:eastAsia="lv-LV"/>
              </w:rPr>
              <w:t>s</w:t>
            </w:r>
            <w:r w:rsidR="00BD669C" w:rsidRPr="005C7DA8">
              <w:rPr>
                <w:rFonts w:eastAsia="Times New Roman"/>
                <w:sz w:val="24"/>
                <w:szCs w:val="24"/>
                <w:lang w:eastAsia="lv-LV"/>
              </w:rPr>
              <w:t>kā regulējuma mērķis un būtība</w:t>
            </w:r>
          </w:p>
        </w:tc>
        <w:tc>
          <w:tcPr>
            <w:tcW w:w="3209" w:type="pct"/>
            <w:gridSpan w:val="5"/>
          </w:tcPr>
          <w:p w14:paraId="247A334D" w14:textId="77777777" w:rsidR="00735BBE" w:rsidRPr="00735BBE" w:rsidRDefault="002F5C63" w:rsidP="000E2C19">
            <w:pPr>
              <w:ind w:left="113" w:right="113"/>
              <w:jc w:val="both"/>
              <w:rPr>
                <w:sz w:val="24"/>
                <w:szCs w:val="24"/>
              </w:rPr>
            </w:pPr>
            <w:r w:rsidRPr="005C7DA8">
              <w:rPr>
                <w:sz w:val="24"/>
                <w:szCs w:val="24"/>
              </w:rPr>
              <w:t>1.</w:t>
            </w:r>
            <w:r w:rsidR="005C7F85" w:rsidRPr="005C7DA8">
              <w:rPr>
                <w:sz w:val="24"/>
                <w:szCs w:val="24"/>
              </w:rPr>
              <w:t> </w:t>
            </w:r>
            <w:r w:rsidR="00E7757B">
              <w:rPr>
                <w:sz w:val="24"/>
                <w:szCs w:val="24"/>
              </w:rPr>
              <w:t>Latvija līdz galīgās PVN sistēmas ieviešanai turpina piemērot</w:t>
            </w:r>
            <w:r w:rsidR="00E7757B" w:rsidRPr="00735BBE">
              <w:rPr>
                <w:sz w:val="24"/>
                <w:szCs w:val="24"/>
              </w:rPr>
              <w:t xml:space="preserve"> </w:t>
            </w:r>
            <w:r w:rsidR="00E7757B" w:rsidRPr="001B4713">
              <w:rPr>
                <w:sz w:val="24"/>
                <w:szCs w:val="24"/>
              </w:rPr>
              <w:t>apgriezto</w:t>
            </w:r>
            <w:r w:rsidR="00E7757B" w:rsidRPr="00735BBE">
              <w:rPr>
                <w:sz w:val="24"/>
                <w:szCs w:val="24"/>
              </w:rPr>
              <w:t xml:space="preserve"> jeb reverso PVN maksāšanas kārtību melno un krāsaino metālu pusfabrikātu piegādēm </w:t>
            </w:r>
            <w:r w:rsidR="00E7757B">
              <w:rPr>
                <w:sz w:val="24"/>
                <w:szCs w:val="24"/>
              </w:rPr>
              <w:t xml:space="preserve">atbilstoši </w:t>
            </w:r>
            <w:r w:rsidR="00E7757B" w:rsidRPr="00735BBE">
              <w:rPr>
                <w:sz w:val="24"/>
                <w:szCs w:val="24"/>
              </w:rPr>
              <w:t>Direktīvas 2006/112/EK 199.a panta 1.punkta “j” apakšpunkta tvēruma</w:t>
            </w:r>
            <w:r w:rsidR="00E7757B">
              <w:rPr>
                <w:sz w:val="24"/>
                <w:szCs w:val="24"/>
              </w:rPr>
              <w:t xml:space="preserve">m. </w:t>
            </w:r>
            <w:r w:rsidR="00E66FB8">
              <w:rPr>
                <w:sz w:val="24"/>
                <w:szCs w:val="24"/>
              </w:rPr>
              <w:t xml:space="preserve">Saskaņā ar </w:t>
            </w:r>
            <w:r w:rsidR="00735BBE" w:rsidRPr="00735BBE">
              <w:rPr>
                <w:sz w:val="24"/>
                <w:szCs w:val="24"/>
              </w:rPr>
              <w:t>Pievienotās vērtības nodokļa likuma 143.</w:t>
            </w:r>
            <w:r w:rsidR="00735BBE" w:rsidRPr="000E2C19">
              <w:rPr>
                <w:sz w:val="24"/>
                <w:szCs w:val="24"/>
                <w:vertAlign w:val="superscript"/>
              </w:rPr>
              <w:t>4</w:t>
            </w:r>
            <w:r w:rsidR="00735BBE" w:rsidRPr="00735BBE">
              <w:rPr>
                <w:sz w:val="24"/>
                <w:szCs w:val="24"/>
              </w:rPr>
              <w:t xml:space="preserve"> pantā </w:t>
            </w:r>
            <w:r w:rsidR="00E66FB8">
              <w:rPr>
                <w:sz w:val="24"/>
                <w:szCs w:val="24"/>
              </w:rPr>
              <w:t>ietverto</w:t>
            </w:r>
            <w:r w:rsidR="00735BBE" w:rsidRPr="00735BBE">
              <w:rPr>
                <w:sz w:val="24"/>
                <w:szCs w:val="24"/>
              </w:rPr>
              <w:t xml:space="preserve"> deleģējum</w:t>
            </w:r>
            <w:r w:rsidR="00E66FB8">
              <w:rPr>
                <w:sz w:val="24"/>
                <w:szCs w:val="24"/>
              </w:rPr>
              <w:t>u</w:t>
            </w:r>
            <w:r w:rsidR="00735BBE" w:rsidRPr="00735BBE">
              <w:rPr>
                <w:sz w:val="24"/>
                <w:szCs w:val="24"/>
              </w:rPr>
              <w:t xml:space="preserve"> Ministru kabinet</w:t>
            </w:r>
            <w:r w:rsidR="00E66FB8">
              <w:rPr>
                <w:sz w:val="24"/>
                <w:szCs w:val="24"/>
              </w:rPr>
              <w:t>s</w:t>
            </w:r>
            <w:r w:rsidR="00735BBE" w:rsidRPr="00735BBE">
              <w:rPr>
                <w:sz w:val="24"/>
                <w:szCs w:val="24"/>
              </w:rPr>
              <w:t xml:space="preserve"> no</w:t>
            </w:r>
            <w:r w:rsidR="00E66FB8">
              <w:rPr>
                <w:sz w:val="24"/>
                <w:szCs w:val="24"/>
              </w:rPr>
              <w:t>saka</w:t>
            </w:r>
            <w:r w:rsidR="00735BBE" w:rsidRPr="00735BBE">
              <w:rPr>
                <w:sz w:val="24"/>
                <w:szCs w:val="24"/>
              </w:rPr>
              <w:t xml:space="preserve"> melno un krāsaino metālu pusfabrikātu sarakstu, kam ir piemērojama apgrieztā jeb reversā PVN maksāšanas kār</w:t>
            </w:r>
            <w:r w:rsidR="00355DF8">
              <w:rPr>
                <w:sz w:val="24"/>
                <w:szCs w:val="24"/>
              </w:rPr>
              <w:t xml:space="preserve">tība. </w:t>
            </w:r>
            <w:r w:rsidR="00E66FB8">
              <w:rPr>
                <w:sz w:val="24"/>
                <w:szCs w:val="24"/>
              </w:rPr>
              <w:t xml:space="preserve">Līdz ar to, lai saskaņotu </w:t>
            </w:r>
            <w:r w:rsidR="00E66FB8" w:rsidRPr="000E2C19">
              <w:rPr>
                <w:sz w:val="24"/>
                <w:szCs w:val="24"/>
              </w:rPr>
              <w:t xml:space="preserve">Ministru kabineta </w:t>
            </w:r>
            <w:r w:rsidR="00166386" w:rsidRPr="00966E22">
              <w:rPr>
                <w:sz w:val="24"/>
                <w:szCs w:val="24"/>
              </w:rPr>
              <w:t>2013.gada 3.janvāra noteikum</w:t>
            </w:r>
            <w:r w:rsidR="00166386">
              <w:rPr>
                <w:sz w:val="24"/>
                <w:szCs w:val="24"/>
              </w:rPr>
              <w:t>u</w:t>
            </w:r>
            <w:r w:rsidR="00166386" w:rsidRPr="00966E22">
              <w:rPr>
                <w:sz w:val="24"/>
                <w:szCs w:val="24"/>
              </w:rPr>
              <w:t>s Nr.17 “Pievienotās vērtības nodokļa likuma normu piemērošanas kārtība un atsevišķas prasības pievienotās vērtības nodokļa maksāšanai un administrēšanai”</w:t>
            </w:r>
            <w:r w:rsidR="00166386">
              <w:rPr>
                <w:sz w:val="24"/>
                <w:szCs w:val="24"/>
              </w:rPr>
              <w:t xml:space="preserve"> (turpmāk – Ministru kabineta </w:t>
            </w:r>
            <w:r w:rsidR="00E66FB8" w:rsidRPr="000E2C19">
              <w:rPr>
                <w:sz w:val="24"/>
                <w:szCs w:val="24"/>
              </w:rPr>
              <w:t>noteikum</w:t>
            </w:r>
            <w:r w:rsidR="00166386" w:rsidRPr="000E2C19">
              <w:rPr>
                <w:sz w:val="24"/>
                <w:szCs w:val="24"/>
              </w:rPr>
              <w:t>i)</w:t>
            </w:r>
            <w:r w:rsidR="00E66FB8" w:rsidRPr="000E2C19">
              <w:rPr>
                <w:sz w:val="24"/>
                <w:szCs w:val="24"/>
              </w:rPr>
              <w:t xml:space="preserve"> ar </w:t>
            </w:r>
            <w:r w:rsidR="006318CC" w:rsidRPr="000E2C19">
              <w:rPr>
                <w:sz w:val="24"/>
                <w:szCs w:val="24"/>
              </w:rPr>
              <w:t>E</w:t>
            </w:r>
            <w:r w:rsidR="00E7757B" w:rsidRPr="000E2C19">
              <w:rPr>
                <w:sz w:val="24"/>
                <w:szCs w:val="24"/>
              </w:rPr>
              <w:t>iropas Savienības</w:t>
            </w:r>
            <w:r w:rsidR="00E66FB8" w:rsidRPr="000E2C19">
              <w:rPr>
                <w:sz w:val="24"/>
                <w:szCs w:val="24"/>
              </w:rPr>
              <w:t xml:space="preserve"> regulējumu,</w:t>
            </w:r>
            <w:r w:rsidR="00735BBE" w:rsidRPr="00735BBE">
              <w:rPr>
                <w:sz w:val="24"/>
                <w:szCs w:val="24"/>
              </w:rPr>
              <w:t xml:space="preserve"> ir nepieciešams </w:t>
            </w:r>
            <w:r w:rsidR="004E5801">
              <w:rPr>
                <w:sz w:val="24"/>
                <w:szCs w:val="24"/>
              </w:rPr>
              <w:t>p</w:t>
            </w:r>
            <w:r w:rsidR="00BE3FBD">
              <w:rPr>
                <w:sz w:val="24"/>
                <w:szCs w:val="24"/>
              </w:rPr>
              <w:t xml:space="preserve">recizēt </w:t>
            </w:r>
            <w:r w:rsidR="00735BBE" w:rsidRPr="00735BBE">
              <w:rPr>
                <w:sz w:val="24"/>
                <w:szCs w:val="24"/>
              </w:rPr>
              <w:t>tās preču kategorijas, kurām ir piemērojama apgrieztā jeb reversā PVN maksāšanas kārtība, un izslē</w:t>
            </w:r>
            <w:r w:rsidR="004E5801">
              <w:rPr>
                <w:sz w:val="24"/>
                <w:szCs w:val="24"/>
              </w:rPr>
              <w:t>g</w:t>
            </w:r>
            <w:r w:rsidR="00BE3FBD">
              <w:rPr>
                <w:sz w:val="24"/>
                <w:szCs w:val="24"/>
              </w:rPr>
              <w:t>t</w:t>
            </w:r>
            <w:r w:rsidR="00735BBE" w:rsidRPr="00735BBE">
              <w:rPr>
                <w:sz w:val="24"/>
                <w:szCs w:val="24"/>
              </w:rPr>
              <w:t xml:space="preserve"> pakalpojumus, kuri neietilpst Direktīvas 2006/112/EK 199.a panta 1.punkta “j” apakšpunkta tvērumā.</w:t>
            </w:r>
          </w:p>
          <w:p w14:paraId="7F0EC7AB" w14:textId="77777777" w:rsidR="004E5801" w:rsidRDefault="004E5801" w:rsidP="001B4713">
            <w:pPr>
              <w:ind w:left="113" w:right="113"/>
              <w:jc w:val="both"/>
              <w:rPr>
                <w:sz w:val="24"/>
                <w:szCs w:val="24"/>
              </w:rPr>
            </w:pPr>
          </w:p>
          <w:p w14:paraId="750EDBE3" w14:textId="77777777" w:rsidR="00735BBE" w:rsidRDefault="00355DF8">
            <w:pPr>
              <w:ind w:left="113" w:right="113"/>
              <w:jc w:val="both"/>
              <w:rPr>
                <w:sz w:val="24"/>
                <w:szCs w:val="24"/>
              </w:rPr>
            </w:pPr>
            <w:r>
              <w:rPr>
                <w:sz w:val="24"/>
                <w:szCs w:val="24"/>
              </w:rPr>
              <w:t>2. </w:t>
            </w:r>
            <w:r w:rsidR="009F3C12" w:rsidRPr="006318CC">
              <w:rPr>
                <w:sz w:val="24"/>
                <w:szCs w:val="24"/>
              </w:rPr>
              <w:t xml:space="preserve">Atbilstoši </w:t>
            </w:r>
            <w:r w:rsidR="006318CC" w:rsidRPr="006318CC">
              <w:rPr>
                <w:sz w:val="24"/>
                <w:szCs w:val="24"/>
              </w:rPr>
              <w:t xml:space="preserve">Padomes 2017.gada 5.decembra direktīvas (ES) 2017/2455, ar ko groza Direktīvu 2006/112/EK un Direktīvas 2009/132/EK attiecībā uz konkrētām pievienotās vērtības nodokļa saistībām pakalpojumu sniegšanā un preču </w:t>
            </w:r>
            <w:proofErr w:type="spellStart"/>
            <w:r w:rsidR="006318CC" w:rsidRPr="006318CC">
              <w:rPr>
                <w:sz w:val="24"/>
                <w:szCs w:val="24"/>
              </w:rPr>
              <w:t>tālpārdošanā</w:t>
            </w:r>
            <w:proofErr w:type="spellEnd"/>
            <w:r w:rsidR="00166386">
              <w:rPr>
                <w:sz w:val="24"/>
                <w:szCs w:val="24"/>
              </w:rPr>
              <w:t xml:space="preserve"> (turpmāk – Direktīva 2017/2455),</w:t>
            </w:r>
            <w:r w:rsidR="006318CC" w:rsidRPr="006318CC">
              <w:rPr>
                <w:sz w:val="24"/>
                <w:szCs w:val="24"/>
              </w:rPr>
              <w:t xml:space="preserve"> </w:t>
            </w:r>
            <w:r w:rsidR="007A41D7">
              <w:rPr>
                <w:sz w:val="24"/>
                <w:szCs w:val="24"/>
              </w:rPr>
              <w:t>2</w:t>
            </w:r>
            <w:r w:rsidR="005E0279">
              <w:rPr>
                <w:sz w:val="24"/>
                <w:szCs w:val="24"/>
              </w:rPr>
              <w:t>.pantam</w:t>
            </w:r>
            <w:r w:rsidR="006318CC" w:rsidRPr="006318CC">
              <w:rPr>
                <w:sz w:val="24"/>
                <w:szCs w:val="24"/>
              </w:rPr>
              <w:t xml:space="preserve">, kas stājās spēkā 2019.gada 1.janvārī, </w:t>
            </w:r>
            <w:r w:rsidR="009F3C12" w:rsidRPr="006318CC">
              <w:rPr>
                <w:sz w:val="24"/>
                <w:szCs w:val="24"/>
              </w:rPr>
              <w:t>uzņēmumi, kuri neveic uzņēmējdarbību E</w:t>
            </w:r>
            <w:r w:rsidR="00E7757B">
              <w:rPr>
                <w:sz w:val="24"/>
                <w:szCs w:val="24"/>
              </w:rPr>
              <w:t xml:space="preserve">iropas </w:t>
            </w:r>
            <w:r w:rsidR="009F3C12" w:rsidRPr="006318CC">
              <w:rPr>
                <w:sz w:val="24"/>
                <w:szCs w:val="24"/>
              </w:rPr>
              <w:t>S</w:t>
            </w:r>
            <w:r w:rsidR="00E7757B">
              <w:rPr>
                <w:sz w:val="24"/>
                <w:szCs w:val="24"/>
              </w:rPr>
              <w:t>avienībā</w:t>
            </w:r>
            <w:r w:rsidR="009F3C12" w:rsidRPr="006318CC">
              <w:rPr>
                <w:sz w:val="24"/>
                <w:szCs w:val="24"/>
              </w:rPr>
              <w:t xml:space="preserve">, bet ir reģistrējušies kā PVN maksātāji dalībvalstī, </w:t>
            </w:r>
            <w:r w:rsidR="006318CC" w:rsidRPr="006318CC">
              <w:rPr>
                <w:sz w:val="24"/>
                <w:szCs w:val="24"/>
              </w:rPr>
              <w:t>var</w:t>
            </w:r>
            <w:r w:rsidR="009F3C12" w:rsidRPr="006318CC">
              <w:rPr>
                <w:sz w:val="24"/>
                <w:szCs w:val="24"/>
              </w:rPr>
              <w:t xml:space="preserve"> izmantot </w:t>
            </w:r>
            <w:r w:rsidR="006318CC">
              <w:rPr>
                <w:sz w:val="24"/>
                <w:szCs w:val="24"/>
              </w:rPr>
              <w:t xml:space="preserve">īpašo PVN režīmu </w:t>
            </w:r>
            <w:r w:rsidR="006318CC" w:rsidRPr="006318CC">
              <w:rPr>
                <w:sz w:val="24"/>
                <w:szCs w:val="24"/>
              </w:rPr>
              <w:t>(</w:t>
            </w:r>
            <w:proofErr w:type="spellStart"/>
            <w:r w:rsidR="009F3C12" w:rsidRPr="006318CC">
              <w:rPr>
                <w:sz w:val="24"/>
                <w:szCs w:val="24"/>
              </w:rPr>
              <w:t>ārpussavienības</w:t>
            </w:r>
            <w:proofErr w:type="spellEnd"/>
            <w:r w:rsidR="009F3C12" w:rsidRPr="006318CC">
              <w:rPr>
                <w:sz w:val="24"/>
                <w:szCs w:val="24"/>
              </w:rPr>
              <w:t xml:space="preserve"> režīmu</w:t>
            </w:r>
            <w:r w:rsidR="006318CC">
              <w:rPr>
                <w:sz w:val="24"/>
                <w:szCs w:val="24"/>
              </w:rPr>
              <w:t>)</w:t>
            </w:r>
            <w:r w:rsidR="009F3C12" w:rsidRPr="006318CC">
              <w:rPr>
                <w:sz w:val="24"/>
                <w:szCs w:val="24"/>
              </w:rPr>
              <w:t xml:space="preserve">, </w:t>
            </w:r>
            <w:r w:rsidR="006318CC">
              <w:rPr>
                <w:sz w:val="24"/>
                <w:szCs w:val="24"/>
              </w:rPr>
              <w:t xml:space="preserve">deklarējot un maksājot PVN par </w:t>
            </w:r>
            <w:r w:rsidR="006318CC" w:rsidRPr="006318CC">
              <w:rPr>
                <w:sz w:val="24"/>
                <w:szCs w:val="24"/>
              </w:rPr>
              <w:t>elektronisko sakaru, apraides un elektroniski sniegtiem pakalpojumiem personai, kura nav PVN maksātāja.</w:t>
            </w:r>
            <w:r w:rsidR="005E0279">
              <w:rPr>
                <w:sz w:val="24"/>
                <w:szCs w:val="24"/>
              </w:rPr>
              <w:t xml:space="preserve"> Minētās Direktīvas 2017/2455 prasības ir pārņemtas ar Pievienotās vērtības nodokļa likumu. Savukārt Direktīvas 2017/2455 prasības par iesniedzamās informācijas saturu</w:t>
            </w:r>
            <w:r w:rsidR="00E7757B">
              <w:rPr>
                <w:sz w:val="24"/>
                <w:szCs w:val="24"/>
              </w:rPr>
              <w:t xml:space="preserve"> </w:t>
            </w:r>
            <w:r w:rsidR="005E0279">
              <w:rPr>
                <w:sz w:val="24"/>
                <w:szCs w:val="24"/>
              </w:rPr>
              <w:t xml:space="preserve">tiek pārņemtas ar Ministru kabineta noteikumiem. </w:t>
            </w:r>
            <w:r w:rsidR="004E5801">
              <w:rPr>
                <w:sz w:val="24"/>
                <w:szCs w:val="24"/>
              </w:rPr>
              <w:t xml:space="preserve">Saskaņā ar Pievienotās vērtības nodokļa </w:t>
            </w:r>
            <w:r w:rsidR="00E7757B">
              <w:rPr>
                <w:sz w:val="24"/>
                <w:szCs w:val="24"/>
              </w:rPr>
              <w:t>likuma 140.</w:t>
            </w:r>
            <w:r w:rsidR="00E7757B" w:rsidRPr="000E2C19">
              <w:rPr>
                <w:sz w:val="24"/>
                <w:szCs w:val="24"/>
                <w:vertAlign w:val="superscript"/>
              </w:rPr>
              <w:t>1</w:t>
            </w:r>
            <w:r w:rsidR="00E7757B">
              <w:rPr>
                <w:sz w:val="24"/>
                <w:szCs w:val="24"/>
              </w:rPr>
              <w:t xml:space="preserve"> panta četrpadsmitajā daļā ietverto deleģējumu Ministru kabinets </w:t>
            </w:r>
            <w:r w:rsidR="00E7757B" w:rsidRPr="00E7757B">
              <w:rPr>
                <w:sz w:val="24"/>
                <w:szCs w:val="24"/>
              </w:rPr>
              <w:t xml:space="preserve">nosaka iesniegumā par reģistrāciju VID elektronisko sakaru, apraides un elektroniski sniegto pakalpojumu sniedzēju reģistrā </w:t>
            </w:r>
            <w:r w:rsidR="00E7757B">
              <w:rPr>
                <w:sz w:val="24"/>
                <w:szCs w:val="24"/>
              </w:rPr>
              <w:t>norādāmo informāciju. Līdz ar to, l</w:t>
            </w:r>
            <w:r w:rsidR="00735BBE" w:rsidRPr="00735BBE">
              <w:rPr>
                <w:sz w:val="24"/>
                <w:szCs w:val="24"/>
              </w:rPr>
              <w:t xml:space="preserve">ai </w:t>
            </w:r>
            <w:r w:rsidR="00E7757B">
              <w:rPr>
                <w:sz w:val="24"/>
                <w:szCs w:val="24"/>
              </w:rPr>
              <w:t xml:space="preserve">saskaņotu </w:t>
            </w:r>
            <w:r w:rsidR="00E7757B" w:rsidRPr="000E2C19">
              <w:rPr>
                <w:sz w:val="24"/>
                <w:szCs w:val="24"/>
              </w:rPr>
              <w:t xml:space="preserve">Ministru kabineta noteikumus ar </w:t>
            </w:r>
            <w:r w:rsidR="005E0279" w:rsidRPr="000E2C19">
              <w:rPr>
                <w:sz w:val="24"/>
                <w:szCs w:val="24"/>
              </w:rPr>
              <w:t>Direktīvas 2017/2455 prasībām</w:t>
            </w:r>
            <w:r w:rsidR="00E7757B" w:rsidRPr="000E2C19">
              <w:rPr>
                <w:sz w:val="24"/>
                <w:szCs w:val="24"/>
              </w:rPr>
              <w:t>, ir nepieciešams</w:t>
            </w:r>
            <w:r w:rsidR="00E7757B" w:rsidRPr="00735BBE">
              <w:rPr>
                <w:sz w:val="24"/>
                <w:szCs w:val="24"/>
              </w:rPr>
              <w:t xml:space="preserve"> </w:t>
            </w:r>
            <w:r w:rsidR="009063C9">
              <w:rPr>
                <w:sz w:val="24"/>
                <w:szCs w:val="24"/>
              </w:rPr>
              <w:t>precizēt iesniegumā norādāmo informāciju, nosakot</w:t>
            </w:r>
            <w:r w:rsidR="00E7757B">
              <w:rPr>
                <w:sz w:val="24"/>
                <w:szCs w:val="24"/>
              </w:rPr>
              <w:t xml:space="preserve"> </w:t>
            </w:r>
            <w:r w:rsidR="009063C9">
              <w:rPr>
                <w:sz w:val="24"/>
                <w:szCs w:val="24"/>
              </w:rPr>
              <w:t xml:space="preserve">pienākumu </w:t>
            </w:r>
            <w:r w:rsidR="00E7757B">
              <w:rPr>
                <w:sz w:val="24"/>
                <w:szCs w:val="24"/>
              </w:rPr>
              <w:t>reģistrētam</w:t>
            </w:r>
            <w:r w:rsidR="00735BBE" w:rsidRPr="00735BBE">
              <w:rPr>
                <w:sz w:val="24"/>
                <w:szCs w:val="24"/>
              </w:rPr>
              <w:t xml:space="preserve"> PVN maksātājam</w:t>
            </w:r>
            <w:r w:rsidR="00E7757B">
              <w:rPr>
                <w:sz w:val="24"/>
                <w:szCs w:val="24"/>
              </w:rPr>
              <w:t>, kur</w:t>
            </w:r>
            <w:r w:rsidR="009063C9">
              <w:rPr>
                <w:sz w:val="24"/>
                <w:szCs w:val="24"/>
              </w:rPr>
              <w:t>š</w:t>
            </w:r>
            <w:r w:rsidR="00E7757B">
              <w:rPr>
                <w:sz w:val="24"/>
                <w:szCs w:val="24"/>
              </w:rPr>
              <w:t xml:space="preserve"> vēlas izmantot īpašo PVN režīmu </w:t>
            </w:r>
            <w:r w:rsidR="007F5FC3">
              <w:rPr>
                <w:sz w:val="24"/>
                <w:szCs w:val="24"/>
              </w:rPr>
              <w:t>(</w:t>
            </w:r>
            <w:proofErr w:type="spellStart"/>
            <w:r w:rsidR="007F5FC3">
              <w:rPr>
                <w:sz w:val="24"/>
                <w:szCs w:val="24"/>
              </w:rPr>
              <w:t>ārpussasvienības</w:t>
            </w:r>
            <w:proofErr w:type="spellEnd"/>
            <w:r w:rsidR="007F5FC3">
              <w:rPr>
                <w:sz w:val="24"/>
                <w:szCs w:val="24"/>
              </w:rPr>
              <w:t xml:space="preserve"> režīmu) </w:t>
            </w:r>
            <w:r w:rsidR="00E7757B" w:rsidRPr="006318CC">
              <w:rPr>
                <w:sz w:val="24"/>
                <w:szCs w:val="24"/>
              </w:rPr>
              <w:t>elektronisko sakaru, apraides un elektroniski sniegtiem pakalpojumiem</w:t>
            </w:r>
            <w:r w:rsidR="00E7757B">
              <w:rPr>
                <w:sz w:val="24"/>
                <w:szCs w:val="24"/>
              </w:rPr>
              <w:t>, iesniegumā apliecin</w:t>
            </w:r>
            <w:r w:rsidR="009063C9">
              <w:rPr>
                <w:sz w:val="24"/>
                <w:szCs w:val="24"/>
              </w:rPr>
              <w:t xml:space="preserve">āt tā </w:t>
            </w:r>
            <w:r w:rsidR="00E7757B" w:rsidRPr="00735BBE">
              <w:rPr>
                <w:sz w:val="24"/>
                <w:szCs w:val="24"/>
              </w:rPr>
              <w:t xml:space="preserve">saimnieciskās darbības mītnes vietas un pastāvīgās iestādes </w:t>
            </w:r>
            <w:r w:rsidR="009063C9">
              <w:rPr>
                <w:sz w:val="24"/>
                <w:szCs w:val="24"/>
              </w:rPr>
              <w:t xml:space="preserve">neesamību </w:t>
            </w:r>
            <w:r w:rsidR="00735BBE" w:rsidRPr="00735BBE">
              <w:rPr>
                <w:sz w:val="24"/>
                <w:szCs w:val="24"/>
              </w:rPr>
              <w:t>Eiropas Savienībā.</w:t>
            </w:r>
          </w:p>
          <w:p w14:paraId="56167B8A" w14:textId="77777777" w:rsidR="009063C9" w:rsidRPr="00735BBE" w:rsidRDefault="009063C9">
            <w:pPr>
              <w:ind w:left="113" w:right="113"/>
              <w:jc w:val="both"/>
              <w:rPr>
                <w:sz w:val="24"/>
                <w:szCs w:val="24"/>
              </w:rPr>
            </w:pPr>
          </w:p>
          <w:p w14:paraId="378E4283" w14:textId="279F996D" w:rsidR="00735BBE" w:rsidRPr="00735BBE" w:rsidRDefault="00E66FB8">
            <w:pPr>
              <w:ind w:left="113" w:right="113"/>
              <w:jc w:val="both"/>
              <w:rPr>
                <w:sz w:val="24"/>
                <w:szCs w:val="24"/>
              </w:rPr>
            </w:pPr>
            <w:r>
              <w:rPr>
                <w:sz w:val="24"/>
                <w:szCs w:val="24"/>
              </w:rPr>
              <w:t>3. </w:t>
            </w:r>
            <w:r w:rsidR="00735BBE" w:rsidRPr="00735BBE">
              <w:rPr>
                <w:sz w:val="24"/>
                <w:szCs w:val="24"/>
              </w:rPr>
              <w:t>Saskaņā ar Padomes 2017.gada 18.decembra Īstenošanas lēmumu (ES) 2017/2408 Latvijai ir atļauts atbrīvot no PVN nodokļu maksātājus, kuru gada apgrozījums nav lielāks par 40 </w:t>
            </w:r>
            <w:r w:rsidR="000E2C19">
              <w:rPr>
                <w:sz w:val="24"/>
                <w:szCs w:val="24"/>
              </w:rPr>
              <w:t> </w:t>
            </w:r>
            <w:r w:rsidR="000E2C19" w:rsidRPr="00735BBE">
              <w:rPr>
                <w:sz w:val="24"/>
                <w:szCs w:val="24"/>
              </w:rPr>
              <w:t>000</w:t>
            </w:r>
            <w:r w:rsidR="000E2C19">
              <w:rPr>
                <w:sz w:val="24"/>
                <w:szCs w:val="24"/>
              </w:rPr>
              <w:t> </w:t>
            </w:r>
            <w:proofErr w:type="spellStart"/>
            <w:r w:rsidR="00735BBE" w:rsidRPr="000E2C19">
              <w:rPr>
                <w:i/>
                <w:sz w:val="24"/>
                <w:szCs w:val="24"/>
              </w:rPr>
              <w:t>euro</w:t>
            </w:r>
            <w:proofErr w:type="spellEnd"/>
            <w:r w:rsidR="00735BBE" w:rsidRPr="00735BBE">
              <w:rPr>
                <w:sz w:val="24"/>
                <w:szCs w:val="24"/>
              </w:rPr>
              <w:t>. Grozījumi Pievienotās vērtības nodokļa likumā attiecībā uz reģistrācijas sliekšņa summas apmēra pazemināšanu no 50 000 </w:t>
            </w:r>
            <w:proofErr w:type="spellStart"/>
            <w:r w:rsidR="00735BBE" w:rsidRPr="000E2C19">
              <w:rPr>
                <w:i/>
                <w:sz w:val="24"/>
                <w:szCs w:val="24"/>
              </w:rPr>
              <w:t>euro</w:t>
            </w:r>
            <w:proofErr w:type="spellEnd"/>
            <w:r w:rsidR="00735BBE" w:rsidRPr="00735BBE">
              <w:rPr>
                <w:sz w:val="24"/>
                <w:szCs w:val="24"/>
              </w:rPr>
              <w:t xml:space="preserve"> līdz 40 000 </w:t>
            </w:r>
            <w:proofErr w:type="spellStart"/>
            <w:r w:rsidR="00735BBE" w:rsidRPr="000E2C19">
              <w:rPr>
                <w:i/>
                <w:sz w:val="24"/>
                <w:szCs w:val="24"/>
              </w:rPr>
              <w:t>euro</w:t>
            </w:r>
            <w:proofErr w:type="spellEnd"/>
            <w:r w:rsidR="00735BBE" w:rsidRPr="00735BBE">
              <w:rPr>
                <w:sz w:val="24"/>
                <w:szCs w:val="24"/>
              </w:rPr>
              <w:t xml:space="preserve">, stājās spēkā 2018.gada 1.janvārī. Lai Ministru kabineta noteikumos noteiktā ar PVN apliekamo darījumu kopējā vērtība, kuru pārsniedzot, iestājas nodokļu maksātāja pienākums būt reģistrētam </w:t>
            </w:r>
            <w:r w:rsidR="009063C9">
              <w:rPr>
                <w:sz w:val="24"/>
                <w:szCs w:val="24"/>
              </w:rPr>
              <w:t>VID</w:t>
            </w:r>
            <w:r w:rsidR="00735BBE" w:rsidRPr="00735BBE">
              <w:rPr>
                <w:sz w:val="24"/>
                <w:szCs w:val="24"/>
              </w:rPr>
              <w:t xml:space="preserve"> PVN maksātāju reģistrā, atbilstu Pievienotās vērtības nodokļa likumā noteiktajai, ir nepieciešams veikt </w:t>
            </w:r>
            <w:r w:rsidR="005E0279">
              <w:rPr>
                <w:sz w:val="24"/>
                <w:szCs w:val="24"/>
              </w:rPr>
              <w:t xml:space="preserve">tehniskus </w:t>
            </w:r>
            <w:r w:rsidR="00735BBE" w:rsidRPr="00735BBE">
              <w:rPr>
                <w:sz w:val="24"/>
                <w:szCs w:val="24"/>
              </w:rPr>
              <w:t>grozījumus Ministru kabineta noteikumu 2.pielikum</w:t>
            </w:r>
            <w:r w:rsidR="005B090B">
              <w:rPr>
                <w:sz w:val="24"/>
                <w:szCs w:val="24"/>
              </w:rPr>
              <w:t>a 7.punkt</w:t>
            </w:r>
            <w:r w:rsidR="00735BBE" w:rsidRPr="00735BBE">
              <w:rPr>
                <w:sz w:val="24"/>
                <w:szCs w:val="24"/>
              </w:rPr>
              <w:t>ā.</w:t>
            </w:r>
          </w:p>
          <w:p w14:paraId="679A6C36" w14:textId="77777777" w:rsidR="009063C9" w:rsidRDefault="009063C9">
            <w:pPr>
              <w:ind w:left="113" w:right="113"/>
              <w:jc w:val="both"/>
              <w:rPr>
                <w:sz w:val="24"/>
                <w:szCs w:val="24"/>
              </w:rPr>
            </w:pPr>
          </w:p>
          <w:p w14:paraId="2A363E8B" w14:textId="2C2D8FCD" w:rsidR="00735BBE" w:rsidRDefault="009063C9">
            <w:pPr>
              <w:ind w:left="113" w:right="113"/>
              <w:jc w:val="both"/>
              <w:rPr>
                <w:sz w:val="24"/>
                <w:szCs w:val="24"/>
              </w:rPr>
            </w:pPr>
            <w:r>
              <w:rPr>
                <w:sz w:val="24"/>
                <w:szCs w:val="24"/>
              </w:rPr>
              <w:t>4. </w:t>
            </w:r>
            <w:r w:rsidR="00AC5E9D">
              <w:rPr>
                <w:sz w:val="24"/>
                <w:szCs w:val="24"/>
              </w:rPr>
              <w:t>Ar</w:t>
            </w:r>
            <w:r>
              <w:rPr>
                <w:sz w:val="24"/>
                <w:szCs w:val="24"/>
              </w:rPr>
              <w:t xml:space="preserve"> </w:t>
            </w:r>
            <w:r w:rsidR="00AC5E9D">
              <w:rPr>
                <w:sz w:val="24"/>
                <w:szCs w:val="24"/>
              </w:rPr>
              <w:t xml:space="preserve">grozījumiem Pievienotās vērtības nodokļa likumā ir </w:t>
            </w:r>
            <w:r w:rsidR="00AC5E9D" w:rsidRPr="00AC5E9D">
              <w:rPr>
                <w:sz w:val="24"/>
                <w:szCs w:val="24"/>
              </w:rPr>
              <w:t>precizēts apgrieztās jeb reversās PVN maksāšanas kārtības piemērošanas termiņš būvizstrādājumu, sadzīves elektronisko iekārtu un sadzīves elektriskās aparatūras piegādēm</w:t>
            </w:r>
            <w:r w:rsidR="00AC5E9D">
              <w:rPr>
                <w:sz w:val="24"/>
                <w:szCs w:val="24"/>
              </w:rPr>
              <w:t xml:space="preserve">. </w:t>
            </w:r>
            <w:r w:rsidR="00735BBE" w:rsidRPr="00735BBE">
              <w:rPr>
                <w:sz w:val="24"/>
                <w:szCs w:val="24"/>
              </w:rPr>
              <w:t>Pievienotās vērtības nodokļa likuma 143.</w:t>
            </w:r>
            <w:r w:rsidR="00735BBE" w:rsidRPr="008225BE">
              <w:rPr>
                <w:sz w:val="24"/>
                <w:szCs w:val="24"/>
                <w:vertAlign w:val="superscript"/>
              </w:rPr>
              <w:t>5</w:t>
            </w:r>
            <w:r w:rsidR="00735BBE" w:rsidRPr="00735BBE">
              <w:rPr>
                <w:sz w:val="24"/>
                <w:szCs w:val="24"/>
              </w:rPr>
              <w:t xml:space="preserve"> pantā ir ietverts deleģējums Ministru kabinetam noteikt sadzīves elektronisko iekārtu un sadzīves elektriskās aparatūras sarakstu, kam ir piemērojama apgrieztā jeb reversā PVN maksāšanas kārtība. </w:t>
            </w:r>
            <w:r w:rsidR="00AC5E9D">
              <w:rPr>
                <w:sz w:val="24"/>
                <w:szCs w:val="24"/>
              </w:rPr>
              <w:t xml:space="preserve">Līdz ar to, lai saskaņotu Ministru kabineta noteikumus ar Pievienotās vērtības nodokļa likuma regulējumu, </w:t>
            </w:r>
            <w:r w:rsidR="00AC5E9D" w:rsidRPr="000E2C19">
              <w:rPr>
                <w:sz w:val="24"/>
                <w:szCs w:val="24"/>
              </w:rPr>
              <w:t>ir nepieciešams</w:t>
            </w:r>
            <w:r w:rsidR="00AC5E9D" w:rsidRPr="00735BBE">
              <w:rPr>
                <w:sz w:val="24"/>
                <w:szCs w:val="24"/>
              </w:rPr>
              <w:t xml:space="preserve"> </w:t>
            </w:r>
            <w:r w:rsidR="00AC5E9D">
              <w:rPr>
                <w:sz w:val="24"/>
                <w:szCs w:val="24"/>
              </w:rPr>
              <w:t xml:space="preserve">noteikt </w:t>
            </w:r>
            <w:r w:rsidR="00AC5E9D" w:rsidRPr="00735BBE">
              <w:rPr>
                <w:sz w:val="24"/>
                <w:szCs w:val="24"/>
              </w:rPr>
              <w:t>sadzīves elektronisko iekārtu un sadzīves</w:t>
            </w:r>
            <w:r w:rsidR="00AC5E9D">
              <w:rPr>
                <w:sz w:val="24"/>
                <w:szCs w:val="24"/>
              </w:rPr>
              <w:t xml:space="preserve"> e</w:t>
            </w:r>
            <w:r w:rsidR="000B2D77">
              <w:rPr>
                <w:sz w:val="24"/>
                <w:szCs w:val="24"/>
              </w:rPr>
              <w:t>lektriskās aparatūras saraksta piemērošanas termiņu.</w:t>
            </w:r>
          </w:p>
          <w:p w14:paraId="6AF28097" w14:textId="6B890E8B" w:rsidR="000740A0" w:rsidRDefault="000740A0">
            <w:pPr>
              <w:ind w:left="113" w:right="113"/>
              <w:jc w:val="both"/>
              <w:rPr>
                <w:sz w:val="24"/>
                <w:szCs w:val="24"/>
              </w:rPr>
            </w:pPr>
          </w:p>
          <w:p w14:paraId="09AC3C6D" w14:textId="26016FA5" w:rsidR="000740A0" w:rsidRDefault="000740A0">
            <w:pPr>
              <w:ind w:left="113" w:right="113"/>
              <w:jc w:val="both"/>
              <w:rPr>
                <w:sz w:val="24"/>
                <w:szCs w:val="24"/>
              </w:rPr>
            </w:pPr>
            <w:r w:rsidRPr="004271FD">
              <w:rPr>
                <w:sz w:val="24"/>
                <w:szCs w:val="24"/>
              </w:rPr>
              <w:t>5.</w:t>
            </w:r>
            <w:r w:rsidR="00C3708B">
              <w:rPr>
                <w:sz w:val="24"/>
                <w:szCs w:val="24"/>
              </w:rPr>
              <w:t> </w:t>
            </w:r>
            <w:r w:rsidRPr="005C7DA8">
              <w:rPr>
                <w:sz w:val="24"/>
                <w:szCs w:val="24"/>
              </w:rPr>
              <w:t>Īpaš</w:t>
            </w:r>
            <w:r w:rsidR="008F5D11">
              <w:rPr>
                <w:sz w:val="24"/>
                <w:szCs w:val="24"/>
              </w:rPr>
              <w:t>ai</w:t>
            </w:r>
            <w:r w:rsidRPr="005C7DA8">
              <w:rPr>
                <w:sz w:val="24"/>
                <w:szCs w:val="24"/>
              </w:rPr>
              <w:t>s PVN režīms preču importa darījumos ir tā sauk</w:t>
            </w:r>
            <w:r w:rsidR="008F5D11">
              <w:rPr>
                <w:sz w:val="24"/>
                <w:szCs w:val="24"/>
              </w:rPr>
              <w:t>t</w:t>
            </w:r>
            <w:r w:rsidRPr="005C7DA8">
              <w:rPr>
                <w:sz w:val="24"/>
                <w:szCs w:val="24"/>
              </w:rPr>
              <w:t>ā PVN piemērošanas izvēles norma, kura nosaka, ka, izlaižot preces brīvam apgrozījumam, reģistrētam PVN maksātājam, kurš ir saņēmis attiecīgu atļauju, ir tiesības atlikt PVN samaksu valsts budžetā, līdz brīdim, kad iesniedzama PVN deklarācija par attiecīgo taksācijas periodu. Ieviešot šādu PVN piemērošanas izvēles normu, katra Eiropas Savienības dalībvalsts ir tiesīga noteikt tās piemērošanu un tvērumu.</w:t>
            </w:r>
          </w:p>
          <w:p w14:paraId="0B89884A" w14:textId="21C05B7A" w:rsidR="006A6DE8" w:rsidRPr="000E2C19" w:rsidRDefault="000740A0">
            <w:pPr>
              <w:ind w:left="113" w:right="113"/>
              <w:jc w:val="both"/>
              <w:rPr>
                <w:sz w:val="24"/>
                <w:szCs w:val="24"/>
              </w:rPr>
            </w:pPr>
            <w:r>
              <w:rPr>
                <w:sz w:val="24"/>
                <w:szCs w:val="24"/>
              </w:rPr>
              <w:t xml:space="preserve">Pievienotās vērtības nodokļa likums nosaka nosacījumus, kuriem jāizpildās, lai reģistrēts PVN maksātājs varētu saņemt </w:t>
            </w:r>
            <w:r w:rsidRPr="000E2C19">
              <w:rPr>
                <w:sz w:val="24"/>
                <w:szCs w:val="24"/>
              </w:rPr>
              <w:t xml:space="preserve">īpašo atļauju importa darījumos. Savukārt Ministru kabineta noteikumi nosaka </w:t>
            </w:r>
            <w:r w:rsidR="006A6DE8" w:rsidRPr="000E2C19">
              <w:rPr>
                <w:sz w:val="24"/>
                <w:szCs w:val="24"/>
              </w:rPr>
              <w:t>nosacījumus, ar kādiem piešķir, aptur un anulē minēto atļauju, kārtību, kādā šādu atļauju piešķir, aptur un anulē, un kārtību, kādā iesniedzams un izskatāms iesniegums šīs atļaujas saņemšanai.</w:t>
            </w:r>
            <w:r w:rsidR="00E90D54" w:rsidRPr="000E2C19">
              <w:rPr>
                <w:sz w:val="24"/>
                <w:szCs w:val="24"/>
              </w:rPr>
              <w:t xml:space="preserve"> Tā kā </w:t>
            </w:r>
            <w:r w:rsidR="0009366B" w:rsidRPr="000E2C19">
              <w:rPr>
                <w:sz w:val="24"/>
                <w:szCs w:val="24"/>
              </w:rPr>
              <w:t xml:space="preserve">ar 2019.gada 1.jūliju tiek paredzēts, ka tiek </w:t>
            </w:r>
            <w:r w:rsidR="00E90D54" w:rsidRPr="000E2C19">
              <w:rPr>
                <w:sz w:val="24"/>
                <w:szCs w:val="24"/>
              </w:rPr>
              <w:t>mainīti Pievienotās vērtības nodokļa likumā noteiktie nosacījumi</w:t>
            </w:r>
            <w:r w:rsidR="0009366B" w:rsidRPr="000E2C19">
              <w:rPr>
                <w:sz w:val="24"/>
                <w:szCs w:val="24"/>
              </w:rPr>
              <w:t xml:space="preserve"> šādas atļaujas izsniegšanai</w:t>
            </w:r>
            <w:r w:rsidR="00E90D54" w:rsidRPr="000E2C19">
              <w:rPr>
                <w:sz w:val="24"/>
                <w:szCs w:val="24"/>
              </w:rPr>
              <w:t xml:space="preserve">, tad attiecīgi ir </w:t>
            </w:r>
            <w:r w:rsidR="0009366B" w:rsidRPr="000E2C19">
              <w:rPr>
                <w:sz w:val="24"/>
                <w:szCs w:val="24"/>
              </w:rPr>
              <w:t>jāprecizē arī</w:t>
            </w:r>
            <w:r w:rsidR="00E90D54" w:rsidRPr="000E2C19">
              <w:rPr>
                <w:sz w:val="24"/>
                <w:szCs w:val="24"/>
              </w:rPr>
              <w:t xml:space="preserve"> Mi</w:t>
            </w:r>
            <w:r w:rsidR="0009366B" w:rsidRPr="000E2C19">
              <w:rPr>
                <w:sz w:val="24"/>
                <w:szCs w:val="24"/>
              </w:rPr>
              <w:t>nistru kabineta noteikumos notei</w:t>
            </w:r>
            <w:r w:rsidR="00E90D54" w:rsidRPr="000E2C19">
              <w:rPr>
                <w:sz w:val="24"/>
                <w:szCs w:val="24"/>
              </w:rPr>
              <w:t xml:space="preserve">ktos </w:t>
            </w:r>
            <w:r w:rsidR="0009366B" w:rsidRPr="000E2C19">
              <w:rPr>
                <w:sz w:val="24"/>
                <w:szCs w:val="24"/>
              </w:rPr>
              <w:t xml:space="preserve">šīs atļaujas apturēšanas un anulēšanas </w:t>
            </w:r>
            <w:r w:rsidR="00E90D54" w:rsidRPr="000E2C19">
              <w:rPr>
                <w:sz w:val="24"/>
                <w:szCs w:val="24"/>
              </w:rPr>
              <w:t xml:space="preserve">nosacījumus, lai saskaņotu būtību un sasniegtu izvirzīto mērķi cīnīties </w:t>
            </w:r>
            <w:r w:rsidR="00E90D54" w:rsidRPr="006E3395">
              <w:rPr>
                <w:sz w:val="24"/>
                <w:szCs w:val="24"/>
              </w:rPr>
              <w:t xml:space="preserve">pret negodprātīgiem nodokļu maksātājiem un </w:t>
            </w:r>
            <w:r w:rsidR="00E90D54">
              <w:rPr>
                <w:sz w:val="24"/>
                <w:szCs w:val="24"/>
              </w:rPr>
              <w:t>PVN</w:t>
            </w:r>
            <w:r w:rsidR="00E90D54" w:rsidRPr="006E3395">
              <w:rPr>
                <w:sz w:val="24"/>
                <w:szCs w:val="24"/>
              </w:rPr>
              <w:t xml:space="preserve"> </w:t>
            </w:r>
            <w:proofErr w:type="spellStart"/>
            <w:r w:rsidR="00E90D54" w:rsidRPr="006E3395">
              <w:rPr>
                <w:sz w:val="24"/>
                <w:szCs w:val="24"/>
              </w:rPr>
              <w:t>krāpniecību</w:t>
            </w:r>
            <w:proofErr w:type="spellEnd"/>
            <w:r w:rsidR="00E90D54" w:rsidRPr="006E3395">
              <w:rPr>
                <w:sz w:val="24"/>
                <w:szCs w:val="24"/>
              </w:rPr>
              <w:t xml:space="preserve">, </w:t>
            </w:r>
            <w:r w:rsidR="00E90D54" w:rsidRPr="006E3395">
              <w:rPr>
                <w:sz w:val="24"/>
                <w:szCs w:val="24"/>
              </w:rPr>
              <w:lastRenderedPageBreak/>
              <w:t xml:space="preserve">noteiktu stingrākus kritērijus īpašajam </w:t>
            </w:r>
            <w:r w:rsidR="00E90D54">
              <w:rPr>
                <w:sz w:val="24"/>
                <w:szCs w:val="24"/>
              </w:rPr>
              <w:t>PVN</w:t>
            </w:r>
            <w:r w:rsidR="00E90D54" w:rsidRPr="006E3395">
              <w:rPr>
                <w:sz w:val="24"/>
                <w:szCs w:val="24"/>
              </w:rPr>
              <w:t xml:space="preserve"> </w:t>
            </w:r>
            <w:r w:rsidR="00E90D54">
              <w:rPr>
                <w:sz w:val="24"/>
                <w:szCs w:val="24"/>
              </w:rPr>
              <w:t>režīmam preču importa darījumos</w:t>
            </w:r>
            <w:r w:rsidR="00E90D54" w:rsidRPr="006E3395">
              <w:rPr>
                <w:sz w:val="24"/>
                <w:szCs w:val="24"/>
              </w:rPr>
              <w:t>.</w:t>
            </w:r>
            <w:r w:rsidR="006A6DE8" w:rsidRPr="000E2C19">
              <w:rPr>
                <w:sz w:val="24"/>
                <w:szCs w:val="24"/>
              </w:rPr>
              <w:t xml:space="preserve"> </w:t>
            </w:r>
          </w:p>
          <w:p w14:paraId="2F96D2D4" w14:textId="07131256" w:rsidR="000740A0" w:rsidRPr="005C7DA8" w:rsidRDefault="000740A0">
            <w:pPr>
              <w:ind w:left="113" w:right="113"/>
              <w:jc w:val="both"/>
              <w:rPr>
                <w:sz w:val="24"/>
                <w:szCs w:val="24"/>
              </w:rPr>
            </w:pPr>
            <w:r w:rsidRPr="005C7DA8">
              <w:rPr>
                <w:sz w:val="24"/>
                <w:szCs w:val="24"/>
              </w:rPr>
              <w:t xml:space="preserve">No visiem veiktiem importa darījumiem Latvijā apmēram 87% gadījumos piemēro īpašo PVN režīmu preču importa darījumos. </w:t>
            </w:r>
          </w:p>
          <w:p w14:paraId="7A66F6D9" w14:textId="03623525" w:rsidR="0009366B" w:rsidRPr="005C7DA8" w:rsidRDefault="000740A0">
            <w:pPr>
              <w:ind w:left="113" w:right="113"/>
              <w:jc w:val="both"/>
              <w:rPr>
                <w:sz w:val="24"/>
                <w:szCs w:val="24"/>
              </w:rPr>
            </w:pPr>
            <w:r w:rsidRPr="005C7DA8">
              <w:rPr>
                <w:sz w:val="24"/>
                <w:szCs w:val="24"/>
              </w:rPr>
              <w:t>Uz 2018.gada 31.decembri kopējais nodokļu parāds, kas lielāks par 1</w:t>
            </w:r>
            <w:r>
              <w:rPr>
                <w:sz w:val="24"/>
                <w:szCs w:val="24"/>
              </w:rPr>
              <w:t> </w:t>
            </w:r>
            <w:r w:rsidRPr="005C7DA8">
              <w:rPr>
                <w:sz w:val="24"/>
                <w:szCs w:val="24"/>
              </w:rPr>
              <w:t>430</w:t>
            </w:r>
            <w:r>
              <w:rPr>
                <w:sz w:val="24"/>
                <w:szCs w:val="24"/>
              </w:rPr>
              <w:t> </w:t>
            </w:r>
            <w:proofErr w:type="spellStart"/>
            <w:r w:rsidRPr="000E2C19">
              <w:rPr>
                <w:i/>
                <w:sz w:val="24"/>
                <w:szCs w:val="24"/>
                <w:lang w:eastAsia="lv-LV"/>
              </w:rPr>
              <w:t>euro</w:t>
            </w:r>
            <w:proofErr w:type="spellEnd"/>
            <w:r>
              <w:rPr>
                <w:sz w:val="24"/>
                <w:szCs w:val="24"/>
              </w:rPr>
              <w:t>,</w:t>
            </w:r>
            <w:r w:rsidRPr="005C7DA8">
              <w:rPr>
                <w:sz w:val="24"/>
                <w:szCs w:val="24"/>
              </w:rPr>
              <w:t xml:space="preserve"> ir 272 reģistrētiem PVN maksātājiem, kuriem izsniegta atļauja piemērot īpašo PVN</w:t>
            </w:r>
            <w:r w:rsidRPr="00C205D5">
              <w:rPr>
                <w:sz w:val="24"/>
                <w:szCs w:val="24"/>
              </w:rPr>
              <w:t xml:space="preserve"> režīmu preču importa darījumos,</w:t>
            </w:r>
            <w:r w:rsidRPr="00000CF4">
              <w:rPr>
                <w:sz w:val="24"/>
                <w:szCs w:val="24"/>
              </w:rPr>
              <w:t xml:space="preserve"> </w:t>
            </w:r>
            <w:r>
              <w:rPr>
                <w:sz w:val="24"/>
                <w:szCs w:val="24"/>
              </w:rPr>
              <w:t>sastādot</w:t>
            </w:r>
            <w:r w:rsidRPr="00000CF4">
              <w:rPr>
                <w:sz w:val="24"/>
                <w:szCs w:val="24"/>
              </w:rPr>
              <w:t xml:space="preserve"> 4,5</w:t>
            </w:r>
            <w:r>
              <w:rPr>
                <w:sz w:val="24"/>
                <w:szCs w:val="24"/>
              </w:rPr>
              <w:t> </w:t>
            </w:r>
            <w:r w:rsidRPr="00000CF4">
              <w:rPr>
                <w:sz w:val="24"/>
                <w:szCs w:val="24"/>
              </w:rPr>
              <w:t xml:space="preserve">milj. </w:t>
            </w:r>
            <w:proofErr w:type="spellStart"/>
            <w:r w:rsidRPr="000E2C19">
              <w:rPr>
                <w:i/>
                <w:sz w:val="24"/>
                <w:szCs w:val="24"/>
              </w:rPr>
              <w:t>euro</w:t>
            </w:r>
            <w:proofErr w:type="spellEnd"/>
            <w:r w:rsidR="0009366B">
              <w:rPr>
                <w:sz w:val="24"/>
                <w:szCs w:val="24"/>
              </w:rPr>
              <w:t>, t.sk.</w:t>
            </w:r>
            <w:r w:rsidRPr="00000CF4">
              <w:rPr>
                <w:sz w:val="24"/>
                <w:szCs w:val="24"/>
              </w:rPr>
              <w:t xml:space="preserve"> PVN parāds ir 2,1</w:t>
            </w:r>
            <w:r>
              <w:rPr>
                <w:sz w:val="24"/>
                <w:szCs w:val="24"/>
              </w:rPr>
              <w:t> </w:t>
            </w:r>
            <w:r w:rsidRPr="00000CF4">
              <w:rPr>
                <w:sz w:val="24"/>
                <w:szCs w:val="24"/>
              </w:rPr>
              <w:t xml:space="preserve">milj. </w:t>
            </w:r>
            <w:proofErr w:type="spellStart"/>
            <w:r w:rsidRPr="000E2C19">
              <w:rPr>
                <w:i/>
                <w:sz w:val="24"/>
                <w:szCs w:val="24"/>
              </w:rPr>
              <w:t>euro</w:t>
            </w:r>
            <w:proofErr w:type="spellEnd"/>
            <w:r w:rsidRPr="00000CF4">
              <w:rPr>
                <w:sz w:val="24"/>
                <w:szCs w:val="24"/>
              </w:rPr>
              <w:t>.</w:t>
            </w:r>
          </w:p>
          <w:p w14:paraId="5739AB4A" w14:textId="4FFAEBED" w:rsidR="000740A0" w:rsidRPr="006A1650" w:rsidRDefault="005C39BA">
            <w:pPr>
              <w:ind w:left="113" w:right="113"/>
              <w:jc w:val="both"/>
              <w:rPr>
                <w:sz w:val="24"/>
                <w:szCs w:val="24"/>
              </w:rPr>
            </w:pPr>
            <w:r>
              <w:rPr>
                <w:sz w:val="24"/>
                <w:szCs w:val="24"/>
              </w:rPr>
              <w:t>Ja tiek p</w:t>
            </w:r>
            <w:r w:rsidR="0009366B">
              <w:rPr>
                <w:sz w:val="24"/>
                <w:szCs w:val="24"/>
              </w:rPr>
              <w:t>recizē</w:t>
            </w:r>
            <w:r>
              <w:rPr>
                <w:sz w:val="24"/>
                <w:szCs w:val="24"/>
              </w:rPr>
              <w:t>ti</w:t>
            </w:r>
            <w:r w:rsidR="0009366B">
              <w:rPr>
                <w:sz w:val="24"/>
                <w:szCs w:val="24"/>
              </w:rPr>
              <w:t xml:space="preserve"> nosacījum</w:t>
            </w:r>
            <w:r>
              <w:rPr>
                <w:sz w:val="24"/>
                <w:szCs w:val="24"/>
              </w:rPr>
              <w:t>i</w:t>
            </w:r>
            <w:r w:rsidR="0009366B">
              <w:rPr>
                <w:sz w:val="24"/>
                <w:szCs w:val="24"/>
              </w:rPr>
              <w:t>, kuriem iestājoties minētā atļauja tiek anulētam, tad</w:t>
            </w:r>
            <w:r>
              <w:rPr>
                <w:sz w:val="24"/>
                <w:szCs w:val="24"/>
              </w:rPr>
              <w:t>,</w:t>
            </w:r>
            <w:r w:rsidR="000740A0">
              <w:rPr>
                <w:sz w:val="24"/>
                <w:szCs w:val="24"/>
              </w:rPr>
              <w:t xml:space="preserve"> samazinot parāda esamību valsts budžetam no 1430 </w:t>
            </w:r>
            <w:proofErr w:type="spellStart"/>
            <w:r w:rsidR="000740A0" w:rsidRPr="000E2C19">
              <w:rPr>
                <w:i/>
                <w:sz w:val="24"/>
                <w:szCs w:val="24"/>
              </w:rPr>
              <w:t>euro</w:t>
            </w:r>
            <w:proofErr w:type="spellEnd"/>
            <w:r w:rsidR="000740A0">
              <w:rPr>
                <w:sz w:val="24"/>
                <w:szCs w:val="24"/>
              </w:rPr>
              <w:t xml:space="preserve"> uz 150 </w:t>
            </w:r>
            <w:proofErr w:type="spellStart"/>
            <w:r w:rsidR="000740A0" w:rsidRPr="000E2C19">
              <w:rPr>
                <w:i/>
                <w:sz w:val="24"/>
                <w:szCs w:val="24"/>
              </w:rPr>
              <w:t>euro</w:t>
            </w:r>
            <w:proofErr w:type="spellEnd"/>
            <w:r w:rsidR="000740A0" w:rsidRPr="000E2C19">
              <w:rPr>
                <w:i/>
                <w:sz w:val="24"/>
                <w:szCs w:val="24"/>
              </w:rPr>
              <w:t xml:space="preserve"> </w:t>
            </w:r>
            <w:r w:rsidR="000740A0" w:rsidRPr="00B21963">
              <w:rPr>
                <w:sz w:val="24"/>
                <w:szCs w:val="24"/>
              </w:rPr>
              <w:t xml:space="preserve">un </w:t>
            </w:r>
            <w:r w:rsidR="0009366B">
              <w:rPr>
                <w:sz w:val="24"/>
                <w:szCs w:val="24"/>
              </w:rPr>
              <w:t>termiņ</w:t>
            </w:r>
            <w:r w:rsidR="000740A0">
              <w:rPr>
                <w:sz w:val="24"/>
                <w:szCs w:val="24"/>
              </w:rPr>
              <w:t xml:space="preserve">u radušos saistību nokārtošanai no 12 mēnešiem uz 3 mēnešiem, atļauja </w:t>
            </w:r>
            <w:r w:rsidR="000740A0" w:rsidRPr="004805B0">
              <w:rPr>
                <w:sz w:val="24"/>
                <w:szCs w:val="24"/>
              </w:rPr>
              <w:t>īpašā PVN režīma preču importa darījumos</w:t>
            </w:r>
            <w:r w:rsidR="000740A0">
              <w:rPr>
                <w:sz w:val="24"/>
                <w:szCs w:val="24"/>
              </w:rPr>
              <w:t xml:space="preserve"> piemērošanai tiktu anulēta 249 reģistrētiem PVN maksātājiem. Tāpat</w:t>
            </w:r>
            <w:r w:rsidR="008E1DB1">
              <w:rPr>
                <w:sz w:val="24"/>
                <w:szCs w:val="24"/>
              </w:rPr>
              <w:t>,</w:t>
            </w:r>
            <w:r w:rsidR="000740A0">
              <w:rPr>
                <w:sz w:val="24"/>
                <w:szCs w:val="24"/>
              </w:rPr>
              <w:t xml:space="preserve"> nosakot jaunu kritēriju atļaujas </w:t>
            </w:r>
            <w:r w:rsidR="000740A0" w:rsidRPr="004805B0">
              <w:rPr>
                <w:sz w:val="24"/>
                <w:szCs w:val="24"/>
              </w:rPr>
              <w:t>īpašā PVN režīma preču importa darījumos</w:t>
            </w:r>
            <w:r w:rsidR="000740A0">
              <w:rPr>
                <w:sz w:val="24"/>
                <w:szCs w:val="24"/>
              </w:rPr>
              <w:t xml:space="preserve"> anulēšanai, gadījumos</w:t>
            </w:r>
            <w:r w:rsidR="008E1DB1">
              <w:rPr>
                <w:sz w:val="24"/>
                <w:szCs w:val="24"/>
              </w:rPr>
              <w:t>,</w:t>
            </w:r>
            <w:r w:rsidR="000740A0">
              <w:rPr>
                <w:sz w:val="24"/>
                <w:szCs w:val="24"/>
              </w:rPr>
              <w:t xml:space="preserve"> ja reģistrēts PVN maksātājs nav veicis importa darījumus pēdējo </w:t>
            </w:r>
            <w:r w:rsidR="000740A0" w:rsidRPr="009C136C">
              <w:rPr>
                <w:sz w:val="24"/>
                <w:szCs w:val="24"/>
              </w:rPr>
              <w:t>12 mēnešu laikā</w:t>
            </w:r>
            <w:r w:rsidR="008E1DB1" w:rsidRPr="009C136C">
              <w:rPr>
                <w:sz w:val="24"/>
                <w:szCs w:val="24"/>
              </w:rPr>
              <w:t>,</w:t>
            </w:r>
            <w:r w:rsidR="000740A0" w:rsidRPr="009C136C">
              <w:rPr>
                <w:sz w:val="24"/>
                <w:szCs w:val="24"/>
              </w:rPr>
              <w:t xml:space="preserve"> - atļauja</w:t>
            </w:r>
            <w:r w:rsidR="000740A0" w:rsidRPr="006A1650">
              <w:rPr>
                <w:sz w:val="24"/>
                <w:szCs w:val="24"/>
              </w:rPr>
              <w:t xml:space="preserve"> tiktu anulēta 191</w:t>
            </w:r>
            <w:r w:rsidR="00C3708B">
              <w:rPr>
                <w:sz w:val="24"/>
                <w:szCs w:val="24"/>
              </w:rPr>
              <w:t>4 reģistrētiem PVN maksātājiem.</w:t>
            </w:r>
          </w:p>
          <w:p w14:paraId="7BC1497D" w14:textId="6293FD39" w:rsidR="00C877B0" w:rsidRDefault="00C877B0">
            <w:pPr>
              <w:ind w:left="113" w:right="113"/>
              <w:jc w:val="both"/>
              <w:rPr>
                <w:sz w:val="24"/>
                <w:szCs w:val="24"/>
              </w:rPr>
            </w:pPr>
            <w:r w:rsidRPr="004271FD">
              <w:rPr>
                <w:sz w:val="24"/>
                <w:szCs w:val="24"/>
              </w:rPr>
              <w:t xml:space="preserve">Papildus </w:t>
            </w:r>
            <w:r w:rsidRPr="000E2C19">
              <w:rPr>
                <w:sz w:val="24"/>
                <w:szCs w:val="24"/>
              </w:rPr>
              <w:t>nepieciešams ierobežot</w:t>
            </w:r>
            <w:r w:rsidRPr="004271FD">
              <w:rPr>
                <w:sz w:val="24"/>
                <w:szCs w:val="24"/>
              </w:rPr>
              <w:t xml:space="preserve"> īpašā</w:t>
            </w:r>
            <w:r w:rsidRPr="000E2C19">
              <w:rPr>
                <w:sz w:val="24"/>
                <w:szCs w:val="24"/>
              </w:rPr>
              <w:t xml:space="preserve"> </w:t>
            </w:r>
            <w:r w:rsidR="00C3708B">
              <w:rPr>
                <w:sz w:val="24"/>
                <w:szCs w:val="24"/>
              </w:rPr>
              <w:t>PVN</w:t>
            </w:r>
            <w:r w:rsidRPr="004271FD">
              <w:rPr>
                <w:sz w:val="24"/>
                <w:szCs w:val="24"/>
              </w:rPr>
              <w:t xml:space="preserve"> režīma preču importa darījumos izmantošanu tādām juridiskām personām, kuras maina amatpersonas vai tās valdei nav pārstāvības tiesības, kas, iespējams, liecina par krāpnieciskiem nolūkiem. Šobrīd ir 13 PVN maksātāji, kuriem ir izsniegta atļauja īpašā nodokļa režīma preču importa darījumos piemērošanai un kuriem nav aktuālas  amatpersonas, bet ir tikai pilnvarotas personas ar tiesībām pārstāvēt pilnvaru apmērā. Tāpat, lai mazinātu iespēju, ka šī atļauja tiek izmantot krāpnieciskiem nolūkiem, tā būtu anulējama, ja </w:t>
            </w:r>
            <w:r w:rsidR="00C3708B">
              <w:rPr>
                <w:sz w:val="24"/>
                <w:szCs w:val="24"/>
              </w:rPr>
              <w:t xml:space="preserve">reģistrēts PVN maksātājs </w:t>
            </w:r>
            <w:r w:rsidRPr="000E2C19">
              <w:rPr>
                <w:sz w:val="24"/>
                <w:szCs w:val="24"/>
              </w:rPr>
              <w:t>iepriekšējo 12</w:t>
            </w:r>
            <w:r w:rsidR="00C3708B" w:rsidRPr="000E2C19">
              <w:rPr>
                <w:sz w:val="24"/>
                <w:szCs w:val="24"/>
              </w:rPr>
              <w:t> </w:t>
            </w:r>
            <w:r w:rsidRPr="000E2C19">
              <w:rPr>
                <w:sz w:val="24"/>
                <w:szCs w:val="24"/>
              </w:rPr>
              <w:t>mēnešu laikā nav veicis importa darījumus</w:t>
            </w:r>
            <w:r w:rsidR="006A1650" w:rsidRPr="000E2C19">
              <w:rPr>
                <w:sz w:val="24"/>
                <w:szCs w:val="24"/>
              </w:rPr>
              <w:t>.</w:t>
            </w:r>
          </w:p>
          <w:p w14:paraId="5C31F05D" w14:textId="77777777" w:rsidR="00C51C2D" w:rsidRDefault="005C39BA">
            <w:pPr>
              <w:ind w:left="113" w:right="113"/>
              <w:jc w:val="both"/>
              <w:rPr>
                <w:sz w:val="24"/>
                <w:szCs w:val="24"/>
              </w:rPr>
            </w:pPr>
            <w:r>
              <w:rPr>
                <w:sz w:val="24"/>
                <w:szCs w:val="24"/>
              </w:rPr>
              <w:t>Līdz ar to a</w:t>
            </w:r>
            <w:r w:rsidR="000740A0" w:rsidRPr="004271FD">
              <w:rPr>
                <w:sz w:val="24"/>
                <w:szCs w:val="24"/>
              </w:rPr>
              <w:t xml:space="preserve">r </w:t>
            </w:r>
            <w:r w:rsidR="000740A0" w:rsidRPr="000E2C19">
              <w:rPr>
                <w:sz w:val="24"/>
                <w:szCs w:val="24"/>
              </w:rPr>
              <w:t>grozījumiem</w:t>
            </w:r>
            <w:r w:rsidR="000740A0" w:rsidRPr="004271FD">
              <w:rPr>
                <w:sz w:val="24"/>
                <w:szCs w:val="24"/>
              </w:rPr>
              <w:t xml:space="preserve"> </w:t>
            </w:r>
            <w:r>
              <w:rPr>
                <w:sz w:val="24"/>
                <w:szCs w:val="24"/>
              </w:rPr>
              <w:t>tiek paredzēts</w:t>
            </w:r>
            <w:r w:rsidR="00C51C2D">
              <w:rPr>
                <w:sz w:val="24"/>
                <w:szCs w:val="24"/>
              </w:rPr>
              <w:t>:</w:t>
            </w:r>
          </w:p>
          <w:p w14:paraId="394EC4C2" w14:textId="2F494408" w:rsidR="00C51C2D" w:rsidRPr="00C51C2D" w:rsidRDefault="00C51C2D">
            <w:pPr>
              <w:pStyle w:val="ListParagraph"/>
              <w:numPr>
                <w:ilvl w:val="0"/>
                <w:numId w:val="17"/>
              </w:numPr>
              <w:spacing w:after="0" w:line="240" w:lineRule="auto"/>
              <w:ind w:right="113"/>
              <w:jc w:val="both"/>
              <w:rPr>
                <w:sz w:val="24"/>
                <w:szCs w:val="24"/>
              </w:rPr>
            </w:pPr>
            <w:r w:rsidRPr="00C51C2D">
              <w:rPr>
                <w:sz w:val="24"/>
                <w:szCs w:val="24"/>
              </w:rPr>
              <w:t xml:space="preserve">noteikt, ka VID </w:t>
            </w:r>
            <w:r w:rsidRPr="004271FD">
              <w:rPr>
                <w:sz w:val="24"/>
                <w:szCs w:val="24"/>
              </w:rPr>
              <w:t xml:space="preserve">izskata iesniegumu un pieņem lēmumu par īpašās atļaujas </w:t>
            </w:r>
            <w:r w:rsidR="00C3708B">
              <w:rPr>
                <w:sz w:val="24"/>
                <w:szCs w:val="24"/>
              </w:rPr>
              <w:t xml:space="preserve">preču </w:t>
            </w:r>
            <w:r w:rsidRPr="004271FD">
              <w:rPr>
                <w:sz w:val="24"/>
                <w:szCs w:val="24"/>
              </w:rPr>
              <w:t>importa darījumos piešķiršanu vai par atteikumu piešķirt šo atļauju 15</w:t>
            </w:r>
            <w:r w:rsidR="00C3708B">
              <w:rPr>
                <w:sz w:val="24"/>
                <w:szCs w:val="24"/>
              </w:rPr>
              <w:t> </w:t>
            </w:r>
            <w:r w:rsidRPr="004271FD">
              <w:rPr>
                <w:sz w:val="24"/>
                <w:szCs w:val="24"/>
              </w:rPr>
              <w:t>darbdienu laikā pēc iesnieguma saņemšanas</w:t>
            </w:r>
            <w:r w:rsidR="000814E8">
              <w:rPr>
                <w:sz w:val="24"/>
                <w:szCs w:val="24"/>
              </w:rPr>
              <w:t>;</w:t>
            </w:r>
          </w:p>
          <w:p w14:paraId="3A694355" w14:textId="6BBDE16C" w:rsidR="000740A0" w:rsidRPr="004271FD" w:rsidRDefault="005C39BA">
            <w:pPr>
              <w:pStyle w:val="ListParagraph"/>
              <w:numPr>
                <w:ilvl w:val="0"/>
                <w:numId w:val="17"/>
              </w:numPr>
              <w:spacing w:after="0" w:line="240" w:lineRule="auto"/>
              <w:ind w:right="113"/>
              <w:jc w:val="both"/>
              <w:rPr>
                <w:sz w:val="24"/>
                <w:szCs w:val="24"/>
              </w:rPr>
            </w:pPr>
            <w:r w:rsidRPr="004271FD">
              <w:rPr>
                <w:sz w:val="24"/>
                <w:szCs w:val="24"/>
              </w:rPr>
              <w:t>precizēt minētās atļaujas apturēšanas nosacījumus:</w:t>
            </w:r>
          </w:p>
          <w:p w14:paraId="5922CD13" w14:textId="19183FEC" w:rsidR="005C39BA" w:rsidRPr="004271FD" w:rsidRDefault="005C39BA">
            <w:pPr>
              <w:pStyle w:val="ListParagraph"/>
              <w:numPr>
                <w:ilvl w:val="0"/>
                <w:numId w:val="18"/>
              </w:numPr>
              <w:spacing w:after="0" w:line="240" w:lineRule="auto"/>
              <w:ind w:right="113"/>
              <w:jc w:val="both"/>
              <w:rPr>
                <w:sz w:val="24"/>
                <w:szCs w:val="24"/>
              </w:rPr>
            </w:pPr>
            <w:r w:rsidRPr="004271FD">
              <w:rPr>
                <w:sz w:val="24"/>
                <w:szCs w:val="24"/>
              </w:rPr>
              <w:t>samazinot parāda esamību valsts budžetam no 1430 </w:t>
            </w:r>
            <w:proofErr w:type="spellStart"/>
            <w:r w:rsidRPr="000E2C19">
              <w:rPr>
                <w:i/>
                <w:sz w:val="24"/>
                <w:szCs w:val="24"/>
              </w:rPr>
              <w:t>euro</w:t>
            </w:r>
            <w:proofErr w:type="spellEnd"/>
            <w:r w:rsidRPr="004271FD">
              <w:rPr>
                <w:sz w:val="24"/>
                <w:szCs w:val="24"/>
              </w:rPr>
              <w:t xml:space="preserve"> uz 150 </w:t>
            </w:r>
            <w:proofErr w:type="spellStart"/>
            <w:r w:rsidRPr="000E2C19">
              <w:rPr>
                <w:i/>
                <w:sz w:val="24"/>
                <w:szCs w:val="24"/>
              </w:rPr>
              <w:t>euro</w:t>
            </w:r>
            <w:proofErr w:type="spellEnd"/>
            <w:r w:rsidRPr="004271FD">
              <w:rPr>
                <w:sz w:val="24"/>
                <w:szCs w:val="24"/>
              </w:rPr>
              <w:t>;</w:t>
            </w:r>
          </w:p>
          <w:p w14:paraId="525907EA" w14:textId="52A021EE" w:rsidR="001D19FD" w:rsidRPr="004271FD" w:rsidRDefault="00D0362B">
            <w:pPr>
              <w:pStyle w:val="ListParagraph"/>
              <w:numPr>
                <w:ilvl w:val="0"/>
                <w:numId w:val="18"/>
              </w:numPr>
              <w:spacing w:after="0" w:line="240" w:lineRule="auto"/>
              <w:ind w:right="113"/>
              <w:jc w:val="both"/>
              <w:rPr>
                <w:sz w:val="24"/>
                <w:szCs w:val="24"/>
              </w:rPr>
            </w:pPr>
            <w:r w:rsidRPr="004271FD">
              <w:rPr>
                <w:sz w:val="24"/>
                <w:szCs w:val="24"/>
              </w:rPr>
              <w:t>precizējot, ka ne tikai nodokļu revīzijas (audita)</w:t>
            </w:r>
            <w:r w:rsidR="00C3708B">
              <w:rPr>
                <w:sz w:val="24"/>
                <w:szCs w:val="24"/>
              </w:rPr>
              <w:t>,</w:t>
            </w:r>
            <w:r w:rsidRPr="004271FD">
              <w:rPr>
                <w:sz w:val="24"/>
                <w:szCs w:val="24"/>
              </w:rPr>
              <w:t xml:space="preserve"> bet arī nodokļu administrēšanas pasākumu laikā VID ir tiesības konstatēt, ka reģistrēts </w:t>
            </w:r>
            <w:r w:rsidR="00C3708B">
              <w:rPr>
                <w:sz w:val="24"/>
                <w:szCs w:val="24"/>
              </w:rPr>
              <w:t>PVN maksātājs</w:t>
            </w:r>
            <w:r w:rsidRPr="004271FD">
              <w:rPr>
                <w:sz w:val="24"/>
                <w:szCs w:val="24"/>
              </w:rPr>
              <w:t xml:space="preserve"> nav atbilstoši norādījis aprēķināto </w:t>
            </w:r>
            <w:r w:rsidR="00C3708B">
              <w:rPr>
                <w:sz w:val="24"/>
                <w:szCs w:val="24"/>
              </w:rPr>
              <w:t>PVN</w:t>
            </w:r>
            <w:r w:rsidRPr="004271FD">
              <w:rPr>
                <w:sz w:val="24"/>
                <w:szCs w:val="24"/>
              </w:rPr>
              <w:t xml:space="preserve"> summu par importētajām precēm atbilstošā taksācijas perioda </w:t>
            </w:r>
            <w:r w:rsidR="00C3708B">
              <w:rPr>
                <w:sz w:val="24"/>
                <w:szCs w:val="24"/>
              </w:rPr>
              <w:t>PVN</w:t>
            </w:r>
            <w:r w:rsidRPr="004271FD">
              <w:rPr>
                <w:sz w:val="24"/>
                <w:szCs w:val="24"/>
              </w:rPr>
              <w:t xml:space="preserve"> deklarācijā;</w:t>
            </w:r>
          </w:p>
          <w:p w14:paraId="2786AF41" w14:textId="21014393" w:rsidR="00D51B4B" w:rsidRPr="000E2C19" w:rsidRDefault="00260EBB">
            <w:pPr>
              <w:pStyle w:val="ListParagraph"/>
              <w:numPr>
                <w:ilvl w:val="0"/>
                <w:numId w:val="17"/>
              </w:numPr>
              <w:spacing w:after="0" w:line="240" w:lineRule="auto"/>
              <w:ind w:right="113"/>
              <w:jc w:val="both"/>
              <w:rPr>
                <w:sz w:val="24"/>
                <w:szCs w:val="24"/>
              </w:rPr>
            </w:pPr>
            <w:r w:rsidRPr="00DA6DF4">
              <w:rPr>
                <w:sz w:val="24"/>
                <w:szCs w:val="24"/>
              </w:rPr>
              <w:t xml:space="preserve">precizēt minētās atļaujas anulēšanas nosacījumus, ņemot vērā veiktos grozījumus Pievienotās vērtības nodokļa likumā, kas plānots stāsies spēkā 2019.gada 1.jūlijā, attiecībā uz šīs atļaujas saņemšanas </w:t>
            </w:r>
            <w:r w:rsidRPr="00DA6DF4">
              <w:rPr>
                <w:sz w:val="24"/>
                <w:szCs w:val="24"/>
              </w:rPr>
              <w:lastRenderedPageBreak/>
              <w:t>nosacījumiem, kā ar</w:t>
            </w:r>
            <w:r w:rsidR="00D51B4B" w:rsidRPr="00DA6DF4">
              <w:rPr>
                <w:sz w:val="24"/>
                <w:szCs w:val="24"/>
              </w:rPr>
              <w:t xml:space="preserve">ī </w:t>
            </w:r>
            <w:r w:rsidR="005C39BA" w:rsidRPr="00DA6DF4">
              <w:rPr>
                <w:sz w:val="24"/>
                <w:szCs w:val="24"/>
              </w:rPr>
              <w:t>samazināt termiņu radušos saistību nokārtošanai no 12 mēnešiem uz 3 mēnešiem</w:t>
            </w:r>
            <w:r w:rsidR="000814E8">
              <w:rPr>
                <w:sz w:val="24"/>
                <w:szCs w:val="24"/>
              </w:rPr>
              <w:t>;</w:t>
            </w:r>
          </w:p>
          <w:p w14:paraId="6559FC67" w14:textId="68A04C2C" w:rsidR="00D51B4B" w:rsidRPr="000E2C19" w:rsidRDefault="00D51B4B">
            <w:pPr>
              <w:pStyle w:val="ListParagraph"/>
              <w:numPr>
                <w:ilvl w:val="0"/>
                <w:numId w:val="17"/>
              </w:numPr>
              <w:spacing w:after="0" w:line="240" w:lineRule="auto"/>
              <w:ind w:right="113"/>
              <w:jc w:val="both"/>
              <w:rPr>
                <w:sz w:val="24"/>
                <w:szCs w:val="24"/>
              </w:rPr>
            </w:pPr>
            <w:r w:rsidRPr="00DA6DF4">
              <w:rPr>
                <w:sz w:val="24"/>
                <w:szCs w:val="24"/>
              </w:rPr>
              <w:t>papildināt minētās atļaujas anulēšanas nosacījumus ar jauniem  nosacījumiem, ka atļauja tiek anulēta, ja:</w:t>
            </w:r>
          </w:p>
          <w:p w14:paraId="7A672F9C" w14:textId="4BDA91E0" w:rsidR="00D51B4B" w:rsidRPr="000E2C19" w:rsidRDefault="00D51B4B">
            <w:pPr>
              <w:pStyle w:val="ListParagraph"/>
              <w:numPr>
                <w:ilvl w:val="0"/>
                <w:numId w:val="21"/>
              </w:numPr>
              <w:spacing w:after="0" w:line="240" w:lineRule="auto"/>
              <w:ind w:right="113"/>
              <w:jc w:val="both"/>
              <w:rPr>
                <w:sz w:val="24"/>
                <w:szCs w:val="24"/>
              </w:rPr>
            </w:pPr>
            <w:r w:rsidRPr="000E2C19">
              <w:rPr>
                <w:sz w:val="24"/>
                <w:szCs w:val="24"/>
              </w:rPr>
              <w:t>reģistrēts PVN maksātājs pēdējo 12</w:t>
            </w:r>
            <w:r w:rsidR="00C3708B" w:rsidRPr="000E2C19">
              <w:rPr>
                <w:sz w:val="24"/>
                <w:szCs w:val="24"/>
              </w:rPr>
              <w:t> </w:t>
            </w:r>
            <w:r w:rsidRPr="000E2C19">
              <w:rPr>
                <w:sz w:val="24"/>
                <w:szCs w:val="24"/>
              </w:rPr>
              <w:t>mēnešu laikā nav veicis importa darījumus;</w:t>
            </w:r>
          </w:p>
          <w:p w14:paraId="2E266D91" w14:textId="77777777" w:rsidR="008F5D11" w:rsidRPr="000E2C19" w:rsidRDefault="00D51B4B">
            <w:pPr>
              <w:pStyle w:val="ListParagraph"/>
              <w:numPr>
                <w:ilvl w:val="0"/>
                <w:numId w:val="21"/>
              </w:numPr>
              <w:spacing w:after="0" w:line="240" w:lineRule="auto"/>
              <w:ind w:right="113"/>
              <w:jc w:val="both"/>
              <w:rPr>
                <w:sz w:val="24"/>
                <w:szCs w:val="24"/>
              </w:rPr>
            </w:pPr>
            <w:r w:rsidRPr="000E2C19">
              <w:rPr>
                <w:sz w:val="24"/>
                <w:szCs w:val="24"/>
              </w:rPr>
              <w:t>reģistrēta PVN maksātāja - juridiskai personai ilgāk par vienu mēnesi nav nevienas amatpersonas vai tās valdei nav pārstāvības tiesību</w:t>
            </w:r>
            <w:r w:rsidR="008F5D11" w:rsidRPr="000E2C19">
              <w:rPr>
                <w:sz w:val="24"/>
                <w:szCs w:val="24"/>
              </w:rPr>
              <w:t>;</w:t>
            </w:r>
          </w:p>
          <w:p w14:paraId="016A545E" w14:textId="77777777" w:rsidR="008F5D11" w:rsidRPr="000E2C19" w:rsidRDefault="008F5D11">
            <w:pPr>
              <w:pStyle w:val="ListParagraph"/>
              <w:numPr>
                <w:ilvl w:val="0"/>
                <w:numId w:val="21"/>
              </w:numPr>
              <w:spacing w:after="0" w:line="240" w:lineRule="auto"/>
              <w:ind w:right="113"/>
              <w:jc w:val="both"/>
              <w:rPr>
                <w:sz w:val="24"/>
                <w:szCs w:val="24"/>
              </w:rPr>
            </w:pPr>
            <w:r w:rsidRPr="000E2C19">
              <w:rPr>
                <w:sz w:val="24"/>
                <w:szCs w:val="24"/>
              </w:rPr>
              <w:t>reģistrēta PVN maksātāja – juridiskās personas amatpersona vai reģistrēts PVN maksātājs – fiziskā persona ir iekļauta riska personu sarakstā atbilstoši likumam “Par nodokļiem un nodevām”.</w:t>
            </w:r>
          </w:p>
          <w:p w14:paraId="63EEEDCE" w14:textId="493C9E83" w:rsidR="00711292" w:rsidRPr="000B2D77" w:rsidRDefault="000B2D77" w:rsidP="000E2C19">
            <w:pPr>
              <w:ind w:left="113" w:right="113"/>
              <w:jc w:val="both"/>
              <w:rPr>
                <w:sz w:val="24"/>
                <w:szCs w:val="24"/>
              </w:rPr>
            </w:pPr>
            <w:r>
              <w:rPr>
                <w:sz w:val="24"/>
                <w:szCs w:val="24"/>
              </w:rPr>
              <w:t xml:space="preserve">Plānots, ka </w:t>
            </w:r>
            <w:r w:rsidR="00735BBE" w:rsidRPr="00735BBE">
              <w:rPr>
                <w:sz w:val="24"/>
                <w:szCs w:val="24"/>
              </w:rPr>
              <w:t xml:space="preserve">Ministru kabineta noteikumu projekts </w:t>
            </w:r>
            <w:r>
              <w:rPr>
                <w:sz w:val="24"/>
                <w:szCs w:val="24"/>
              </w:rPr>
              <w:t>stā</w:t>
            </w:r>
            <w:r w:rsidR="005E0279">
              <w:rPr>
                <w:sz w:val="24"/>
                <w:szCs w:val="24"/>
              </w:rPr>
              <w:t>sie</w:t>
            </w:r>
            <w:r>
              <w:rPr>
                <w:sz w:val="24"/>
                <w:szCs w:val="24"/>
              </w:rPr>
              <w:t xml:space="preserve">s spēkā </w:t>
            </w:r>
            <w:r w:rsidR="005E0279">
              <w:rPr>
                <w:sz w:val="24"/>
                <w:szCs w:val="24"/>
              </w:rPr>
              <w:t>2019.gada 1.jūlijā</w:t>
            </w:r>
            <w:r w:rsidR="003B1E4F" w:rsidRPr="001B4713">
              <w:rPr>
                <w:sz w:val="24"/>
                <w:szCs w:val="24"/>
              </w:rPr>
              <w:t xml:space="preserve"> vienlaikus </w:t>
            </w:r>
            <w:r w:rsidR="00711B9E" w:rsidRPr="001B4713">
              <w:rPr>
                <w:sz w:val="24"/>
                <w:szCs w:val="24"/>
              </w:rPr>
              <w:t>ar grozījumiem Pievienotās vērtības nodokļa likumā</w:t>
            </w:r>
            <w:r w:rsidR="000E2C19">
              <w:rPr>
                <w:sz w:val="24"/>
                <w:szCs w:val="24"/>
              </w:rPr>
              <w:t xml:space="preserve"> (Nr. 57/Lp13)</w:t>
            </w:r>
            <w:r w:rsidR="00711B9E" w:rsidRPr="001B4713">
              <w:rPr>
                <w:sz w:val="24"/>
                <w:szCs w:val="24"/>
              </w:rPr>
              <w:t xml:space="preserve">, kurus </w:t>
            </w:r>
            <w:r w:rsidR="001B4713" w:rsidRPr="001B4713">
              <w:rPr>
                <w:sz w:val="24"/>
                <w:szCs w:val="24"/>
              </w:rPr>
              <w:t xml:space="preserve">Saeima pieņēma </w:t>
            </w:r>
            <w:r w:rsidR="00711B9E" w:rsidRPr="001B4713">
              <w:rPr>
                <w:sz w:val="24"/>
                <w:szCs w:val="24"/>
              </w:rPr>
              <w:t>2019.gada 30.maijā</w:t>
            </w:r>
            <w:r w:rsidR="002E2BE6">
              <w:rPr>
                <w:sz w:val="24"/>
                <w:szCs w:val="24"/>
              </w:rPr>
              <w:t>.</w:t>
            </w:r>
            <w:r>
              <w:rPr>
                <w:sz w:val="24"/>
                <w:szCs w:val="24"/>
              </w:rPr>
              <w:t xml:space="preserve"> </w:t>
            </w:r>
            <w:r w:rsidR="008225BE">
              <w:rPr>
                <w:sz w:val="24"/>
                <w:szCs w:val="24"/>
              </w:rPr>
              <w:t>Grozījumi Ministru kabineta noteikumos</w:t>
            </w:r>
            <w:r w:rsidR="008225BE" w:rsidRPr="00735BBE">
              <w:rPr>
                <w:sz w:val="24"/>
                <w:szCs w:val="24"/>
              </w:rPr>
              <w:t xml:space="preserve">, ar kuriem </w:t>
            </w:r>
            <w:r w:rsidR="008225BE">
              <w:rPr>
                <w:sz w:val="24"/>
                <w:szCs w:val="24"/>
              </w:rPr>
              <w:t>tiek precizēts termiņš, kādā V</w:t>
            </w:r>
            <w:r w:rsidR="000E2C19">
              <w:rPr>
                <w:sz w:val="24"/>
                <w:szCs w:val="24"/>
              </w:rPr>
              <w:t>ID</w:t>
            </w:r>
            <w:r w:rsidR="008225BE">
              <w:rPr>
                <w:sz w:val="24"/>
                <w:szCs w:val="24"/>
              </w:rPr>
              <w:t xml:space="preserve"> izskata iesniegumu par </w:t>
            </w:r>
            <w:r w:rsidR="008225BE" w:rsidRPr="006B032D">
              <w:rPr>
                <w:sz w:val="24"/>
                <w:szCs w:val="24"/>
              </w:rPr>
              <w:t xml:space="preserve">īpašās atļaujas </w:t>
            </w:r>
            <w:r w:rsidR="000E2C19">
              <w:rPr>
                <w:sz w:val="24"/>
                <w:szCs w:val="24"/>
              </w:rPr>
              <w:t xml:space="preserve">preču </w:t>
            </w:r>
            <w:r w:rsidR="008225BE" w:rsidRPr="006B032D">
              <w:rPr>
                <w:sz w:val="24"/>
                <w:szCs w:val="24"/>
              </w:rPr>
              <w:t>importa darījumos piešķiršanu</w:t>
            </w:r>
            <w:r w:rsidR="008225BE">
              <w:rPr>
                <w:sz w:val="24"/>
                <w:szCs w:val="24"/>
              </w:rPr>
              <w:t xml:space="preserve"> un </w:t>
            </w:r>
            <w:r w:rsidR="008225BE" w:rsidRPr="006B032D">
              <w:rPr>
                <w:sz w:val="24"/>
                <w:szCs w:val="24"/>
              </w:rPr>
              <w:t xml:space="preserve">pieņem lēmumu par </w:t>
            </w:r>
            <w:r w:rsidR="008225BE">
              <w:rPr>
                <w:sz w:val="24"/>
                <w:szCs w:val="24"/>
              </w:rPr>
              <w:t>šīs atļaujas</w:t>
            </w:r>
            <w:r w:rsidR="008225BE" w:rsidRPr="006B032D">
              <w:rPr>
                <w:sz w:val="24"/>
                <w:szCs w:val="24"/>
              </w:rPr>
              <w:t xml:space="preserve"> piešķiršanu vai par atteikumu</w:t>
            </w:r>
            <w:r w:rsidR="008225BE">
              <w:rPr>
                <w:sz w:val="24"/>
                <w:szCs w:val="24"/>
              </w:rPr>
              <w:t xml:space="preserve"> to</w:t>
            </w:r>
            <w:r w:rsidR="008225BE" w:rsidRPr="006B032D">
              <w:rPr>
                <w:sz w:val="24"/>
                <w:szCs w:val="24"/>
              </w:rPr>
              <w:t xml:space="preserve"> piešķirt</w:t>
            </w:r>
            <w:r w:rsidR="008225BE" w:rsidRPr="001B4713">
              <w:rPr>
                <w:sz w:val="24"/>
                <w:szCs w:val="24"/>
              </w:rPr>
              <w:t xml:space="preserve">, </w:t>
            </w:r>
            <w:r w:rsidR="008225BE">
              <w:rPr>
                <w:sz w:val="24"/>
                <w:szCs w:val="24"/>
              </w:rPr>
              <w:t>un ar kuriem tiek precizēti nosacījumi, kad minētās atļaujas darbība tiek apturēta un anulēta, plānots, ka stājas spēkā 2019.gada 12.jūlijā, kad atbilstoši g</w:t>
            </w:r>
            <w:r w:rsidR="008225BE" w:rsidRPr="001B4713">
              <w:rPr>
                <w:sz w:val="24"/>
                <w:szCs w:val="24"/>
              </w:rPr>
              <w:t>rozījumiem Pievienotas vērtības nodokļa likum</w:t>
            </w:r>
            <w:r w:rsidR="008225BE">
              <w:rPr>
                <w:sz w:val="24"/>
                <w:szCs w:val="24"/>
              </w:rPr>
              <w:t>a</w:t>
            </w:r>
            <w:r w:rsidR="008225BE" w:rsidRPr="001B4713">
              <w:rPr>
                <w:sz w:val="24"/>
                <w:szCs w:val="24"/>
              </w:rPr>
              <w:t xml:space="preserve"> (</w:t>
            </w:r>
            <w:r w:rsidR="008225BE">
              <w:rPr>
                <w:sz w:val="24"/>
                <w:szCs w:val="24"/>
              </w:rPr>
              <w:t xml:space="preserve">Nr. 271/Lp13), kuru </w:t>
            </w:r>
            <w:r w:rsidR="008225BE" w:rsidRPr="004271FD">
              <w:rPr>
                <w:sz w:val="24"/>
                <w:szCs w:val="24"/>
              </w:rPr>
              <w:t>Saeim</w:t>
            </w:r>
            <w:r w:rsidR="008225BE">
              <w:rPr>
                <w:sz w:val="24"/>
                <w:szCs w:val="24"/>
              </w:rPr>
              <w:t>a</w:t>
            </w:r>
            <w:r w:rsidR="008225BE" w:rsidRPr="004271FD">
              <w:rPr>
                <w:sz w:val="24"/>
                <w:szCs w:val="24"/>
              </w:rPr>
              <w:t xml:space="preserve"> </w:t>
            </w:r>
            <w:r w:rsidR="008225BE">
              <w:rPr>
                <w:sz w:val="24"/>
                <w:szCs w:val="24"/>
              </w:rPr>
              <w:t>2019.</w:t>
            </w:r>
            <w:r w:rsidR="008225BE" w:rsidRPr="004271FD">
              <w:rPr>
                <w:sz w:val="24"/>
                <w:szCs w:val="24"/>
              </w:rPr>
              <w:t xml:space="preserve">gada </w:t>
            </w:r>
            <w:r w:rsidR="008225BE">
              <w:rPr>
                <w:sz w:val="24"/>
                <w:szCs w:val="24"/>
              </w:rPr>
              <w:t>6.jūnijā</w:t>
            </w:r>
            <w:r w:rsidR="008225BE" w:rsidRPr="004271FD">
              <w:rPr>
                <w:sz w:val="24"/>
                <w:szCs w:val="24"/>
              </w:rPr>
              <w:t xml:space="preserve"> skatī</w:t>
            </w:r>
            <w:r w:rsidR="008225BE">
              <w:rPr>
                <w:sz w:val="24"/>
                <w:szCs w:val="24"/>
              </w:rPr>
              <w:t>ja</w:t>
            </w:r>
            <w:r w:rsidR="008225BE" w:rsidRPr="004271FD">
              <w:rPr>
                <w:sz w:val="24"/>
                <w:szCs w:val="24"/>
              </w:rPr>
              <w:t xml:space="preserve"> 2.lasījumā</w:t>
            </w:r>
            <w:r w:rsidR="008225BE">
              <w:rPr>
                <w:sz w:val="24"/>
                <w:szCs w:val="24"/>
              </w:rPr>
              <w:t xml:space="preserve">, stāsies spēkā precizētie </w:t>
            </w:r>
            <w:r w:rsidR="008225BE" w:rsidRPr="00CA4044">
              <w:rPr>
                <w:sz w:val="24"/>
                <w:szCs w:val="24"/>
              </w:rPr>
              <w:t>īpašās atļauj</w:t>
            </w:r>
            <w:r w:rsidR="008225BE">
              <w:rPr>
                <w:sz w:val="24"/>
                <w:szCs w:val="24"/>
              </w:rPr>
              <w:t xml:space="preserve">as importa darījumos piešķiršanas nosacījumi. </w:t>
            </w:r>
            <w:r>
              <w:rPr>
                <w:sz w:val="24"/>
                <w:szCs w:val="24"/>
              </w:rPr>
              <w:t>S</w:t>
            </w:r>
            <w:r w:rsidR="00735BBE" w:rsidRPr="00735BBE">
              <w:rPr>
                <w:sz w:val="24"/>
                <w:szCs w:val="24"/>
              </w:rPr>
              <w:t>avukārt grozījumi</w:t>
            </w:r>
            <w:r>
              <w:rPr>
                <w:sz w:val="24"/>
                <w:szCs w:val="24"/>
              </w:rPr>
              <w:t xml:space="preserve"> Ministru kabineta noteikumos</w:t>
            </w:r>
            <w:r w:rsidR="00735BBE" w:rsidRPr="00735BBE">
              <w:rPr>
                <w:sz w:val="24"/>
                <w:szCs w:val="24"/>
              </w:rPr>
              <w:t xml:space="preserve">, ar kuriem </w:t>
            </w:r>
            <w:r>
              <w:rPr>
                <w:sz w:val="24"/>
                <w:szCs w:val="24"/>
              </w:rPr>
              <w:t>tiek precizēts</w:t>
            </w:r>
            <w:r w:rsidR="00735BBE" w:rsidRPr="00735BBE">
              <w:rPr>
                <w:sz w:val="24"/>
                <w:szCs w:val="24"/>
              </w:rPr>
              <w:t xml:space="preserve"> apgrieztās jeb reversās PVN maksāšanas kārtības piemērošanas termiņš sadzīves elektronisko iekārtu un sadzīves elektriskās aparatūras piegādēm</w:t>
            </w:r>
            <w:r>
              <w:rPr>
                <w:sz w:val="24"/>
                <w:szCs w:val="24"/>
              </w:rPr>
              <w:t xml:space="preserve"> un izteikta jaunā redakcijā </w:t>
            </w:r>
            <w:r w:rsidRPr="000B2D77">
              <w:rPr>
                <w:sz w:val="24"/>
                <w:szCs w:val="24"/>
              </w:rPr>
              <w:t xml:space="preserve">norāde, uz kāda likuma pamata noteikumi izdoti, </w:t>
            </w:r>
            <w:r w:rsidR="00735BBE" w:rsidRPr="00735BBE">
              <w:rPr>
                <w:sz w:val="24"/>
                <w:szCs w:val="24"/>
              </w:rPr>
              <w:t>stājas spēkā 2020.gada 1.janvārī</w:t>
            </w:r>
            <w:r>
              <w:rPr>
                <w:sz w:val="24"/>
                <w:szCs w:val="24"/>
              </w:rPr>
              <w:t>.</w:t>
            </w:r>
          </w:p>
        </w:tc>
      </w:tr>
      <w:tr w:rsidR="00F207FB" w:rsidRPr="00820287" w14:paraId="2447FFD2" w14:textId="77777777" w:rsidTr="00E47BAE">
        <w:tblPrEx>
          <w:tblCellSpacing w:w="0" w:type="dxa"/>
          <w:tblCellMar>
            <w:top w:w="0" w:type="dxa"/>
            <w:left w:w="0" w:type="dxa"/>
            <w:bottom w:w="0" w:type="dxa"/>
            <w:right w:w="0" w:type="dxa"/>
          </w:tblCellMar>
        </w:tblPrEx>
        <w:trPr>
          <w:trHeight w:val="122"/>
          <w:tblCellSpacing w:w="0" w:type="dxa"/>
        </w:trPr>
        <w:tc>
          <w:tcPr>
            <w:tcW w:w="272" w:type="pct"/>
            <w:gridSpan w:val="2"/>
            <w:hideMark/>
          </w:tcPr>
          <w:p w14:paraId="2B3C2E38" w14:textId="77777777" w:rsidR="005A039A" w:rsidRPr="00820287" w:rsidRDefault="00C92A95" w:rsidP="00AA2836">
            <w:pPr>
              <w:rPr>
                <w:rFonts w:eastAsia="Times New Roman"/>
                <w:sz w:val="24"/>
                <w:szCs w:val="24"/>
                <w:lang w:eastAsia="lv-LV"/>
              </w:rPr>
            </w:pPr>
            <w:r w:rsidRPr="00820287">
              <w:rPr>
                <w:rFonts w:eastAsia="Times New Roman"/>
                <w:sz w:val="24"/>
                <w:szCs w:val="24"/>
                <w:lang w:eastAsia="lv-LV"/>
              </w:rPr>
              <w:lastRenderedPageBreak/>
              <w:t>3</w:t>
            </w:r>
            <w:r w:rsidR="006A67C9" w:rsidRPr="00820287">
              <w:rPr>
                <w:rFonts w:eastAsia="Times New Roman"/>
                <w:sz w:val="24"/>
                <w:szCs w:val="24"/>
                <w:lang w:eastAsia="lv-LV"/>
              </w:rPr>
              <w:t>.</w:t>
            </w:r>
          </w:p>
        </w:tc>
        <w:tc>
          <w:tcPr>
            <w:tcW w:w="1519" w:type="pct"/>
            <w:gridSpan w:val="6"/>
            <w:hideMark/>
          </w:tcPr>
          <w:p w14:paraId="3EC5F6E1" w14:textId="77777777" w:rsidR="005A039A" w:rsidRPr="00820287" w:rsidRDefault="005A039A" w:rsidP="00AA2836">
            <w:pPr>
              <w:ind w:left="127" w:hanging="19"/>
              <w:rPr>
                <w:rFonts w:eastAsia="Times New Roman"/>
                <w:sz w:val="24"/>
                <w:szCs w:val="24"/>
                <w:lang w:eastAsia="lv-LV"/>
              </w:rPr>
            </w:pPr>
            <w:r w:rsidRPr="00820287">
              <w:rPr>
                <w:rFonts w:eastAsia="Times New Roman"/>
                <w:sz w:val="24"/>
                <w:szCs w:val="24"/>
                <w:lang w:eastAsia="lv-LV"/>
              </w:rPr>
              <w:t>Projekta izstrādē iesaistītās institūcijas</w:t>
            </w:r>
            <w:r w:rsidR="002233D8" w:rsidRPr="00820287">
              <w:rPr>
                <w:rFonts w:eastAsia="Times New Roman"/>
                <w:sz w:val="24"/>
                <w:szCs w:val="24"/>
                <w:lang w:eastAsia="lv-LV"/>
              </w:rPr>
              <w:t xml:space="preserve"> un publiskas personas kapitālsabiedrības</w:t>
            </w:r>
          </w:p>
        </w:tc>
        <w:tc>
          <w:tcPr>
            <w:tcW w:w="3209" w:type="pct"/>
            <w:gridSpan w:val="5"/>
            <w:hideMark/>
          </w:tcPr>
          <w:p w14:paraId="607FDCD7" w14:textId="13082B9C" w:rsidR="009402BB" w:rsidRPr="00820287" w:rsidRDefault="006A4901" w:rsidP="000E2C19">
            <w:pPr>
              <w:tabs>
                <w:tab w:val="left" w:pos="340"/>
              </w:tabs>
              <w:ind w:left="113" w:right="113"/>
              <w:jc w:val="both"/>
              <w:rPr>
                <w:rFonts w:eastAsia="Times New Roman"/>
                <w:sz w:val="24"/>
                <w:szCs w:val="24"/>
                <w:lang w:eastAsia="lv-LV"/>
              </w:rPr>
            </w:pPr>
            <w:r w:rsidRPr="00A60681">
              <w:rPr>
                <w:rFonts w:eastAsia="Times New Roman"/>
                <w:sz w:val="24"/>
                <w:szCs w:val="24"/>
                <w:lang w:eastAsia="lv-LV"/>
              </w:rPr>
              <w:t>Projekta izstrādē ir iesaistīta Finanšu ministrija un VID.</w:t>
            </w:r>
          </w:p>
        </w:tc>
      </w:tr>
      <w:tr w:rsidR="00F207FB" w:rsidRPr="00820287" w14:paraId="4341C74F" w14:textId="77777777" w:rsidTr="00E47BAE">
        <w:trPr>
          <w:trHeight w:val="358"/>
        </w:trPr>
        <w:tc>
          <w:tcPr>
            <w:tcW w:w="272" w:type="pct"/>
            <w:gridSpan w:val="2"/>
            <w:hideMark/>
          </w:tcPr>
          <w:p w14:paraId="792DDB59" w14:textId="77777777" w:rsidR="004715A6" w:rsidRPr="00820287" w:rsidRDefault="00CF674E" w:rsidP="00CE74B7">
            <w:pPr>
              <w:spacing w:before="100" w:beforeAutospacing="1" w:after="100" w:afterAutospacing="1"/>
              <w:jc w:val="both"/>
              <w:rPr>
                <w:rFonts w:eastAsia="Times New Roman"/>
                <w:sz w:val="24"/>
                <w:szCs w:val="24"/>
                <w:lang w:eastAsia="lv-LV"/>
              </w:rPr>
            </w:pPr>
            <w:r w:rsidRPr="00820287">
              <w:rPr>
                <w:rFonts w:eastAsia="Times New Roman"/>
                <w:sz w:val="24"/>
                <w:szCs w:val="24"/>
                <w:lang w:eastAsia="lv-LV"/>
              </w:rPr>
              <w:t>4</w:t>
            </w:r>
            <w:r w:rsidR="004715A6" w:rsidRPr="00820287">
              <w:rPr>
                <w:rFonts w:eastAsia="Times New Roman"/>
                <w:sz w:val="24"/>
                <w:szCs w:val="24"/>
                <w:lang w:eastAsia="lv-LV"/>
              </w:rPr>
              <w:t>.</w:t>
            </w:r>
          </w:p>
        </w:tc>
        <w:tc>
          <w:tcPr>
            <w:tcW w:w="1519" w:type="pct"/>
            <w:gridSpan w:val="6"/>
            <w:hideMark/>
          </w:tcPr>
          <w:p w14:paraId="6F44F125" w14:textId="77777777" w:rsidR="004715A6" w:rsidRPr="00820287" w:rsidRDefault="004715A6" w:rsidP="00CE74B7">
            <w:pPr>
              <w:spacing w:before="100" w:beforeAutospacing="1" w:after="100" w:afterAutospacing="1"/>
              <w:jc w:val="both"/>
              <w:rPr>
                <w:rFonts w:eastAsia="Times New Roman"/>
                <w:sz w:val="24"/>
                <w:szCs w:val="24"/>
                <w:lang w:eastAsia="lv-LV"/>
              </w:rPr>
            </w:pPr>
            <w:r w:rsidRPr="00820287">
              <w:rPr>
                <w:rFonts w:eastAsia="Times New Roman"/>
                <w:sz w:val="24"/>
                <w:szCs w:val="24"/>
                <w:lang w:eastAsia="lv-LV"/>
              </w:rPr>
              <w:t>Cita informācija</w:t>
            </w:r>
          </w:p>
        </w:tc>
        <w:tc>
          <w:tcPr>
            <w:tcW w:w="3209" w:type="pct"/>
            <w:gridSpan w:val="5"/>
            <w:hideMark/>
          </w:tcPr>
          <w:p w14:paraId="42E4168C" w14:textId="173CA38A" w:rsidR="009402BB" w:rsidRPr="00820287" w:rsidRDefault="004715A6" w:rsidP="00763FD8">
            <w:pPr>
              <w:spacing w:before="100" w:beforeAutospacing="1" w:after="100" w:afterAutospacing="1"/>
              <w:ind w:left="113" w:right="113"/>
              <w:jc w:val="both"/>
              <w:rPr>
                <w:rFonts w:eastAsia="Times New Roman"/>
                <w:sz w:val="24"/>
                <w:szCs w:val="24"/>
                <w:lang w:eastAsia="lv-LV"/>
              </w:rPr>
            </w:pPr>
            <w:r w:rsidRPr="00820287">
              <w:rPr>
                <w:rFonts w:eastAsia="Times New Roman"/>
                <w:sz w:val="24"/>
                <w:szCs w:val="24"/>
                <w:lang w:eastAsia="lv-LV"/>
              </w:rPr>
              <w:t>Nav</w:t>
            </w:r>
            <w:r w:rsidR="00CC5627">
              <w:rPr>
                <w:rFonts w:eastAsia="Times New Roman"/>
                <w:sz w:val="24"/>
                <w:szCs w:val="24"/>
                <w:lang w:eastAsia="lv-LV"/>
              </w:rPr>
              <w:t>.</w:t>
            </w:r>
            <w:r w:rsidR="001447FD">
              <w:rPr>
                <w:rFonts w:eastAsia="Times New Roman"/>
                <w:sz w:val="24"/>
                <w:szCs w:val="24"/>
                <w:lang w:eastAsia="lv-LV"/>
              </w:rPr>
              <w:t xml:space="preserve"> </w:t>
            </w:r>
          </w:p>
        </w:tc>
      </w:tr>
      <w:tr w:rsidR="00F207FB" w:rsidRPr="00820287" w14:paraId="75CF4308" w14:textId="77777777" w:rsidTr="00E47BAE">
        <w:tc>
          <w:tcPr>
            <w:tcW w:w="5000" w:type="pct"/>
            <w:gridSpan w:val="13"/>
            <w:vAlign w:val="center"/>
            <w:hideMark/>
          </w:tcPr>
          <w:p w14:paraId="4D88025B" w14:textId="77777777" w:rsidR="000B1CAC" w:rsidRPr="00820287" w:rsidRDefault="000B1CAC">
            <w:pPr>
              <w:pStyle w:val="NormalWeb"/>
              <w:jc w:val="center"/>
              <w:rPr>
                <w:b/>
                <w:bCs/>
                <w:lang w:eastAsia="en-US"/>
              </w:rPr>
            </w:pPr>
            <w:r w:rsidRPr="00820287">
              <w:rPr>
                <w:b/>
                <w:bCs/>
                <w:lang w:eastAsia="en-US"/>
              </w:rPr>
              <w:t>II. Tiesību akta projekta ietekme uz sabiedrību</w:t>
            </w:r>
            <w:r w:rsidR="007E3FE7" w:rsidRPr="00820287">
              <w:rPr>
                <w:b/>
                <w:bCs/>
                <w:lang w:eastAsia="en-US"/>
              </w:rPr>
              <w:t xml:space="preserve">, </w:t>
            </w:r>
            <w:r w:rsidR="00125708" w:rsidRPr="00820287">
              <w:rPr>
                <w:b/>
                <w:bCs/>
                <w:lang w:eastAsia="en-US"/>
              </w:rPr>
              <w:t>tautsaimniecības attīstību un administratīvo slogu</w:t>
            </w:r>
          </w:p>
        </w:tc>
      </w:tr>
      <w:tr w:rsidR="00F207FB" w:rsidRPr="00820287" w14:paraId="2C5E1800" w14:textId="77777777" w:rsidTr="00E47BAE">
        <w:tc>
          <w:tcPr>
            <w:tcW w:w="244" w:type="pct"/>
            <w:hideMark/>
          </w:tcPr>
          <w:p w14:paraId="2B4B9247" w14:textId="77777777" w:rsidR="000B1CAC" w:rsidRPr="00820287" w:rsidRDefault="000B1CAC">
            <w:pPr>
              <w:pStyle w:val="NormalWeb"/>
              <w:rPr>
                <w:lang w:eastAsia="en-US"/>
              </w:rPr>
            </w:pPr>
            <w:r w:rsidRPr="00820287">
              <w:rPr>
                <w:lang w:eastAsia="en-US"/>
              </w:rPr>
              <w:t>1.</w:t>
            </w:r>
          </w:p>
        </w:tc>
        <w:tc>
          <w:tcPr>
            <w:tcW w:w="1547" w:type="pct"/>
            <w:gridSpan w:val="7"/>
            <w:hideMark/>
          </w:tcPr>
          <w:p w14:paraId="0D3777C0" w14:textId="77777777" w:rsidR="000B1CAC" w:rsidRPr="00820287" w:rsidRDefault="000B1CAC">
            <w:pPr>
              <w:pStyle w:val="NormalWeb"/>
              <w:rPr>
                <w:i/>
                <w:u w:val="single"/>
                <w:lang w:eastAsia="en-US"/>
              </w:rPr>
            </w:pPr>
            <w:r w:rsidRPr="00820287">
              <w:rPr>
                <w:lang w:eastAsia="en-US"/>
              </w:rPr>
              <w:t xml:space="preserve">Sabiedrības </w:t>
            </w:r>
            <w:proofErr w:type="spellStart"/>
            <w:r w:rsidRPr="00820287">
              <w:rPr>
                <w:lang w:eastAsia="en-US"/>
              </w:rPr>
              <w:t>mērķgrupa</w:t>
            </w:r>
            <w:r w:rsidR="00426077" w:rsidRPr="00820287">
              <w:rPr>
                <w:lang w:eastAsia="en-US"/>
              </w:rPr>
              <w:t>s</w:t>
            </w:r>
            <w:proofErr w:type="spellEnd"/>
            <w:r w:rsidR="00125708" w:rsidRPr="00820287">
              <w:rPr>
                <w:lang w:eastAsia="en-US"/>
              </w:rPr>
              <w:t>, kuras tiesiskais regulējums ietekmē vai varētu ietekmēt</w:t>
            </w:r>
          </w:p>
        </w:tc>
        <w:tc>
          <w:tcPr>
            <w:tcW w:w="3209" w:type="pct"/>
            <w:gridSpan w:val="5"/>
            <w:hideMark/>
          </w:tcPr>
          <w:p w14:paraId="23F9BEF1" w14:textId="77777777" w:rsidR="00C311D9" w:rsidRPr="00820287" w:rsidRDefault="000B2D77" w:rsidP="00316194">
            <w:pPr>
              <w:ind w:left="23" w:right="113"/>
              <w:jc w:val="both"/>
              <w:rPr>
                <w:sz w:val="24"/>
                <w:szCs w:val="24"/>
              </w:rPr>
            </w:pPr>
            <w:r>
              <w:rPr>
                <w:rFonts w:eastAsia="Times New Roman"/>
                <w:sz w:val="24"/>
                <w:szCs w:val="24"/>
                <w:lang w:eastAsia="lv-LV"/>
              </w:rPr>
              <w:t xml:space="preserve">Ministru kabineta noteikumu </w:t>
            </w:r>
            <w:r w:rsidR="0054240B" w:rsidRPr="00A60681">
              <w:rPr>
                <w:rFonts w:eastAsia="Times New Roman"/>
                <w:sz w:val="24"/>
                <w:szCs w:val="24"/>
                <w:lang w:eastAsia="lv-LV"/>
              </w:rPr>
              <w:t xml:space="preserve">projekta tiesiskais regulējums </w:t>
            </w:r>
            <w:r w:rsidR="001714DD" w:rsidRPr="00820287">
              <w:rPr>
                <w:sz w:val="24"/>
                <w:szCs w:val="24"/>
              </w:rPr>
              <w:t>ietekmēs</w:t>
            </w:r>
            <w:r w:rsidR="00C311D9" w:rsidRPr="00820287">
              <w:rPr>
                <w:sz w:val="24"/>
                <w:szCs w:val="24"/>
              </w:rPr>
              <w:t>:</w:t>
            </w:r>
          </w:p>
          <w:p w14:paraId="3F1EF440" w14:textId="77777777" w:rsidR="00EA252D" w:rsidRPr="00820287" w:rsidRDefault="00C311D9" w:rsidP="00316194">
            <w:pPr>
              <w:ind w:left="670" w:right="113" w:hanging="283"/>
              <w:jc w:val="both"/>
              <w:rPr>
                <w:sz w:val="24"/>
                <w:szCs w:val="24"/>
              </w:rPr>
            </w:pPr>
            <w:r w:rsidRPr="00820287">
              <w:rPr>
                <w:sz w:val="24"/>
                <w:szCs w:val="24"/>
              </w:rPr>
              <w:t>1)</w:t>
            </w:r>
            <w:r w:rsidR="00316194">
              <w:rPr>
                <w:sz w:val="24"/>
                <w:szCs w:val="24"/>
              </w:rPr>
              <w:t> </w:t>
            </w:r>
            <w:r w:rsidR="000B2D77" w:rsidRPr="00820287">
              <w:rPr>
                <w:sz w:val="24"/>
                <w:szCs w:val="24"/>
              </w:rPr>
              <w:t xml:space="preserve">reģistrētus PVN maksātājus, kuri </w:t>
            </w:r>
            <w:r w:rsidR="00F62D4B">
              <w:rPr>
                <w:sz w:val="24"/>
                <w:szCs w:val="24"/>
              </w:rPr>
              <w:t>ir melno un krāsaino metālu pusfabrikātu piegādātāji vai saņēmēji</w:t>
            </w:r>
            <w:r w:rsidR="00EA252D" w:rsidRPr="00820287">
              <w:rPr>
                <w:sz w:val="24"/>
                <w:szCs w:val="24"/>
              </w:rPr>
              <w:t>;</w:t>
            </w:r>
          </w:p>
          <w:p w14:paraId="218D06C8" w14:textId="77777777" w:rsidR="00CB2428" w:rsidRPr="00820287" w:rsidRDefault="00EA252D" w:rsidP="00316194">
            <w:pPr>
              <w:ind w:left="670" w:right="113" w:hanging="283"/>
              <w:jc w:val="both"/>
              <w:rPr>
                <w:sz w:val="24"/>
                <w:szCs w:val="24"/>
              </w:rPr>
            </w:pPr>
            <w:r w:rsidRPr="00820287">
              <w:rPr>
                <w:sz w:val="24"/>
                <w:szCs w:val="24"/>
              </w:rPr>
              <w:t>2)</w:t>
            </w:r>
            <w:r w:rsidR="00316194">
              <w:rPr>
                <w:sz w:val="24"/>
                <w:szCs w:val="24"/>
              </w:rPr>
              <w:t> </w:t>
            </w:r>
            <w:r w:rsidR="00F62D4B" w:rsidRPr="00820287">
              <w:rPr>
                <w:sz w:val="24"/>
                <w:szCs w:val="24"/>
              </w:rPr>
              <w:t xml:space="preserve">reģistrētus PVN maksātājus, kuri </w:t>
            </w:r>
            <w:r w:rsidR="00F62D4B">
              <w:rPr>
                <w:sz w:val="24"/>
                <w:szCs w:val="24"/>
              </w:rPr>
              <w:t>ir sadzīves elektronisko iekārtu un sadzīves elektriskās aparatūras piegādātāji vai saņēmēji</w:t>
            </w:r>
            <w:r w:rsidR="00CB2428" w:rsidRPr="00820287">
              <w:rPr>
                <w:sz w:val="24"/>
                <w:szCs w:val="24"/>
              </w:rPr>
              <w:t>;</w:t>
            </w:r>
          </w:p>
          <w:p w14:paraId="3A49DDBB" w14:textId="77777777" w:rsidR="00CB2428" w:rsidRPr="00820287" w:rsidRDefault="00E029B0" w:rsidP="00316194">
            <w:pPr>
              <w:ind w:left="670" w:right="113" w:hanging="283"/>
              <w:jc w:val="both"/>
              <w:rPr>
                <w:sz w:val="24"/>
                <w:szCs w:val="24"/>
              </w:rPr>
            </w:pPr>
            <w:r w:rsidRPr="00820287">
              <w:rPr>
                <w:sz w:val="24"/>
                <w:szCs w:val="24"/>
              </w:rPr>
              <w:lastRenderedPageBreak/>
              <w:t>3</w:t>
            </w:r>
            <w:r w:rsidR="00CB2428" w:rsidRPr="00820287">
              <w:rPr>
                <w:sz w:val="24"/>
                <w:szCs w:val="24"/>
              </w:rPr>
              <w:t>)</w:t>
            </w:r>
            <w:r w:rsidR="00316194">
              <w:rPr>
                <w:sz w:val="24"/>
                <w:szCs w:val="24"/>
              </w:rPr>
              <w:t> </w:t>
            </w:r>
            <w:r w:rsidR="00F62D4B">
              <w:rPr>
                <w:sz w:val="24"/>
                <w:szCs w:val="24"/>
              </w:rPr>
              <w:t xml:space="preserve">reģistrētus PVN maksātājus, kuri neveic saimniecisko darbību Eiropas Savienībā, un vēlas izmantot īpašo PVN režīmu </w:t>
            </w:r>
            <w:r w:rsidR="00F62D4B" w:rsidRPr="006318CC">
              <w:rPr>
                <w:sz w:val="24"/>
                <w:szCs w:val="24"/>
              </w:rPr>
              <w:t>(</w:t>
            </w:r>
            <w:proofErr w:type="spellStart"/>
            <w:r w:rsidR="00F62D4B" w:rsidRPr="006318CC">
              <w:rPr>
                <w:sz w:val="24"/>
                <w:szCs w:val="24"/>
              </w:rPr>
              <w:t>ārpussavienības</w:t>
            </w:r>
            <w:proofErr w:type="spellEnd"/>
            <w:r w:rsidR="00F62D4B" w:rsidRPr="006318CC">
              <w:rPr>
                <w:sz w:val="24"/>
                <w:szCs w:val="24"/>
              </w:rPr>
              <w:t xml:space="preserve"> režīmu</w:t>
            </w:r>
            <w:r w:rsidR="00F62D4B">
              <w:rPr>
                <w:sz w:val="24"/>
                <w:szCs w:val="24"/>
              </w:rPr>
              <w:t>)</w:t>
            </w:r>
            <w:r w:rsidR="00F62D4B" w:rsidRPr="006318CC">
              <w:rPr>
                <w:sz w:val="24"/>
                <w:szCs w:val="24"/>
              </w:rPr>
              <w:t xml:space="preserve">, </w:t>
            </w:r>
            <w:r w:rsidR="00F62D4B">
              <w:rPr>
                <w:sz w:val="24"/>
                <w:szCs w:val="24"/>
              </w:rPr>
              <w:t xml:space="preserve">deklarējot un maksājot PVN par </w:t>
            </w:r>
            <w:r w:rsidR="00F62D4B" w:rsidRPr="006318CC">
              <w:rPr>
                <w:sz w:val="24"/>
                <w:szCs w:val="24"/>
              </w:rPr>
              <w:t>elektronisko sakaru, apraides un elektroniski sniegtiem pakalpojumiem personai, kura nav PVN maksātāja</w:t>
            </w:r>
            <w:r w:rsidR="00E44428" w:rsidRPr="00820287">
              <w:rPr>
                <w:sz w:val="24"/>
                <w:szCs w:val="24"/>
              </w:rPr>
              <w:t>;</w:t>
            </w:r>
          </w:p>
          <w:p w14:paraId="14BED9FB" w14:textId="49364EE9" w:rsidR="009473DA" w:rsidRDefault="00C47D2D" w:rsidP="00316194">
            <w:pPr>
              <w:ind w:left="670" w:right="113" w:hanging="283"/>
              <w:jc w:val="both"/>
              <w:rPr>
                <w:sz w:val="24"/>
                <w:szCs w:val="24"/>
              </w:rPr>
            </w:pPr>
            <w:r w:rsidRPr="00820287">
              <w:rPr>
                <w:sz w:val="24"/>
                <w:szCs w:val="24"/>
              </w:rPr>
              <w:t>4)</w:t>
            </w:r>
            <w:r w:rsidR="00316194">
              <w:rPr>
                <w:sz w:val="24"/>
                <w:szCs w:val="24"/>
              </w:rPr>
              <w:t> </w:t>
            </w:r>
            <w:r w:rsidR="00F62D4B">
              <w:rPr>
                <w:sz w:val="24"/>
                <w:szCs w:val="24"/>
              </w:rPr>
              <w:t>nodokļu maksātājiem, kuriem ir pienākums reģistrēties VID PVN maksātāju reģistrā</w:t>
            </w:r>
            <w:r w:rsidR="007C20AF">
              <w:rPr>
                <w:sz w:val="24"/>
                <w:szCs w:val="24"/>
              </w:rPr>
              <w:t xml:space="preserve"> sasniedzot noteiktu </w:t>
            </w:r>
            <w:r w:rsidR="00D3683A">
              <w:rPr>
                <w:sz w:val="24"/>
                <w:szCs w:val="24"/>
              </w:rPr>
              <w:t xml:space="preserve">darījumu </w:t>
            </w:r>
            <w:r w:rsidR="007C20AF">
              <w:rPr>
                <w:sz w:val="24"/>
                <w:szCs w:val="24"/>
              </w:rPr>
              <w:t>slieksni</w:t>
            </w:r>
            <w:r w:rsidR="009473DA">
              <w:rPr>
                <w:sz w:val="24"/>
                <w:szCs w:val="24"/>
              </w:rPr>
              <w:t>;</w:t>
            </w:r>
          </w:p>
          <w:p w14:paraId="079E9434" w14:textId="2DF802E6" w:rsidR="009473DA" w:rsidRPr="005C7DA8" w:rsidRDefault="009473DA" w:rsidP="009473DA">
            <w:pPr>
              <w:tabs>
                <w:tab w:val="left" w:pos="499"/>
              </w:tabs>
              <w:ind w:left="640" w:right="57" w:hanging="283"/>
              <w:jc w:val="both"/>
              <w:rPr>
                <w:sz w:val="24"/>
                <w:szCs w:val="24"/>
                <w:lang w:eastAsia="lv-LV"/>
              </w:rPr>
            </w:pPr>
            <w:r>
              <w:rPr>
                <w:sz w:val="24"/>
                <w:szCs w:val="24"/>
                <w:lang w:eastAsia="lv-LV"/>
              </w:rPr>
              <w:t>5) reģistrētus</w:t>
            </w:r>
            <w:r w:rsidRPr="005C7DA8">
              <w:rPr>
                <w:sz w:val="24"/>
                <w:szCs w:val="24"/>
                <w:lang w:eastAsia="lv-LV"/>
              </w:rPr>
              <w:t xml:space="preserve"> PVN maksātāj</w:t>
            </w:r>
            <w:r>
              <w:rPr>
                <w:sz w:val="24"/>
                <w:szCs w:val="24"/>
                <w:lang w:eastAsia="lv-LV"/>
              </w:rPr>
              <w:t xml:space="preserve">us, kuriem ir izsniegta </w:t>
            </w:r>
            <w:r w:rsidRPr="005C7DA8">
              <w:rPr>
                <w:sz w:val="24"/>
                <w:szCs w:val="24"/>
                <w:lang w:eastAsia="lv-LV"/>
              </w:rPr>
              <w:t xml:space="preserve">īpašā PVN režīma </w:t>
            </w:r>
            <w:r>
              <w:rPr>
                <w:sz w:val="24"/>
                <w:szCs w:val="24"/>
                <w:lang w:eastAsia="lv-LV"/>
              </w:rPr>
              <w:t>preču importa darījumos atļauja</w:t>
            </w:r>
            <w:r w:rsidRPr="005C7DA8">
              <w:rPr>
                <w:sz w:val="24"/>
                <w:szCs w:val="24"/>
                <w:lang w:eastAsia="lv-LV"/>
              </w:rPr>
              <w:t>.</w:t>
            </w:r>
          </w:p>
          <w:p w14:paraId="3ECC15D1" w14:textId="06B8D750" w:rsidR="007B1F92" w:rsidRDefault="007B1F92" w:rsidP="00316194">
            <w:pPr>
              <w:ind w:left="670" w:right="113" w:hanging="283"/>
              <w:jc w:val="both"/>
              <w:rPr>
                <w:sz w:val="24"/>
                <w:szCs w:val="24"/>
              </w:rPr>
            </w:pPr>
          </w:p>
          <w:p w14:paraId="386AF96D" w14:textId="7EBAF858" w:rsidR="00D22B0E" w:rsidRDefault="00C47D2D" w:rsidP="00F35277">
            <w:pPr>
              <w:tabs>
                <w:tab w:val="left" w:pos="257"/>
              </w:tabs>
              <w:ind w:left="118" w:right="113"/>
              <w:jc w:val="both"/>
              <w:rPr>
                <w:sz w:val="24"/>
                <w:szCs w:val="24"/>
              </w:rPr>
            </w:pPr>
            <w:r w:rsidRPr="00593AB9">
              <w:rPr>
                <w:sz w:val="24"/>
                <w:szCs w:val="24"/>
              </w:rPr>
              <w:t>Pēc VID datiem 201</w:t>
            </w:r>
            <w:r w:rsidR="006F2377">
              <w:rPr>
                <w:sz w:val="24"/>
                <w:szCs w:val="24"/>
              </w:rPr>
              <w:t>9</w:t>
            </w:r>
            <w:r w:rsidRPr="00593AB9">
              <w:rPr>
                <w:sz w:val="24"/>
                <w:szCs w:val="24"/>
              </w:rPr>
              <w:t>.gada 1</w:t>
            </w:r>
            <w:r w:rsidR="00AB4BC5">
              <w:rPr>
                <w:sz w:val="24"/>
                <w:szCs w:val="24"/>
              </w:rPr>
              <w:t>.</w:t>
            </w:r>
            <w:r w:rsidR="00C3708B">
              <w:rPr>
                <w:sz w:val="24"/>
                <w:szCs w:val="24"/>
              </w:rPr>
              <w:t>maijā</w:t>
            </w:r>
            <w:r w:rsidRPr="00593AB9">
              <w:rPr>
                <w:sz w:val="24"/>
                <w:szCs w:val="24"/>
              </w:rPr>
              <w:t xml:space="preserve"> reģistrētu PVN maksātāju skaits ir </w:t>
            </w:r>
            <w:r w:rsidR="006F2377">
              <w:rPr>
                <w:sz w:val="24"/>
                <w:szCs w:val="24"/>
              </w:rPr>
              <w:t>82</w:t>
            </w:r>
            <w:r w:rsidR="00647A75">
              <w:rPr>
                <w:sz w:val="24"/>
                <w:szCs w:val="24"/>
              </w:rPr>
              <w:t> </w:t>
            </w:r>
            <w:r w:rsidR="006F2377">
              <w:rPr>
                <w:sz w:val="24"/>
                <w:szCs w:val="24"/>
              </w:rPr>
              <w:t>7</w:t>
            </w:r>
            <w:r w:rsidR="00C3708B">
              <w:rPr>
                <w:sz w:val="24"/>
                <w:szCs w:val="24"/>
              </w:rPr>
              <w:t>98</w:t>
            </w:r>
            <w:r w:rsidR="00AB4BC5">
              <w:rPr>
                <w:sz w:val="24"/>
                <w:szCs w:val="24"/>
              </w:rPr>
              <w:t>.</w:t>
            </w:r>
          </w:p>
          <w:p w14:paraId="366DC652" w14:textId="689E6C23" w:rsidR="00647A75" w:rsidRPr="00820287" w:rsidRDefault="00647A75" w:rsidP="00F35277">
            <w:pPr>
              <w:tabs>
                <w:tab w:val="left" w:pos="257"/>
              </w:tabs>
              <w:ind w:left="118" w:right="113"/>
              <w:jc w:val="both"/>
              <w:rPr>
                <w:rFonts w:eastAsia="Times New Roman"/>
                <w:bCs/>
                <w:kern w:val="1"/>
                <w:sz w:val="24"/>
                <w:szCs w:val="24"/>
                <w:lang w:eastAsia="ar-SA"/>
              </w:rPr>
            </w:pPr>
            <w:r>
              <w:rPr>
                <w:sz w:val="24"/>
                <w:szCs w:val="24"/>
                <w:lang w:eastAsia="lv-LV"/>
              </w:rPr>
              <w:t xml:space="preserve">Uz 2018.gada 1.novembri </w:t>
            </w:r>
            <w:r w:rsidRPr="005C7DA8">
              <w:rPr>
                <w:sz w:val="24"/>
                <w:szCs w:val="24"/>
                <w:lang w:eastAsia="lv-LV"/>
              </w:rPr>
              <w:t xml:space="preserve">īpašā PVN režīma preču importa darījumos atļaujas </w:t>
            </w:r>
            <w:r>
              <w:rPr>
                <w:sz w:val="24"/>
                <w:szCs w:val="24"/>
                <w:lang w:eastAsia="lv-LV"/>
              </w:rPr>
              <w:t>bija</w:t>
            </w:r>
            <w:r w:rsidRPr="005C7DA8">
              <w:rPr>
                <w:sz w:val="24"/>
                <w:szCs w:val="24"/>
                <w:lang w:eastAsia="lv-LV"/>
              </w:rPr>
              <w:t xml:space="preserve"> izsniegtas 3 927 reģistrētiem PVN maksātājiem.</w:t>
            </w:r>
          </w:p>
        </w:tc>
      </w:tr>
      <w:tr w:rsidR="00F207FB" w:rsidRPr="00820287" w14:paraId="6BC6BA1A" w14:textId="77777777" w:rsidTr="00E47BAE">
        <w:tc>
          <w:tcPr>
            <w:tcW w:w="244" w:type="pct"/>
            <w:hideMark/>
          </w:tcPr>
          <w:p w14:paraId="30CB742B" w14:textId="77777777" w:rsidR="000B1CAC" w:rsidRPr="00820287" w:rsidRDefault="000B1CAC">
            <w:pPr>
              <w:pStyle w:val="NormalWeb"/>
              <w:rPr>
                <w:lang w:eastAsia="en-US"/>
              </w:rPr>
            </w:pPr>
            <w:r w:rsidRPr="00820287">
              <w:rPr>
                <w:lang w:eastAsia="en-US"/>
              </w:rPr>
              <w:lastRenderedPageBreak/>
              <w:t>2.</w:t>
            </w:r>
          </w:p>
        </w:tc>
        <w:tc>
          <w:tcPr>
            <w:tcW w:w="1547" w:type="pct"/>
            <w:gridSpan w:val="7"/>
            <w:hideMark/>
          </w:tcPr>
          <w:p w14:paraId="083469FE" w14:textId="77777777" w:rsidR="000B1CAC" w:rsidRPr="00820287" w:rsidRDefault="00125708" w:rsidP="008F0E60">
            <w:pPr>
              <w:pStyle w:val="NormalWeb"/>
              <w:rPr>
                <w:lang w:eastAsia="en-US"/>
              </w:rPr>
            </w:pPr>
            <w:r w:rsidRPr="00820287">
              <w:rPr>
                <w:lang w:eastAsia="en-US"/>
              </w:rPr>
              <w:t>Tiesiskā regulējuma ietekme uz tautsaimniecību</w:t>
            </w:r>
            <w:r w:rsidR="00426077" w:rsidRPr="00820287">
              <w:rPr>
                <w:lang w:eastAsia="en-US"/>
              </w:rPr>
              <w:t xml:space="preserve"> </w:t>
            </w:r>
            <w:r w:rsidRPr="00820287">
              <w:rPr>
                <w:lang w:eastAsia="en-US"/>
              </w:rPr>
              <w:t>un administratīvo slogu</w:t>
            </w:r>
          </w:p>
        </w:tc>
        <w:tc>
          <w:tcPr>
            <w:tcW w:w="3209" w:type="pct"/>
            <w:gridSpan w:val="5"/>
            <w:hideMark/>
          </w:tcPr>
          <w:p w14:paraId="74FA24A4" w14:textId="6184A9C4" w:rsidR="00505A91" w:rsidRDefault="00F62D4B" w:rsidP="00252A78">
            <w:pPr>
              <w:tabs>
                <w:tab w:val="left" w:pos="257"/>
              </w:tabs>
              <w:ind w:left="118" w:right="113"/>
              <w:jc w:val="both"/>
              <w:rPr>
                <w:sz w:val="24"/>
                <w:szCs w:val="24"/>
              </w:rPr>
            </w:pPr>
            <w:r>
              <w:rPr>
                <w:sz w:val="24"/>
                <w:szCs w:val="24"/>
              </w:rPr>
              <w:t xml:space="preserve">Ministru kabineta noteikumu projektā </w:t>
            </w:r>
            <w:r w:rsidR="009C3377" w:rsidRPr="00820287">
              <w:rPr>
                <w:sz w:val="24"/>
                <w:szCs w:val="24"/>
              </w:rPr>
              <w:t xml:space="preserve">ietvertajam tiesiskajam regulējumam kopumā ir pozitīva ietekme uz tautsaimniecību, jo tiek </w:t>
            </w:r>
            <w:r>
              <w:rPr>
                <w:sz w:val="24"/>
                <w:szCs w:val="24"/>
              </w:rPr>
              <w:t>sakārtota</w:t>
            </w:r>
            <w:r w:rsidR="0041169D" w:rsidRPr="00820287">
              <w:rPr>
                <w:sz w:val="24"/>
                <w:szCs w:val="24"/>
              </w:rPr>
              <w:t xml:space="preserve"> </w:t>
            </w:r>
            <w:r w:rsidR="009C3377" w:rsidRPr="00820287">
              <w:rPr>
                <w:sz w:val="24"/>
                <w:szCs w:val="24"/>
              </w:rPr>
              <w:t xml:space="preserve">PVN </w:t>
            </w:r>
            <w:r>
              <w:rPr>
                <w:sz w:val="24"/>
                <w:szCs w:val="24"/>
              </w:rPr>
              <w:t>piemērošana</w:t>
            </w:r>
            <w:r w:rsidR="00505A91">
              <w:rPr>
                <w:sz w:val="24"/>
                <w:szCs w:val="24"/>
              </w:rPr>
              <w:t xml:space="preserve">. Tāpat </w:t>
            </w:r>
            <w:r w:rsidR="007145C2">
              <w:rPr>
                <w:sz w:val="24"/>
                <w:szCs w:val="24"/>
              </w:rPr>
              <w:t xml:space="preserve">ar </w:t>
            </w:r>
            <w:r w:rsidR="00505A91">
              <w:rPr>
                <w:sz w:val="24"/>
                <w:szCs w:val="24"/>
              </w:rPr>
              <w:t>Ministru kabineta noteikumu projekt</w:t>
            </w:r>
            <w:r w:rsidR="007145C2">
              <w:rPr>
                <w:sz w:val="24"/>
                <w:szCs w:val="24"/>
              </w:rPr>
              <w:t xml:space="preserve">u plānots </w:t>
            </w:r>
            <w:r w:rsidR="00505A91" w:rsidRPr="00670ECA">
              <w:rPr>
                <w:sz w:val="24"/>
                <w:szCs w:val="24"/>
              </w:rPr>
              <w:t>mazinā</w:t>
            </w:r>
            <w:r w:rsidR="007145C2">
              <w:rPr>
                <w:sz w:val="24"/>
                <w:szCs w:val="24"/>
              </w:rPr>
              <w:t>t</w:t>
            </w:r>
            <w:r w:rsidR="00505A91" w:rsidRPr="00670ECA">
              <w:rPr>
                <w:sz w:val="24"/>
                <w:szCs w:val="24"/>
              </w:rPr>
              <w:t xml:space="preserve"> nodokļu si</w:t>
            </w:r>
            <w:r w:rsidR="007145C2">
              <w:rPr>
                <w:sz w:val="24"/>
                <w:szCs w:val="24"/>
              </w:rPr>
              <w:t>stēmas ļaunprātīgu izmantošanu atliktā importa gadījumā</w:t>
            </w:r>
            <w:r w:rsidR="00505A91" w:rsidRPr="00670ECA">
              <w:rPr>
                <w:sz w:val="24"/>
                <w:szCs w:val="24"/>
              </w:rPr>
              <w:t>, kā rezultātā mazināsies PVN nem</w:t>
            </w:r>
            <w:r w:rsidR="00505A91">
              <w:rPr>
                <w:sz w:val="24"/>
                <w:szCs w:val="24"/>
              </w:rPr>
              <w:t>aksāšanas risks valsts budžetā.</w:t>
            </w:r>
          </w:p>
          <w:p w14:paraId="023FFC82" w14:textId="75D85457" w:rsidR="00FE1487" w:rsidRPr="00BC15BF" w:rsidRDefault="00FF5316" w:rsidP="00711B9E">
            <w:pPr>
              <w:tabs>
                <w:tab w:val="left" w:pos="257"/>
              </w:tabs>
              <w:ind w:left="118" w:right="113"/>
              <w:jc w:val="both"/>
              <w:rPr>
                <w:sz w:val="24"/>
                <w:szCs w:val="24"/>
              </w:rPr>
            </w:pPr>
            <w:r>
              <w:rPr>
                <w:sz w:val="24"/>
                <w:szCs w:val="24"/>
              </w:rPr>
              <w:t>Grozījumi tiešā veidā neskar administratīvo slogu nodokļu maksātājiem</w:t>
            </w:r>
            <w:r w:rsidR="007F5C92">
              <w:rPr>
                <w:sz w:val="24"/>
                <w:szCs w:val="24"/>
              </w:rPr>
              <w:t>, izņemot regulējum</w:t>
            </w:r>
            <w:r w:rsidR="00865912">
              <w:rPr>
                <w:sz w:val="24"/>
                <w:szCs w:val="24"/>
              </w:rPr>
              <w:t>u</w:t>
            </w:r>
            <w:r w:rsidR="007F5C92">
              <w:rPr>
                <w:sz w:val="24"/>
                <w:szCs w:val="24"/>
              </w:rPr>
              <w:t xml:space="preserve">, kas paredz iespēju apturēt vai anulēt </w:t>
            </w:r>
            <w:r w:rsidR="007F5C92">
              <w:rPr>
                <w:sz w:val="24"/>
                <w:szCs w:val="24"/>
                <w:lang w:eastAsia="lv-LV"/>
              </w:rPr>
              <w:t>atļauju</w:t>
            </w:r>
            <w:r w:rsidR="007F5C92">
              <w:rPr>
                <w:sz w:val="24"/>
                <w:szCs w:val="24"/>
              </w:rPr>
              <w:t xml:space="preserve"> </w:t>
            </w:r>
            <w:r w:rsidR="007F5C92" w:rsidRPr="005C7DA8">
              <w:rPr>
                <w:sz w:val="24"/>
                <w:szCs w:val="24"/>
                <w:lang w:eastAsia="lv-LV"/>
              </w:rPr>
              <w:t xml:space="preserve">īpašā PVN režīma </w:t>
            </w:r>
            <w:r w:rsidR="007F5C92">
              <w:rPr>
                <w:sz w:val="24"/>
                <w:szCs w:val="24"/>
                <w:lang w:eastAsia="lv-LV"/>
              </w:rPr>
              <w:t>preču importa darījumos piemērošanai, kā rezultātā reģistrētajam PVN maksātājam vairs nebūs tiesību</w:t>
            </w:r>
            <w:r w:rsidR="007F5C92" w:rsidRPr="005C7DA8">
              <w:rPr>
                <w:sz w:val="24"/>
                <w:szCs w:val="24"/>
                <w:lang w:eastAsia="lv-LV"/>
              </w:rPr>
              <w:t>, izlaižot preces brīvam apgrozījumam, atlikt PVN samaksu valsts budžetā, līdz brīdim, kad iesniedzama PVN deklarācija par attiecīgo taksācijas periodu</w:t>
            </w:r>
            <w:r w:rsidR="00865912">
              <w:rPr>
                <w:sz w:val="24"/>
                <w:szCs w:val="24"/>
                <w:lang w:eastAsia="lv-LV"/>
              </w:rPr>
              <w:t>.</w:t>
            </w:r>
            <w:r w:rsidR="006F7A85">
              <w:rPr>
                <w:sz w:val="24"/>
                <w:szCs w:val="24"/>
                <w:lang w:eastAsia="lv-LV"/>
              </w:rPr>
              <w:t xml:space="preserve"> </w:t>
            </w:r>
            <w:r w:rsidR="00A64EBF">
              <w:rPr>
                <w:sz w:val="24"/>
                <w:szCs w:val="24"/>
                <w:lang w:eastAsia="lv-LV"/>
              </w:rPr>
              <w:t>Šāds tiesību ierobežojums ir samērīgs ar sabiedrības interesēm, jo, c</w:t>
            </w:r>
            <w:r w:rsidR="006F7A85" w:rsidRPr="005C7DA8">
              <w:rPr>
                <w:sz w:val="24"/>
                <w:szCs w:val="24"/>
              </w:rPr>
              <w:t xml:space="preserve">īnoties par valsts budžeta aizsargāšanu no </w:t>
            </w:r>
            <w:proofErr w:type="spellStart"/>
            <w:r w:rsidR="006F7A85" w:rsidRPr="005C7DA8">
              <w:rPr>
                <w:sz w:val="24"/>
                <w:szCs w:val="24"/>
              </w:rPr>
              <w:t>krāpniecības</w:t>
            </w:r>
            <w:proofErr w:type="spellEnd"/>
            <w:r w:rsidR="006F7A85" w:rsidRPr="005C7DA8">
              <w:rPr>
                <w:sz w:val="24"/>
                <w:szCs w:val="24"/>
              </w:rPr>
              <w:t xml:space="preserve">, valsts var paredzēt tādus administrēšanas un kontroles pasākumus, kas </w:t>
            </w:r>
            <w:r w:rsidR="006F7A85">
              <w:rPr>
                <w:sz w:val="24"/>
                <w:szCs w:val="24"/>
              </w:rPr>
              <w:t>tā</w:t>
            </w:r>
            <w:r w:rsidR="006F7A85" w:rsidRPr="005C7DA8">
              <w:rPr>
                <w:sz w:val="24"/>
                <w:szCs w:val="24"/>
              </w:rPr>
              <w:t xml:space="preserve">s ieskatā ir efektīvi, apkarojot konkrētās PVN izkrāpšanas </w:t>
            </w:r>
            <w:r w:rsidR="006F7A85" w:rsidRPr="00C24EF8">
              <w:rPr>
                <w:sz w:val="24"/>
                <w:szCs w:val="24"/>
              </w:rPr>
              <w:t>shēmas.</w:t>
            </w:r>
          </w:p>
        </w:tc>
      </w:tr>
      <w:tr w:rsidR="00F207FB" w:rsidRPr="00820287" w14:paraId="1AE1D307" w14:textId="77777777" w:rsidTr="00E47BAE">
        <w:tc>
          <w:tcPr>
            <w:tcW w:w="244" w:type="pct"/>
            <w:hideMark/>
          </w:tcPr>
          <w:p w14:paraId="41DE5E1A" w14:textId="77777777" w:rsidR="00125708" w:rsidRPr="00820287" w:rsidRDefault="00125708">
            <w:pPr>
              <w:pStyle w:val="NormalWeb"/>
              <w:rPr>
                <w:lang w:eastAsia="en-US"/>
              </w:rPr>
            </w:pPr>
            <w:r w:rsidRPr="00820287">
              <w:rPr>
                <w:lang w:eastAsia="en-US"/>
              </w:rPr>
              <w:t>3.</w:t>
            </w:r>
          </w:p>
        </w:tc>
        <w:tc>
          <w:tcPr>
            <w:tcW w:w="1547" w:type="pct"/>
            <w:gridSpan w:val="7"/>
          </w:tcPr>
          <w:p w14:paraId="0ACCD028" w14:textId="77777777" w:rsidR="00125708" w:rsidRPr="00820287" w:rsidRDefault="00125708" w:rsidP="008F0E60">
            <w:pPr>
              <w:pStyle w:val="NormalWeb"/>
              <w:rPr>
                <w:lang w:eastAsia="en-US"/>
              </w:rPr>
            </w:pPr>
            <w:r w:rsidRPr="00820287">
              <w:rPr>
                <w:lang w:eastAsia="en-US"/>
              </w:rPr>
              <w:t>Administratīvo izmaksu monetārs novērtējums</w:t>
            </w:r>
          </w:p>
        </w:tc>
        <w:tc>
          <w:tcPr>
            <w:tcW w:w="3209" w:type="pct"/>
            <w:gridSpan w:val="5"/>
          </w:tcPr>
          <w:p w14:paraId="6E5A57A9" w14:textId="77777777" w:rsidR="00CE74B7" w:rsidRPr="00F62D4B" w:rsidRDefault="00F62D4B" w:rsidP="00F62D4B">
            <w:pPr>
              <w:pStyle w:val="PlainText"/>
              <w:ind w:left="57" w:right="113"/>
              <w:jc w:val="both"/>
              <w:rPr>
                <w:rFonts w:ascii="Times New Roman" w:hAnsi="Times New Roman" w:cs="Times New Roman"/>
                <w:spacing w:val="-2"/>
                <w:sz w:val="24"/>
                <w:szCs w:val="24"/>
              </w:rPr>
            </w:pPr>
            <w:r>
              <w:rPr>
                <w:rFonts w:ascii="Times New Roman" w:hAnsi="Times New Roman" w:cs="Times New Roman"/>
                <w:spacing w:val="-2"/>
                <w:sz w:val="24"/>
                <w:szCs w:val="24"/>
              </w:rPr>
              <w:t>Ministru kabineta noteikumu projekta</w:t>
            </w:r>
            <w:r w:rsidR="00CF742E" w:rsidRPr="00820287">
              <w:rPr>
                <w:rFonts w:ascii="Times New Roman" w:hAnsi="Times New Roman" w:cs="Times New Roman"/>
                <w:spacing w:val="-2"/>
                <w:sz w:val="24"/>
                <w:szCs w:val="24"/>
              </w:rPr>
              <w:t xml:space="preserve"> administratīvo izmaksu, kas varētu rasties reģistrētiem PVN maksātājiem, monetār</w:t>
            </w:r>
            <w:r>
              <w:rPr>
                <w:rFonts w:ascii="Times New Roman" w:hAnsi="Times New Roman" w:cs="Times New Roman"/>
                <w:spacing w:val="-2"/>
                <w:sz w:val="24"/>
                <w:szCs w:val="24"/>
              </w:rPr>
              <w:t>u aprēķinu nav iespējams veikt.</w:t>
            </w:r>
          </w:p>
        </w:tc>
      </w:tr>
      <w:tr w:rsidR="00F207FB" w:rsidRPr="00820287" w14:paraId="6D7E6105" w14:textId="77777777" w:rsidTr="00E47BAE">
        <w:tc>
          <w:tcPr>
            <w:tcW w:w="244" w:type="pct"/>
          </w:tcPr>
          <w:p w14:paraId="646964EB" w14:textId="77777777" w:rsidR="002233D8" w:rsidRPr="00820287" w:rsidRDefault="002233D8">
            <w:pPr>
              <w:pStyle w:val="NormalWeb"/>
              <w:rPr>
                <w:lang w:eastAsia="en-US"/>
              </w:rPr>
            </w:pPr>
            <w:r w:rsidRPr="00820287">
              <w:rPr>
                <w:lang w:eastAsia="en-US"/>
              </w:rPr>
              <w:t>4.</w:t>
            </w:r>
          </w:p>
        </w:tc>
        <w:tc>
          <w:tcPr>
            <w:tcW w:w="1547" w:type="pct"/>
            <w:gridSpan w:val="7"/>
          </w:tcPr>
          <w:p w14:paraId="3A51801C" w14:textId="77777777" w:rsidR="002233D8" w:rsidRPr="00820287" w:rsidRDefault="002233D8">
            <w:pPr>
              <w:pStyle w:val="NormalWeb"/>
              <w:rPr>
                <w:lang w:eastAsia="en-US"/>
              </w:rPr>
            </w:pPr>
            <w:r w:rsidRPr="00820287">
              <w:rPr>
                <w:lang w:eastAsia="en-US"/>
              </w:rPr>
              <w:t>Atbilstības izmaksu monetārs novērtējums</w:t>
            </w:r>
          </w:p>
        </w:tc>
        <w:tc>
          <w:tcPr>
            <w:tcW w:w="3209" w:type="pct"/>
            <w:gridSpan w:val="5"/>
          </w:tcPr>
          <w:p w14:paraId="63AC8BDC" w14:textId="5172E99C" w:rsidR="002233D8" w:rsidRPr="00820287" w:rsidRDefault="00CC5627" w:rsidP="00CE74B7">
            <w:pPr>
              <w:pStyle w:val="NormalWeb"/>
              <w:ind w:left="57" w:right="113"/>
              <w:jc w:val="both"/>
              <w:rPr>
                <w:lang w:eastAsia="en-US"/>
              </w:rPr>
            </w:pPr>
            <w:r>
              <w:rPr>
                <w:lang w:eastAsia="en-US"/>
              </w:rPr>
              <w:t>Projekts šo jomu neskar.</w:t>
            </w:r>
          </w:p>
        </w:tc>
      </w:tr>
      <w:tr w:rsidR="00F207FB" w:rsidRPr="00820287" w14:paraId="256FABDD" w14:textId="77777777" w:rsidTr="00E47BAE">
        <w:tc>
          <w:tcPr>
            <w:tcW w:w="244" w:type="pct"/>
            <w:hideMark/>
          </w:tcPr>
          <w:p w14:paraId="245CDE73" w14:textId="77777777" w:rsidR="00125708" w:rsidRPr="00820287" w:rsidRDefault="007755A7" w:rsidP="007755A7">
            <w:pPr>
              <w:pStyle w:val="NormalWeb"/>
              <w:rPr>
                <w:lang w:eastAsia="en-US"/>
              </w:rPr>
            </w:pPr>
            <w:r>
              <w:rPr>
                <w:lang w:eastAsia="en-US"/>
              </w:rPr>
              <w:t>5</w:t>
            </w:r>
            <w:r w:rsidR="00125708" w:rsidRPr="00820287">
              <w:rPr>
                <w:lang w:eastAsia="en-US"/>
              </w:rPr>
              <w:t>.</w:t>
            </w:r>
          </w:p>
        </w:tc>
        <w:tc>
          <w:tcPr>
            <w:tcW w:w="1547" w:type="pct"/>
            <w:gridSpan w:val="7"/>
            <w:hideMark/>
          </w:tcPr>
          <w:p w14:paraId="19CEAF55" w14:textId="77777777" w:rsidR="00125708" w:rsidRPr="00820287" w:rsidRDefault="00125708">
            <w:pPr>
              <w:pStyle w:val="NormalWeb"/>
              <w:rPr>
                <w:lang w:eastAsia="en-US"/>
              </w:rPr>
            </w:pPr>
            <w:r w:rsidRPr="00820287">
              <w:rPr>
                <w:lang w:eastAsia="en-US"/>
              </w:rPr>
              <w:t>Cita informācija</w:t>
            </w:r>
          </w:p>
        </w:tc>
        <w:tc>
          <w:tcPr>
            <w:tcW w:w="3209" w:type="pct"/>
            <w:gridSpan w:val="5"/>
            <w:hideMark/>
          </w:tcPr>
          <w:p w14:paraId="29290348" w14:textId="3EBD8918" w:rsidR="00125708" w:rsidRPr="00820287" w:rsidRDefault="00125708" w:rsidP="004805B0">
            <w:pPr>
              <w:pStyle w:val="NormalWeb"/>
              <w:ind w:left="57" w:right="113"/>
              <w:jc w:val="both"/>
              <w:rPr>
                <w:lang w:eastAsia="en-US"/>
              </w:rPr>
            </w:pPr>
            <w:r w:rsidRPr="00820287">
              <w:rPr>
                <w:lang w:eastAsia="en-US"/>
              </w:rPr>
              <w:t>Nav</w:t>
            </w:r>
            <w:r w:rsidR="00CC5627">
              <w:rPr>
                <w:lang w:eastAsia="en-US"/>
              </w:rPr>
              <w:t>.</w:t>
            </w:r>
          </w:p>
        </w:tc>
      </w:tr>
      <w:tr w:rsidR="007839AC" w:rsidRPr="007839AC" w14:paraId="334E142D" w14:textId="77777777" w:rsidTr="00E47BAE">
        <w:trPr>
          <w:trHeight w:val="770"/>
        </w:trPr>
        <w:tc>
          <w:tcPr>
            <w:tcW w:w="5000" w:type="pct"/>
            <w:gridSpan w:val="13"/>
            <w:vAlign w:val="center"/>
          </w:tcPr>
          <w:p w14:paraId="4820F46F" w14:textId="77777777" w:rsidR="00B34778" w:rsidRPr="00E84BA7" w:rsidRDefault="00B34778" w:rsidP="00E84BA7">
            <w:pPr>
              <w:spacing w:before="100" w:beforeAutospacing="1" w:after="100" w:afterAutospacing="1" w:line="360" w:lineRule="auto"/>
              <w:ind w:firstLine="300"/>
              <w:jc w:val="center"/>
              <w:rPr>
                <w:b/>
                <w:sz w:val="24"/>
                <w:szCs w:val="24"/>
              </w:rPr>
            </w:pPr>
            <w:r w:rsidRPr="00E84BA7">
              <w:rPr>
                <w:b/>
                <w:bCs/>
                <w:sz w:val="24"/>
                <w:szCs w:val="24"/>
              </w:rPr>
              <w:t>III. Tiesību akta projekta ietekme uz valsts budžetu un pašvaldību budžetiem</w:t>
            </w:r>
          </w:p>
        </w:tc>
      </w:tr>
      <w:tr w:rsidR="007839AC" w:rsidRPr="007839AC" w14:paraId="313EA158" w14:textId="77777777" w:rsidTr="00E47BAE">
        <w:tc>
          <w:tcPr>
            <w:tcW w:w="5000" w:type="pct"/>
            <w:gridSpan w:val="13"/>
            <w:vAlign w:val="center"/>
          </w:tcPr>
          <w:p w14:paraId="5568D19F" w14:textId="5DEEC955" w:rsidR="007839AC" w:rsidRPr="007839AC" w:rsidRDefault="007839AC" w:rsidP="007839AC">
            <w:pPr>
              <w:spacing w:before="100" w:beforeAutospacing="1"/>
              <w:ind w:firstLine="300"/>
              <w:jc w:val="center"/>
              <w:rPr>
                <w:rFonts w:eastAsia="Times New Roman"/>
                <w:sz w:val="24"/>
                <w:szCs w:val="24"/>
                <w:lang w:eastAsia="lv-LV"/>
              </w:rPr>
            </w:pPr>
            <w:r w:rsidRPr="007839AC">
              <w:rPr>
                <w:rFonts w:eastAsia="Times New Roman"/>
                <w:sz w:val="24"/>
                <w:szCs w:val="24"/>
                <w:lang w:eastAsia="lv-LV"/>
              </w:rPr>
              <w:t>Ministru kabineta noteikumu projekts šo jomu neskar</w:t>
            </w:r>
            <w:r w:rsidR="00CC5627">
              <w:rPr>
                <w:rFonts w:eastAsia="Times New Roman"/>
                <w:sz w:val="24"/>
                <w:szCs w:val="24"/>
                <w:lang w:eastAsia="lv-LV"/>
              </w:rPr>
              <w:t>.</w:t>
            </w:r>
          </w:p>
        </w:tc>
      </w:tr>
      <w:tr w:rsidR="007839AC" w:rsidRPr="007839AC" w14:paraId="57C6DBF2" w14:textId="77777777" w:rsidTr="00E47BAE">
        <w:tc>
          <w:tcPr>
            <w:tcW w:w="5000" w:type="pct"/>
            <w:gridSpan w:val="13"/>
            <w:vAlign w:val="center"/>
            <w:hideMark/>
          </w:tcPr>
          <w:p w14:paraId="4AC08BFA" w14:textId="77777777" w:rsidR="00B2789A" w:rsidRPr="007839AC" w:rsidRDefault="00B2789A" w:rsidP="00793074">
            <w:pPr>
              <w:spacing w:before="100" w:beforeAutospacing="1" w:after="100" w:afterAutospacing="1" w:line="360" w:lineRule="auto"/>
              <w:ind w:firstLine="300"/>
              <w:jc w:val="center"/>
              <w:rPr>
                <w:rFonts w:eastAsia="Times New Roman"/>
                <w:b/>
                <w:bCs/>
                <w:sz w:val="24"/>
                <w:szCs w:val="24"/>
                <w:lang w:eastAsia="lv-LV"/>
              </w:rPr>
            </w:pPr>
            <w:r w:rsidRPr="007839AC">
              <w:rPr>
                <w:rFonts w:eastAsia="Times New Roman"/>
                <w:b/>
                <w:bCs/>
                <w:sz w:val="24"/>
                <w:szCs w:val="24"/>
                <w:lang w:eastAsia="lv-LV"/>
              </w:rPr>
              <w:t xml:space="preserve">IV. Tiesību akta </w:t>
            </w:r>
            <w:r w:rsidRPr="00E84BA7">
              <w:rPr>
                <w:b/>
                <w:bCs/>
                <w:sz w:val="24"/>
                <w:szCs w:val="24"/>
              </w:rPr>
              <w:t>projekta</w:t>
            </w:r>
            <w:r w:rsidRPr="007839AC">
              <w:rPr>
                <w:rFonts w:eastAsia="Times New Roman"/>
                <w:b/>
                <w:bCs/>
                <w:sz w:val="24"/>
                <w:szCs w:val="24"/>
                <w:lang w:eastAsia="lv-LV"/>
              </w:rPr>
              <w:t xml:space="preserve"> ietekme uz spēkā esošo tiesību normu sistēmu</w:t>
            </w:r>
          </w:p>
        </w:tc>
      </w:tr>
      <w:tr w:rsidR="007839AC" w:rsidRPr="007839AC" w14:paraId="697033A2" w14:textId="77777777" w:rsidTr="00E47BAE">
        <w:tc>
          <w:tcPr>
            <w:tcW w:w="5000" w:type="pct"/>
            <w:gridSpan w:val="13"/>
            <w:vAlign w:val="center"/>
          </w:tcPr>
          <w:p w14:paraId="02F0C2DC" w14:textId="0B9F87A3" w:rsidR="007839AC" w:rsidRPr="007839AC" w:rsidRDefault="007839AC" w:rsidP="00793074">
            <w:pPr>
              <w:spacing w:before="100" w:beforeAutospacing="1" w:after="100" w:afterAutospacing="1" w:line="360" w:lineRule="auto"/>
              <w:ind w:firstLine="300"/>
              <w:jc w:val="center"/>
              <w:rPr>
                <w:sz w:val="24"/>
                <w:szCs w:val="24"/>
              </w:rPr>
            </w:pPr>
            <w:r w:rsidRPr="007839AC">
              <w:rPr>
                <w:rFonts w:eastAsia="Times New Roman"/>
                <w:sz w:val="24"/>
                <w:szCs w:val="24"/>
                <w:lang w:eastAsia="lv-LV"/>
              </w:rPr>
              <w:t>Ministru kabineta noteikumu projekts šo jomu neskar</w:t>
            </w:r>
            <w:r w:rsidR="00CC5627">
              <w:rPr>
                <w:rFonts w:eastAsia="Times New Roman"/>
                <w:sz w:val="24"/>
                <w:szCs w:val="24"/>
                <w:lang w:eastAsia="lv-LV"/>
              </w:rPr>
              <w:t>.</w:t>
            </w:r>
          </w:p>
        </w:tc>
      </w:tr>
      <w:tr w:rsidR="00F207FB" w:rsidRPr="00820287" w14:paraId="27DAE631" w14:textId="77777777" w:rsidTr="00E47BAE">
        <w:tc>
          <w:tcPr>
            <w:tcW w:w="5000" w:type="pct"/>
            <w:gridSpan w:val="13"/>
          </w:tcPr>
          <w:p w14:paraId="1079B329" w14:textId="77777777" w:rsidR="007A6B26" w:rsidRPr="00820287" w:rsidRDefault="007A6B26" w:rsidP="007A6B26">
            <w:pPr>
              <w:ind w:left="57" w:right="113"/>
              <w:jc w:val="center"/>
              <w:rPr>
                <w:rFonts w:eastAsia="Times New Roman"/>
                <w:sz w:val="24"/>
                <w:szCs w:val="24"/>
                <w:lang w:eastAsia="lv-LV"/>
              </w:rPr>
            </w:pPr>
            <w:r w:rsidRPr="00166386">
              <w:rPr>
                <w:b/>
                <w:sz w:val="24"/>
                <w:szCs w:val="24"/>
              </w:rPr>
              <w:lastRenderedPageBreak/>
              <w:t>V. Tiesību akta projekta atbilstība Latvijas Republikas starptautiskajām saistībām</w:t>
            </w:r>
          </w:p>
        </w:tc>
      </w:tr>
      <w:tr w:rsidR="00F207FB" w:rsidRPr="00820287" w14:paraId="54B1C078" w14:textId="77777777" w:rsidTr="00E47BAE">
        <w:tc>
          <w:tcPr>
            <w:tcW w:w="434" w:type="pct"/>
            <w:gridSpan w:val="4"/>
          </w:tcPr>
          <w:p w14:paraId="13BDA56B" w14:textId="77777777" w:rsidR="007A6B26" w:rsidRPr="00820287" w:rsidRDefault="007A6B26" w:rsidP="007A6B26">
            <w:pPr>
              <w:spacing w:before="100" w:beforeAutospacing="1" w:after="100" w:afterAutospacing="1" w:line="360" w:lineRule="auto"/>
              <w:ind w:firstLine="300"/>
              <w:jc w:val="both"/>
              <w:rPr>
                <w:rFonts w:eastAsia="Times New Roman"/>
                <w:sz w:val="24"/>
                <w:szCs w:val="24"/>
                <w:lang w:eastAsia="lv-LV"/>
              </w:rPr>
            </w:pPr>
            <w:r w:rsidRPr="00A60681">
              <w:rPr>
                <w:rFonts w:eastAsia="Times New Roman"/>
                <w:sz w:val="24"/>
                <w:szCs w:val="24"/>
                <w:lang w:eastAsia="lv-LV"/>
              </w:rPr>
              <w:t>1.</w:t>
            </w:r>
          </w:p>
        </w:tc>
        <w:tc>
          <w:tcPr>
            <w:tcW w:w="1428" w:type="pct"/>
            <w:gridSpan w:val="5"/>
          </w:tcPr>
          <w:p w14:paraId="6D7FB583" w14:textId="77777777" w:rsidR="007A6B26" w:rsidRPr="00820287" w:rsidRDefault="007A6B26" w:rsidP="007A6B26">
            <w:pPr>
              <w:jc w:val="both"/>
              <w:rPr>
                <w:rFonts w:eastAsia="Times New Roman"/>
                <w:sz w:val="24"/>
                <w:szCs w:val="24"/>
                <w:lang w:eastAsia="lv-LV"/>
              </w:rPr>
            </w:pPr>
            <w:r w:rsidRPr="00A60681">
              <w:rPr>
                <w:rFonts w:eastAsia="Times New Roman"/>
                <w:sz w:val="24"/>
                <w:szCs w:val="24"/>
                <w:lang w:eastAsia="lv-LV"/>
              </w:rPr>
              <w:t>Saistības pret Eiropas Savienību</w:t>
            </w:r>
          </w:p>
        </w:tc>
        <w:tc>
          <w:tcPr>
            <w:tcW w:w="3137" w:type="pct"/>
            <w:gridSpan w:val="4"/>
          </w:tcPr>
          <w:p w14:paraId="576352E8" w14:textId="77777777" w:rsidR="00EC6F81" w:rsidRPr="00EC6F81" w:rsidRDefault="00EC6F81" w:rsidP="00EC6F81">
            <w:pPr>
              <w:ind w:right="109"/>
              <w:jc w:val="both"/>
              <w:rPr>
                <w:sz w:val="24"/>
              </w:rPr>
            </w:pPr>
            <w:r w:rsidRPr="00EC6F81">
              <w:rPr>
                <w:sz w:val="24"/>
              </w:rPr>
              <w:t>Ar Ministru kabineta noteikumu projektu tiek pārņemts:</w:t>
            </w:r>
          </w:p>
          <w:p w14:paraId="187072EA" w14:textId="77777777" w:rsidR="00EC6F81" w:rsidRPr="00EC6F81" w:rsidRDefault="00EC6F81" w:rsidP="007F5FC3">
            <w:pPr>
              <w:pStyle w:val="ListParagraph"/>
              <w:numPr>
                <w:ilvl w:val="0"/>
                <w:numId w:val="2"/>
              </w:numPr>
              <w:spacing w:after="0" w:line="240" w:lineRule="auto"/>
              <w:ind w:right="114"/>
              <w:jc w:val="both"/>
              <w:rPr>
                <w:sz w:val="24"/>
              </w:rPr>
            </w:pPr>
            <w:r w:rsidRPr="00EC6F81">
              <w:rPr>
                <w:sz w:val="24"/>
              </w:rPr>
              <w:t xml:space="preserve">Padomes 2017.gada 5.decembra direktīvas (ES) 2017/2455, ar ko groza Direktīvu 2006/112/EK un Direktīvas 2009/132/EK attiecībā uz konkrētām pievienotās vērtības nodokļa saistībām pakalpojumu sniegšanā un preču </w:t>
            </w:r>
            <w:proofErr w:type="spellStart"/>
            <w:r w:rsidRPr="00EC6F81">
              <w:rPr>
                <w:sz w:val="24"/>
              </w:rPr>
              <w:t>tālpārdošanā</w:t>
            </w:r>
            <w:proofErr w:type="spellEnd"/>
            <w:r w:rsidRPr="00EC6F81">
              <w:rPr>
                <w:sz w:val="24"/>
              </w:rPr>
              <w:t xml:space="preserve">, </w:t>
            </w:r>
            <w:r w:rsidR="007A41D7">
              <w:rPr>
                <w:sz w:val="24"/>
              </w:rPr>
              <w:t>2.panta 3</w:t>
            </w:r>
            <w:r w:rsidRPr="00EC6F81">
              <w:rPr>
                <w:sz w:val="24"/>
              </w:rPr>
              <w:t>.punkts daļā par Direktīvas 2006/112/EK 361.panta 1.punkta “e” apakšpunkta izteikšanu citā redakcijā;</w:t>
            </w:r>
          </w:p>
          <w:p w14:paraId="2CF52C50" w14:textId="77777777" w:rsidR="007A6B26" w:rsidRPr="00820287" w:rsidRDefault="00EC6F81" w:rsidP="007F5FC3">
            <w:pPr>
              <w:pStyle w:val="ListParagraph"/>
              <w:numPr>
                <w:ilvl w:val="0"/>
                <w:numId w:val="2"/>
              </w:numPr>
              <w:spacing w:after="0" w:line="240" w:lineRule="auto"/>
              <w:ind w:right="114"/>
              <w:jc w:val="both"/>
              <w:rPr>
                <w:rFonts w:eastAsia="Times New Roman"/>
                <w:sz w:val="24"/>
                <w:szCs w:val="24"/>
                <w:lang w:eastAsia="lv-LV"/>
              </w:rPr>
            </w:pPr>
            <w:r w:rsidRPr="00EC6F81">
              <w:rPr>
                <w:sz w:val="24"/>
              </w:rPr>
              <w:t>Padomes 2006.gada 28.novembra direktīvas 2006/112/EK par kopējo pievienotās vērtības nodokļa sistēmu 199.a panta 1.punkta “j” apakšpunkts daļā par apgrieztās jeb reversās PVN maksāšanas kārtības piemērošanu melno un krāsaino metālu pusfabrikātu piegādei.</w:t>
            </w:r>
          </w:p>
        </w:tc>
      </w:tr>
      <w:tr w:rsidR="00F207FB" w:rsidRPr="00820287" w14:paraId="6B2D7983" w14:textId="77777777" w:rsidTr="00E47BAE">
        <w:tc>
          <w:tcPr>
            <w:tcW w:w="434" w:type="pct"/>
            <w:gridSpan w:val="4"/>
          </w:tcPr>
          <w:p w14:paraId="42319967" w14:textId="77777777" w:rsidR="007A6B26" w:rsidRPr="00820287" w:rsidRDefault="007A6B26" w:rsidP="007A6B26">
            <w:pPr>
              <w:spacing w:before="100" w:beforeAutospacing="1" w:after="100" w:afterAutospacing="1" w:line="360" w:lineRule="auto"/>
              <w:ind w:firstLine="300"/>
              <w:jc w:val="both"/>
              <w:rPr>
                <w:rFonts w:eastAsia="Times New Roman"/>
                <w:sz w:val="24"/>
                <w:szCs w:val="24"/>
                <w:lang w:eastAsia="lv-LV"/>
              </w:rPr>
            </w:pPr>
            <w:r w:rsidRPr="00A60681">
              <w:rPr>
                <w:rFonts w:eastAsia="Times New Roman"/>
                <w:sz w:val="24"/>
                <w:szCs w:val="24"/>
                <w:lang w:eastAsia="lv-LV"/>
              </w:rPr>
              <w:t>2.</w:t>
            </w:r>
          </w:p>
        </w:tc>
        <w:tc>
          <w:tcPr>
            <w:tcW w:w="1428" w:type="pct"/>
            <w:gridSpan w:val="5"/>
          </w:tcPr>
          <w:p w14:paraId="03D6EE25" w14:textId="77777777" w:rsidR="007A6B26" w:rsidRPr="00820287" w:rsidRDefault="007A6B26" w:rsidP="007A6B26">
            <w:pPr>
              <w:jc w:val="both"/>
              <w:rPr>
                <w:rFonts w:eastAsia="Times New Roman"/>
                <w:sz w:val="24"/>
                <w:szCs w:val="24"/>
                <w:lang w:eastAsia="lv-LV"/>
              </w:rPr>
            </w:pPr>
            <w:r w:rsidRPr="00A60681">
              <w:rPr>
                <w:rFonts w:eastAsia="Times New Roman"/>
                <w:sz w:val="24"/>
                <w:szCs w:val="24"/>
                <w:lang w:eastAsia="lv-LV"/>
              </w:rPr>
              <w:t>Citas starptautiskās saistības</w:t>
            </w:r>
          </w:p>
        </w:tc>
        <w:tc>
          <w:tcPr>
            <w:tcW w:w="3137" w:type="pct"/>
            <w:gridSpan w:val="4"/>
          </w:tcPr>
          <w:p w14:paraId="677AC03B" w14:textId="49B927E1" w:rsidR="007A6B26" w:rsidRPr="00820287" w:rsidRDefault="00CC5627" w:rsidP="007A6B26">
            <w:pPr>
              <w:ind w:left="57" w:right="113"/>
              <w:jc w:val="both"/>
              <w:rPr>
                <w:rFonts w:eastAsia="Times New Roman"/>
                <w:sz w:val="24"/>
                <w:szCs w:val="24"/>
                <w:lang w:eastAsia="lv-LV"/>
              </w:rPr>
            </w:pPr>
            <w:r>
              <w:rPr>
                <w:rFonts w:eastAsia="Times New Roman"/>
                <w:sz w:val="24"/>
                <w:szCs w:val="24"/>
                <w:lang w:eastAsia="lv-LV"/>
              </w:rPr>
              <w:t>Projekts šo jomu neskar.</w:t>
            </w:r>
          </w:p>
        </w:tc>
      </w:tr>
      <w:tr w:rsidR="00F207FB" w:rsidRPr="00820287" w14:paraId="1DDD7D70" w14:textId="77777777" w:rsidTr="00E47BAE">
        <w:tc>
          <w:tcPr>
            <w:tcW w:w="434" w:type="pct"/>
            <w:gridSpan w:val="4"/>
          </w:tcPr>
          <w:p w14:paraId="4A9B8DE0" w14:textId="77777777" w:rsidR="007A6B26" w:rsidRPr="00820287" w:rsidRDefault="007A6B26" w:rsidP="007A6B26">
            <w:pPr>
              <w:spacing w:before="100" w:beforeAutospacing="1" w:after="100" w:afterAutospacing="1" w:line="360" w:lineRule="auto"/>
              <w:ind w:firstLine="300"/>
              <w:jc w:val="both"/>
              <w:rPr>
                <w:rFonts w:eastAsia="Times New Roman"/>
                <w:sz w:val="24"/>
                <w:szCs w:val="24"/>
                <w:lang w:eastAsia="lv-LV"/>
              </w:rPr>
            </w:pPr>
            <w:r w:rsidRPr="00A60681">
              <w:rPr>
                <w:rFonts w:eastAsia="Times New Roman"/>
                <w:sz w:val="24"/>
                <w:szCs w:val="24"/>
                <w:lang w:eastAsia="lv-LV"/>
              </w:rPr>
              <w:t>3.</w:t>
            </w:r>
          </w:p>
        </w:tc>
        <w:tc>
          <w:tcPr>
            <w:tcW w:w="1428" w:type="pct"/>
            <w:gridSpan w:val="5"/>
          </w:tcPr>
          <w:p w14:paraId="4C9EAACF" w14:textId="77777777" w:rsidR="007A6B26" w:rsidRPr="00820287" w:rsidRDefault="007A6B26" w:rsidP="007A6B26">
            <w:pPr>
              <w:jc w:val="both"/>
              <w:rPr>
                <w:rFonts w:eastAsia="Times New Roman"/>
                <w:sz w:val="24"/>
                <w:szCs w:val="24"/>
                <w:lang w:eastAsia="lv-LV"/>
              </w:rPr>
            </w:pPr>
            <w:r w:rsidRPr="00A60681">
              <w:rPr>
                <w:rFonts w:eastAsia="Times New Roman"/>
                <w:sz w:val="24"/>
                <w:szCs w:val="24"/>
                <w:lang w:eastAsia="lv-LV"/>
              </w:rPr>
              <w:t>Cita informācija</w:t>
            </w:r>
          </w:p>
        </w:tc>
        <w:tc>
          <w:tcPr>
            <w:tcW w:w="3137" w:type="pct"/>
            <w:gridSpan w:val="4"/>
          </w:tcPr>
          <w:p w14:paraId="7E0B9845" w14:textId="304D16DD" w:rsidR="007A6B26" w:rsidRPr="00820287" w:rsidRDefault="007A6B26" w:rsidP="007A6B26">
            <w:pPr>
              <w:ind w:left="57" w:right="113"/>
              <w:jc w:val="both"/>
              <w:rPr>
                <w:rFonts w:eastAsia="Times New Roman"/>
                <w:sz w:val="24"/>
                <w:szCs w:val="24"/>
                <w:lang w:eastAsia="lv-LV"/>
              </w:rPr>
            </w:pPr>
            <w:r w:rsidRPr="00A60681">
              <w:rPr>
                <w:rFonts w:eastAsia="Times New Roman"/>
                <w:sz w:val="24"/>
                <w:szCs w:val="24"/>
                <w:lang w:eastAsia="lv-LV"/>
              </w:rPr>
              <w:t>Nav</w:t>
            </w:r>
            <w:r w:rsidR="00CC5627">
              <w:rPr>
                <w:rFonts w:eastAsia="Times New Roman"/>
                <w:sz w:val="24"/>
                <w:szCs w:val="24"/>
                <w:lang w:eastAsia="lv-LV"/>
              </w:rPr>
              <w:t>.</w:t>
            </w:r>
          </w:p>
        </w:tc>
      </w:tr>
      <w:tr w:rsidR="001259D2" w:rsidRPr="00820287" w14:paraId="32A1C995" w14:textId="77777777" w:rsidTr="00E47BAE">
        <w:tc>
          <w:tcPr>
            <w:tcW w:w="5000" w:type="pct"/>
            <w:gridSpan w:val="13"/>
          </w:tcPr>
          <w:p w14:paraId="5521FA97" w14:textId="77777777" w:rsidR="000161F8" w:rsidRDefault="001259D2" w:rsidP="000161F8">
            <w:pPr>
              <w:ind w:left="57" w:right="113"/>
              <w:jc w:val="center"/>
              <w:rPr>
                <w:rFonts w:eastAsia="Times New Roman"/>
                <w:b/>
                <w:bCs/>
                <w:sz w:val="24"/>
                <w:szCs w:val="24"/>
                <w:lang w:eastAsia="lv-LV"/>
              </w:rPr>
            </w:pPr>
            <w:r w:rsidRPr="00A60681">
              <w:rPr>
                <w:rFonts w:eastAsia="Times New Roman"/>
                <w:b/>
                <w:bCs/>
                <w:sz w:val="24"/>
                <w:szCs w:val="24"/>
                <w:lang w:eastAsia="lv-LV"/>
              </w:rPr>
              <w:t>1. tabula</w:t>
            </w:r>
          </w:p>
          <w:p w14:paraId="139768F2" w14:textId="77777777" w:rsidR="001259D2" w:rsidRPr="00A60681" w:rsidRDefault="001259D2" w:rsidP="000161F8">
            <w:pPr>
              <w:ind w:left="57" w:right="113"/>
              <w:jc w:val="center"/>
              <w:rPr>
                <w:rFonts w:eastAsia="Times New Roman"/>
                <w:sz w:val="24"/>
                <w:szCs w:val="24"/>
                <w:lang w:eastAsia="lv-LV"/>
              </w:rPr>
            </w:pPr>
            <w:r w:rsidRPr="00A60681">
              <w:rPr>
                <w:rFonts w:eastAsia="Times New Roman"/>
                <w:b/>
                <w:bCs/>
                <w:sz w:val="24"/>
                <w:szCs w:val="24"/>
                <w:lang w:eastAsia="lv-LV"/>
              </w:rPr>
              <w:t>Tiesību akta projekta atbilstība ES tiesību aktiem</w:t>
            </w:r>
          </w:p>
        </w:tc>
      </w:tr>
      <w:tr w:rsidR="000161F8" w:rsidRPr="00820287" w14:paraId="0E553586" w14:textId="77777777" w:rsidTr="00E47BAE">
        <w:tc>
          <w:tcPr>
            <w:tcW w:w="1384" w:type="pct"/>
            <w:gridSpan w:val="6"/>
          </w:tcPr>
          <w:p w14:paraId="03BF1F6A" w14:textId="77777777" w:rsidR="000161F8" w:rsidRPr="00A60681" w:rsidRDefault="000161F8" w:rsidP="000161F8">
            <w:pPr>
              <w:ind w:left="57" w:right="113"/>
              <w:rPr>
                <w:rFonts w:eastAsia="Times New Roman"/>
                <w:b/>
                <w:bCs/>
                <w:sz w:val="24"/>
                <w:szCs w:val="24"/>
                <w:lang w:eastAsia="lv-LV"/>
              </w:rPr>
            </w:pPr>
            <w:r w:rsidRPr="00A60681">
              <w:rPr>
                <w:rFonts w:eastAsia="Times New Roman"/>
                <w:sz w:val="24"/>
                <w:szCs w:val="24"/>
                <w:lang w:eastAsia="lv-LV"/>
              </w:rPr>
              <w:t>Attiecīgā ES tiesību akta datums, numurs un nosaukums</w:t>
            </w:r>
          </w:p>
        </w:tc>
        <w:tc>
          <w:tcPr>
            <w:tcW w:w="3616" w:type="pct"/>
            <w:gridSpan w:val="7"/>
          </w:tcPr>
          <w:p w14:paraId="5624E785" w14:textId="77777777" w:rsidR="000161F8" w:rsidRPr="001259D2" w:rsidRDefault="000161F8" w:rsidP="007F5FC3">
            <w:pPr>
              <w:pStyle w:val="ListParagraph"/>
              <w:numPr>
                <w:ilvl w:val="0"/>
                <w:numId w:val="3"/>
              </w:numPr>
              <w:spacing w:after="0" w:line="240" w:lineRule="auto"/>
              <w:ind w:left="540" w:hanging="425"/>
              <w:jc w:val="both"/>
              <w:rPr>
                <w:sz w:val="24"/>
              </w:rPr>
            </w:pPr>
            <w:r w:rsidRPr="001259D2">
              <w:rPr>
                <w:sz w:val="24"/>
              </w:rPr>
              <w:t xml:space="preserve">Padomes 2017.gada 5.decembra direktīva (ES) 2017/2455, ar ko groza Direktīvu 2006/112/EK un Direktīvu 2009/132/EK attiecībā uz konkrētām pievienotās vērtības nodokļa saistībām pakalpojumu sniegšanā un preču </w:t>
            </w:r>
            <w:proofErr w:type="spellStart"/>
            <w:r w:rsidRPr="001259D2">
              <w:rPr>
                <w:sz w:val="24"/>
              </w:rPr>
              <w:t>tālpārdošanā</w:t>
            </w:r>
            <w:proofErr w:type="spellEnd"/>
            <w:r w:rsidRPr="001259D2">
              <w:rPr>
                <w:sz w:val="24"/>
              </w:rPr>
              <w:t>;</w:t>
            </w:r>
          </w:p>
          <w:p w14:paraId="60D2B421" w14:textId="77777777" w:rsidR="000161F8" w:rsidRPr="00A60681" w:rsidRDefault="000161F8" w:rsidP="007F5FC3">
            <w:pPr>
              <w:pStyle w:val="ListParagraph"/>
              <w:numPr>
                <w:ilvl w:val="0"/>
                <w:numId w:val="3"/>
              </w:numPr>
              <w:spacing w:after="0" w:line="240" w:lineRule="auto"/>
              <w:ind w:left="540" w:hanging="425"/>
              <w:jc w:val="both"/>
              <w:rPr>
                <w:rFonts w:eastAsia="Times New Roman"/>
                <w:b/>
                <w:bCs/>
                <w:sz w:val="24"/>
                <w:szCs w:val="24"/>
                <w:lang w:eastAsia="lv-LV"/>
              </w:rPr>
            </w:pPr>
            <w:r w:rsidRPr="001259D2">
              <w:rPr>
                <w:sz w:val="24"/>
              </w:rPr>
              <w:t>Padomes 2006.gada 28.novembra direktīva 2006/112/EK par kopējo pievienotās vērtības nodokļa sistēmu.</w:t>
            </w:r>
          </w:p>
        </w:tc>
      </w:tr>
      <w:tr w:rsidR="000161F8" w:rsidRPr="00820287" w14:paraId="7413330C" w14:textId="77777777" w:rsidTr="00E47BAE">
        <w:tc>
          <w:tcPr>
            <w:tcW w:w="1250" w:type="pct"/>
            <w:gridSpan w:val="5"/>
          </w:tcPr>
          <w:p w14:paraId="75F31FDB" w14:textId="77777777" w:rsidR="000161F8" w:rsidRPr="000161F8" w:rsidRDefault="000161F8" w:rsidP="000161F8">
            <w:pPr>
              <w:jc w:val="center"/>
              <w:rPr>
                <w:sz w:val="24"/>
              </w:rPr>
            </w:pPr>
            <w:r>
              <w:rPr>
                <w:sz w:val="24"/>
              </w:rPr>
              <w:t>A</w:t>
            </w:r>
          </w:p>
        </w:tc>
        <w:tc>
          <w:tcPr>
            <w:tcW w:w="1251" w:type="pct"/>
            <w:gridSpan w:val="5"/>
          </w:tcPr>
          <w:p w14:paraId="0B1A0E05" w14:textId="77777777" w:rsidR="000161F8" w:rsidRPr="000161F8" w:rsidRDefault="000161F8" w:rsidP="000161F8">
            <w:pPr>
              <w:jc w:val="center"/>
              <w:rPr>
                <w:sz w:val="24"/>
              </w:rPr>
            </w:pPr>
            <w:r>
              <w:rPr>
                <w:sz w:val="24"/>
              </w:rPr>
              <w:t>B</w:t>
            </w:r>
          </w:p>
        </w:tc>
        <w:tc>
          <w:tcPr>
            <w:tcW w:w="1250" w:type="pct"/>
            <w:gridSpan w:val="2"/>
          </w:tcPr>
          <w:p w14:paraId="01989A3B" w14:textId="77777777" w:rsidR="000161F8" w:rsidRPr="000161F8" w:rsidRDefault="000161F8" w:rsidP="000161F8">
            <w:pPr>
              <w:jc w:val="center"/>
              <w:rPr>
                <w:sz w:val="24"/>
              </w:rPr>
            </w:pPr>
            <w:r>
              <w:rPr>
                <w:sz w:val="24"/>
              </w:rPr>
              <w:t>C</w:t>
            </w:r>
          </w:p>
        </w:tc>
        <w:tc>
          <w:tcPr>
            <w:tcW w:w="1249" w:type="pct"/>
          </w:tcPr>
          <w:p w14:paraId="566176B0" w14:textId="77777777" w:rsidR="000161F8" w:rsidRPr="000161F8" w:rsidRDefault="000161F8" w:rsidP="000161F8">
            <w:pPr>
              <w:jc w:val="center"/>
              <w:rPr>
                <w:sz w:val="24"/>
              </w:rPr>
            </w:pPr>
            <w:r>
              <w:rPr>
                <w:sz w:val="24"/>
              </w:rPr>
              <w:t>D</w:t>
            </w:r>
          </w:p>
        </w:tc>
      </w:tr>
      <w:tr w:rsidR="000161F8" w:rsidRPr="00820287" w14:paraId="7FAF7F9B" w14:textId="77777777" w:rsidTr="00E47BAE">
        <w:tc>
          <w:tcPr>
            <w:tcW w:w="5000" w:type="pct"/>
            <w:gridSpan w:val="13"/>
          </w:tcPr>
          <w:p w14:paraId="1F9A5B5B" w14:textId="77777777" w:rsidR="000161F8" w:rsidRDefault="000161F8" w:rsidP="000161F8">
            <w:pPr>
              <w:jc w:val="center"/>
              <w:rPr>
                <w:sz w:val="24"/>
              </w:rPr>
            </w:pPr>
            <w:r>
              <w:rPr>
                <w:sz w:val="24"/>
              </w:rPr>
              <w:t>Direktīvas 2017/2455 2.pants</w:t>
            </w:r>
          </w:p>
        </w:tc>
      </w:tr>
      <w:tr w:rsidR="000161F8" w:rsidRPr="00820287" w14:paraId="1F0724C3" w14:textId="77777777" w:rsidTr="00E47BAE">
        <w:tc>
          <w:tcPr>
            <w:tcW w:w="1250" w:type="pct"/>
            <w:gridSpan w:val="5"/>
          </w:tcPr>
          <w:p w14:paraId="0ABF5D71" w14:textId="77777777" w:rsidR="000161F8" w:rsidRDefault="000161F8" w:rsidP="000161F8">
            <w:pPr>
              <w:ind w:left="112" w:right="138"/>
              <w:jc w:val="both"/>
              <w:rPr>
                <w:sz w:val="24"/>
              </w:rPr>
            </w:pPr>
            <w:r>
              <w:rPr>
                <w:sz w:val="24"/>
              </w:rPr>
              <w:t>Direktīvas 2017/2455 2.panta 3.punkts attiecībā uz 361.panta 1.punkta “e” apakšpunkta aizstāšanu citā redakcijā</w:t>
            </w:r>
          </w:p>
        </w:tc>
        <w:tc>
          <w:tcPr>
            <w:tcW w:w="1251" w:type="pct"/>
            <w:gridSpan w:val="5"/>
          </w:tcPr>
          <w:p w14:paraId="6A705C8A" w14:textId="47D24C24" w:rsidR="000161F8" w:rsidRDefault="000161F8" w:rsidP="00865912">
            <w:pPr>
              <w:ind w:left="112" w:right="39"/>
              <w:jc w:val="both"/>
              <w:rPr>
                <w:sz w:val="24"/>
              </w:rPr>
            </w:pPr>
            <w:r>
              <w:rPr>
                <w:rFonts w:eastAsia="Times New Roman"/>
                <w:sz w:val="24"/>
                <w:szCs w:val="24"/>
                <w:lang w:eastAsia="lv-LV"/>
              </w:rPr>
              <w:t xml:space="preserve">Ministru kabineta noteikumu projekta </w:t>
            </w:r>
            <w:r w:rsidR="001C2A37">
              <w:rPr>
                <w:rFonts w:eastAsia="Times New Roman"/>
                <w:sz w:val="24"/>
                <w:szCs w:val="24"/>
                <w:lang w:eastAsia="lv-LV"/>
              </w:rPr>
              <w:t>1.</w:t>
            </w:r>
            <w:r w:rsidR="00865912">
              <w:rPr>
                <w:rFonts w:eastAsia="Times New Roman"/>
                <w:sz w:val="24"/>
                <w:szCs w:val="24"/>
                <w:lang w:eastAsia="lv-LV"/>
              </w:rPr>
              <w:t>6</w:t>
            </w:r>
            <w:r>
              <w:rPr>
                <w:rFonts w:eastAsia="Times New Roman"/>
                <w:sz w:val="24"/>
                <w:szCs w:val="24"/>
                <w:lang w:eastAsia="lv-LV"/>
              </w:rPr>
              <w:t>.</w:t>
            </w:r>
            <w:r w:rsidR="001C2A37">
              <w:rPr>
                <w:rFonts w:eastAsia="Times New Roman"/>
                <w:sz w:val="24"/>
                <w:szCs w:val="24"/>
                <w:lang w:eastAsia="lv-LV"/>
              </w:rPr>
              <w:t>apakš</w:t>
            </w:r>
            <w:r>
              <w:rPr>
                <w:rFonts w:eastAsia="Times New Roman"/>
                <w:sz w:val="24"/>
                <w:szCs w:val="24"/>
                <w:lang w:eastAsia="lv-LV"/>
              </w:rPr>
              <w:t>punkts</w:t>
            </w:r>
            <w:r w:rsidRPr="00A60681">
              <w:rPr>
                <w:rFonts w:eastAsia="Times New Roman"/>
                <w:sz w:val="24"/>
                <w:szCs w:val="24"/>
                <w:lang w:eastAsia="lv-LV"/>
              </w:rPr>
              <w:t xml:space="preserve"> (</w:t>
            </w:r>
            <w:r>
              <w:rPr>
                <w:rFonts w:eastAsia="Times New Roman"/>
                <w:sz w:val="24"/>
                <w:szCs w:val="24"/>
                <w:lang w:eastAsia="lv-LV"/>
              </w:rPr>
              <w:t>Ministru kabineta noteikumu 194.</w:t>
            </w:r>
            <w:r w:rsidRPr="000161F8">
              <w:rPr>
                <w:rFonts w:eastAsia="Times New Roman"/>
                <w:sz w:val="24"/>
                <w:szCs w:val="24"/>
                <w:vertAlign w:val="superscript"/>
                <w:lang w:eastAsia="lv-LV"/>
              </w:rPr>
              <w:t>1</w:t>
            </w:r>
            <w:r>
              <w:rPr>
                <w:rFonts w:eastAsia="Times New Roman"/>
                <w:sz w:val="24"/>
                <w:szCs w:val="24"/>
                <w:lang w:eastAsia="lv-LV"/>
              </w:rPr>
              <w:t> 1.apakšpunkts</w:t>
            </w:r>
            <w:r w:rsidRPr="00A60681">
              <w:rPr>
                <w:rFonts w:eastAsia="Times New Roman"/>
                <w:sz w:val="24"/>
                <w:szCs w:val="24"/>
                <w:lang w:eastAsia="lv-LV"/>
              </w:rPr>
              <w:t>)</w:t>
            </w:r>
          </w:p>
        </w:tc>
        <w:tc>
          <w:tcPr>
            <w:tcW w:w="1250" w:type="pct"/>
            <w:gridSpan w:val="2"/>
          </w:tcPr>
          <w:p w14:paraId="739B0594" w14:textId="77777777" w:rsidR="000161F8" w:rsidRDefault="000161F8" w:rsidP="000161F8">
            <w:pPr>
              <w:jc w:val="center"/>
              <w:rPr>
                <w:sz w:val="24"/>
              </w:rPr>
            </w:pPr>
            <w:r w:rsidRPr="00A60681">
              <w:rPr>
                <w:rFonts w:eastAsia="Times New Roman"/>
                <w:sz w:val="24"/>
                <w:szCs w:val="24"/>
                <w:lang w:eastAsia="lv-LV"/>
              </w:rPr>
              <w:t>Ieviests pilnībā</w:t>
            </w:r>
          </w:p>
        </w:tc>
        <w:tc>
          <w:tcPr>
            <w:tcW w:w="1249" w:type="pct"/>
          </w:tcPr>
          <w:p w14:paraId="1D31EABD" w14:textId="77777777" w:rsidR="000161F8" w:rsidRDefault="000161F8" w:rsidP="000161F8">
            <w:pPr>
              <w:ind w:left="112" w:right="138"/>
              <w:jc w:val="both"/>
              <w:rPr>
                <w:sz w:val="24"/>
              </w:rPr>
            </w:pPr>
            <w:r>
              <w:rPr>
                <w:rFonts w:eastAsia="Times New Roman"/>
                <w:sz w:val="24"/>
                <w:szCs w:val="24"/>
                <w:lang w:eastAsia="lv-LV"/>
              </w:rPr>
              <w:t xml:space="preserve">Ministru kabineta noteikumu </w:t>
            </w:r>
            <w:r w:rsidRPr="00A60681">
              <w:rPr>
                <w:rFonts w:eastAsia="Times New Roman"/>
                <w:sz w:val="24"/>
                <w:szCs w:val="24"/>
                <w:lang w:eastAsia="lv-LV"/>
              </w:rPr>
              <w:t xml:space="preserve">projekts </w:t>
            </w:r>
            <w:r w:rsidRPr="000161F8">
              <w:rPr>
                <w:sz w:val="24"/>
              </w:rPr>
              <w:t>neparedz</w:t>
            </w:r>
            <w:r w:rsidRPr="00A60681">
              <w:rPr>
                <w:rFonts w:eastAsia="Times New Roman"/>
                <w:sz w:val="24"/>
                <w:szCs w:val="24"/>
                <w:lang w:eastAsia="lv-LV"/>
              </w:rPr>
              <w:t xml:space="preserve"> stingrākas prasības</w:t>
            </w:r>
          </w:p>
        </w:tc>
      </w:tr>
      <w:tr w:rsidR="000161F8" w:rsidRPr="00820287" w14:paraId="346469D1" w14:textId="77777777" w:rsidTr="00E47BAE">
        <w:tc>
          <w:tcPr>
            <w:tcW w:w="1250" w:type="pct"/>
            <w:gridSpan w:val="5"/>
          </w:tcPr>
          <w:p w14:paraId="701A06FB" w14:textId="77777777" w:rsidR="000161F8" w:rsidRDefault="000161F8" w:rsidP="000161F8">
            <w:pPr>
              <w:ind w:left="112" w:right="138"/>
              <w:jc w:val="both"/>
              <w:rPr>
                <w:sz w:val="24"/>
              </w:rPr>
            </w:pPr>
            <w:r w:rsidRPr="00A60681">
              <w:rPr>
                <w:rFonts w:eastAsia="Times New Roman"/>
                <w:sz w:val="24"/>
                <w:szCs w:val="24"/>
                <w:lang w:eastAsia="lv-LV"/>
              </w:rPr>
              <w:t>Kā ir izmantota ES tiesību aktā paredzētā rīcības brīvība dalībvalstij pārņemt vai ieviest noteiktas ES tiesību akta normas? Kādēļ?</w:t>
            </w:r>
          </w:p>
        </w:tc>
        <w:tc>
          <w:tcPr>
            <w:tcW w:w="3750" w:type="pct"/>
            <w:gridSpan w:val="8"/>
          </w:tcPr>
          <w:p w14:paraId="318AC997" w14:textId="77777777" w:rsidR="000161F8" w:rsidRDefault="000161F8" w:rsidP="000161F8">
            <w:pPr>
              <w:ind w:left="112" w:right="138"/>
              <w:jc w:val="both"/>
              <w:rPr>
                <w:rFonts w:eastAsia="Times New Roman"/>
                <w:sz w:val="24"/>
                <w:szCs w:val="24"/>
                <w:lang w:eastAsia="lv-LV"/>
              </w:rPr>
            </w:pPr>
            <w:r>
              <w:rPr>
                <w:rFonts w:eastAsia="Times New Roman"/>
                <w:sz w:val="24"/>
                <w:szCs w:val="24"/>
                <w:lang w:eastAsia="lv-LV"/>
              </w:rPr>
              <w:t>Projekts šo jomu neskar.</w:t>
            </w:r>
          </w:p>
        </w:tc>
      </w:tr>
      <w:tr w:rsidR="000161F8" w:rsidRPr="00820287" w14:paraId="34914EDF" w14:textId="77777777" w:rsidTr="00E47BAE">
        <w:tc>
          <w:tcPr>
            <w:tcW w:w="1250" w:type="pct"/>
            <w:gridSpan w:val="5"/>
          </w:tcPr>
          <w:p w14:paraId="0B3C471A" w14:textId="77777777" w:rsidR="000161F8" w:rsidRDefault="000161F8" w:rsidP="000161F8">
            <w:pPr>
              <w:ind w:left="112" w:right="138"/>
              <w:rPr>
                <w:sz w:val="24"/>
              </w:rPr>
            </w:pPr>
            <w:r w:rsidRPr="00A60681">
              <w:rPr>
                <w:rFonts w:eastAsia="Times New Roman"/>
                <w:sz w:val="24"/>
                <w:szCs w:val="24"/>
                <w:lang w:eastAsia="lv-LV"/>
              </w:rPr>
              <w:t xml:space="preserve">Saistības sniegt paziņojumu ES institūcijām un ES dalībvalstīm atbilstoši normatīvajiem </w:t>
            </w:r>
            <w:r w:rsidRPr="00A60681">
              <w:rPr>
                <w:rFonts w:eastAsia="Times New Roman"/>
                <w:sz w:val="24"/>
                <w:szCs w:val="24"/>
                <w:lang w:eastAsia="lv-LV"/>
              </w:rPr>
              <w:lastRenderedPageBreak/>
              <w:t>aktiem, kas regulē informācijas sniegšanu par tehnisko noteikumu, valsts atbalsta piešķiršanas un finanšu noteikumu (attiecībā uz monetāro politiku) projektiem</w:t>
            </w:r>
          </w:p>
        </w:tc>
        <w:tc>
          <w:tcPr>
            <w:tcW w:w="3750" w:type="pct"/>
            <w:gridSpan w:val="8"/>
          </w:tcPr>
          <w:p w14:paraId="2280718F" w14:textId="77777777" w:rsidR="000161F8" w:rsidRDefault="000161F8" w:rsidP="000161F8">
            <w:pPr>
              <w:ind w:left="112" w:right="138"/>
              <w:jc w:val="both"/>
              <w:rPr>
                <w:rFonts w:eastAsia="Times New Roman"/>
                <w:sz w:val="24"/>
                <w:szCs w:val="24"/>
                <w:lang w:eastAsia="lv-LV"/>
              </w:rPr>
            </w:pPr>
            <w:r w:rsidRPr="00A60681">
              <w:rPr>
                <w:rFonts w:eastAsia="Times New Roman"/>
                <w:sz w:val="24"/>
                <w:szCs w:val="24"/>
                <w:lang w:eastAsia="lv-LV"/>
              </w:rPr>
              <w:lastRenderedPageBreak/>
              <w:t>Projekts šo jomu neskar.</w:t>
            </w:r>
          </w:p>
        </w:tc>
      </w:tr>
      <w:tr w:rsidR="000161F8" w:rsidRPr="00820287" w14:paraId="3D32F387" w14:textId="77777777" w:rsidTr="00E47BAE">
        <w:tc>
          <w:tcPr>
            <w:tcW w:w="1250" w:type="pct"/>
            <w:gridSpan w:val="5"/>
          </w:tcPr>
          <w:p w14:paraId="458B8545" w14:textId="77777777" w:rsidR="000161F8" w:rsidRPr="00A60681" w:rsidRDefault="000161F8" w:rsidP="000161F8">
            <w:pPr>
              <w:ind w:left="112" w:right="138"/>
              <w:rPr>
                <w:rFonts w:eastAsia="Times New Roman"/>
                <w:sz w:val="24"/>
                <w:szCs w:val="24"/>
                <w:lang w:eastAsia="lv-LV"/>
              </w:rPr>
            </w:pPr>
            <w:r>
              <w:rPr>
                <w:rFonts w:eastAsia="Times New Roman"/>
                <w:sz w:val="24"/>
                <w:szCs w:val="24"/>
                <w:lang w:eastAsia="lv-LV"/>
              </w:rPr>
              <w:t>Cita informācija</w:t>
            </w:r>
          </w:p>
        </w:tc>
        <w:tc>
          <w:tcPr>
            <w:tcW w:w="3750" w:type="pct"/>
            <w:gridSpan w:val="8"/>
          </w:tcPr>
          <w:p w14:paraId="1484941E" w14:textId="77777777" w:rsidR="000161F8" w:rsidRPr="00A60681" w:rsidRDefault="000161F8" w:rsidP="000161F8">
            <w:pPr>
              <w:ind w:left="112" w:right="138"/>
              <w:jc w:val="both"/>
              <w:rPr>
                <w:rFonts w:eastAsia="Times New Roman"/>
                <w:sz w:val="24"/>
                <w:szCs w:val="24"/>
                <w:lang w:eastAsia="lv-LV"/>
              </w:rPr>
            </w:pPr>
            <w:r>
              <w:rPr>
                <w:rFonts w:eastAsia="Times New Roman"/>
                <w:sz w:val="24"/>
                <w:szCs w:val="24"/>
                <w:lang w:eastAsia="lv-LV"/>
              </w:rPr>
              <w:t>Nav.</w:t>
            </w:r>
          </w:p>
        </w:tc>
      </w:tr>
      <w:tr w:rsidR="000161F8" w:rsidRPr="00820287" w14:paraId="55E92667" w14:textId="77777777" w:rsidTr="00E47BAE">
        <w:tc>
          <w:tcPr>
            <w:tcW w:w="5000" w:type="pct"/>
            <w:gridSpan w:val="13"/>
          </w:tcPr>
          <w:p w14:paraId="66B55776" w14:textId="77777777" w:rsidR="000161F8" w:rsidRDefault="000161F8" w:rsidP="000161F8">
            <w:pPr>
              <w:ind w:left="112" w:right="138"/>
              <w:jc w:val="center"/>
              <w:rPr>
                <w:rFonts w:eastAsia="Times New Roman"/>
                <w:sz w:val="24"/>
                <w:szCs w:val="24"/>
                <w:lang w:eastAsia="lv-LV"/>
              </w:rPr>
            </w:pPr>
            <w:r>
              <w:rPr>
                <w:rFonts w:eastAsia="Times New Roman"/>
                <w:sz w:val="24"/>
                <w:szCs w:val="24"/>
                <w:lang w:eastAsia="lv-LV"/>
              </w:rPr>
              <w:t>Direktīvas 2006/112/EK 199.a panta 1.punkta “j” apakšpunkts</w:t>
            </w:r>
          </w:p>
        </w:tc>
      </w:tr>
      <w:tr w:rsidR="00E47BAE" w:rsidRPr="00820287" w14:paraId="7318C217" w14:textId="77777777" w:rsidTr="00E47BAE">
        <w:tc>
          <w:tcPr>
            <w:tcW w:w="1250" w:type="pct"/>
            <w:gridSpan w:val="5"/>
          </w:tcPr>
          <w:p w14:paraId="6C7323C5" w14:textId="77777777" w:rsidR="00E47BAE" w:rsidRDefault="00E47BAE" w:rsidP="000161F8">
            <w:pPr>
              <w:ind w:left="112" w:right="138"/>
              <w:jc w:val="both"/>
              <w:rPr>
                <w:rFonts w:eastAsia="Times New Roman"/>
                <w:sz w:val="24"/>
                <w:szCs w:val="24"/>
                <w:lang w:eastAsia="lv-LV"/>
              </w:rPr>
            </w:pPr>
            <w:r>
              <w:rPr>
                <w:rFonts w:eastAsia="Times New Roman"/>
                <w:sz w:val="24"/>
                <w:szCs w:val="24"/>
                <w:lang w:eastAsia="lv-LV"/>
              </w:rPr>
              <w:t>Direktīvas 2006/112/EK 199.a panta 1.punkta “j” apakšpunkts</w:t>
            </w:r>
          </w:p>
        </w:tc>
        <w:tc>
          <w:tcPr>
            <w:tcW w:w="1251" w:type="pct"/>
            <w:gridSpan w:val="5"/>
          </w:tcPr>
          <w:p w14:paraId="18301B0E" w14:textId="439AB742" w:rsidR="00E47BAE" w:rsidRDefault="00E47BAE" w:rsidP="00865912">
            <w:pPr>
              <w:ind w:left="112" w:right="39"/>
              <w:jc w:val="both"/>
              <w:rPr>
                <w:rFonts w:eastAsia="Times New Roman"/>
                <w:sz w:val="24"/>
                <w:szCs w:val="24"/>
                <w:lang w:eastAsia="lv-LV"/>
              </w:rPr>
            </w:pPr>
            <w:r>
              <w:rPr>
                <w:rFonts w:eastAsia="Times New Roman"/>
                <w:sz w:val="24"/>
                <w:szCs w:val="24"/>
                <w:lang w:eastAsia="lv-LV"/>
              </w:rPr>
              <w:t xml:space="preserve">Ministru kabineta noteikumu projekta </w:t>
            </w:r>
            <w:r w:rsidR="001C2A37">
              <w:rPr>
                <w:rFonts w:eastAsia="Times New Roman"/>
                <w:sz w:val="24"/>
                <w:szCs w:val="24"/>
                <w:lang w:eastAsia="lv-LV"/>
              </w:rPr>
              <w:t>1.</w:t>
            </w:r>
            <w:r w:rsidR="00865912">
              <w:rPr>
                <w:rFonts w:eastAsia="Times New Roman"/>
                <w:sz w:val="24"/>
                <w:szCs w:val="24"/>
                <w:lang w:eastAsia="lv-LV"/>
              </w:rPr>
              <w:t>10</w:t>
            </w:r>
            <w:r w:rsidR="001C2A37">
              <w:rPr>
                <w:rFonts w:eastAsia="Times New Roman"/>
                <w:sz w:val="24"/>
                <w:szCs w:val="24"/>
                <w:lang w:eastAsia="lv-LV"/>
              </w:rPr>
              <w:t>.apakš</w:t>
            </w:r>
            <w:r>
              <w:rPr>
                <w:rFonts w:eastAsia="Times New Roman"/>
                <w:sz w:val="24"/>
                <w:szCs w:val="24"/>
                <w:lang w:eastAsia="lv-LV"/>
              </w:rPr>
              <w:t>punkts</w:t>
            </w:r>
            <w:r w:rsidRPr="00A60681">
              <w:rPr>
                <w:rFonts w:eastAsia="Times New Roman"/>
                <w:sz w:val="24"/>
                <w:szCs w:val="24"/>
                <w:lang w:eastAsia="lv-LV"/>
              </w:rPr>
              <w:t xml:space="preserve"> (</w:t>
            </w:r>
            <w:r>
              <w:rPr>
                <w:rFonts w:eastAsia="Times New Roman"/>
                <w:sz w:val="24"/>
                <w:szCs w:val="24"/>
                <w:lang w:eastAsia="lv-LV"/>
              </w:rPr>
              <w:t>Ministru kabineta noteikumu 7.pielikums</w:t>
            </w:r>
            <w:r w:rsidRPr="00A60681">
              <w:rPr>
                <w:rFonts w:eastAsia="Times New Roman"/>
                <w:sz w:val="24"/>
                <w:szCs w:val="24"/>
                <w:lang w:eastAsia="lv-LV"/>
              </w:rPr>
              <w:t>)</w:t>
            </w:r>
          </w:p>
        </w:tc>
        <w:tc>
          <w:tcPr>
            <w:tcW w:w="1250" w:type="pct"/>
            <w:gridSpan w:val="2"/>
          </w:tcPr>
          <w:p w14:paraId="088A9D83" w14:textId="77777777" w:rsidR="00E47BAE" w:rsidRDefault="00E47BAE" w:rsidP="00E47BAE">
            <w:pPr>
              <w:ind w:left="112" w:right="138"/>
              <w:jc w:val="center"/>
              <w:rPr>
                <w:rFonts w:eastAsia="Times New Roman"/>
                <w:sz w:val="24"/>
                <w:szCs w:val="24"/>
                <w:lang w:eastAsia="lv-LV"/>
              </w:rPr>
            </w:pPr>
            <w:r w:rsidRPr="00A60681">
              <w:rPr>
                <w:rFonts w:eastAsia="Times New Roman"/>
                <w:sz w:val="24"/>
                <w:szCs w:val="24"/>
                <w:lang w:eastAsia="lv-LV"/>
              </w:rPr>
              <w:t>Ieviests pilnībā</w:t>
            </w:r>
          </w:p>
        </w:tc>
        <w:tc>
          <w:tcPr>
            <w:tcW w:w="1249" w:type="pct"/>
          </w:tcPr>
          <w:p w14:paraId="48C9719F" w14:textId="77777777" w:rsidR="00E47BAE" w:rsidRDefault="00E47BAE" w:rsidP="000161F8">
            <w:pPr>
              <w:ind w:left="112" w:right="138"/>
              <w:jc w:val="both"/>
              <w:rPr>
                <w:rFonts w:eastAsia="Times New Roman"/>
                <w:sz w:val="24"/>
                <w:szCs w:val="24"/>
                <w:lang w:eastAsia="lv-LV"/>
              </w:rPr>
            </w:pPr>
            <w:r>
              <w:rPr>
                <w:rFonts w:eastAsia="Times New Roman"/>
                <w:sz w:val="24"/>
                <w:szCs w:val="24"/>
                <w:lang w:eastAsia="lv-LV"/>
              </w:rPr>
              <w:t xml:space="preserve">Ministru kabineta noteikumu </w:t>
            </w:r>
            <w:r w:rsidRPr="00A60681">
              <w:rPr>
                <w:rFonts w:eastAsia="Times New Roman"/>
                <w:sz w:val="24"/>
                <w:szCs w:val="24"/>
                <w:lang w:eastAsia="lv-LV"/>
              </w:rPr>
              <w:t xml:space="preserve">projekts </w:t>
            </w:r>
            <w:r w:rsidRPr="000161F8">
              <w:rPr>
                <w:sz w:val="24"/>
              </w:rPr>
              <w:t>neparedz</w:t>
            </w:r>
            <w:r w:rsidRPr="00A60681">
              <w:rPr>
                <w:rFonts w:eastAsia="Times New Roman"/>
                <w:sz w:val="24"/>
                <w:szCs w:val="24"/>
                <w:lang w:eastAsia="lv-LV"/>
              </w:rPr>
              <w:t xml:space="preserve"> stingrākas prasības</w:t>
            </w:r>
          </w:p>
        </w:tc>
      </w:tr>
      <w:tr w:rsidR="000161F8" w:rsidRPr="00820287" w14:paraId="363444A0" w14:textId="77777777" w:rsidTr="00E47BAE">
        <w:tc>
          <w:tcPr>
            <w:tcW w:w="1250" w:type="pct"/>
            <w:gridSpan w:val="5"/>
          </w:tcPr>
          <w:p w14:paraId="17DAEAB0" w14:textId="77777777" w:rsidR="000161F8" w:rsidRDefault="00E47BAE" w:rsidP="000161F8">
            <w:pPr>
              <w:ind w:left="112" w:right="138"/>
              <w:rPr>
                <w:rFonts w:eastAsia="Times New Roman"/>
                <w:sz w:val="24"/>
                <w:szCs w:val="24"/>
                <w:lang w:eastAsia="lv-LV"/>
              </w:rPr>
            </w:pPr>
            <w:r w:rsidRPr="00A60681">
              <w:rPr>
                <w:rFonts w:eastAsia="Times New Roman"/>
                <w:sz w:val="24"/>
                <w:szCs w:val="24"/>
                <w:lang w:eastAsia="lv-LV"/>
              </w:rPr>
              <w:t>Kā ir izmantota ES tiesību aktā paredzētā rīcības brīvība dalībvalstij pārņemt vai ieviest noteiktas ES tiesību akta normas? Kādēļ?</w:t>
            </w:r>
          </w:p>
        </w:tc>
        <w:tc>
          <w:tcPr>
            <w:tcW w:w="3750" w:type="pct"/>
            <w:gridSpan w:val="8"/>
          </w:tcPr>
          <w:p w14:paraId="446A1F01" w14:textId="77777777" w:rsidR="000161F8" w:rsidRDefault="00E47BAE" w:rsidP="000161F8">
            <w:pPr>
              <w:ind w:left="112" w:right="138"/>
              <w:jc w:val="both"/>
              <w:rPr>
                <w:rFonts w:eastAsia="Times New Roman"/>
                <w:sz w:val="24"/>
                <w:szCs w:val="24"/>
                <w:lang w:eastAsia="lv-LV"/>
              </w:rPr>
            </w:pPr>
            <w:r w:rsidRPr="00A60681">
              <w:rPr>
                <w:rFonts w:eastAsia="Times New Roman"/>
                <w:sz w:val="24"/>
                <w:szCs w:val="24"/>
                <w:lang w:eastAsia="lv-LV"/>
              </w:rPr>
              <w:t>Projekts šo jomu neskar.</w:t>
            </w:r>
          </w:p>
        </w:tc>
      </w:tr>
      <w:tr w:rsidR="00E47BAE" w:rsidRPr="00820287" w14:paraId="4C391F78" w14:textId="77777777" w:rsidTr="00E47BAE">
        <w:tc>
          <w:tcPr>
            <w:tcW w:w="1250" w:type="pct"/>
            <w:gridSpan w:val="5"/>
          </w:tcPr>
          <w:p w14:paraId="0E39911C" w14:textId="77777777" w:rsidR="00E47BAE" w:rsidRPr="00A60681" w:rsidRDefault="00E47BAE" w:rsidP="000161F8">
            <w:pPr>
              <w:ind w:left="112" w:right="138"/>
              <w:rPr>
                <w:rFonts w:eastAsia="Times New Roman"/>
                <w:sz w:val="24"/>
                <w:szCs w:val="24"/>
                <w:lang w:eastAsia="lv-LV"/>
              </w:rPr>
            </w:pPr>
            <w:r w:rsidRPr="00A60681">
              <w:rPr>
                <w:rFonts w:eastAsia="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50" w:type="pct"/>
            <w:gridSpan w:val="8"/>
          </w:tcPr>
          <w:p w14:paraId="518090A0" w14:textId="77777777" w:rsidR="00E47BAE" w:rsidRDefault="00E47BAE" w:rsidP="000161F8">
            <w:pPr>
              <w:ind w:left="112" w:right="138"/>
              <w:jc w:val="both"/>
              <w:rPr>
                <w:rFonts w:eastAsia="Times New Roman"/>
                <w:sz w:val="24"/>
                <w:szCs w:val="24"/>
                <w:lang w:eastAsia="lv-LV"/>
              </w:rPr>
            </w:pPr>
            <w:r w:rsidRPr="00A60681">
              <w:rPr>
                <w:rFonts w:eastAsia="Times New Roman"/>
                <w:sz w:val="24"/>
                <w:szCs w:val="24"/>
                <w:lang w:eastAsia="lv-LV"/>
              </w:rPr>
              <w:t>Projekts šo jomu neskar.</w:t>
            </w:r>
          </w:p>
        </w:tc>
      </w:tr>
      <w:tr w:rsidR="000161F8" w:rsidRPr="00820287" w14:paraId="6A161B42" w14:textId="77777777" w:rsidTr="00E47BAE">
        <w:tc>
          <w:tcPr>
            <w:tcW w:w="1250" w:type="pct"/>
            <w:gridSpan w:val="5"/>
          </w:tcPr>
          <w:p w14:paraId="46791429" w14:textId="77777777" w:rsidR="000161F8" w:rsidRDefault="00E47BAE" w:rsidP="000161F8">
            <w:pPr>
              <w:ind w:left="112" w:right="138"/>
              <w:rPr>
                <w:rFonts w:eastAsia="Times New Roman"/>
                <w:sz w:val="24"/>
                <w:szCs w:val="24"/>
                <w:lang w:eastAsia="lv-LV"/>
              </w:rPr>
            </w:pPr>
            <w:r>
              <w:rPr>
                <w:rFonts w:eastAsia="Times New Roman"/>
                <w:sz w:val="24"/>
                <w:szCs w:val="24"/>
                <w:lang w:eastAsia="lv-LV"/>
              </w:rPr>
              <w:t>Cita informācija</w:t>
            </w:r>
          </w:p>
        </w:tc>
        <w:tc>
          <w:tcPr>
            <w:tcW w:w="3750" w:type="pct"/>
            <w:gridSpan w:val="8"/>
          </w:tcPr>
          <w:p w14:paraId="2E07535E" w14:textId="77777777" w:rsidR="000161F8" w:rsidRDefault="00E47BAE" w:rsidP="000161F8">
            <w:pPr>
              <w:ind w:left="112" w:right="138"/>
              <w:jc w:val="both"/>
              <w:rPr>
                <w:rFonts w:eastAsia="Times New Roman"/>
                <w:sz w:val="24"/>
                <w:szCs w:val="24"/>
                <w:lang w:eastAsia="lv-LV"/>
              </w:rPr>
            </w:pPr>
            <w:r>
              <w:rPr>
                <w:rFonts w:eastAsia="Times New Roman"/>
                <w:sz w:val="24"/>
                <w:szCs w:val="24"/>
                <w:lang w:eastAsia="lv-LV"/>
              </w:rPr>
              <w:t>Nav.</w:t>
            </w:r>
          </w:p>
        </w:tc>
      </w:tr>
      <w:tr w:rsidR="00E47BAE" w:rsidRPr="00820287" w14:paraId="35163240" w14:textId="77777777" w:rsidTr="00E47BAE">
        <w:tc>
          <w:tcPr>
            <w:tcW w:w="5000" w:type="pct"/>
            <w:gridSpan w:val="13"/>
          </w:tcPr>
          <w:p w14:paraId="6D209235" w14:textId="77777777" w:rsidR="00E47BAE" w:rsidRDefault="00E47BAE" w:rsidP="00E47BAE">
            <w:pPr>
              <w:ind w:left="57" w:right="113"/>
              <w:jc w:val="center"/>
              <w:rPr>
                <w:rFonts w:eastAsia="Times New Roman"/>
                <w:b/>
                <w:bCs/>
                <w:sz w:val="24"/>
                <w:szCs w:val="24"/>
                <w:lang w:eastAsia="lv-LV"/>
              </w:rPr>
            </w:pPr>
            <w:r>
              <w:rPr>
                <w:rFonts w:eastAsia="Times New Roman"/>
                <w:b/>
                <w:bCs/>
                <w:sz w:val="24"/>
                <w:szCs w:val="24"/>
                <w:lang w:eastAsia="lv-LV"/>
              </w:rPr>
              <w:t>2</w:t>
            </w:r>
            <w:r w:rsidRPr="00A60681">
              <w:rPr>
                <w:rFonts w:eastAsia="Times New Roman"/>
                <w:b/>
                <w:bCs/>
                <w:sz w:val="24"/>
                <w:szCs w:val="24"/>
                <w:lang w:eastAsia="lv-LV"/>
              </w:rPr>
              <w:t>. tabula</w:t>
            </w:r>
          </w:p>
          <w:p w14:paraId="1595F64A" w14:textId="77777777" w:rsidR="00E47BAE" w:rsidRDefault="00E47BAE" w:rsidP="00E47BAE">
            <w:pPr>
              <w:ind w:left="57" w:right="113"/>
              <w:jc w:val="center"/>
              <w:rPr>
                <w:rFonts w:eastAsia="Times New Roman"/>
                <w:sz w:val="24"/>
                <w:szCs w:val="24"/>
                <w:lang w:eastAsia="lv-LV"/>
              </w:rPr>
            </w:pPr>
            <w:r w:rsidRPr="00E47BAE">
              <w:rPr>
                <w:rFonts w:eastAsia="Times New Roman"/>
                <w:b/>
                <w:bCs/>
                <w:sz w:val="24"/>
                <w:szCs w:val="24"/>
                <w:lang w:eastAsia="lv-LV"/>
              </w:rPr>
              <w:t>Ar tiesību akta projektu izpildītās vai uzņemtās saistības, kas izriet no starptautiskajiem tiesību aktiem vai starptautiskas institūcijas vai organizācijas dokumentiem.</w:t>
            </w:r>
            <w:r w:rsidRPr="00E47BAE">
              <w:rPr>
                <w:rFonts w:eastAsia="Times New Roman"/>
                <w:b/>
                <w:bCs/>
                <w:sz w:val="24"/>
                <w:szCs w:val="24"/>
                <w:lang w:eastAsia="lv-LV"/>
              </w:rPr>
              <w:br/>
              <w:t>Pasākumi šo saistību izpildei</w:t>
            </w:r>
          </w:p>
        </w:tc>
      </w:tr>
      <w:tr w:rsidR="00E47BAE" w:rsidRPr="00820287" w14:paraId="76514029" w14:textId="77777777" w:rsidTr="00E47BAE">
        <w:tc>
          <w:tcPr>
            <w:tcW w:w="1250" w:type="pct"/>
            <w:gridSpan w:val="5"/>
          </w:tcPr>
          <w:p w14:paraId="2F929206" w14:textId="77777777" w:rsidR="00E47BAE" w:rsidRPr="00E47BAE" w:rsidRDefault="00E47BAE" w:rsidP="000161F8">
            <w:pPr>
              <w:ind w:left="112" w:right="138"/>
              <w:rPr>
                <w:rFonts w:eastAsia="Times New Roman"/>
                <w:sz w:val="24"/>
                <w:szCs w:val="24"/>
                <w:lang w:eastAsia="lv-LV"/>
              </w:rPr>
            </w:pPr>
            <w:r w:rsidRPr="00E47BAE">
              <w:rPr>
                <w:sz w:val="24"/>
                <w:szCs w:val="20"/>
              </w:rPr>
              <w:t xml:space="preserve">Attiecīgā starptautiskā tiesību </w:t>
            </w:r>
            <w:r w:rsidRPr="00E47BAE">
              <w:rPr>
                <w:sz w:val="24"/>
                <w:szCs w:val="20"/>
              </w:rPr>
              <w:lastRenderedPageBreak/>
              <w:t>akta vai starptautiskas institūcijas vai organizācijas dokumenta (turpmāk – starptautiskais dokuments) datums, numurs un nosaukums</w:t>
            </w:r>
          </w:p>
        </w:tc>
        <w:tc>
          <w:tcPr>
            <w:tcW w:w="3750" w:type="pct"/>
            <w:gridSpan w:val="8"/>
          </w:tcPr>
          <w:p w14:paraId="24F8C2AD" w14:textId="77777777" w:rsidR="00E47BAE" w:rsidRDefault="00E47BAE" w:rsidP="000161F8">
            <w:pPr>
              <w:ind w:left="112" w:right="138"/>
              <w:jc w:val="both"/>
              <w:rPr>
                <w:rFonts w:eastAsia="Times New Roman"/>
                <w:sz w:val="24"/>
                <w:szCs w:val="24"/>
                <w:lang w:eastAsia="lv-LV"/>
              </w:rPr>
            </w:pPr>
            <w:r>
              <w:rPr>
                <w:rFonts w:eastAsia="Times New Roman"/>
                <w:sz w:val="24"/>
                <w:szCs w:val="24"/>
                <w:lang w:eastAsia="lv-LV"/>
              </w:rPr>
              <w:lastRenderedPageBreak/>
              <w:t>Projekts šo jomu neskar.</w:t>
            </w:r>
          </w:p>
        </w:tc>
      </w:tr>
      <w:tr w:rsidR="00E47BAE" w:rsidRPr="00820287" w14:paraId="179174B2" w14:textId="77777777" w:rsidTr="00E47BAE">
        <w:tc>
          <w:tcPr>
            <w:tcW w:w="1250" w:type="pct"/>
            <w:gridSpan w:val="5"/>
          </w:tcPr>
          <w:p w14:paraId="26175284" w14:textId="77777777" w:rsidR="00E47BAE" w:rsidRPr="00E47BAE" w:rsidRDefault="00E47BAE" w:rsidP="00E47BAE">
            <w:pPr>
              <w:ind w:left="112" w:right="138"/>
              <w:jc w:val="center"/>
              <w:rPr>
                <w:sz w:val="24"/>
                <w:szCs w:val="20"/>
              </w:rPr>
            </w:pPr>
            <w:r>
              <w:rPr>
                <w:sz w:val="24"/>
                <w:szCs w:val="20"/>
              </w:rPr>
              <w:t>A</w:t>
            </w:r>
          </w:p>
        </w:tc>
        <w:tc>
          <w:tcPr>
            <w:tcW w:w="1875" w:type="pct"/>
            <w:gridSpan w:val="6"/>
          </w:tcPr>
          <w:p w14:paraId="67C561E6" w14:textId="77777777" w:rsidR="00E47BAE" w:rsidRDefault="00E47BAE" w:rsidP="00E47BAE">
            <w:pPr>
              <w:ind w:left="112" w:right="138"/>
              <w:jc w:val="center"/>
              <w:rPr>
                <w:rFonts w:eastAsia="Times New Roman"/>
                <w:sz w:val="24"/>
                <w:szCs w:val="24"/>
                <w:lang w:eastAsia="lv-LV"/>
              </w:rPr>
            </w:pPr>
            <w:r>
              <w:rPr>
                <w:rFonts w:eastAsia="Times New Roman"/>
                <w:sz w:val="24"/>
                <w:szCs w:val="24"/>
                <w:lang w:eastAsia="lv-LV"/>
              </w:rPr>
              <w:t>B</w:t>
            </w:r>
          </w:p>
        </w:tc>
        <w:tc>
          <w:tcPr>
            <w:tcW w:w="1875" w:type="pct"/>
            <w:gridSpan w:val="2"/>
          </w:tcPr>
          <w:p w14:paraId="1A49AD7E" w14:textId="77777777" w:rsidR="00E47BAE" w:rsidRDefault="00E47BAE" w:rsidP="00E47BAE">
            <w:pPr>
              <w:ind w:left="112" w:right="138"/>
              <w:jc w:val="center"/>
              <w:rPr>
                <w:rFonts w:eastAsia="Times New Roman"/>
                <w:sz w:val="24"/>
                <w:szCs w:val="24"/>
                <w:lang w:eastAsia="lv-LV"/>
              </w:rPr>
            </w:pPr>
            <w:r>
              <w:rPr>
                <w:rFonts w:eastAsia="Times New Roman"/>
                <w:sz w:val="24"/>
                <w:szCs w:val="24"/>
                <w:lang w:eastAsia="lv-LV"/>
              </w:rPr>
              <w:t>C</w:t>
            </w:r>
          </w:p>
        </w:tc>
      </w:tr>
      <w:tr w:rsidR="00E47BAE" w:rsidRPr="00E47BAE" w14:paraId="03736AAF" w14:textId="77777777" w:rsidTr="00E47BAE">
        <w:tc>
          <w:tcPr>
            <w:tcW w:w="1250" w:type="pct"/>
            <w:gridSpan w:val="5"/>
          </w:tcPr>
          <w:p w14:paraId="423693CD" w14:textId="77777777" w:rsidR="00E47BAE" w:rsidRPr="00E47BAE" w:rsidRDefault="00E47BAE" w:rsidP="00E47BAE">
            <w:pPr>
              <w:ind w:left="112" w:right="12"/>
              <w:rPr>
                <w:sz w:val="24"/>
                <w:szCs w:val="24"/>
              </w:rPr>
            </w:pPr>
            <w:r w:rsidRPr="00E47BAE">
              <w:rPr>
                <w:sz w:val="24"/>
                <w:szCs w:val="24"/>
              </w:rPr>
              <w:t>Starptautiskās saistības (pēc būtības), kas izriet no norādītā starptautiskā dokumenta.</w:t>
            </w:r>
            <w:r w:rsidRPr="00E47BAE">
              <w:rPr>
                <w:sz w:val="24"/>
                <w:szCs w:val="24"/>
              </w:rPr>
              <w:br/>
              <w:t>Konkrēti veicamie pasākumi vai uzdevumi, kas nepieciešami šo starptautisko saistību izpildei</w:t>
            </w:r>
          </w:p>
        </w:tc>
        <w:tc>
          <w:tcPr>
            <w:tcW w:w="1875" w:type="pct"/>
            <w:gridSpan w:val="6"/>
          </w:tcPr>
          <w:p w14:paraId="42D0EFB9" w14:textId="77777777" w:rsidR="00E47BAE" w:rsidRPr="00E47BAE" w:rsidRDefault="00E47BAE" w:rsidP="00E47BAE">
            <w:pPr>
              <w:ind w:left="112" w:right="60"/>
              <w:rPr>
                <w:rFonts w:eastAsia="Times New Roman"/>
                <w:sz w:val="24"/>
                <w:szCs w:val="24"/>
                <w:lang w:eastAsia="lv-LV"/>
              </w:rPr>
            </w:pPr>
            <w:r w:rsidRPr="00E47BAE">
              <w:rPr>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875" w:type="pct"/>
            <w:gridSpan w:val="2"/>
          </w:tcPr>
          <w:p w14:paraId="64895449" w14:textId="77777777" w:rsidR="00E47BAE" w:rsidRPr="00E47BAE" w:rsidRDefault="00E47BAE" w:rsidP="00E47BAE">
            <w:pPr>
              <w:ind w:left="112"/>
              <w:rPr>
                <w:rFonts w:eastAsia="Times New Roman"/>
                <w:sz w:val="24"/>
                <w:szCs w:val="24"/>
                <w:lang w:eastAsia="lv-LV"/>
              </w:rPr>
            </w:pPr>
            <w:r w:rsidRPr="00E47BAE">
              <w:rPr>
                <w:sz w:val="24"/>
                <w:szCs w:val="24"/>
              </w:rPr>
              <w:t>Informācija par to, vai starptautiskās saistības, kas minētas šīs tabulas A ailē, tiek izpildītas pilnībā vai daļēji.</w:t>
            </w:r>
            <w:r w:rsidRPr="00E47BAE">
              <w:rPr>
                <w:sz w:val="24"/>
                <w:szCs w:val="24"/>
              </w:rPr>
              <w:br/>
              <w:t>Ja attiecīgās starptautiskās saistības tiek izpildītas daļēji, sniedz skaidrojumu, kā arī precīzi norāda, kad un kādā veidā starptautiskās saistības tiks izpildītas pilnībā.</w:t>
            </w:r>
            <w:r w:rsidRPr="00E47BAE">
              <w:rPr>
                <w:sz w:val="24"/>
                <w:szCs w:val="24"/>
              </w:rPr>
              <w:br/>
              <w:t>Norāda institūciju, kas ir atbildīga par šo saistību izpildi pilnībā</w:t>
            </w:r>
          </w:p>
        </w:tc>
      </w:tr>
      <w:tr w:rsidR="00E47BAE" w:rsidRPr="00E47BAE" w14:paraId="4128101E" w14:textId="77777777" w:rsidTr="00E47BAE">
        <w:tc>
          <w:tcPr>
            <w:tcW w:w="1250" w:type="pct"/>
            <w:gridSpan w:val="5"/>
          </w:tcPr>
          <w:p w14:paraId="7DD08035" w14:textId="77777777" w:rsidR="00E47BAE" w:rsidRPr="00E47BAE" w:rsidRDefault="00E47BAE" w:rsidP="00E47BAE">
            <w:pPr>
              <w:ind w:left="112" w:right="12"/>
              <w:rPr>
                <w:sz w:val="24"/>
                <w:szCs w:val="24"/>
              </w:rPr>
            </w:pPr>
            <w:r w:rsidRPr="00E47BAE">
              <w:rPr>
                <w:sz w:val="24"/>
                <w:szCs w:val="24"/>
              </w:rPr>
              <w:t>Vai starptautiskajā dokumentā paredzētās saistības nav pretrunā ar jau esošajām Latvijas Republikas starptautiskajām saistībām</w:t>
            </w:r>
          </w:p>
        </w:tc>
        <w:tc>
          <w:tcPr>
            <w:tcW w:w="3750" w:type="pct"/>
            <w:gridSpan w:val="8"/>
          </w:tcPr>
          <w:p w14:paraId="42D359C7" w14:textId="77777777" w:rsidR="00E47BAE" w:rsidRPr="00E47BAE" w:rsidRDefault="00E47BAE" w:rsidP="00E47BAE">
            <w:pPr>
              <w:ind w:left="112"/>
              <w:rPr>
                <w:sz w:val="24"/>
                <w:szCs w:val="24"/>
              </w:rPr>
            </w:pPr>
            <w:r>
              <w:rPr>
                <w:sz w:val="24"/>
                <w:szCs w:val="24"/>
              </w:rPr>
              <w:t>Nav</w:t>
            </w:r>
          </w:p>
        </w:tc>
      </w:tr>
      <w:tr w:rsidR="00E47BAE" w:rsidRPr="00E47BAE" w14:paraId="777C79D0" w14:textId="77777777" w:rsidTr="00E47BAE">
        <w:tc>
          <w:tcPr>
            <w:tcW w:w="1250" w:type="pct"/>
            <w:gridSpan w:val="5"/>
          </w:tcPr>
          <w:p w14:paraId="38FF2D29" w14:textId="77777777" w:rsidR="00E47BAE" w:rsidRPr="00E47BAE" w:rsidRDefault="00E47BAE" w:rsidP="00E47BAE">
            <w:pPr>
              <w:ind w:left="112" w:right="12"/>
              <w:rPr>
                <w:sz w:val="24"/>
                <w:szCs w:val="24"/>
              </w:rPr>
            </w:pPr>
            <w:r>
              <w:rPr>
                <w:sz w:val="24"/>
                <w:szCs w:val="24"/>
              </w:rPr>
              <w:t>Cita informācija</w:t>
            </w:r>
          </w:p>
        </w:tc>
        <w:tc>
          <w:tcPr>
            <w:tcW w:w="3750" w:type="pct"/>
            <w:gridSpan w:val="8"/>
          </w:tcPr>
          <w:p w14:paraId="307444B4" w14:textId="77777777" w:rsidR="00E47BAE" w:rsidRDefault="00E47BAE" w:rsidP="00E47BAE">
            <w:pPr>
              <w:ind w:left="112"/>
              <w:rPr>
                <w:sz w:val="24"/>
                <w:szCs w:val="24"/>
              </w:rPr>
            </w:pPr>
            <w:r>
              <w:rPr>
                <w:sz w:val="24"/>
                <w:szCs w:val="24"/>
              </w:rPr>
              <w:t>Nav</w:t>
            </w:r>
          </w:p>
        </w:tc>
      </w:tr>
      <w:tr w:rsidR="00E47BAE" w:rsidRPr="00820287" w14:paraId="073A3ED9" w14:textId="77777777" w:rsidTr="00E47BAE">
        <w:tblPrEx>
          <w:jc w:val="center"/>
          <w:tblInd w:w="0" w:type="dxa"/>
          <w:tblCellMar>
            <w:top w:w="0" w:type="dxa"/>
            <w:left w:w="0" w:type="dxa"/>
            <w:bottom w:w="0" w:type="dxa"/>
            <w:right w:w="0" w:type="dxa"/>
          </w:tblCellMar>
          <w:tblLook w:val="0000" w:firstRow="0" w:lastRow="0" w:firstColumn="0" w:lastColumn="0" w:noHBand="0" w:noVBand="0"/>
        </w:tblPrEx>
        <w:trPr>
          <w:trHeight w:val="421"/>
          <w:jc w:val="center"/>
        </w:trPr>
        <w:tc>
          <w:tcPr>
            <w:tcW w:w="5000" w:type="pct"/>
            <w:gridSpan w:val="13"/>
            <w:vAlign w:val="center"/>
          </w:tcPr>
          <w:p w14:paraId="7D5A2B40" w14:textId="77777777" w:rsidR="00E47BAE" w:rsidRPr="00820287" w:rsidRDefault="00E47BAE" w:rsidP="008F0E60">
            <w:pPr>
              <w:pStyle w:val="naisnod"/>
              <w:spacing w:before="0" w:beforeAutospacing="0" w:after="0" w:afterAutospacing="0"/>
              <w:jc w:val="center"/>
              <w:rPr>
                <w:b/>
              </w:rPr>
            </w:pPr>
          </w:p>
        </w:tc>
      </w:tr>
      <w:tr w:rsidR="00F207FB" w:rsidRPr="00820287" w14:paraId="201A2594" w14:textId="77777777" w:rsidTr="00E47BAE">
        <w:tblPrEx>
          <w:jc w:val="center"/>
          <w:tblInd w:w="0" w:type="dxa"/>
          <w:tblCellMar>
            <w:top w:w="0" w:type="dxa"/>
            <w:left w:w="0" w:type="dxa"/>
            <w:bottom w:w="0" w:type="dxa"/>
            <w:right w:w="0" w:type="dxa"/>
          </w:tblCellMar>
          <w:tblLook w:val="0000" w:firstRow="0" w:lastRow="0" w:firstColumn="0" w:lastColumn="0" w:noHBand="0" w:noVBand="0"/>
        </w:tblPrEx>
        <w:trPr>
          <w:trHeight w:val="421"/>
          <w:jc w:val="center"/>
        </w:trPr>
        <w:tc>
          <w:tcPr>
            <w:tcW w:w="5000" w:type="pct"/>
            <w:gridSpan w:val="13"/>
            <w:vAlign w:val="center"/>
          </w:tcPr>
          <w:p w14:paraId="6089C367" w14:textId="77777777" w:rsidR="00731A08" w:rsidRPr="00820287" w:rsidRDefault="00731A08" w:rsidP="008F0E60">
            <w:pPr>
              <w:pStyle w:val="naisnod"/>
              <w:spacing w:before="0" w:beforeAutospacing="0" w:after="0" w:afterAutospacing="0"/>
              <w:jc w:val="center"/>
              <w:rPr>
                <w:b/>
              </w:rPr>
            </w:pPr>
            <w:r w:rsidRPr="00820287">
              <w:rPr>
                <w:b/>
              </w:rPr>
              <w:t>VI. Sabiedrības līdzdalība un komunikācijas aktivitātes</w:t>
            </w:r>
          </w:p>
        </w:tc>
      </w:tr>
      <w:tr w:rsidR="00D96306" w:rsidRPr="00820287" w14:paraId="087EEDC8" w14:textId="77777777" w:rsidTr="00E47BAE">
        <w:tblPrEx>
          <w:jc w:val="center"/>
          <w:tblInd w:w="0" w:type="dxa"/>
          <w:tblCellMar>
            <w:top w:w="0" w:type="dxa"/>
            <w:left w:w="0" w:type="dxa"/>
            <w:bottom w:w="0" w:type="dxa"/>
            <w:right w:w="0" w:type="dxa"/>
          </w:tblCellMar>
          <w:tblLook w:val="0000" w:firstRow="0" w:lastRow="0" w:firstColumn="0" w:lastColumn="0" w:noHBand="0" w:noVBand="0"/>
        </w:tblPrEx>
        <w:trPr>
          <w:trHeight w:val="572"/>
          <w:jc w:val="center"/>
        </w:trPr>
        <w:tc>
          <w:tcPr>
            <w:tcW w:w="314" w:type="pct"/>
            <w:gridSpan w:val="3"/>
          </w:tcPr>
          <w:p w14:paraId="26206C78" w14:textId="77777777" w:rsidR="00731A08" w:rsidRPr="00820287" w:rsidRDefault="00731A08" w:rsidP="008F0E60">
            <w:pPr>
              <w:jc w:val="both"/>
              <w:rPr>
                <w:bCs/>
                <w:sz w:val="24"/>
                <w:szCs w:val="24"/>
              </w:rPr>
            </w:pPr>
            <w:r w:rsidRPr="00820287">
              <w:rPr>
                <w:bCs/>
                <w:sz w:val="24"/>
                <w:szCs w:val="24"/>
              </w:rPr>
              <w:t>1.</w:t>
            </w:r>
          </w:p>
        </w:tc>
        <w:tc>
          <w:tcPr>
            <w:tcW w:w="1454" w:type="pct"/>
            <w:gridSpan w:val="4"/>
          </w:tcPr>
          <w:p w14:paraId="44EDF8EE" w14:textId="77777777" w:rsidR="00731A08" w:rsidRPr="00820287" w:rsidRDefault="00731A08" w:rsidP="008F0E60">
            <w:pPr>
              <w:tabs>
                <w:tab w:val="left" w:pos="170"/>
              </w:tabs>
              <w:rPr>
                <w:sz w:val="24"/>
                <w:szCs w:val="24"/>
              </w:rPr>
            </w:pPr>
            <w:r w:rsidRPr="00820287">
              <w:rPr>
                <w:sz w:val="24"/>
                <w:szCs w:val="24"/>
              </w:rPr>
              <w:t>Plānotās sabiedrības līdzdalības un komunikācijas aktivitātes saistībā ar projektu</w:t>
            </w:r>
          </w:p>
        </w:tc>
        <w:tc>
          <w:tcPr>
            <w:tcW w:w="3231" w:type="pct"/>
            <w:gridSpan w:val="6"/>
          </w:tcPr>
          <w:p w14:paraId="7828078D" w14:textId="77777777" w:rsidR="00F3453A" w:rsidRDefault="00166386" w:rsidP="00374FA0">
            <w:pPr>
              <w:tabs>
                <w:tab w:val="left" w:pos="604"/>
              </w:tabs>
              <w:ind w:left="57" w:right="113"/>
              <w:jc w:val="both"/>
              <w:rPr>
                <w:sz w:val="24"/>
              </w:rPr>
            </w:pPr>
            <w:bookmarkStart w:id="3" w:name="p61"/>
            <w:bookmarkEnd w:id="3"/>
            <w:r w:rsidRPr="00166386">
              <w:rPr>
                <w:spacing w:val="-2"/>
                <w:sz w:val="22"/>
                <w:szCs w:val="24"/>
              </w:rPr>
              <w:t>S</w:t>
            </w:r>
            <w:r w:rsidRPr="00166386">
              <w:rPr>
                <w:sz w:val="24"/>
              </w:rPr>
              <w:t xml:space="preserve">abiedrības līdzdalība Ministru kabineta noteikumu projekta izstrādē ir nodrošināta, iesaistot </w:t>
            </w:r>
            <w:r>
              <w:rPr>
                <w:sz w:val="24"/>
              </w:rPr>
              <w:t xml:space="preserve">sabiedrību </w:t>
            </w:r>
            <w:r w:rsidRPr="00166386">
              <w:rPr>
                <w:sz w:val="24"/>
              </w:rPr>
              <w:t xml:space="preserve">Pievienotās vērtības nodokļa likuma grozījumu veikšanā. Informācija par likumprojektu “Grozījumi Pievienotās vērtības nodokļa likumā” </w:t>
            </w:r>
            <w:r w:rsidR="00027410">
              <w:rPr>
                <w:sz w:val="24"/>
              </w:rPr>
              <w:t xml:space="preserve">(Nr.57/Lp13) </w:t>
            </w:r>
            <w:r w:rsidR="003141D5">
              <w:rPr>
                <w:sz w:val="24"/>
              </w:rPr>
              <w:t xml:space="preserve">un likumprojektu “Grozījumi Pievienotās vērtības nodokļa likumā” (Nr.271/Lp13) </w:t>
            </w:r>
            <w:r w:rsidRPr="00166386">
              <w:rPr>
                <w:sz w:val="24"/>
              </w:rPr>
              <w:t>tika nosūtīta Latvijas Pašvaldību savienībai, Latvijas Brīvo arodbiedrību savienībai, Latvijas Darba devēju konfederācijai, Latvijas Nodokļu konsultantu asociācijai, Latvijas nodokļu maksātāju tiesību asociācijai, Latvijas Nekustamo īpašumu darījumu asociācijai, Latvijas Īpašumu vērtētāju asociācijai, Finanšu nozares asociācijai, Latvijas Republikas Grāmatvežu asociācijai un Latvijas Tirdzniecības un rūpniecības kamerai.</w:t>
            </w:r>
          </w:p>
          <w:p w14:paraId="7873AB48" w14:textId="423832BA" w:rsidR="00865912" w:rsidRPr="00865912" w:rsidRDefault="00D57145" w:rsidP="00711B9E">
            <w:pPr>
              <w:tabs>
                <w:tab w:val="left" w:pos="604"/>
              </w:tabs>
              <w:ind w:left="57" w:right="113"/>
              <w:jc w:val="both"/>
              <w:rPr>
                <w:sz w:val="24"/>
              </w:rPr>
            </w:pPr>
            <w:r w:rsidRPr="00166386">
              <w:rPr>
                <w:sz w:val="24"/>
              </w:rPr>
              <w:t>Ministru kabineta noteikumu projekt</w:t>
            </w:r>
            <w:r w:rsidR="00711B9E">
              <w:rPr>
                <w:sz w:val="24"/>
              </w:rPr>
              <w:t>s</w:t>
            </w:r>
            <w:r>
              <w:rPr>
                <w:sz w:val="24"/>
              </w:rPr>
              <w:t xml:space="preserve"> </w:t>
            </w:r>
            <w:r w:rsidR="00605840">
              <w:rPr>
                <w:sz w:val="24"/>
              </w:rPr>
              <w:t xml:space="preserve">2019.gada 4.jūnijā </w:t>
            </w:r>
            <w:r w:rsidR="00A64EBF">
              <w:rPr>
                <w:sz w:val="24"/>
              </w:rPr>
              <w:t xml:space="preserve">ir </w:t>
            </w:r>
            <w:r>
              <w:rPr>
                <w:sz w:val="24"/>
              </w:rPr>
              <w:t xml:space="preserve">nosūtīts informācijai </w:t>
            </w:r>
            <w:r w:rsidR="003141D5" w:rsidRPr="00166386">
              <w:rPr>
                <w:sz w:val="24"/>
              </w:rPr>
              <w:t xml:space="preserve">Latvijas Darba devēju konfederācijai, </w:t>
            </w:r>
            <w:r w:rsidR="003141D5" w:rsidRPr="00166386">
              <w:rPr>
                <w:sz w:val="24"/>
              </w:rPr>
              <w:lastRenderedPageBreak/>
              <w:t>Latvijas Nodokļu konsultantu asociācijai, Latvijas nodokļu maksātāju tiesību asociācijai, Finanšu nozares asociācijai, Latvijas Republikas Grāmatvežu asociācijai</w:t>
            </w:r>
            <w:r w:rsidR="00374FA0">
              <w:rPr>
                <w:sz w:val="24"/>
              </w:rPr>
              <w:t xml:space="preserve">, </w:t>
            </w:r>
            <w:r w:rsidR="00374FA0" w:rsidRPr="00374FA0">
              <w:rPr>
                <w:sz w:val="24"/>
              </w:rPr>
              <w:t>Latvijas Tranzīta biznesa asociācijai</w:t>
            </w:r>
            <w:r w:rsidR="00A64EBF">
              <w:rPr>
                <w:sz w:val="24"/>
              </w:rPr>
              <w:t>,</w:t>
            </w:r>
            <w:r w:rsidR="003141D5" w:rsidRPr="00166386">
              <w:rPr>
                <w:sz w:val="24"/>
              </w:rPr>
              <w:t xml:space="preserve"> Latvijas Tirdzniecības un rūpniecības kamerai</w:t>
            </w:r>
            <w:r w:rsidR="00A64EBF">
              <w:rPr>
                <w:sz w:val="24"/>
              </w:rPr>
              <w:t xml:space="preserve">, </w:t>
            </w:r>
            <w:r w:rsidR="00327127">
              <w:rPr>
                <w:sz w:val="24"/>
              </w:rPr>
              <w:t xml:space="preserve">Latvijas </w:t>
            </w:r>
            <w:r w:rsidR="00A64EBF" w:rsidRPr="00A64EBF">
              <w:rPr>
                <w:sz w:val="24"/>
              </w:rPr>
              <w:t>Mašīnbūves un metālapstrādes rūpniecības asociācijai</w:t>
            </w:r>
            <w:r w:rsidR="00A64EBF">
              <w:rPr>
                <w:sz w:val="24"/>
              </w:rPr>
              <w:t xml:space="preserve">, </w:t>
            </w:r>
            <w:r w:rsidR="00A64EBF" w:rsidRPr="00A64EBF">
              <w:rPr>
                <w:sz w:val="24"/>
              </w:rPr>
              <w:t>Latvijas Datortehnoloģiju asociācijai, Sadzīves preču ražotāju asociācijai</w:t>
            </w:r>
            <w:r w:rsidR="00A64EBF">
              <w:rPr>
                <w:sz w:val="24"/>
              </w:rPr>
              <w:t xml:space="preserve">, </w:t>
            </w:r>
            <w:r w:rsidR="00A64EBF" w:rsidRPr="00A64EBF">
              <w:rPr>
                <w:sz w:val="24"/>
              </w:rPr>
              <w:t>Būvmateriālu ražotāju asociācijai un Latvijas Būvuzņēmēju partnerībai</w:t>
            </w:r>
            <w:r w:rsidR="00374FA0">
              <w:rPr>
                <w:sz w:val="24"/>
              </w:rPr>
              <w:t>.</w:t>
            </w:r>
          </w:p>
        </w:tc>
      </w:tr>
      <w:tr w:rsidR="00D96306" w:rsidRPr="00820287" w14:paraId="26FF19FC" w14:textId="77777777" w:rsidTr="00E47BAE">
        <w:tblPrEx>
          <w:jc w:val="center"/>
          <w:tblInd w:w="0" w:type="dxa"/>
          <w:tblCellMar>
            <w:top w:w="0" w:type="dxa"/>
            <w:left w:w="0" w:type="dxa"/>
            <w:bottom w:w="0" w:type="dxa"/>
            <w:right w:w="0" w:type="dxa"/>
          </w:tblCellMar>
          <w:tblLook w:val="0000" w:firstRow="0" w:lastRow="0" w:firstColumn="0" w:lastColumn="0" w:noHBand="0" w:noVBand="0"/>
        </w:tblPrEx>
        <w:trPr>
          <w:trHeight w:val="339"/>
          <w:jc w:val="center"/>
        </w:trPr>
        <w:tc>
          <w:tcPr>
            <w:tcW w:w="314" w:type="pct"/>
            <w:gridSpan w:val="3"/>
          </w:tcPr>
          <w:p w14:paraId="0874D89E" w14:textId="77777777" w:rsidR="00731A08" w:rsidRPr="00820287" w:rsidRDefault="00731A08" w:rsidP="008F0E60">
            <w:pPr>
              <w:jc w:val="both"/>
              <w:rPr>
                <w:bCs/>
                <w:sz w:val="24"/>
                <w:szCs w:val="24"/>
              </w:rPr>
            </w:pPr>
            <w:r w:rsidRPr="00820287">
              <w:rPr>
                <w:bCs/>
                <w:sz w:val="24"/>
                <w:szCs w:val="24"/>
              </w:rPr>
              <w:lastRenderedPageBreak/>
              <w:t>2.</w:t>
            </w:r>
          </w:p>
        </w:tc>
        <w:tc>
          <w:tcPr>
            <w:tcW w:w="1454" w:type="pct"/>
            <w:gridSpan w:val="4"/>
          </w:tcPr>
          <w:p w14:paraId="05A6D967" w14:textId="77777777" w:rsidR="00731A08" w:rsidRPr="00820287" w:rsidRDefault="00731A08" w:rsidP="008F0E60">
            <w:pPr>
              <w:rPr>
                <w:sz w:val="24"/>
                <w:szCs w:val="24"/>
              </w:rPr>
            </w:pPr>
            <w:r w:rsidRPr="00820287">
              <w:rPr>
                <w:sz w:val="24"/>
                <w:szCs w:val="24"/>
              </w:rPr>
              <w:t>Sabiedrības līdzdalība projekta izstrādē</w:t>
            </w:r>
          </w:p>
        </w:tc>
        <w:tc>
          <w:tcPr>
            <w:tcW w:w="3231" w:type="pct"/>
            <w:gridSpan w:val="6"/>
          </w:tcPr>
          <w:p w14:paraId="6CEEFA24" w14:textId="47D7E03D" w:rsidR="00711B9E" w:rsidRPr="00605840" w:rsidRDefault="00166386" w:rsidP="00E07117">
            <w:pPr>
              <w:tabs>
                <w:tab w:val="left" w:pos="604"/>
              </w:tabs>
              <w:ind w:left="57" w:right="113"/>
              <w:jc w:val="both"/>
              <w:rPr>
                <w:sz w:val="24"/>
              </w:rPr>
            </w:pPr>
            <w:bookmarkStart w:id="4" w:name="p62"/>
            <w:bookmarkEnd w:id="4"/>
            <w:r w:rsidRPr="00166386">
              <w:rPr>
                <w:sz w:val="24"/>
              </w:rPr>
              <w:t>Ņemot vērā to, ka grozījumi Ministru kabineta 2013.gada 3.janvāra noteikum</w:t>
            </w:r>
            <w:r w:rsidR="00327127">
              <w:rPr>
                <w:sz w:val="24"/>
              </w:rPr>
              <w:t>u</w:t>
            </w:r>
            <w:r w:rsidRPr="00166386">
              <w:rPr>
                <w:sz w:val="24"/>
              </w:rPr>
              <w:t xml:space="preserve"> Nr.17 “Pievienotās vērtības nodokļa likuma normu piemērošanas kārtība un atsevišķas prasības pievienotās vērtības nodokļa maksāšanai un administrēšanai”</w:t>
            </w:r>
            <w:r w:rsidR="00027410">
              <w:rPr>
                <w:sz w:val="24"/>
              </w:rPr>
              <w:t xml:space="preserve"> </w:t>
            </w:r>
            <w:r w:rsidR="00327127" w:rsidRPr="00735BBE">
              <w:rPr>
                <w:sz w:val="24"/>
                <w:szCs w:val="24"/>
              </w:rPr>
              <w:t>2.pielikum</w:t>
            </w:r>
            <w:r w:rsidR="00327127">
              <w:rPr>
                <w:sz w:val="24"/>
                <w:szCs w:val="24"/>
              </w:rPr>
              <w:t>a 7.punkt</w:t>
            </w:r>
            <w:r w:rsidR="00327127" w:rsidRPr="00735BBE">
              <w:rPr>
                <w:sz w:val="24"/>
                <w:szCs w:val="24"/>
              </w:rPr>
              <w:t>ā</w:t>
            </w:r>
            <w:r w:rsidR="00327127">
              <w:rPr>
                <w:sz w:val="24"/>
                <w:szCs w:val="24"/>
              </w:rPr>
              <w:t>, grozījumi</w:t>
            </w:r>
            <w:r w:rsidR="00327127">
              <w:rPr>
                <w:sz w:val="24"/>
              </w:rPr>
              <w:t xml:space="preserve"> attiecībā uz </w:t>
            </w:r>
            <w:r w:rsidR="00327127" w:rsidRPr="00735BBE">
              <w:rPr>
                <w:sz w:val="24"/>
                <w:szCs w:val="24"/>
              </w:rPr>
              <w:t>melno un krāsaino metālu pusfabrikātu sarakstu, kam ir piemērojama apgrieztā jeb reversā PVN maksāšanas kār</w:t>
            </w:r>
            <w:r w:rsidR="00327127">
              <w:rPr>
                <w:sz w:val="24"/>
                <w:szCs w:val="24"/>
              </w:rPr>
              <w:t xml:space="preserve">tība, </w:t>
            </w:r>
            <w:r w:rsidR="00327127" w:rsidRPr="00735BBE">
              <w:rPr>
                <w:sz w:val="24"/>
                <w:szCs w:val="24"/>
              </w:rPr>
              <w:t>sadzīves elektronisko iekārtu un sadzīves</w:t>
            </w:r>
            <w:r w:rsidR="00327127">
              <w:rPr>
                <w:sz w:val="24"/>
                <w:szCs w:val="24"/>
              </w:rPr>
              <w:t xml:space="preserve"> elektriskās aparatūras saraksta piemērošanas termiņu</w:t>
            </w:r>
            <w:r w:rsidR="00327127" w:rsidRPr="00166386">
              <w:rPr>
                <w:sz w:val="24"/>
              </w:rPr>
              <w:t xml:space="preserve"> </w:t>
            </w:r>
            <w:r w:rsidRPr="00166386">
              <w:rPr>
                <w:sz w:val="24"/>
              </w:rPr>
              <w:t>ir tehniska rakstura, sabiedrības atkārtota līdzdalība nav nepieciešama.</w:t>
            </w:r>
            <w:r w:rsidR="00327127" w:rsidRPr="00327127">
              <w:rPr>
                <w:sz w:val="24"/>
              </w:rPr>
              <w:t xml:space="preserve"> </w:t>
            </w:r>
            <w:r w:rsidR="00327127">
              <w:rPr>
                <w:sz w:val="24"/>
              </w:rPr>
              <w:t>Savukārt s</w:t>
            </w:r>
            <w:r w:rsidR="00327127" w:rsidRPr="00327127">
              <w:rPr>
                <w:sz w:val="24"/>
              </w:rPr>
              <w:t xml:space="preserve">abiedrības līdzdalība attiecībā uz </w:t>
            </w:r>
            <w:r w:rsidR="00E07117">
              <w:rPr>
                <w:sz w:val="24"/>
              </w:rPr>
              <w:t xml:space="preserve">Direktīvas 2455/2017 prasības </w:t>
            </w:r>
            <w:r w:rsidR="00E07117">
              <w:rPr>
                <w:sz w:val="24"/>
                <w:szCs w:val="24"/>
              </w:rPr>
              <w:t xml:space="preserve">iesniegumā apliecināt </w:t>
            </w:r>
            <w:r w:rsidR="00E07117" w:rsidRPr="00735BBE">
              <w:rPr>
                <w:sz w:val="24"/>
                <w:szCs w:val="24"/>
              </w:rPr>
              <w:t xml:space="preserve">saimnieciskās darbības mītnes vietas un pastāvīgās iestādes </w:t>
            </w:r>
            <w:r w:rsidR="00E07117">
              <w:rPr>
                <w:sz w:val="24"/>
                <w:szCs w:val="24"/>
              </w:rPr>
              <w:t xml:space="preserve">neesamību </w:t>
            </w:r>
            <w:r w:rsidR="00E07117" w:rsidRPr="00735BBE">
              <w:rPr>
                <w:sz w:val="24"/>
                <w:szCs w:val="24"/>
              </w:rPr>
              <w:t>Eiropas Savienībā</w:t>
            </w:r>
            <w:r w:rsidR="00327127" w:rsidRPr="00327127">
              <w:rPr>
                <w:sz w:val="24"/>
              </w:rPr>
              <w:t xml:space="preserve"> </w:t>
            </w:r>
            <w:r w:rsidR="00E07117">
              <w:rPr>
                <w:sz w:val="24"/>
              </w:rPr>
              <w:t xml:space="preserve">pārņemšanu, kā arī attiecībā uz īpašā PVN režīma preču importa darījumos atļaujas apturēšanas un anulēšanas nosacījumiem </w:t>
            </w:r>
            <w:r w:rsidR="00327127" w:rsidRPr="00327127">
              <w:rPr>
                <w:sz w:val="24"/>
              </w:rPr>
              <w:t xml:space="preserve">ir nodrošināta, nosūtot </w:t>
            </w:r>
            <w:r w:rsidR="00E07117">
              <w:rPr>
                <w:sz w:val="24"/>
              </w:rPr>
              <w:t xml:space="preserve">Ministru kabineta </w:t>
            </w:r>
            <w:r w:rsidR="00327127" w:rsidRPr="00327127">
              <w:rPr>
                <w:sz w:val="24"/>
              </w:rPr>
              <w:t>noteikumu projektu</w:t>
            </w:r>
            <w:r w:rsidR="00E07117">
              <w:rPr>
                <w:sz w:val="24"/>
              </w:rPr>
              <w:t xml:space="preserve"> informācijai nevalstiskā sektora sadarbības partneriem.</w:t>
            </w:r>
          </w:p>
        </w:tc>
      </w:tr>
      <w:tr w:rsidR="00D96306" w:rsidRPr="00820287" w14:paraId="53457733" w14:textId="77777777" w:rsidTr="00E47BAE">
        <w:tblPrEx>
          <w:jc w:val="center"/>
          <w:tblInd w:w="0" w:type="dxa"/>
          <w:tblCellMar>
            <w:top w:w="0" w:type="dxa"/>
            <w:left w:w="0" w:type="dxa"/>
            <w:bottom w:w="0" w:type="dxa"/>
            <w:right w:w="0" w:type="dxa"/>
          </w:tblCellMar>
          <w:tblLook w:val="0000" w:firstRow="0" w:lastRow="0" w:firstColumn="0" w:lastColumn="0" w:noHBand="0" w:noVBand="0"/>
        </w:tblPrEx>
        <w:trPr>
          <w:trHeight w:val="476"/>
          <w:jc w:val="center"/>
        </w:trPr>
        <w:tc>
          <w:tcPr>
            <w:tcW w:w="314" w:type="pct"/>
            <w:gridSpan w:val="3"/>
          </w:tcPr>
          <w:p w14:paraId="2394A966" w14:textId="77777777" w:rsidR="00731A08" w:rsidRPr="00820287" w:rsidRDefault="00731A08" w:rsidP="008F0E60">
            <w:pPr>
              <w:jc w:val="both"/>
              <w:rPr>
                <w:bCs/>
                <w:sz w:val="24"/>
                <w:szCs w:val="24"/>
              </w:rPr>
            </w:pPr>
            <w:r w:rsidRPr="00820287">
              <w:rPr>
                <w:bCs/>
                <w:sz w:val="24"/>
                <w:szCs w:val="24"/>
              </w:rPr>
              <w:t>3.</w:t>
            </w:r>
          </w:p>
        </w:tc>
        <w:tc>
          <w:tcPr>
            <w:tcW w:w="1454" w:type="pct"/>
            <w:gridSpan w:val="4"/>
          </w:tcPr>
          <w:p w14:paraId="19336129" w14:textId="77777777" w:rsidR="00731A08" w:rsidRPr="00820287" w:rsidRDefault="00731A08" w:rsidP="008F0E60">
            <w:pPr>
              <w:rPr>
                <w:sz w:val="24"/>
                <w:szCs w:val="24"/>
              </w:rPr>
            </w:pPr>
            <w:r w:rsidRPr="00820287">
              <w:rPr>
                <w:sz w:val="24"/>
                <w:szCs w:val="24"/>
              </w:rPr>
              <w:t>Sabiedrības līdzdalības rezultāti</w:t>
            </w:r>
          </w:p>
        </w:tc>
        <w:tc>
          <w:tcPr>
            <w:tcW w:w="3231" w:type="pct"/>
            <w:gridSpan w:val="6"/>
          </w:tcPr>
          <w:p w14:paraId="632310B9" w14:textId="77777777" w:rsidR="00B26B68" w:rsidRPr="00166386" w:rsidRDefault="00166386" w:rsidP="007A41D7">
            <w:pPr>
              <w:tabs>
                <w:tab w:val="left" w:pos="604"/>
              </w:tabs>
              <w:ind w:left="57" w:right="113"/>
              <w:jc w:val="both"/>
              <w:rPr>
                <w:sz w:val="24"/>
                <w:szCs w:val="24"/>
              </w:rPr>
            </w:pPr>
            <w:r w:rsidRPr="00166386">
              <w:rPr>
                <w:sz w:val="24"/>
              </w:rPr>
              <w:t>No nevalstiskā sektora sadarbības partneriem iebi</w:t>
            </w:r>
            <w:r w:rsidR="007A41D7">
              <w:rPr>
                <w:sz w:val="24"/>
              </w:rPr>
              <w:t xml:space="preserve">ldumi par normatīvo regulējumu </w:t>
            </w:r>
            <w:r w:rsidRPr="00166386">
              <w:rPr>
                <w:sz w:val="24"/>
              </w:rPr>
              <w:t>netika izteikti.</w:t>
            </w:r>
          </w:p>
        </w:tc>
      </w:tr>
      <w:tr w:rsidR="00D96306" w:rsidRPr="00820287" w14:paraId="05564DD5" w14:textId="77777777" w:rsidTr="00E47BAE">
        <w:tblPrEx>
          <w:jc w:val="center"/>
          <w:tblInd w:w="0" w:type="dxa"/>
          <w:tblCellMar>
            <w:top w:w="0" w:type="dxa"/>
            <w:left w:w="0" w:type="dxa"/>
            <w:bottom w:w="0" w:type="dxa"/>
            <w:right w:w="0" w:type="dxa"/>
          </w:tblCellMar>
          <w:tblLook w:val="0000" w:firstRow="0" w:lastRow="0" w:firstColumn="0" w:lastColumn="0" w:noHBand="0" w:noVBand="0"/>
        </w:tblPrEx>
        <w:trPr>
          <w:trHeight w:val="665"/>
          <w:jc w:val="center"/>
        </w:trPr>
        <w:tc>
          <w:tcPr>
            <w:tcW w:w="314" w:type="pct"/>
            <w:gridSpan w:val="3"/>
          </w:tcPr>
          <w:p w14:paraId="2AFAD23F" w14:textId="77777777" w:rsidR="00731A08" w:rsidRPr="00820287" w:rsidRDefault="00731A08" w:rsidP="008F0E60">
            <w:pPr>
              <w:jc w:val="both"/>
              <w:rPr>
                <w:bCs/>
                <w:sz w:val="24"/>
                <w:szCs w:val="24"/>
              </w:rPr>
            </w:pPr>
            <w:r w:rsidRPr="00820287">
              <w:rPr>
                <w:bCs/>
                <w:sz w:val="24"/>
                <w:szCs w:val="24"/>
              </w:rPr>
              <w:t>4.</w:t>
            </w:r>
          </w:p>
        </w:tc>
        <w:tc>
          <w:tcPr>
            <w:tcW w:w="1454" w:type="pct"/>
            <w:gridSpan w:val="4"/>
          </w:tcPr>
          <w:p w14:paraId="736071E2" w14:textId="77777777" w:rsidR="00731A08" w:rsidRPr="00820287" w:rsidRDefault="00731A08" w:rsidP="008F0E60">
            <w:pPr>
              <w:rPr>
                <w:sz w:val="24"/>
                <w:szCs w:val="24"/>
              </w:rPr>
            </w:pPr>
            <w:r w:rsidRPr="00820287">
              <w:rPr>
                <w:sz w:val="24"/>
                <w:szCs w:val="24"/>
              </w:rPr>
              <w:t>Cita informācija</w:t>
            </w:r>
          </w:p>
        </w:tc>
        <w:tc>
          <w:tcPr>
            <w:tcW w:w="3231" w:type="pct"/>
            <w:gridSpan w:val="6"/>
          </w:tcPr>
          <w:p w14:paraId="55FDD161" w14:textId="66B24732" w:rsidR="00731A08" w:rsidRPr="00820287" w:rsidRDefault="00731A08" w:rsidP="00CE74B7">
            <w:pPr>
              <w:ind w:left="57" w:right="113"/>
              <w:jc w:val="both"/>
              <w:rPr>
                <w:sz w:val="24"/>
                <w:szCs w:val="24"/>
              </w:rPr>
            </w:pPr>
            <w:r w:rsidRPr="00820287">
              <w:rPr>
                <w:sz w:val="24"/>
                <w:szCs w:val="24"/>
              </w:rPr>
              <w:t>Nav</w:t>
            </w:r>
            <w:r w:rsidR="001C2A37">
              <w:rPr>
                <w:sz w:val="24"/>
                <w:szCs w:val="24"/>
              </w:rPr>
              <w:t>.</w:t>
            </w:r>
          </w:p>
        </w:tc>
      </w:tr>
      <w:tr w:rsidR="00F207FB" w:rsidRPr="00820287" w14:paraId="7663C7DB" w14:textId="77777777" w:rsidTr="00E47BAE">
        <w:tblPrEx>
          <w:tblCellSpacing w:w="0" w:type="dxa"/>
          <w:tblCellMar>
            <w:top w:w="0" w:type="dxa"/>
            <w:left w:w="0" w:type="dxa"/>
            <w:bottom w:w="0" w:type="dxa"/>
            <w:right w:w="0" w:type="dxa"/>
          </w:tblCellMar>
        </w:tblPrEx>
        <w:trPr>
          <w:trHeight w:val="437"/>
          <w:tblCellSpacing w:w="0" w:type="dxa"/>
        </w:trPr>
        <w:tc>
          <w:tcPr>
            <w:tcW w:w="5000" w:type="pct"/>
            <w:gridSpan w:val="13"/>
            <w:tcBorders>
              <w:top w:val="nil"/>
              <w:left w:val="nil"/>
              <w:bottom w:val="nil"/>
              <w:right w:val="nil"/>
            </w:tcBorders>
            <w:vAlign w:val="center"/>
            <w:hideMark/>
          </w:tcPr>
          <w:p w14:paraId="5AF4A4D1" w14:textId="77777777" w:rsidR="00616B4A" w:rsidRPr="00820287" w:rsidRDefault="00616B4A" w:rsidP="003D5FDA">
            <w:pPr>
              <w:jc w:val="center"/>
              <w:rPr>
                <w:rFonts w:eastAsia="Times New Roman"/>
                <w:sz w:val="24"/>
                <w:szCs w:val="24"/>
                <w:lang w:eastAsia="lv-LV"/>
              </w:rPr>
            </w:pPr>
            <w:r w:rsidRPr="00820287">
              <w:rPr>
                <w:rFonts w:eastAsia="Times New Roman"/>
                <w:b/>
                <w:bCs/>
                <w:sz w:val="24"/>
                <w:szCs w:val="24"/>
                <w:lang w:eastAsia="lv-LV"/>
              </w:rPr>
              <w:t>VII. Tiesību akta projekta izpildes nodrošināšana un tās ietekme uz institūcijām</w:t>
            </w:r>
          </w:p>
        </w:tc>
      </w:tr>
      <w:tr w:rsidR="00F207FB" w:rsidRPr="00820287" w14:paraId="6F4B820E" w14:textId="77777777" w:rsidTr="00E47BAE">
        <w:tblPrEx>
          <w:tblCellSpacing w:w="0" w:type="dxa"/>
          <w:tblCellMar>
            <w:top w:w="0" w:type="dxa"/>
            <w:left w:w="0" w:type="dxa"/>
            <w:bottom w:w="0" w:type="dxa"/>
            <w:right w:w="0" w:type="dxa"/>
          </w:tblCellMar>
        </w:tblPrEx>
        <w:trPr>
          <w:trHeight w:val="437"/>
          <w:tblCellSpacing w:w="0" w:type="dxa"/>
        </w:trPr>
        <w:tc>
          <w:tcPr>
            <w:tcW w:w="5000" w:type="pct"/>
            <w:gridSpan w:val="13"/>
            <w:vAlign w:val="center"/>
          </w:tcPr>
          <w:tbl>
            <w:tblPr>
              <w:tblW w:w="9232" w:type="dxa"/>
              <w:jc w:val="center"/>
              <w:tblBorders>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61"/>
              <w:gridCol w:w="3347"/>
              <w:gridCol w:w="5024"/>
            </w:tblGrid>
            <w:tr w:rsidR="00820287" w:rsidRPr="00820287" w14:paraId="4CD64937" w14:textId="77777777" w:rsidTr="00757B02">
              <w:trPr>
                <w:trHeight w:val="444"/>
                <w:jc w:val="center"/>
              </w:trPr>
              <w:tc>
                <w:tcPr>
                  <w:tcW w:w="861" w:type="dxa"/>
                  <w:hideMark/>
                </w:tcPr>
                <w:p w14:paraId="6CF705E8" w14:textId="77777777" w:rsidR="003D2F4C" w:rsidRPr="00820287" w:rsidRDefault="003D2F4C" w:rsidP="008F0E60">
                  <w:pPr>
                    <w:pStyle w:val="naisnod"/>
                    <w:spacing w:before="0" w:beforeAutospacing="0" w:after="0" w:afterAutospacing="0"/>
                    <w:jc w:val="both"/>
                  </w:pPr>
                  <w:r w:rsidRPr="00820287">
                    <w:t>1.</w:t>
                  </w:r>
                </w:p>
              </w:tc>
              <w:tc>
                <w:tcPr>
                  <w:tcW w:w="3347" w:type="dxa"/>
                  <w:hideMark/>
                </w:tcPr>
                <w:p w14:paraId="5BAA7E1B" w14:textId="77777777" w:rsidR="003D2F4C" w:rsidRPr="00820287" w:rsidRDefault="003D2F4C" w:rsidP="008F0E60">
                  <w:pPr>
                    <w:pStyle w:val="naisf"/>
                    <w:spacing w:before="0" w:beforeAutospacing="0" w:after="0" w:afterAutospacing="0"/>
                  </w:pPr>
                  <w:r w:rsidRPr="00820287">
                    <w:t>Projekta izpildē iesaistītās institūcijas</w:t>
                  </w:r>
                </w:p>
              </w:tc>
              <w:tc>
                <w:tcPr>
                  <w:tcW w:w="5024" w:type="dxa"/>
                  <w:hideMark/>
                </w:tcPr>
                <w:p w14:paraId="36B4B025" w14:textId="77777777" w:rsidR="003D2F4C" w:rsidRPr="00820287" w:rsidRDefault="00B66183" w:rsidP="00CE74B7">
                  <w:pPr>
                    <w:shd w:val="clear" w:color="auto" w:fill="FFFFFF"/>
                    <w:ind w:left="57" w:right="113"/>
                    <w:jc w:val="both"/>
                    <w:rPr>
                      <w:sz w:val="24"/>
                      <w:szCs w:val="24"/>
                    </w:rPr>
                  </w:pPr>
                  <w:bookmarkStart w:id="5" w:name="p69"/>
                  <w:bookmarkStart w:id="6" w:name="p68"/>
                  <w:bookmarkStart w:id="7" w:name="p67"/>
                  <w:bookmarkStart w:id="8" w:name="p66"/>
                  <w:bookmarkEnd w:id="5"/>
                  <w:bookmarkEnd w:id="6"/>
                  <w:bookmarkEnd w:id="7"/>
                  <w:bookmarkEnd w:id="8"/>
                  <w:r>
                    <w:rPr>
                      <w:sz w:val="24"/>
                      <w:szCs w:val="24"/>
                    </w:rPr>
                    <w:t>VID</w:t>
                  </w:r>
                </w:p>
              </w:tc>
            </w:tr>
            <w:tr w:rsidR="00B0423E" w:rsidRPr="00820287" w14:paraId="1867037D" w14:textId="77777777" w:rsidTr="00757B02">
              <w:trPr>
                <w:trHeight w:val="482"/>
                <w:jc w:val="center"/>
              </w:trPr>
              <w:tc>
                <w:tcPr>
                  <w:tcW w:w="861" w:type="dxa"/>
                  <w:hideMark/>
                </w:tcPr>
                <w:p w14:paraId="53C3B1A6" w14:textId="77777777" w:rsidR="003D2F4C" w:rsidRPr="00820287" w:rsidRDefault="003D2F4C" w:rsidP="008F0E60">
                  <w:pPr>
                    <w:pStyle w:val="naisnod"/>
                    <w:spacing w:before="0" w:beforeAutospacing="0" w:after="0" w:afterAutospacing="0"/>
                    <w:jc w:val="both"/>
                  </w:pPr>
                  <w:r w:rsidRPr="00820287">
                    <w:t>2.</w:t>
                  </w:r>
                </w:p>
              </w:tc>
              <w:tc>
                <w:tcPr>
                  <w:tcW w:w="3347" w:type="dxa"/>
                  <w:hideMark/>
                </w:tcPr>
                <w:p w14:paraId="15831203" w14:textId="77777777" w:rsidR="003D2F4C" w:rsidRPr="00820287" w:rsidRDefault="003D2F4C" w:rsidP="008F0E60">
                  <w:pPr>
                    <w:pStyle w:val="naisf"/>
                    <w:spacing w:before="0" w:beforeAutospacing="0" w:after="0" w:afterAutospacing="0"/>
                  </w:pPr>
                  <w:r w:rsidRPr="00820287">
                    <w:t>P</w:t>
                  </w:r>
                  <w:r w:rsidR="0003592B" w:rsidRPr="00820287">
                    <w:t>rojekta izpildes ietekme uz pār</w:t>
                  </w:r>
                  <w:r w:rsidRPr="00820287">
                    <w:t>valdes funkcijām un institucionālo struktūru.</w:t>
                  </w:r>
                </w:p>
                <w:p w14:paraId="6056B55C" w14:textId="77777777" w:rsidR="003D2F4C" w:rsidRPr="00820287" w:rsidRDefault="003D2F4C" w:rsidP="0003592B">
                  <w:pPr>
                    <w:pStyle w:val="naisf"/>
                    <w:spacing w:before="0" w:beforeAutospacing="0" w:after="0" w:afterAutospacing="0"/>
                  </w:pPr>
                  <w:r w:rsidRPr="00820287">
                    <w:t>Jaunu institūciju izveide, esošu institūciju likvidācija vai reorganizācija, to ietekme uz institūcijas cilvēkresursiem</w:t>
                  </w:r>
                </w:p>
              </w:tc>
              <w:tc>
                <w:tcPr>
                  <w:tcW w:w="5024" w:type="dxa"/>
                  <w:hideMark/>
                </w:tcPr>
                <w:p w14:paraId="79787411" w14:textId="72C2E117" w:rsidR="006A4F6C" w:rsidRPr="00820287" w:rsidRDefault="00166386" w:rsidP="00757B02">
                  <w:pPr>
                    <w:tabs>
                      <w:tab w:val="left" w:pos="604"/>
                    </w:tabs>
                    <w:ind w:left="57" w:right="113"/>
                    <w:jc w:val="both"/>
                    <w:rPr>
                      <w:sz w:val="24"/>
                      <w:szCs w:val="24"/>
                    </w:rPr>
                  </w:pPr>
                  <w:r>
                    <w:rPr>
                      <w:sz w:val="24"/>
                      <w:szCs w:val="24"/>
                    </w:rPr>
                    <w:t xml:space="preserve">Ministru kabineta noteikumu </w:t>
                  </w:r>
                  <w:r w:rsidR="006A4F6C" w:rsidRPr="00820287">
                    <w:rPr>
                      <w:sz w:val="24"/>
                      <w:szCs w:val="24"/>
                    </w:rPr>
                    <w:t xml:space="preserve">projekts nemainīs pārvaldes funkcijas un institucionālo </w:t>
                  </w:r>
                  <w:r w:rsidR="006A4F6C" w:rsidRPr="00757B02">
                    <w:rPr>
                      <w:rFonts w:eastAsia="Times New Roman"/>
                      <w:sz w:val="24"/>
                      <w:szCs w:val="24"/>
                      <w:lang w:eastAsia="lv-LV"/>
                    </w:rPr>
                    <w:t>struktūru</w:t>
                  </w:r>
                  <w:r w:rsidR="006A4F6C" w:rsidRPr="00820287">
                    <w:rPr>
                      <w:sz w:val="24"/>
                      <w:szCs w:val="24"/>
                    </w:rPr>
                    <w:t>, kā arī netiks veidotas jaunas institūcijas, savukārt esošās institūcijas netiks likvidētas vai reorganizētas.</w:t>
                  </w:r>
                  <w:r w:rsidR="00CC5627">
                    <w:rPr>
                      <w:sz w:val="24"/>
                      <w:szCs w:val="24"/>
                    </w:rPr>
                    <w:t xml:space="preserve"> Ministru kabineta noteikumu </w:t>
                  </w:r>
                  <w:r w:rsidR="00CC5627" w:rsidRPr="00820287">
                    <w:rPr>
                      <w:sz w:val="24"/>
                      <w:szCs w:val="24"/>
                    </w:rPr>
                    <w:t>projekts</w:t>
                  </w:r>
                  <w:r w:rsidR="00CC5627">
                    <w:rPr>
                      <w:sz w:val="24"/>
                      <w:szCs w:val="24"/>
                    </w:rPr>
                    <w:t xml:space="preserve"> tiks realizēts esošo cilvēkresursu un finansējuma ietvaros.</w:t>
                  </w:r>
                </w:p>
                <w:p w14:paraId="1D09B4BA" w14:textId="77777777" w:rsidR="00BE0E54" w:rsidRPr="00820287" w:rsidRDefault="00BE0E54" w:rsidP="00CE74B7">
                  <w:pPr>
                    <w:shd w:val="clear" w:color="auto" w:fill="FFFFFF"/>
                    <w:ind w:left="57" w:right="113" w:hanging="12"/>
                    <w:jc w:val="both"/>
                    <w:rPr>
                      <w:sz w:val="24"/>
                      <w:szCs w:val="24"/>
                    </w:rPr>
                  </w:pPr>
                </w:p>
              </w:tc>
            </w:tr>
            <w:tr w:rsidR="00B0423E" w:rsidRPr="00820287" w14:paraId="4D957ABF" w14:textId="77777777" w:rsidTr="00757B02">
              <w:trPr>
                <w:trHeight w:val="373"/>
                <w:jc w:val="center"/>
              </w:trPr>
              <w:tc>
                <w:tcPr>
                  <w:tcW w:w="861" w:type="dxa"/>
                  <w:hideMark/>
                </w:tcPr>
                <w:p w14:paraId="42FD8390" w14:textId="77777777" w:rsidR="003D2F4C" w:rsidRPr="00820287" w:rsidRDefault="003D2F4C" w:rsidP="008F0E60">
                  <w:pPr>
                    <w:pStyle w:val="naisnod"/>
                    <w:spacing w:before="0" w:beforeAutospacing="0" w:after="0" w:afterAutospacing="0"/>
                    <w:jc w:val="both"/>
                  </w:pPr>
                  <w:r w:rsidRPr="00820287">
                    <w:t>3.</w:t>
                  </w:r>
                </w:p>
              </w:tc>
              <w:tc>
                <w:tcPr>
                  <w:tcW w:w="3347" w:type="dxa"/>
                  <w:hideMark/>
                </w:tcPr>
                <w:p w14:paraId="12AD0B26" w14:textId="77777777" w:rsidR="003D2F4C" w:rsidRPr="00820287" w:rsidRDefault="003D2F4C" w:rsidP="008F0E60">
                  <w:pPr>
                    <w:pStyle w:val="naisf"/>
                    <w:spacing w:before="0" w:beforeAutospacing="0" w:after="0" w:afterAutospacing="0"/>
                  </w:pPr>
                  <w:r w:rsidRPr="00820287">
                    <w:t>Cita informācija</w:t>
                  </w:r>
                </w:p>
              </w:tc>
              <w:tc>
                <w:tcPr>
                  <w:tcW w:w="5024" w:type="dxa"/>
                  <w:hideMark/>
                </w:tcPr>
                <w:p w14:paraId="1391707F" w14:textId="3503F4EA" w:rsidR="003D2F4C" w:rsidRPr="00820287" w:rsidRDefault="003D2F4C" w:rsidP="00CE74B7">
                  <w:pPr>
                    <w:ind w:left="57" w:right="113"/>
                    <w:jc w:val="both"/>
                    <w:rPr>
                      <w:sz w:val="24"/>
                      <w:szCs w:val="24"/>
                    </w:rPr>
                  </w:pPr>
                  <w:r w:rsidRPr="00820287">
                    <w:rPr>
                      <w:sz w:val="24"/>
                      <w:szCs w:val="24"/>
                    </w:rPr>
                    <w:t>Nav</w:t>
                  </w:r>
                  <w:r w:rsidR="00CC5627">
                    <w:rPr>
                      <w:sz w:val="24"/>
                      <w:szCs w:val="24"/>
                    </w:rPr>
                    <w:t>.</w:t>
                  </w:r>
                </w:p>
              </w:tc>
            </w:tr>
          </w:tbl>
          <w:p w14:paraId="7A92DD94" w14:textId="77777777" w:rsidR="00616B4A" w:rsidRPr="00820287" w:rsidRDefault="00616B4A" w:rsidP="003D5FDA">
            <w:pPr>
              <w:jc w:val="center"/>
              <w:rPr>
                <w:rFonts w:eastAsia="Times New Roman"/>
                <w:b/>
                <w:bCs/>
                <w:sz w:val="24"/>
                <w:szCs w:val="24"/>
                <w:lang w:eastAsia="lv-LV"/>
              </w:rPr>
            </w:pPr>
          </w:p>
        </w:tc>
      </w:tr>
    </w:tbl>
    <w:p w14:paraId="3EC946B3" w14:textId="77777777" w:rsidR="00616B4A" w:rsidRDefault="00616B4A" w:rsidP="00433A6B">
      <w:pPr>
        <w:rPr>
          <w:iCs/>
          <w:sz w:val="24"/>
          <w:szCs w:val="24"/>
        </w:rPr>
      </w:pPr>
    </w:p>
    <w:p w14:paraId="4AAA255B" w14:textId="77777777" w:rsidR="00986EB0" w:rsidRPr="00820287" w:rsidRDefault="00986EB0" w:rsidP="001D7E00">
      <w:pPr>
        <w:pStyle w:val="BodyTextIndent"/>
        <w:tabs>
          <w:tab w:val="left" w:pos="6804"/>
        </w:tabs>
        <w:ind w:firstLine="0"/>
        <w:jc w:val="left"/>
        <w:rPr>
          <w:sz w:val="24"/>
          <w:lang w:eastAsia="lv-LV"/>
        </w:rPr>
      </w:pPr>
    </w:p>
    <w:p w14:paraId="3B5D73DF" w14:textId="5364A1D5" w:rsidR="00CC5627" w:rsidRDefault="0079661E" w:rsidP="00572844">
      <w:pPr>
        <w:pStyle w:val="BodyTextIndent"/>
        <w:tabs>
          <w:tab w:val="left" w:pos="6804"/>
        </w:tabs>
        <w:ind w:firstLine="720"/>
        <w:rPr>
          <w:sz w:val="24"/>
          <w:lang w:eastAsia="lv-LV"/>
        </w:rPr>
      </w:pPr>
      <w:r w:rsidRPr="00820287">
        <w:rPr>
          <w:sz w:val="24"/>
          <w:lang w:eastAsia="lv-LV"/>
        </w:rPr>
        <w:t>Finanšu ministr</w:t>
      </w:r>
      <w:r w:rsidR="00CA54DE">
        <w:rPr>
          <w:sz w:val="24"/>
          <w:lang w:eastAsia="lv-LV"/>
        </w:rPr>
        <w:t>s</w:t>
      </w:r>
      <w:r w:rsidR="00572844">
        <w:rPr>
          <w:sz w:val="24"/>
          <w:lang w:eastAsia="lv-LV"/>
        </w:rPr>
        <w:tab/>
      </w:r>
      <w:r w:rsidR="00F35277">
        <w:rPr>
          <w:sz w:val="24"/>
          <w:lang w:eastAsia="lv-LV"/>
        </w:rPr>
        <w:t xml:space="preserve">                    </w:t>
      </w:r>
      <w:r w:rsidR="00CA54DE">
        <w:rPr>
          <w:sz w:val="24"/>
          <w:lang w:eastAsia="lv-LV"/>
        </w:rPr>
        <w:t>Jānis Reirs</w:t>
      </w:r>
    </w:p>
    <w:p w14:paraId="61914A83" w14:textId="77AE9EA8" w:rsidR="00CC5627" w:rsidRDefault="00CC5627" w:rsidP="00027410">
      <w:pPr>
        <w:rPr>
          <w:lang w:eastAsia="lv-LV"/>
        </w:rPr>
      </w:pPr>
    </w:p>
    <w:p w14:paraId="0109829B" w14:textId="77777777" w:rsidR="00F35277" w:rsidRPr="00027410" w:rsidRDefault="00F35277" w:rsidP="00027410">
      <w:pPr>
        <w:rPr>
          <w:lang w:eastAsia="lv-LV"/>
        </w:rPr>
      </w:pPr>
    </w:p>
    <w:p w14:paraId="632299D8" w14:textId="358859AC" w:rsidR="00C57195" w:rsidRPr="006F2377" w:rsidRDefault="00CC5627" w:rsidP="00027410">
      <w:pPr>
        <w:rPr>
          <w:szCs w:val="20"/>
          <w:lang w:eastAsia="lv-LV"/>
        </w:rPr>
      </w:pPr>
      <w:r w:rsidRPr="00027410">
        <w:rPr>
          <w:sz w:val="20"/>
          <w:szCs w:val="20"/>
          <w:lang w:eastAsia="lv-LV"/>
        </w:rPr>
        <w:t xml:space="preserve">Kuhaļska, </w:t>
      </w:r>
      <w:r w:rsidRPr="00CC5627">
        <w:rPr>
          <w:sz w:val="20"/>
          <w:szCs w:val="20"/>
          <w:lang w:eastAsia="lv-LV"/>
        </w:rPr>
        <w:t>67083849</w:t>
      </w:r>
    </w:p>
    <w:p w14:paraId="7C7C3850" w14:textId="40AFD69C" w:rsidR="00CC5627" w:rsidRPr="00027410" w:rsidRDefault="00CC5627" w:rsidP="00027410">
      <w:pPr>
        <w:rPr>
          <w:sz w:val="20"/>
          <w:szCs w:val="20"/>
          <w:lang w:eastAsia="lv-LV"/>
        </w:rPr>
      </w:pPr>
      <w:r w:rsidRPr="00027410">
        <w:rPr>
          <w:sz w:val="20"/>
          <w:szCs w:val="20"/>
          <w:lang w:eastAsia="lv-LV"/>
        </w:rPr>
        <w:t>Jelena.Kuhalska@fm.gov.lv</w:t>
      </w:r>
    </w:p>
    <w:sectPr w:rsidR="00CC5627" w:rsidRPr="00027410" w:rsidSect="00605726">
      <w:headerReference w:type="default" r:id="rId8"/>
      <w:footerReference w:type="default" r:id="rId9"/>
      <w:footerReference w:type="first" r:id="rId10"/>
      <w:pgSz w:w="11906" w:h="16838" w:code="9"/>
      <w:pgMar w:top="1134" w:right="1134" w:bottom="1134" w:left="1701" w:header="720" w:footer="72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D63AC" w14:textId="77777777" w:rsidR="000B2D77" w:rsidRDefault="000B2D77" w:rsidP="008125DD">
      <w:r>
        <w:separator/>
      </w:r>
    </w:p>
  </w:endnote>
  <w:endnote w:type="continuationSeparator" w:id="0">
    <w:p w14:paraId="28297607" w14:textId="77777777" w:rsidR="000B2D77" w:rsidRDefault="000B2D77" w:rsidP="00812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Arial"/>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A68C7" w14:textId="6637EC5B" w:rsidR="000B2D77" w:rsidRPr="00820287" w:rsidRDefault="000B2D77" w:rsidP="00820287">
    <w:pPr>
      <w:ind w:right="-143"/>
      <w:jc w:val="both"/>
      <w:rPr>
        <w:sz w:val="20"/>
        <w:szCs w:val="20"/>
      </w:rPr>
    </w:pPr>
    <w:r>
      <w:rPr>
        <w:noProof/>
        <w:sz w:val="20"/>
        <w:szCs w:val="20"/>
      </w:rPr>
      <w:t>FMAnot_</w:t>
    </w:r>
    <w:r w:rsidR="00F35277">
      <w:rPr>
        <w:noProof/>
        <w:sz w:val="20"/>
        <w:szCs w:val="20"/>
      </w:rPr>
      <w:t>14</w:t>
    </w:r>
    <w:r w:rsidR="00E07117">
      <w:rPr>
        <w:noProof/>
        <w:sz w:val="20"/>
        <w:szCs w:val="20"/>
      </w:rPr>
      <w:t>06</w:t>
    </w:r>
    <w:r w:rsidR="005B090B">
      <w:rPr>
        <w:noProof/>
        <w:sz w:val="20"/>
        <w:szCs w:val="20"/>
      </w:rPr>
      <w:t>19</w:t>
    </w:r>
    <w:r w:rsidR="007F5FC3">
      <w:rPr>
        <w:noProof/>
        <w:sz w:val="20"/>
        <w:szCs w:val="20"/>
      </w:rPr>
      <w:t>_MK17</w:t>
    </w:r>
    <w:r>
      <w:rPr>
        <w:noProof/>
        <w:sz w:val="20"/>
        <w:szCs w:val="20"/>
      </w:rP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6D926" w14:textId="7AF961A7" w:rsidR="000B2D77" w:rsidRPr="00872484" w:rsidRDefault="000B2D77" w:rsidP="007F0BFE">
    <w:pPr>
      <w:ind w:right="-143"/>
      <w:jc w:val="both"/>
      <w:rPr>
        <w:sz w:val="20"/>
        <w:szCs w:val="20"/>
      </w:rPr>
    </w:pPr>
    <w:r>
      <w:rPr>
        <w:noProof/>
        <w:sz w:val="20"/>
        <w:szCs w:val="20"/>
      </w:rPr>
      <w:t>FMAnot_</w:t>
    </w:r>
    <w:r w:rsidR="00F35277">
      <w:rPr>
        <w:noProof/>
        <w:sz w:val="20"/>
        <w:szCs w:val="20"/>
      </w:rPr>
      <w:t>14</w:t>
    </w:r>
    <w:r w:rsidR="00E07117">
      <w:rPr>
        <w:noProof/>
        <w:sz w:val="20"/>
        <w:szCs w:val="20"/>
      </w:rPr>
      <w:t>06</w:t>
    </w:r>
    <w:r w:rsidR="005B090B">
      <w:rPr>
        <w:noProof/>
        <w:sz w:val="20"/>
        <w:szCs w:val="20"/>
      </w:rPr>
      <w:t>19</w:t>
    </w:r>
    <w:r w:rsidR="007F5FC3">
      <w:rPr>
        <w:noProof/>
        <w:sz w:val="20"/>
        <w:szCs w:val="20"/>
      </w:rPr>
      <w:t>_MK17</w:t>
    </w:r>
    <w:r>
      <w:rPr>
        <w:noProof/>
        <w:sz w:val="20"/>
        <w:szCs w:val="20"/>
      </w:rPr>
      <w:t>.docx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F6DC0" w14:textId="77777777" w:rsidR="000B2D77" w:rsidRDefault="000B2D77" w:rsidP="008125DD">
      <w:r>
        <w:separator/>
      </w:r>
    </w:p>
  </w:footnote>
  <w:footnote w:type="continuationSeparator" w:id="0">
    <w:p w14:paraId="3E12E8A5" w14:textId="77777777" w:rsidR="000B2D77" w:rsidRDefault="000B2D77" w:rsidP="008125DD">
      <w:r>
        <w:continuationSeparator/>
      </w:r>
    </w:p>
  </w:footnote>
  <w:footnote w:id="1">
    <w:p w14:paraId="5246811C" w14:textId="77777777" w:rsidR="000B2D77" w:rsidRPr="0075346E" w:rsidRDefault="000B2D77" w:rsidP="002F6421">
      <w:pPr>
        <w:pStyle w:val="FootnoteText"/>
        <w:jc w:val="both"/>
        <w:rPr>
          <w:rFonts w:ascii="Times New Roman" w:hAnsi="Times New Roman"/>
        </w:rPr>
      </w:pPr>
      <w:r w:rsidRPr="00735BBE">
        <w:rPr>
          <w:rStyle w:val="FootnoteReference"/>
          <w:rFonts w:ascii="Times New Roman" w:hAnsi="Times New Roman"/>
        </w:rPr>
        <w:footnoteRef/>
      </w:r>
      <w:r w:rsidRPr="00735BBE">
        <w:rPr>
          <w:rFonts w:ascii="Times New Roman" w:hAnsi="Times New Roman"/>
        </w:rPr>
        <w:t xml:space="preserve"> </w:t>
      </w:r>
      <w:proofErr w:type="spellStart"/>
      <w:r w:rsidRPr="00735BBE">
        <w:rPr>
          <w:rFonts w:ascii="Times New Roman" w:hAnsi="Times New Roman"/>
        </w:rPr>
        <w:t>Ārpussavienības</w:t>
      </w:r>
      <w:proofErr w:type="spellEnd"/>
      <w:r w:rsidRPr="00735BBE">
        <w:rPr>
          <w:rFonts w:ascii="Times New Roman" w:hAnsi="Times New Roman"/>
        </w:rPr>
        <w:t xml:space="preserve"> </w:t>
      </w:r>
      <w:proofErr w:type="spellStart"/>
      <w:r w:rsidRPr="00735BBE">
        <w:rPr>
          <w:rFonts w:ascii="Times New Roman" w:hAnsi="Times New Roman"/>
        </w:rPr>
        <w:t>režīms</w:t>
      </w:r>
      <w:proofErr w:type="spellEnd"/>
      <w:r w:rsidRPr="00735BBE">
        <w:rPr>
          <w:rFonts w:ascii="Times New Roman" w:hAnsi="Times New Roman"/>
        </w:rPr>
        <w:t xml:space="preserve"> </w:t>
      </w:r>
      <w:proofErr w:type="spellStart"/>
      <w:r w:rsidRPr="00735BBE">
        <w:rPr>
          <w:rFonts w:ascii="Times New Roman" w:hAnsi="Times New Roman"/>
        </w:rPr>
        <w:t>ir</w:t>
      </w:r>
      <w:proofErr w:type="spellEnd"/>
      <w:r w:rsidRPr="00735BBE">
        <w:rPr>
          <w:rFonts w:ascii="Times New Roman" w:hAnsi="Times New Roman"/>
        </w:rPr>
        <w:t xml:space="preserve"> </w:t>
      </w:r>
      <w:proofErr w:type="spellStart"/>
      <w:r w:rsidRPr="00735BBE">
        <w:rPr>
          <w:rFonts w:ascii="Times New Roman" w:hAnsi="Times New Roman"/>
        </w:rPr>
        <w:t>Padomes</w:t>
      </w:r>
      <w:proofErr w:type="spellEnd"/>
      <w:r w:rsidRPr="00735BBE">
        <w:rPr>
          <w:rFonts w:ascii="Times New Roman" w:hAnsi="Times New Roman"/>
        </w:rPr>
        <w:t xml:space="preserve"> 2011.gada 15.marta </w:t>
      </w:r>
      <w:proofErr w:type="spellStart"/>
      <w:r w:rsidRPr="00735BBE">
        <w:rPr>
          <w:rFonts w:ascii="Times New Roman" w:hAnsi="Times New Roman"/>
        </w:rPr>
        <w:t>Īstenošanas</w:t>
      </w:r>
      <w:proofErr w:type="spellEnd"/>
      <w:r w:rsidRPr="00735BBE">
        <w:rPr>
          <w:rFonts w:ascii="Times New Roman" w:hAnsi="Times New Roman"/>
        </w:rPr>
        <w:t xml:space="preserve"> </w:t>
      </w:r>
      <w:proofErr w:type="spellStart"/>
      <w:r w:rsidRPr="00735BBE">
        <w:rPr>
          <w:rFonts w:ascii="Times New Roman" w:hAnsi="Times New Roman"/>
        </w:rPr>
        <w:t>regulas</w:t>
      </w:r>
      <w:proofErr w:type="spellEnd"/>
      <w:r w:rsidRPr="00735BBE">
        <w:rPr>
          <w:rFonts w:ascii="Times New Roman" w:hAnsi="Times New Roman"/>
        </w:rPr>
        <w:t xml:space="preserve"> (ES) Nr.</w:t>
      </w:r>
      <w:hyperlink r:id="rId1" w:tgtFrame="_blank" w:history="1">
        <w:r w:rsidRPr="00735BBE">
          <w:rPr>
            <w:rFonts w:ascii="Times New Roman" w:hAnsi="Times New Roman"/>
          </w:rPr>
          <w:t>282/2011</w:t>
        </w:r>
      </w:hyperlink>
      <w:r w:rsidRPr="00735BBE">
        <w:rPr>
          <w:rFonts w:ascii="Times New Roman" w:hAnsi="Times New Roman"/>
        </w:rPr>
        <w:t xml:space="preserve">, </w:t>
      </w:r>
      <w:proofErr w:type="spellStart"/>
      <w:r w:rsidRPr="00735BBE">
        <w:rPr>
          <w:rFonts w:ascii="Times New Roman" w:hAnsi="Times New Roman"/>
        </w:rPr>
        <w:t>ar</w:t>
      </w:r>
      <w:proofErr w:type="spellEnd"/>
      <w:r w:rsidRPr="00735BBE">
        <w:rPr>
          <w:rFonts w:ascii="Times New Roman" w:hAnsi="Times New Roman"/>
        </w:rPr>
        <w:t xml:space="preserve"> </w:t>
      </w:r>
      <w:proofErr w:type="spellStart"/>
      <w:proofErr w:type="gramStart"/>
      <w:r w:rsidRPr="00735BBE">
        <w:rPr>
          <w:rFonts w:ascii="Times New Roman" w:hAnsi="Times New Roman"/>
        </w:rPr>
        <w:t>ko</w:t>
      </w:r>
      <w:proofErr w:type="spellEnd"/>
      <w:proofErr w:type="gramEnd"/>
      <w:r w:rsidRPr="00735BBE">
        <w:rPr>
          <w:rFonts w:ascii="Times New Roman" w:hAnsi="Times New Roman"/>
        </w:rPr>
        <w:t xml:space="preserve"> </w:t>
      </w:r>
      <w:proofErr w:type="spellStart"/>
      <w:r w:rsidRPr="00735BBE">
        <w:rPr>
          <w:rFonts w:ascii="Times New Roman" w:hAnsi="Times New Roman"/>
        </w:rPr>
        <w:t>nosaka</w:t>
      </w:r>
      <w:proofErr w:type="spellEnd"/>
      <w:r w:rsidRPr="00735BBE">
        <w:rPr>
          <w:rFonts w:ascii="Times New Roman" w:hAnsi="Times New Roman"/>
        </w:rPr>
        <w:t xml:space="preserve"> </w:t>
      </w:r>
      <w:proofErr w:type="spellStart"/>
      <w:r w:rsidRPr="00735BBE">
        <w:rPr>
          <w:rFonts w:ascii="Times New Roman" w:hAnsi="Times New Roman"/>
        </w:rPr>
        <w:t>īstenošanas</w:t>
      </w:r>
      <w:proofErr w:type="spellEnd"/>
      <w:r w:rsidRPr="00735BBE">
        <w:rPr>
          <w:rFonts w:ascii="Times New Roman" w:hAnsi="Times New Roman"/>
        </w:rPr>
        <w:t xml:space="preserve"> </w:t>
      </w:r>
      <w:proofErr w:type="spellStart"/>
      <w:r w:rsidRPr="00735BBE">
        <w:rPr>
          <w:rFonts w:ascii="Times New Roman" w:hAnsi="Times New Roman"/>
        </w:rPr>
        <w:t>pasākumus</w:t>
      </w:r>
      <w:proofErr w:type="spellEnd"/>
      <w:r w:rsidRPr="00735BBE">
        <w:rPr>
          <w:rFonts w:ascii="Times New Roman" w:hAnsi="Times New Roman"/>
        </w:rPr>
        <w:t xml:space="preserve"> </w:t>
      </w:r>
      <w:proofErr w:type="spellStart"/>
      <w:r w:rsidRPr="00735BBE">
        <w:rPr>
          <w:rFonts w:ascii="Times New Roman" w:hAnsi="Times New Roman"/>
        </w:rPr>
        <w:t>direktīvai</w:t>
      </w:r>
      <w:proofErr w:type="spellEnd"/>
      <w:r w:rsidRPr="00735BBE">
        <w:rPr>
          <w:rFonts w:ascii="Times New Roman" w:hAnsi="Times New Roman"/>
        </w:rPr>
        <w:t xml:space="preserve"> </w:t>
      </w:r>
      <w:hyperlink r:id="rId2" w:tgtFrame="_blank" w:history="1">
        <w:r w:rsidRPr="00735BBE">
          <w:rPr>
            <w:rFonts w:ascii="Times New Roman" w:hAnsi="Times New Roman"/>
          </w:rPr>
          <w:t>2006/112/EK</w:t>
        </w:r>
      </w:hyperlink>
      <w:r w:rsidRPr="00735BBE">
        <w:rPr>
          <w:rFonts w:ascii="Times New Roman" w:hAnsi="Times New Roman"/>
        </w:rPr>
        <w:t xml:space="preserve"> par </w:t>
      </w:r>
      <w:proofErr w:type="spellStart"/>
      <w:r w:rsidRPr="00735BBE">
        <w:rPr>
          <w:rFonts w:ascii="Times New Roman" w:hAnsi="Times New Roman"/>
        </w:rPr>
        <w:t>kopējo</w:t>
      </w:r>
      <w:proofErr w:type="spellEnd"/>
      <w:r w:rsidRPr="00735BBE">
        <w:rPr>
          <w:rFonts w:ascii="Times New Roman" w:hAnsi="Times New Roman"/>
        </w:rPr>
        <w:t xml:space="preserve"> </w:t>
      </w:r>
      <w:proofErr w:type="spellStart"/>
      <w:r w:rsidRPr="00735BBE">
        <w:rPr>
          <w:rFonts w:ascii="Times New Roman" w:hAnsi="Times New Roman"/>
        </w:rPr>
        <w:t>pievienotās</w:t>
      </w:r>
      <w:proofErr w:type="spellEnd"/>
      <w:r w:rsidRPr="00735BBE">
        <w:rPr>
          <w:rFonts w:ascii="Times New Roman" w:hAnsi="Times New Roman"/>
        </w:rPr>
        <w:t xml:space="preserve"> </w:t>
      </w:r>
      <w:proofErr w:type="spellStart"/>
      <w:r w:rsidRPr="00735BBE">
        <w:rPr>
          <w:rFonts w:ascii="Times New Roman" w:hAnsi="Times New Roman"/>
        </w:rPr>
        <w:t>vērtības</w:t>
      </w:r>
      <w:proofErr w:type="spellEnd"/>
      <w:r w:rsidRPr="00735BBE">
        <w:rPr>
          <w:rFonts w:ascii="Times New Roman" w:hAnsi="Times New Roman"/>
        </w:rPr>
        <w:t xml:space="preserve"> </w:t>
      </w:r>
      <w:proofErr w:type="spellStart"/>
      <w:r w:rsidRPr="00735BBE">
        <w:rPr>
          <w:rFonts w:ascii="Times New Roman" w:hAnsi="Times New Roman"/>
        </w:rPr>
        <w:t>nodokļa</w:t>
      </w:r>
      <w:proofErr w:type="spellEnd"/>
      <w:r w:rsidRPr="00735BBE">
        <w:rPr>
          <w:rFonts w:ascii="Times New Roman" w:hAnsi="Times New Roman"/>
        </w:rPr>
        <w:t xml:space="preserve"> </w:t>
      </w:r>
      <w:proofErr w:type="spellStart"/>
      <w:r w:rsidRPr="00735BBE">
        <w:rPr>
          <w:rFonts w:ascii="Times New Roman" w:hAnsi="Times New Roman"/>
        </w:rPr>
        <w:t>sistēmu</w:t>
      </w:r>
      <w:proofErr w:type="spellEnd"/>
      <w:r w:rsidRPr="00735BBE">
        <w:rPr>
          <w:rFonts w:ascii="Times New Roman" w:hAnsi="Times New Roman"/>
        </w:rPr>
        <w:t xml:space="preserve"> (</w:t>
      </w:r>
      <w:proofErr w:type="spellStart"/>
      <w:r w:rsidRPr="00735BBE">
        <w:rPr>
          <w:rFonts w:ascii="Times New Roman" w:hAnsi="Times New Roman"/>
        </w:rPr>
        <w:t>pārstrādātā</w:t>
      </w:r>
      <w:proofErr w:type="spellEnd"/>
      <w:r w:rsidRPr="00735BBE">
        <w:rPr>
          <w:rFonts w:ascii="Times New Roman" w:hAnsi="Times New Roman"/>
        </w:rPr>
        <w:t xml:space="preserve"> </w:t>
      </w:r>
      <w:proofErr w:type="spellStart"/>
      <w:r w:rsidRPr="00735BBE">
        <w:rPr>
          <w:rFonts w:ascii="Times New Roman" w:hAnsi="Times New Roman"/>
        </w:rPr>
        <w:t>versija</w:t>
      </w:r>
      <w:proofErr w:type="spellEnd"/>
      <w:r w:rsidRPr="00735BBE">
        <w:rPr>
          <w:rFonts w:ascii="Times New Roman" w:hAnsi="Times New Roman"/>
        </w:rPr>
        <w:t xml:space="preserve">), 57.a </w:t>
      </w:r>
      <w:proofErr w:type="spellStart"/>
      <w:r w:rsidRPr="00735BBE">
        <w:rPr>
          <w:rFonts w:ascii="Times New Roman" w:hAnsi="Times New Roman"/>
        </w:rPr>
        <w:t>panta</w:t>
      </w:r>
      <w:proofErr w:type="spellEnd"/>
      <w:r w:rsidRPr="00735BBE">
        <w:rPr>
          <w:rFonts w:ascii="Times New Roman" w:hAnsi="Times New Roman"/>
        </w:rPr>
        <w:t xml:space="preserve"> 1.punktā (</w:t>
      </w:r>
      <w:proofErr w:type="spellStart"/>
      <w:r w:rsidRPr="00735BBE">
        <w:rPr>
          <w:rFonts w:ascii="Times New Roman" w:hAnsi="Times New Roman"/>
        </w:rPr>
        <w:t>Padomes</w:t>
      </w:r>
      <w:proofErr w:type="spellEnd"/>
      <w:r w:rsidRPr="00735BBE">
        <w:rPr>
          <w:rFonts w:ascii="Times New Roman" w:hAnsi="Times New Roman"/>
        </w:rPr>
        <w:t xml:space="preserve"> 2012.gada 9.oktobra </w:t>
      </w:r>
      <w:proofErr w:type="spellStart"/>
      <w:r w:rsidRPr="00735BBE">
        <w:rPr>
          <w:rFonts w:ascii="Times New Roman" w:hAnsi="Times New Roman"/>
        </w:rPr>
        <w:t>regulas</w:t>
      </w:r>
      <w:proofErr w:type="spellEnd"/>
      <w:r w:rsidRPr="00735BBE">
        <w:rPr>
          <w:rFonts w:ascii="Times New Roman" w:hAnsi="Times New Roman"/>
        </w:rPr>
        <w:t xml:space="preserve"> (ES) Nr.</w:t>
      </w:r>
      <w:hyperlink r:id="rId3" w:tgtFrame="_blank" w:history="1">
        <w:r w:rsidRPr="00735BBE">
          <w:rPr>
            <w:rFonts w:ascii="Times New Roman" w:hAnsi="Times New Roman"/>
          </w:rPr>
          <w:t>967/2012</w:t>
        </w:r>
      </w:hyperlink>
      <w:r w:rsidRPr="00735BBE">
        <w:rPr>
          <w:rFonts w:ascii="Times New Roman" w:hAnsi="Times New Roman"/>
        </w:rPr>
        <w:t xml:space="preserve">, </w:t>
      </w:r>
      <w:proofErr w:type="spellStart"/>
      <w:r w:rsidRPr="00735BBE">
        <w:rPr>
          <w:rFonts w:ascii="Times New Roman" w:hAnsi="Times New Roman"/>
        </w:rPr>
        <w:t>ar</w:t>
      </w:r>
      <w:proofErr w:type="spellEnd"/>
      <w:r w:rsidRPr="00735BBE">
        <w:rPr>
          <w:rFonts w:ascii="Times New Roman" w:hAnsi="Times New Roman"/>
        </w:rPr>
        <w:t xml:space="preserve"> </w:t>
      </w:r>
      <w:proofErr w:type="spellStart"/>
      <w:proofErr w:type="gramStart"/>
      <w:r w:rsidRPr="00735BBE">
        <w:rPr>
          <w:rFonts w:ascii="Times New Roman" w:hAnsi="Times New Roman"/>
        </w:rPr>
        <w:t>ko</w:t>
      </w:r>
      <w:proofErr w:type="spellEnd"/>
      <w:proofErr w:type="gramEnd"/>
      <w:r w:rsidRPr="00735BBE">
        <w:rPr>
          <w:rFonts w:ascii="Times New Roman" w:hAnsi="Times New Roman"/>
        </w:rPr>
        <w:t xml:space="preserve"> </w:t>
      </w:r>
      <w:proofErr w:type="spellStart"/>
      <w:r w:rsidRPr="00735BBE">
        <w:rPr>
          <w:rFonts w:ascii="Times New Roman" w:hAnsi="Times New Roman"/>
        </w:rPr>
        <w:t>Īstenošanas</w:t>
      </w:r>
      <w:proofErr w:type="spellEnd"/>
      <w:r w:rsidRPr="00735BBE">
        <w:rPr>
          <w:rFonts w:ascii="Times New Roman" w:hAnsi="Times New Roman"/>
        </w:rPr>
        <w:t xml:space="preserve"> </w:t>
      </w:r>
      <w:proofErr w:type="spellStart"/>
      <w:r w:rsidRPr="00735BBE">
        <w:rPr>
          <w:rFonts w:ascii="Times New Roman" w:hAnsi="Times New Roman"/>
        </w:rPr>
        <w:t>regulu</w:t>
      </w:r>
      <w:proofErr w:type="spellEnd"/>
      <w:r w:rsidRPr="00735BBE">
        <w:rPr>
          <w:rFonts w:ascii="Times New Roman" w:hAnsi="Times New Roman"/>
        </w:rPr>
        <w:t xml:space="preserve"> (ES) Nr.</w:t>
      </w:r>
      <w:hyperlink r:id="rId4" w:tgtFrame="_blank" w:history="1">
        <w:r w:rsidRPr="00735BBE">
          <w:rPr>
            <w:rFonts w:ascii="Times New Roman" w:hAnsi="Times New Roman"/>
          </w:rPr>
          <w:t>282/2011</w:t>
        </w:r>
      </w:hyperlink>
      <w:r w:rsidRPr="00735BBE">
        <w:rPr>
          <w:rFonts w:ascii="Times New Roman" w:hAnsi="Times New Roman"/>
        </w:rPr>
        <w:t xml:space="preserve"> </w:t>
      </w:r>
      <w:proofErr w:type="spellStart"/>
      <w:r w:rsidRPr="00735BBE">
        <w:rPr>
          <w:rFonts w:ascii="Times New Roman" w:hAnsi="Times New Roman"/>
        </w:rPr>
        <w:t>groza</w:t>
      </w:r>
      <w:proofErr w:type="spellEnd"/>
      <w:r w:rsidRPr="00735BBE">
        <w:rPr>
          <w:rFonts w:ascii="Times New Roman" w:hAnsi="Times New Roman"/>
        </w:rPr>
        <w:t xml:space="preserve"> </w:t>
      </w:r>
      <w:proofErr w:type="spellStart"/>
      <w:r w:rsidRPr="00735BBE">
        <w:rPr>
          <w:rFonts w:ascii="Times New Roman" w:hAnsi="Times New Roman"/>
        </w:rPr>
        <w:t>attiecībā</w:t>
      </w:r>
      <w:proofErr w:type="spellEnd"/>
      <w:r w:rsidRPr="00735BBE">
        <w:rPr>
          <w:rFonts w:ascii="Times New Roman" w:hAnsi="Times New Roman"/>
        </w:rPr>
        <w:t xml:space="preserve"> </w:t>
      </w:r>
      <w:proofErr w:type="spellStart"/>
      <w:r w:rsidRPr="00735BBE">
        <w:rPr>
          <w:rFonts w:ascii="Times New Roman" w:hAnsi="Times New Roman"/>
        </w:rPr>
        <w:t>uz</w:t>
      </w:r>
      <w:proofErr w:type="spellEnd"/>
      <w:r w:rsidRPr="00735BBE">
        <w:rPr>
          <w:rFonts w:ascii="Times New Roman" w:hAnsi="Times New Roman"/>
        </w:rPr>
        <w:t xml:space="preserve"> </w:t>
      </w:r>
      <w:proofErr w:type="spellStart"/>
      <w:r w:rsidRPr="00735BBE">
        <w:rPr>
          <w:rFonts w:ascii="Times New Roman" w:hAnsi="Times New Roman"/>
        </w:rPr>
        <w:t>īpašajiem</w:t>
      </w:r>
      <w:proofErr w:type="spellEnd"/>
      <w:r w:rsidRPr="00735BBE">
        <w:rPr>
          <w:rFonts w:ascii="Times New Roman" w:hAnsi="Times New Roman"/>
        </w:rPr>
        <w:t xml:space="preserve"> </w:t>
      </w:r>
      <w:proofErr w:type="spellStart"/>
      <w:r w:rsidRPr="00735BBE">
        <w:rPr>
          <w:rFonts w:ascii="Times New Roman" w:hAnsi="Times New Roman"/>
        </w:rPr>
        <w:t>režīmiem</w:t>
      </w:r>
      <w:proofErr w:type="spellEnd"/>
      <w:r w:rsidRPr="00735BBE">
        <w:rPr>
          <w:rFonts w:ascii="Times New Roman" w:hAnsi="Times New Roman"/>
        </w:rPr>
        <w:t xml:space="preserve"> </w:t>
      </w:r>
      <w:proofErr w:type="spellStart"/>
      <w:r w:rsidRPr="00735BBE">
        <w:rPr>
          <w:rFonts w:ascii="Times New Roman" w:hAnsi="Times New Roman"/>
        </w:rPr>
        <w:t>nodokļa</w:t>
      </w:r>
      <w:proofErr w:type="spellEnd"/>
      <w:r w:rsidRPr="00735BBE">
        <w:rPr>
          <w:rFonts w:ascii="Times New Roman" w:hAnsi="Times New Roman"/>
        </w:rPr>
        <w:t xml:space="preserve"> </w:t>
      </w:r>
      <w:proofErr w:type="spellStart"/>
      <w:r w:rsidRPr="00735BBE">
        <w:rPr>
          <w:rFonts w:ascii="Times New Roman" w:hAnsi="Times New Roman"/>
        </w:rPr>
        <w:t>maksātājiem</w:t>
      </w:r>
      <w:proofErr w:type="spellEnd"/>
      <w:r w:rsidRPr="00735BBE">
        <w:rPr>
          <w:rFonts w:ascii="Times New Roman" w:hAnsi="Times New Roman"/>
        </w:rPr>
        <w:t xml:space="preserve">, </w:t>
      </w:r>
      <w:proofErr w:type="spellStart"/>
      <w:r w:rsidRPr="00735BBE">
        <w:rPr>
          <w:rFonts w:ascii="Times New Roman" w:hAnsi="Times New Roman"/>
        </w:rPr>
        <w:t>kas</w:t>
      </w:r>
      <w:proofErr w:type="spellEnd"/>
      <w:r w:rsidRPr="00735BBE">
        <w:rPr>
          <w:rFonts w:ascii="Times New Roman" w:hAnsi="Times New Roman"/>
        </w:rPr>
        <w:t xml:space="preserve"> </w:t>
      </w:r>
      <w:proofErr w:type="spellStart"/>
      <w:r w:rsidRPr="00735BBE">
        <w:rPr>
          <w:rFonts w:ascii="Times New Roman" w:hAnsi="Times New Roman"/>
        </w:rPr>
        <w:t>neveic</w:t>
      </w:r>
      <w:proofErr w:type="spellEnd"/>
      <w:r w:rsidRPr="00735BBE">
        <w:rPr>
          <w:rFonts w:ascii="Times New Roman" w:hAnsi="Times New Roman"/>
        </w:rPr>
        <w:t xml:space="preserve"> </w:t>
      </w:r>
      <w:proofErr w:type="spellStart"/>
      <w:r w:rsidRPr="00735BBE">
        <w:rPr>
          <w:rFonts w:ascii="Times New Roman" w:hAnsi="Times New Roman"/>
        </w:rPr>
        <w:t>uzņēmējdarbību</w:t>
      </w:r>
      <w:proofErr w:type="spellEnd"/>
      <w:r w:rsidRPr="00735BBE">
        <w:rPr>
          <w:rFonts w:ascii="Times New Roman" w:hAnsi="Times New Roman"/>
        </w:rPr>
        <w:t xml:space="preserve"> </w:t>
      </w:r>
      <w:proofErr w:type="spellStart"/>
      <w:r w:rsidRPr="00735BBE">
        <w:rPr>
          <w:rFonts w:ascii="Times New Roman" w:hAnsi="Times New Roman"/>
        </w:rPr>
        <w:t>attiecīgā</w:t>
      </w:r>
      <w:proofErr w:type="spellEnd"/>
      <w:r w:rsidRPr="00735BBE">
        <w:rPr>
          <w:rFonts w:ascii="Times New Roman" w:hAnsi="Times New Roman"/>
        </w:rPr>
        <w:t xml:space="preserve"> </w:t>
      </w:r>
      <w:proofErr w:type="spellStart"/>
      <w:r w:rsidRPr="00735BBE">
        <w:rPr>
          <w:rFonts w:ascii="Times New Roman" w:hAnsi="Times New Roman"/>
        </w:rPr>
        <w:t>dalībvalstī</w:t>
      </w:r>
      <w:proofErr w:type="spellEnd"/>
      <w:r w:rsidRPr="00735BBE">
        <w:rPr>
          <w:rFonts w:ascii="Times New Roman" w:hAnsi="Times New Roman"/>
        </w:rPr>
        <w:t xml:space="preserve"> </w:t>
      </w:r>
      <w:proofErr w:type="gramStart"/>
      <w:r w:rsidRPr="00735BBE">
        <w:rPr>
          <w:rFonts w:ascii="Times New Roman" w:hAnsi="Times New Roman"/>
        </w:rPr>
        <w:t>un</w:t>
      </w:r>
      <w:proofErr w:type="gramEnd"/>
      <w:r w:rsidRPr="00735BBE">
        <w:rPr>
          <w:rFonts w:ascii="Times New Roman" w:hAnsi="Times New Roman"/>
        </w:rPr>
        <w:t xml:space="preserve"> </w:t>
      </w:r>
      <w:proofErr w:type="spellStart"/>
      <w:r w:rsidRPr="00735BBE">
        <w:rPr>
          <w:rFonts w:ascii="Times New Roman" w:hAnsi="Times New Roman"/>
        </w:rPr>
        <w:t>kas</w:t>
      </w:r>
      <w:proofErr w:type="spellEnd"/>
      <w:r w:rsidRPr="00735BBE">
        <w:rPr>
          <w:rFonts w:ascii="Times New Roman" w:hAnsi="Times New Roman"/>
        </w:rPr>
        <w:t xml:space="preserve"> </w:t>
      </w:r>
      <w:proofErr w:type="spellStart"/>
      <w:r w:rsidRPr="00735BBE">
        <w:rPr>
          <w:rFonts w:ascii="Times New Roman" w:hAnsi="Times New Roman"/>
        </w:rPr>
        <w:t>sniedz</w:t>
      </w:r>
      <w:proofErr w:type="spellEnd"/>
      <w:r w:rsidRPr="00735BBE">
        <w:rPr>
          <w:rFonts w:ascii="Times New Roman" w:hAnsi="Times New Roman"/>
        </w:rPr>
        <w:t xml:space="preserve"> </w:t>
      </w:r>
      <w:proofErr w:type="spellStart"/>
      <w:r w:rsidRPr="00735BBE">
        <w:rPr>
          <w:rFonts w:ascii="Times New Roman" w:hAnsi="Times New Roman"/>
        </w:rPr>
        <w:t>telekomunikāciju</w:t>
      </w:r>
      <w:proofErr w:type="spellEnd"/>
      <w:r w:rsidRPr="00735BBE">
        <w:rPr>
          <w:rFonts w:ascii="Times New Roman" w:hAnsi="Times New Roman"/>
        </w:rPr>
        <w:t xml:space="preserve"> </w:t>
      </w:r>
      <w:proofErr w:type="spellStart"/>
      <w:r w:rsidRPr="00735BBE">
        <w:rPr>
          <w:rFonts w:ascii="Times New Roman" w:hAnsi="Times New Roman"/>
        </w:rPr>
        <w:t>pakalpojumus</w:t>
      </w:r>
      <w:proofErr w:type="spellEnd"/>
      <w:r w:rsidRPr="00735BBE">
        <w:rPr>
          <w:rFonts w:ascii="Times New Roman" w:hAnsi="Times New Roman"/>
        </w:rPr>
        <w:t xml:space="preserve">, </w:t>
      </w:r>
      <w:proofErr w:type="spellStart"/>
      <w:r w:rsidRPr="00735BBE">
        <w:rPr>
          <w:rFonts w:ascii="Times New Roman" w:hAnsi="Times New Roman"/>
        </w:rPr>
        <w:t>apraides</w:t>
      </w:r>
      <w:proofErr w:type="spellEnd"/>
      <w:r w:rsidRPr="00735BBE">
        <w:rPr>
          <w:rFonts w:ascii="Times New Roman" w:hAnsi="Times New Roman"/>
        </w:rPr>
        <w:t xml:space="preserve"> </w:t>
      </w:r>
      <w:proofErr w:type="spellStart"/>
      <w:r w:rsidRPr="00735BBE">
        <w:rPr>
          <w:rFonts w:ascii="Times New Roman" w:hAnsi="Times New Roman"/>
        </w:rPr>
        <w:t>pakalpojumus</w:t>
      </w:r>
      <w:proofErr w:type="spellEnd"/>
      <w:r w:rsidRPr="00735BBE">
        <w:rPr>
          <w:rFonts w:ascii="Times New Roman" w:hAnsi="Times New Roman"/>
        </w:rPr>
        <w:t xml:space="preserve"> </w:t>
      </w:r>
      <w:proofErr w:type="spellStart"/>
      <w:r w:rsidRPr="00735BBE">
        <w:rPr>
          <w:rFonts w:ascii="Times New Roman" w:hAnsi="Times New Roman"/>
        </w:rPr>
        <w:t>vai</w:t>
      </w:r>
      <w:proofErr w:type="spellEnd"/>
      <w:r w:rsidRPr="00735BBE">
        <w:rPr>
          <w:rFonts w:ascii="Times New Roman" w:hAnsi="Times New Roman"/>
        </w:rPr>
        <w:t xml:space="preserve"> </w:t>
      </w:r>
      <w:proofErr w:type="spellStart"/>
      <w:r w:rsidRPr="00735BBE">
        <w:rPr>
          <w:rFonts w:ascii="Times New Roman" w:hAnsi="Times New Roman"/>
        </w:rPr>
        <w:t>elektroniskos</w:t>
      </w:r>
      <w:proofErr w:type="spellEnd"/>
      <w:r w:rsidRPr="00735BBE">
        <w:rPr>
          <w:rFonts w:ascii="Times New Roman" w:hAnsi="Times New Roman"/>
        </w:rPr>
        <w:t xml:space="preserve"> </w:t>
      </w:r>
      <w:proofErr w:type="spellStart"/>
      <w:r w:rsidRPr="0075346E">
        <w:rPr>
          <w:rFonts w:ascii="Times New Roman" w:hAnsi="Times New Roman"/>
        </w:rPr>
        <w:t>pakalpojumus</w:t>
      </w:r>
      <w:proofErr w:type="spellEnd"/>
      <w:r w:rsidRPr="0075346E">
        <w:rPr>
          <w:rFonts w:ascii="Times New Roman" w:hAnsi="Times New Roman"/>
        </w:rPr>
        <w:t xml:space="preserve"> </w:t>
      </w:r>
      <w:proofErr w:type="spellStart"/>
      <w:r w:rsidRPr="0075346E">
        <w:rPr>
          <w:rFonts w:ascii="Times New Roman" w:hAnsi="Times New Roman"/>
        </w:rPr>
        <w:t>personām</w:t>
      </w:r>
      <w:proofErr w:type="spellEnd"/>
      <w:r w:rsidRPr="0075346E">
        <w:rPr>
          <w:rFonts w:ascii="Times New Roman" w:hAnsi="Times New Roman"/>
        </w:rPr>
        <w:t xml:space="preserve">, </w:t>
      </w:r>
      <w:proofErr w:type="spellStart"/>
      <w:r w:rsidRPr="0075346E">
        <w:rPr>
          <w:rFonts w:ascii="Times New Roman" w:hAnsi="Times New Roman"/>
        </w:rPr>
        <w:t>kuras</w:t>
      </w:r>
      <w:proofErr w:type="spellEnd"/>
      <w:r w:rsidRPr="0075346E">
        <w:rPr>
          <w:rFonts w:ascii="Times New Roman" w:hAnsi="Times New Roman"/>
        </w:rPr>
        <w:t xml:space="preserve"> </w:t>
      </w:r>
      <w:proofErr w:type="spellStart"/>
      <w:r w:rsidRPr="0075346E">
        <w:rPr>
          <w:rFonts w:ascii="Times New Roman" w:hAnsi="Times New Roman"/>
        </w:rPr>
        <w:t>nav</w:t>
      </w:r>
      <w:proofErr w:type="spellEnd"/>
      <w:r w:rsidRPr="0075346E">
        <w:rPr>
          <w:rFonts w:ascii="Times New Roman" w:hAnsi="Times New Roman"/>
        </w:rPr>
        <w:t xml:space="preserve"> </w:t>
      </w:r>
      <w:proofErr w:type="spellStart"/>
      <w:r w:rsidRPr="0075346E">
        <w:rPr>
          <w:rFonts w:ascii="Times New Roman" w:hAnsi="Times New Roman"/>
        </w:rPr>
        <w:t>nodokļa</w:t>
      </w:r>
      <w:proofErr w:type="spellEnd"/>
      <w:r w:rsidRPr="0075346E">
        <w:rPr>
          <w:rFonts w:ascii="Times New Roman" w:hAnsi="Times New Roman"/>
        </w:rPr>
        <w:t xml:space="preserve"> </w:t>
      </w:r>
      <w:proofErr w:type="spellStart"/>
      <w:r w:rsidRPr="0075346E">
        <w:rPr>
          <w:rFonts w:ascii="Times New Roman" w:hAnsi="Times New Roman"/>
        </w:rPr>
        <w:t>maksātājas</w:t>
      </w:r>
      <w:proofErr w:type="spellEnd"/>
      <w:r w:rsidRPr="0075346E">
        <w:rPr>
          <w:rFonts w:ascii="Times New Roman" w:hAnsi="Times New Roman"/>
        </w:rPr>
        <w:t xml:space="preserve">, </w:t>
      </w:r>
      <w:proofErr w:type="spellStart"/>
      <w:r w:rsidRPr="0075346E">
        <w:rPr>
          <w:rFonts w:ascii="Times New Roman" w:hAnsi="Times New Roman"/>
        </w:rPr>
        <w:t>redakcijā</w:t>
      </w:r>
      <w:proofErr w:type="spellEnd"/>
      <w:r w:rsidRPr="0075346E">
        <w:rPr>
          <w:rFonts w:ascii="Times New Roman" w:hAnsi="Times New Roman"/>
        </w:rPr>
        <w:t xml:space="preserve">) </w:t>
      </w:r>
      <w:proofErr w:type="spellStart"/>
      <w:r w:rsidRPr="0075346E">
        <w:rPr>
          <w:rFonts w:ascii="Times New Roman" w:hAnsi="Times New Roman"/>
        </w:rPr>
        <w:t>minētais</w:t>
      </w:r>
      <w:proofErr w:type="spellEnd"/>
      <w:r w:rsidRPr="0075346E">
        <w:rPr>
          <w:rFonts w:ascii="Times New Roman" w:hAnsi="Times New Roman"/>
        </w:rPr>
        <w:t xml:space="preserve"> </w:t>
      </w:r>
      <w:proofErr w:type="spellStart"/>
      <w:r w:rsidRPr="0075346E">
        <w:rPr>
          <w:rFonts w:ascii="Times New Roman" w:hAnsi="Times New Roman"/>
        </w:rPr>
        <w:t>režīms</w:t>
      </w:r>
      <w:proofErr w:type="spellEnd"/>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9050D" w14:textId="6DB2997C" w:rsidR="000B2D77" w:rsidRPr="00AA2836" w:rsidRDefault="000B2D77">
    <w:pPr>
      <w:pStyle w:val="Header"/>
      <w:jc w:val="center"/>
      <w:rPr>
        <w:sz w:val="24"/>
        <w:szCs w:val="20"/>
      </w:rPr>
    </w:pPr>
    <w:r w:rsidRPr="00AA2836">
      <w:rPr>
        <w:sz w:val="24"/>
        <w:szCs w:val="20"/>
      </w:rPr>
      <w:fldChar w:fldCharType="begin"/>
    </w:r>
    <w:r w:rsidRPr="00AA2836">
      <w:rPr>
        <w:sz w:val="24"/>
        <w:szCs w:val="20"/>
      </w:rPr>
      <w:instrText xml:space="preserve"> PAGE   \* MERGEFORMAT </w:instrText>
    </w:r>
    <w:r w:rsidRPr="00AA2836">
      <w:rPr>
        <w:sz w:val="24"/>
        <w:szCs w:val="20"/>
      </w:rPr>
      <w:fldChar w:fldCharType="separate"/>
    </w:r>
    <w:r w:rsidR="007C5DFC">
      <w:rPr>
        <w:noProof/>
        <w:sz w:val="24"/>
        <w:szCs w:val="20"/>
      </w:rPr>
      <w:t>2</w:t>
    </w:r>
    <w:r w:rsidRPr="00AA2836">
      <w:rPr>
        <w:sz w:val="24"/>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0F9"/>
    <w:multiLevelType w:val="hybridMultilevel"/>
    <w:tmpl w:val="BE626D38"/>
    <w:lvl w:ilvl="0" w:tplc="04260017">
      <w:start w:val="1"/>
      <w:numFmt w:val="lowerLetter"/>
      <w:lvlText w:val="%1)"/>
      <w:lvlJc w:val="left"/>
      <w:pPr>
        <w:ind w:left="1167" w:hanging="360"/>
      </w:pPr>
      <w:rPr>
        <w:rFonts w:hint="default"/>
        <w:color w:val="auto"/>
      </w:rPr>
    </w:lvl>
    <w:lvl w:ilvl="1" w:tplc="04260019" w:tentative="1">
      <w:start w:val="1"/>
      <w:numFmt w:val="lowerLetter"/>
      <w:lvlText w:val="%2."/>
      <w:lvlJc w:val="left"/>
      <w:pPr>
        <w:ind w:left="1887" w:hanging="360"/>
      </w:pPr>
    </w:lvl>
    <w:lvl w:ilvl="2" w:tplc="0426001B" w:tentative="1">
      <w:start w:val="1"/>
      <w:numFmt w:val="lowerRoman"/>
      <w:lvlText w:val="%3."/>
      <w:lvlJc w:val="right"/>
      <w:pPr>
        <w:ind w:left="2607" w:hanging="180"/>
      </w:pPr>
    </w:lvl>
    <w:lvl w:ilvl="3" w:tplc="0426000F" w:tentative="1">
      <w:start w:val="1"/>
      <w:numFmt w:val="decimal"/>
      <w:lvlText w:val="%4."/>
      <w:lvlJc w:val="left"/>
      <w:pPr>
        <w:ind w:left="3327" w:hanging="360"/>
      </w:pPr>
    </w:lvl>
    <w:lvl w:ilvl="4" w:tplc="04260019" w:tentative="1">
      <w:start w:val="1"/>
      <w:numFmt w:val="lowerLetter"/>
      <w:lvlText w:val="%5."/>
      <w:lvlJc w:val="left"/>
      <w:pPr>
        <w:ind w:left="4047" w:hanging="360"/>
      </w:pPr>
    </w:lvl>
    <w:lvl w:ilvl="5" w:tplc="0426001B" w:tentative="1">
      <w:start w:val="1"/>
      <w:numFmt w:val="lowerRoman"/>
      <w:lvlText w:val="%6."/>
      <w:lvlJc w:val="right"/>
      <w:pPr>
        <w:ind w:left="4767" w:hanging="180"/>
      </w:pPr>
    </w:lvl>
    <w:lvl w:ilvl="6" w:tplc="0426000F" w:tentative="1">
      <w:start w:val="1"/>
      <w:numFmt w:val="decimal"/>
      <w:lvlText w:val="%7."/>
      <w:lvlJc w:val="left"/>
      <w:pPr>
        <w:ind w:left="5487" w:hanging="360"/>
      </w:pPr>
    </w:lvl>
    <w:lvl w:ilvl="7" w:tplc="04260019" w:tentative="1">
      <w:start w:val="1"/>
      <w:numFmt w:val="lowerLetter"/>
      <w:lvlText w:val="%8."/>
      <w:lvlJc w:val="left"/>
      <w:pPr>
        <w:ind w:left="6207" w:hanging="360"/>
      </w:pPr>
    </w:lvl>
    <w:lvl w:ilvl="8" w:tplc="0426001B" w:tentative="1">
      <w:start w:val="1"/>
      <w:numFmt w:val="lowerRoman"/>
      <w:lvlText w:val="%9."/>
      <w:lvlJc w:val="right"/>
      <w:pPr>
        <w:ind w:left="6927" w:hanging="180"/>
      </w:pPr>
    </w:lvl>
  </w:abstractNum>
  <w:abstractNum w:abstractNumId="1" w15:restartNumberingAfterBreak="0">
    <w:nsid w:val="080D17EB"/>
    <w:multiLevelType w:val="hybridMultilevel"/>
    <w:tmpl w:val="8D1AA610"/>
    <w:lvl w:ilvl="0" w:tplc="7C984BF0">
      <w:start w:val="1"/>
      <w:numFmt w:val="decimal"/>
      <w:lvlText w:val="%1."/>
      <w:lvlJc w:val="left"/>
      <w:pPr>
        <w:ind w:left="447" w:hanging="360"/>
      </w:pPr>
      <w:rPr>
        <w:rFonts w:hint="default"/>
      </w:rPr>
    </w:lvl>
    <w:lvl w:ilvl="1" w:tplc="04260019" w:tentative="1">
      <w:start w:val="1"/>
      <w:numFmt w:val="lowerLetter"/>
      <w:lvlText w:val="%2."/>
      <w:lvlJc w:val="left"/>
      <w:pPr>
        <w:ind w:left="1167" w:hanging="360"/>
      </w:pPr>
    </w:lvl>
    <w:lvl w:ilvl="2" w:tplc="0426001B" w:tentative="1">
      <w:start w:val="1"/>
      <w:numFmt w:val="lowerRoman"/>
      <w:lvlText w:val="%3."/>
      <w:lvlJc w:val="right"/>
      <w:pPr>
        <w:ind w:left="1887" w:hanging="180"/>
      </w:pPr>
    </w:lvl>
    <w:lvl w:ilvl="3" w:tplc="0426000F" w:tentative="1">
      <w:start w:val="1"/>
      <w:numFmt w:val="decimal"/>
      <w:lvlText w:val="%4."/>
      <w:lvlJc w:val="left"/>
      <w:pPr>
        <w:ind w:left="2607" w:hanging="360"/>
      </w:pPr>
    </w:lvl>
    <w:lvl w:ilvl="4" w:tplc="04260019" w:tentative="1">
      <w:start w:val="1"/>
      <w:numFmt w:val="lowerLetter"/>
      <w:lvlText w:val="%5."/>
      <w:lvlJc w:val="left"/>
      <w:pPr>
        <w:ind w:left="3327" w:hanging="360"/>
      </w:pPr>
    </w:lvl>
    <w:lvl w:ilvl="5" w:tplc="0426001B" w:tentative="1">
      <w:start w:val="1"/>
      <w:numFmt w:val="lowerRoman"/>
      <w:lvlText w:val="%6."/>
      <w:lvlJc w:val="right"/>
      <w:pPr>
        <w:ind w:left="4047" w:hanging="180"/>
      </w:pPr>
    </w:lvl>
    <w:lvl w:ilvl="6" w:tplc="0426000F" w:tentative="1">
      <w:start w:val="1"/>
      <w:numFmt w:val="decimal"/>
      <w:lvlText w:val="%7."/>
      <w:lvlJc w:val="left"/>
      <w:pPr>
        <w:ind w:left="4767" w:hanging="360"/>
      </w:pPr>
    </w:lvl>
    <w:lvl w:ilvl="7" w:tplc="04260019" w:tentative="1">
      <w:start w:val="1"/>
      <w:numFmt w:val="lowerLetter"/>
      <w:lvlText w:val="%8."/>
      <w:lvlJc w:val="left"/>
      <w:pPr>
        <w:ind w:left="5487" w:hanging="360"/>
      </w:pPr>
    </w:lvl>
    <w:lvl w:ilvl="8" w:tplc="0426001B" w:tentative="1">
      <w:start w:val="1"/>
      <w:numFmt w:val="lowerRoman"/>
      <w:lvlText w:val="%9."/>
      <w:lvlJc w:val="right"/>
      <w:pPr>
        <w:ind w:left="6207" w:hanging="180"/>
      </w:pPr>
    </w:lvl>
  </w:abstractNum>
  <w:abstractNum w:abstractNumId="2" w15:restartNumberingAfterBreak="0">
    <w:nsid w:val="0CBA76FD"/>
    <w:multiLevelType w:val="hybridMultilevel"/>
    <w:tmpl w:val="34ECCF90"/>
    <w:lvl w:ilvl="0" w:tplc="04260017">
      <w:start w:val="1"/>
      <w:numFmt w:val="lowerLetter"/>
      <w:lvlText w:val="%1)"/>
      <w:lvlJc w:val="left"/>
      <w:pPr>
        <w:ind w:left="1527" w:hanging="360"/>
      </w:pPr>
    </w:lvl>
    <w:lvl w:ilvl="1" w:tplc="04260019" w:tentative="1">
      <w:start w:val="1"/>
      <w:numFmt w:val="lowerLetter"/>
      <w:lvlText w:val="%2."/>
      <w:lvlJc w:val="left"/>
      <w:pPr>
        <w:ind w:left="2247" w:hanging="360"/>
      </w:pPr>
    </w:lvl>
    <w:lvl w:ilvl="2" w:tplc="0426001B" w:tentative="1">
      <w:start w:val="1"/>
      <w:numFmt w:val="lowerRoman"/>
      <w:lvlText w:val="%3."/>
      <w:lvlJc w:val="right"/>
      <w:pPr>
        <w:ind w:left="2967" w:hanging="180"/>
      </w:pPr>
    </w:lvl>
    <w:lvl w:ilvl="3" w:tplc="0426000F" w:tentative="1">
      <w:start w:val="1"/>
      <w:numFmt w:val="decimal"/>
      <w:lvlText w:val="%4."/>
      <w:lvlJc w:val="left"/>
      <w:pPr>
        <w:ind w:left="3687" w:hanging="360"/>
      </w:pPr>
    </w:lvl>
    <w:lvl w:ilvl="4" w:tplc="04260019" w:tentative="1">
      <w:start w:val="1"/>
      <w:numFmt w:val="lowerLetter"/>
      <w:lvlText w:val="%5."/>
      <w:lvlJc w:val="left"/>
      <w:pPr>
        <w:ind w:left="4407" w:hanging="360"/>
      </w:pPr>
    </w:lvl>
    <w:lvl w:ilvl="5" w:tplc="0426001B" w:tentative="1">
      <w:start w:val="1"/>
      <w:numFmt w:val="lowerRoman"/>
      <w:lvlText w:val="%6."/>
      <w:lvlJc w:val="right"/>
      <w:pPr>
        <w:ind w:left="5127" w:hanging="180"/>
      </w:pPr>
    </w:lvl>
    <w:lvl w:ilvl="6" w:tplc="0426000F" w:tentative="1">
      <w:start w:val="1"/>
      <w:numFmt w:val="decimal"/>
      <w:lvlText w:val="%7."/>
      <w:lvlJc w:val="left"/>
      <w:pPr>
        <w:ind w:left="5847" w:hanging="360"/>
      </w:pPr>
    </w:lvl>
    <w:lvl w:ilvl="7" w:tplc="04260019" w:tentative="1">
      <w:start w:val="1"/>
      <w:numFmt w:val="lowerLetter"/>
      <w:lvlText w:val="%8."/>
      <w:lvlJc w:val="left"/>
      <w:pPr>
        <w:ind w:left="6567" w:hanging="360"/>
      </w:pPr>
    </w:lvl>
    <w:lvl w:ilvl="8" w:tplc="0426001B" w:tentative="1">
      <w:start w:val="1"/>
      <w:numFmt w:val="lowerRoman"/>
      <w:lvlText w:val="%9."/>
      <w:lvlJc w:val="right"/>
      <w:pPr>
        <w:ind w:left="7287" w:hanging="180"/>
      </w:pPr>
    </w:lvl>
  </w:abstractNum>
  <w:abstractNum w:abstractNumId="3" w15:restartNumberingAfterBreak="0">
    <w:nsid w:val="0D60443E"/>
    <w:multiLevelType w:val="hybridMultilevel"/>
    <w:tmpl w:val="71C06B8C"/>
    <w:lvl w:ilvl="0" w:tplc="04260011">
      <w:start w:val="1"/>
      <w:numFmt w:val="decimal"/>
      <w:lvlText w:val="%1)"/>
      <w:lvlJc w:val="left"/>
      <w:pPr>
        <w:ind w:left="807" w:hanging="360"/>
      </w:pPr>
    </w:lvl>
    <w:lvl w:ilvl="1" w:tplc="04260019" w:tentative="1">
      <w:start w:val="1"/>
      <w:numFmt w:val="lowerLetter"/>
      <w:lvlText w:val="%2."/>
      <w:lvlJc w:val="left"/>
      <w:pPr>
        <w:ind w:left="1527" w:hanging="360"/>
      </w:pPr>
    </w:lvl>
    <w:lvl w:ilvl="2" w:tplc="0426001B" w:tentative="1">
      <w:start w:val="1"/>
      <w:numFmt w:val="lowerRoman"/>
      <w:lvlText w:val="%3."/>
      <w:lvlJc w:val="right"/>
      <w:pPr>
        <w:ind w:left="2247" w:hanging="180"/>
      </w:pPr>
    </w:lvl>
    <w:lvl w:ilvl="3" w:tplc="0426000F" w:tentative="1">
      <w:start w:val="1"/>
      <w:numFmt w:val="decimal"/>
      <w:lvlText w:val="%4."/>
      <w:lvlJc w:val="left"/>
      <w:pPr>
        <w:ind w:left="2967" w:hanging="360"/>
      </w:pPr>
    </w:lvl>
    <w:lvl w:ilvl="4" w:tplc="04260019" w:tentative="1">
      <w:start w:val="1"/>
      <w:numFmt w:val="lowerLetter"/>
      <w:lvlText w:val="%5."/>
      <w:lvlJc w:val="left"/>
      <w:pPr>
        <w:ind w:left="3687" w:hanging="360"/>
      </w:pPr>
    </w:lvl>
    <w:lvl w:ilvl="5" w:tplc="0426001B" w:tentative="1">
      <w:start w:val="1"/>
      <w:numFmt w:val="lowerRoman"/>
      <w:lvlText w:val="%6."/>
      <w:lvlJc w:val="right"/>
      <w:pPr>
        <w:ind w:left="4407" w:hanging="180"/>
      </w:pPr>
    </w:lvl>
    <w:lvl w:ilvl="6" w:tplc="0426000F" w:tentative="1">
      <w:start w:val="1"/>
      <w:numFmt w:val="decimal"/>
      <w:lvlText w:val="%7."/>
      <w:lvlJc w:val="left"/>
      <w:pPr>
        <w:ind w:left="5127" w:hanging="360"/>
      </w:pPr>
    </w:lvl>
    <w:lvl w:ilvl="7" w:tplc="04260019" w:tentative="1">
      <w:start w:val="1"/>
      <w:numFmt w:val="lowerLetter"/>
      <w:lvlText w:val="%8."/>
      <w:lvlJc w:val="left"/>
      <w:pPr>
        <w:ind w:left="5847" w:hanging="360"/>
      </w:pPr>
    </w:lvl>
    <w:lvl w:ilvl="8" w:tplc="0426001B" w:tentative="1">
      <w:start w:val="1"/>
      <w:numFmt w:val="lowerRoman"/>
      <w:lvlText w:val="%9."/>
      <w:lvlJc w:val="right"/>
      <w:pPr>
        <w:ind w:left="6567" w:hanging="180"/>
      </w:pPr>
    </w:lvl>
  </w:abstractNum>
  <w:abstractNum w:abstractNumId="4" w15:restartNumberingAfterBreak="0">
    <w:nsid w:val="10F53231"/>
    <w:multiLevelType w:val="hybridMultilevel"/>
    <w:tmpl w:val="3D52DE4C"/>
    <w:lvl w:ilvl="0" w:tplc="04260017">
      <w:start w:val="1"/>
      <w:numFmt w:val="lowerLetter"/>
      <w:lvlText w:val="%1)"/>
      <w:lvlJc w:val="left"/>
      <w:pPr>
        <w:ind w:left="1221" w:hanging="360"/>
      </w:pPr>
    </w:lvl>
    <w:lvl w:ilvl="1" w:tplc="04260019" w:tentative="1">
      <w:start w:val="1"/>
      <w:numFmt w:val="lowerLetter"/>
      <w:lvlText w:val="%2."/>
      <w:lvlJc w:val="left"/>
      <w:pPr>
        <w:ind w:left="1941" w:hanging="360"/>
      </w:pPr>
    </w:lvl>
    <w:lvl w:ilvl="2" w:tplc="0426001B" w:tentative="1">
      <w:start w:val="1"/>
      <w:numFmt w:val="lowerRoman"/>
      <w:lvlText w:val="%3."/>
      <w:lvlJc w:val="right"/>
      <w:pPr>
        <w:ind w:left="2661" w:hanging="180"/>
      </w:pPr>
    </w:lvl>
    <w:lvl w:ilvl="3" w:tplc="0426000F" w:tentative="1">
      <w:start w:val="1"/>
      <w:numFmt w:val="decimal"/>
      <w:lvlText w:val="%4."/>
      <w:lvlJc w:val="left"/>
      <w:pPr>
        <w:ind w:left="3381" w:hanging="360"/>
      </w:pPr>
    </w:lvl>
    <w:lvl w:ilvl="4" w:tplc="04260019" w:tentative="1">
      <w:start w:val="1"/>
      <w:numFmt w:val="lowerLetter"/>
      <w:lvlText w:val="%5."/>
      <w:lvlJc w:val="left"/>
      <w:pPr>
        <w:ind w:left="4101" w:hanging="360"/>
      </w:pPr>
    </w:lvl>
    <w:lvl w:ilvl="5" w:tplc="0426001B" w:tentative="1">
      <w:start w:val="1"/>
      <w:numFmt w:val="lowerRoman"/>
      <w:lvlText w:val="%6."/>
      <w:lvlJc w:val="right"/>
      <w:pPr>
        <w:ind w:left="4821" w:hanging="180"/>
      </w:pPr>
    </w:lvl>
    <w:lvl w:ilvl="6" w:tplc="0426000F" w:tentative="1">
      <w:start w:val="1"/>
      <w:numFmt w:val="decimal"/>
      <w:lvlText w:val="%7."/>
      <w:lvlJc w:val="left"/>
      <w:pPr>
        <w:ind w:left="5541" w:hanging="360"/>
      </w:pPr>
    </w:lvl>
    <w:lvl w:ilvl="7" w:tplc="04260019" w:tentative="1">
      <w:start w:val="1"/>
      <w:numFmt w:val="lowerLetter"/>
      <w:lvlText w:val="%8."/>
      <w:lvlJc w:val="left"/>
      <w:pPr>
        <w:ind w:left="6261" w:hanging="360"/>
      </w:pPr>
    </w:lvl>
    <w:lvl w:ilvl="8" w:tplc="0426001B" w:tentative="1">
      <w:start w:val="1"/>
      <w:numFmt w:val="lowerRoman"/>
      <w:lvlText w:val="%9."/>
      <w:lvlJc w:val="right"/>
      <w:pPr>
        <w:ind w:left="6981" w:hanging="180"/>
      </w:pPr>
    </w:lvl>
  </w:abstractNum>
  <w:abstractNum w:abstractNumId="5" w15:restartNumberingAfterBreak="0">
    <w:nsid w:val="29A020C5"/>
    <w:multiLevelType w:val="hybridMultilevel"/>
    <w:tmpl w:val="D55A87C6"/>
    <w:lvl w:ilvl="0" w:tplc="04260017">
      <w:start w:val="1"/>
      <w:numFmt w:val="lowerLetter"/>
      <w:lvlText w:val="%1)"/>
      <w:lvlJc w:val="left"/>
      <w:pPr>
        <w:ind w:left="807" w:hanging="360"/>
      </w:pPr>
    </w:lvl>
    <w:lvl w:ilvl="1" w:tplc="04260019" w:tentative="1">
      <w:start w:val="1"/>
      <w:numFmt w:val="lowerLetter"/>
      <w:lvlText w:val="%2."/>
      <w:lvlJc w:val="left"/>
      <w:pPr>
        <w:ind w:left="1527" w:hanging="360"/>
      </w:pPr>
    </w:lvl>
    <w:lvl w:ilvl="2" w:tplc="0426001B" w:tentative="1">
      <w:start w:val="1"/>
      <w:numFmt w:val="lowerRoman"/>
      <w:lvlText w:val="%3."/>
      <w:lvlJc w:val="right"/>
      <w:pPr>
        <w:ind w:left="2247" w:hanging="180"/>
      </w:pPr>
    </w:lvl>
    <w:lvl w:ilvl="3" w:tplc="0426000F" w:tentative="1">
      <w:start w:val="1"/>
      <w:numFmt w:val="decimal"/>
      <w:lvlText w:val="%4."/>
      <w:lvlJc w:val="left"/>
      <w:pPr>
        <w:ind w:left="2967" w:hanging="360"/>
      </w:pPr>
    </w:lvl>
    <w:lvl w:ilvl="4" w:tplc="04260019" w:tentative="1">
      <w:start w:val="1"/>
      <w:numFmt w:val="lowerLetter"/>
      <w:lvlText w:val="%5."/>
      <w:lvlJc w:val="left"/>
      <w:pPr>
        <w:ind w:left="3687" w:hanging="360"/>
      </w:pPr>
    </w:lvl>
    <w:lvl w:ilvl="5" w:tplc="0426001B" w:tentative="1">
      <w:start w:val="1"/>
      <w:numFmt w:val="lowerRoman"/>
      <w:lvlText w:val="%6."/>
      <w:lvlJc w:val="right"/>
      <w:pPr>
        <w:ind w:left="4407" w:hanging="180"/>
      </w:pPr>
    </w:lvl>
    <w:lvl w:ilvl="6" w:tplc="0426000F" w:tentative="1">
      <w:start w:val="1"/>
      <w:numFmt w:val="decimal"/>
      <w:lvlText w:val="%7."/>
      <w:lvlJc w:val="left"/>
      <w:pPr>
        <w:ind w:left="5127" w:hanging="360"/>
      </w:pPr>
    </w:lvl>
    <w:lvl w:ilvl="7" w:tplc="04260019" w:tentative="1">
      <w:start w:val="1"/>
      <w:numFmt w:val="lowerLetter"/>
      <w:lvlText w:val="%8."/>
      <w:lvlJc w:val="left"/>
      <w:pPr>
        <w:ind w:left="5847" w:hanging="360"/>
      </w:pPr>
    </w:lvl>
    <w:lvl w:ilvl="8" w:tplc="0426001B" w:tentative="1">
      <w:start w:val="1"/>
      <w:numFmt w:val="lowerRoman"/>
      <w:lvlText w:val="%9."/>
      <w:lvlJc w:val="right"/>
      <w:pPr>
        <w:ind w:left="6567" w:hanging="180"/>
      </w:pPr>
    </w:lvl>
  </w:abstractNum>
  <w:abstractNum w:abstractNumId="6" w15:restartNumberingAfterBreak="0">
    <w:nsid w:val="2F226EA7"/>
    <w:multiLevelType w:val="hybridMultilevel"/>
    <w:tmpl w:val="EE1E9DA8"/>
    <w:lvl w:ilvl="0" w:tplc="78EEB218">
      <w:start w:val="1"/>
      <w:numFmt w:val="decimal"/>
      <w:lvlText w:val="%1."/>
      <w:lvlJc w:val="left"/>
      <w:pPr>
        <w:ind w:left="473" w:hanging="360"/>
      </w:pPr>
      <w:rPr>
        <w:rFonts w:eastAsia="Times New Roman"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7" w15:restartNumberingAfterBreak="0">
    <w:nsid w:val="342E1066"/>
    <w:multiLevelType w:val="hybridMultilevel"/>
    <w:tmpl w:val="D19CCFF6"/>
    <w:lvl w:ilvl="0" w:tplc="D8A81DA0">
      <w:start w:val="1"/>
      <w:numFmt w:val="decimal"/>
      <w:lvlText w:val="%1)"/>
      <w:lvlJc w:val="left"/>
      <w:pPr>
        <w:ind w:left="833" w:hanging="360"/>
      </w:pPr>
      <w:rPr>
        <w:rFonts w:eastAsia="Times New Roman" w:hint="default"/>
      </w:rPr>
    </w:lvl>
    <w:lvl w:ilvl="1" w:tplc="04260019" w:tentative="1">
      <w:start w:val="1"/>
      <w:numFmt w:val="lowerLetter"/>
      <w:lvlText w:val="%2."/>
      <w:lvlJc w:val="left"/>
      <w:pPr>
        <w:ind w:left="1553" w:hanging="360"/>
      </w:pPr>
    </w:lvl>
    <w:lvl w:ilvl="2" w:tplc="0426001B" w:tentative="1">
      <w:start w:val="1"/>
      <w:numFmt w:val="lowerRoman"/>
      <w:lvlText w:val="%3."/>
      <w:lvlJc w:val="right"/>
      <w:pPr>
        <w:ind w:left="2273" w:hanging="180"/>
      </w:pPr>
    </w:lvl>
    <w:lvl w:ilvl="3" w:tplc="0426000F" w:tentative="1">
      <w:start w:val="1"/>
      <w:numFmt w:val="decimal"/>
      <w:lvlText w:val="%4."/>
      <w:lvlJc w:val="left"/>
      <w:pPr>
        <w:ind w:left="2993" w:hanging="360"/>
      </w:pPr>
    </w:lvl>
    <w:lvl w:ilvl="4" w:tplc="04260019" w:tentative="1">
      <w:start w:val="1"/>
      <w:numFmt w:val="lowerLetter"/>
      <w:lvlText w:val="%5."/>
      <w:lvlJc w:val="left"/>
      <w:pPr>
        <w:ind w:left="3713" w:hanging="360"/>
      </w:pPr>
    </w:lvl>
    <w:lvl w:ilvl="5" w:tplc="0426001B" w:tentative="1">
      <w:start w:val="1"/>
      <w:numFmt w:val="lowerRoman"/>
      <w:lvlText w:val="%6."/>
      <w:lvlJc w:val="right"/>
      <w:pPr>
        <w:ind w:left="4433" w:hanging="180"/>
      </w:pPr>
    </w:lvl>
    <w:lvl w:ilvl="6" w:tplc="0426000F" w:tentative="1">
      <w:start w:val="1"/>
      <w:numFmt w:val="decimal"/>
      <w:lvlText w:val="%7."/>
      <w:lvlJc w:val="left"/>
      <w:pPr>
        <w:ind w:left="5153" w:hanging="360"/>
      </w:pPr>
    </w:lvl>
    <w:lvl w:ilvl="7" w:tplc="04260019" w:tentative="1">
      <w:start w:val="1"/>
      <w:numFmt w:val="lowerLetter"/>
      <w:lvlText w:val="%8."/>
      <w:lvlJc w:val="left"/>
      <w:pPr>
        <w:ind w:left="5873" w:hanging="360"/>
      </w:pPr>
    </w:lvl>
    <w:lvl w:ilvl="8" w:tplc="0426001B" w:tentative="1">
      <w:start w:val="1"/>
      <w:numFmt w:val="lowerRoman"/>
      <w:lvlText w:val="%9."/>
      <w:lvlJc w:val="right"/>
      <w:pPr>
        <w:ind w:left="6593" w:hanging="180"/>
      </w:pPr>
    </w:lvl>
  </w:abstractNum>
  <w:abstractNum w:abstractNumId="8" w15:restartNumberingAfterBreak="0">
    <w:nsid w:val="3F596CF3"/>
    <w:multiLevelType w:val="hybridMultilevel"/>
    <w:tmpl w:val="0E261A60"/>
    <w:lvl w:ilvl="0" w:tplc="B02887BE">
      <w:start w:val="23"/>
      <w:numFmt w:val="decimal"/>
      <w:lvlText w:val="%1."/>
      <w:lvlJc w:val="left"/>
      <w:pPr>
        <w:ind w:left="720" w:hanging="360"/>
      </w:pPr>
      <w:rPr>
        <w:rFonts w:eastAsia="Calibr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8664056"/>
    <w:multiLevelType w:val="hybridMultilevel"/>
    <w:tmpl w:val="AD18FD36"/>
    <w:lvl w:ilvl="0" w:tplc="04260011">
      <w:start w:val="1"/>
      <w:numFmt w:val="decimal"/>
      <w:lvlText w:val="%1)"/>
      <w:lvlJc w:val="left"/>
      <w:pPr>
        <w:ind w:left="807" w:hanging="360"/>
      </w:pPr>
    </w:lvl>
    <w:lvl w:ilvl="1" w:tplc="04260019" w:tentative="1">
      <w:start w:val="1"/>
      <w:numFmt w:val="lowerLetter"/>
      <w:lvlText w:val="%2."/>
      <w:lvlJc w:val="left"/>
      <w:pPr>
        <w:ind w:left="1527" w:hanging="360"/>
      </w:pPr>
    </w:lvl>
    <w:lvl w:ilvl="2" w:tplc="0426001B" w:tentative="1">
      <w:start w:val="1"/>
      <w:numFmt w:val="lowerRoman"/>
      <w:lvlText w:val="%3."/>
      <w:lvlJc w:val="right"/>
      <w:pPr>
        <w:ind w:left="2247" w:hanging="180"/>
      </w:pPr>
    </w:lvl>
    <w:lvl w:ilvl="3" w:tplc="0426000F" w:tentative="1">
      <w:start w:val="1"/>
      <w:numFmt w:val="decimal"/>
      <w:lvlText w:val="%4."/>
      <w:lvlJc w:val="left"/>
      <w:pPr>
        <w:ind w:left="2967" w:hanging="360"/>
      </w:pPr>
    </w:lvl>
    <w:lvl w:ilvl="4" w:tplc="04260019" w:tentative="1">
      <w:start w:val="1"/>
      <w:numFmt w:val="lowerLetter"/>
      <w:lvlText w:val="%5."/>
      <w:lvlJc w:val="left"/>
      <w:pPr>
        <w:ind w:left="3687" w:hanging="360"/>
      </w:pPr>
    </w:lvl>
    <w:lvl w:ilvl="5" w:tplc="0426001B" w:tentative="1">
      <w:start w:val="1"/>
      <w:numFmt w:val="lowerRoman"/>
      <w:lvlText w:val="%6."/>
      <w:lvlJc w:val="right"/>
      <w:pPr>
        <w:ind w:left="4407" w:hanging="180"/>
      </w:pPr>
    </w:lvl>
    <w:lvl w:ilvl="6" w:tplc="0426000F" w:tentative="1">
      <w:start w:val="1"/>
      <w:numFmt w:val="decimal"/>
      <w:lvlText w:val="%7."/>
      <w:lvlJc w:val="left"/>
      <w:pPr>
        <w:ind w:left="5127" w:hanging="360"/>
      </w:pPr>
    </w:lvl>
    <w:lvl w:ilvl="7" w:tplc="04260019" w:tentative="1">
      <w:start w:val="1"/>
      <w:numFmt w:val="lowerLetter"/>
      <w:lvlText w:val="%8."/>
      <w:lvlJc w:val="left"/>
      <w:pPr>
        <w:ind w:left="5847" w:hanging="360"/>
      </w:pPr>
    </w:lvl>
    <w:lvl w:ilvl="8" w:tplc="0426001B" w:tentative="1">
      <w:start w:val="1"/>
      <w:numFmt w:val="lowerRoman"/>
      <w:lvlText w:val="%9."/>
      <w:lvlJc w:val="right"/>
      <w:pPr>
        <w:ind w:left="6567" w:hanging="180"/>
      </w:pPr>
    </w:lvl>
  </w:abstractNum>
  <w:abstractNum w:abstractNumId="10" w15:restartNumberingAfterBreak="0">
    <w:nsid w:val="5B7B3AD4"/>
    <w:multiLevelType w:val="hybridMultilevel"/>
    <w:tmpl w:val="520C24EC"/>
    <w:lvl w:ilvl="0" w:tplc="04260011">
      <w:start w:val="1"/>
      <w:numFmt w:val="decimal"/>
      <w:lvlText w:val="%1)"/>
      <w:lvlJc w:val="left"/>
      <w:pPr>
        <w:ind w:left="807" w:hanging="360"/>
      </w:pPr>
    </w:lvl>
    <w:lvl w:ilvl="1" w:tplc="04260019" w:tentative="1">
      <w:start w:val="1"/>
      <w:numFmt w:val="lowerLetter"/>
      <w:lvlText w:val="%2."/>
      <w:lvlJc w:val="left"/>
      <w:pPr>
        <w:ind w:left="1527" w:hanging="360"/>
      </w:pPr>
    </w:lvl>
    <w:lvl w:ilvl="2" w:tplc="0426001B" w:tentative="1">
      <w:start w:val="1"/>
      <w:numFmt w:val="lowerRoman"/>
      <w:lvlText w:val="%3."/>
      <w:lvlJc w:val="right"/>
      <w:pPr>
        <w:ind w:left="2247" w:hanging="180"/>
      </w:pPr>
    </w:lvl>
    <w:lvl w:ilvl="3" w:tplc="0426000F" w:tentative="1">
      <w:start w:val="1"/>
      <w:numFmt w:val="decimal"/>
      <w:lvlText w:val="%4."/>
      <w:lvlJc w:val="left"/>
      <w:pPr>
        <w:ind w:left="2967" w:hanging="360"/>
      </w:pPr>
    </w:lvl>
    <w:lvl w:ilvl="4" w:tplc="04260019" w:tentative="1">
      <w:start w:val="1"/>
      <w:numFmt w:val="lowerLetter"/>
      <w:lvlText w:val="%5."/>
      <w:lvlJc w:val="left"/>
      <w:pPr>
        <w:ind w:left="3687" w:hanging="360"/>
      </w:pPr>
    </w:lvl>
    <w:lvl w:ilvl="5" w:tplc="0426001B" w:tentative="1">
      <w:start w:val="1"/>
      <w:numFmt w:val="lowerRoman"/>
      <w:lvlText w:val="%6."/>
      <w:lvlJc w:val="right"/>
      <w:pPr>
        <w:ind w:left="4407" w:hanging="180"/>
      </w:pPr>
    </w:lvl>
    <w:lvl w:ilvl="6" w:tplc="0426000F" w:tentative="1">
      <w:start w:val="1"/>
      <w:numFmt w:val="decimal"/>
      <w:lvlText w:val="%7."/>
      <w:lvlJc w:val="left"/>
      <w:pPr>
        <w:ind w:left="5127" w:hanging="360"/>
      </w:pPr>
    </w:lvl>
    <w:lvl w:ilvl="7" w:tplc="04260019" w:tentative="1">
      <w:start w:val="1"/>
      <w:numFmt w:val="lowerLetter"/>
      <w:lvlText w:val="%8."/>
      <w:lvlJc w:val="left"/>
      <w:pPr>
        <w:ind w:left="5847" w:hanging="360"/>
      </w:pPr>
    </w:lvl>
    <w:lvl w:ilvl="8" w:tplc="0426001B" w:tentative="1">
      <w:start w:val="1"/>
      <w:numFmt w:val="lowerRoman"/>
      <w:lvlText w:val="%9."/>
      <w:lvlJc w:val="right"/>
      <w:pPr>
        <w:ind w:left="6567" w:hanging="180"/>
      </w:pPr>
    </w:lvl>
  </w:abstractNum>
  <w:abstractNum w:abstractNumId="11" w15:restartNumberingAfterBreak="0">
    <w:nsid w:val="5C683B7C"/>
    <w:multiLevelType w:val="hybridMultilevel"/>
    <w:tmpl w:val="9AC60F1A"/>
    <w:lvl w:ilvl="0" w:tplc="04260017">
      <w:start w:val="1"/>
      <w:numFmt w:val="lowerLetter"/>
      <w:lvlText w:val="%1)"/>
      <w:lvlJc w:val="left"/>
      <w:pPr>
        <w:ind w:left="807" w:hanging="360"/>
      </w:pPr>
    </w:lvl>
    <w:lvl w:ilvl="1" w:tplc="04260019" w:tentative="1">
      <w:start w:val="1"/>
      <w:numFmt w:val="lowerLetter"/>
      <w:lvlText w:val="%2."/>
      <w:lvlJc w:val="left"/>
      <w:pPr>
        <w:ind w:left="1527" w:hanging="360"/>
      </w:pPr>
    </w:lvl>
    <w:lvl w:ilvl="2" w:tplc="0426001B" w:tentative="1">
      <w:start w:val="1"/>
      <w:numFmt w:val="lowerRoman"/>
      <w:lvlText w:val="%3."/>
      <w:lvlJc w:val="right"/>
      <w:pPr>
        <w:ind w:left="2247" w:hanging="180"/>
      </w:pPr>
    </w:lvl>
    <w:lvl w:ilvl="3" w:tplc="0426000F" w:tentative="1">
      <w:start w:val="1"/>
      <w:numFmt w:val="decimal"/>
      <w:lvlText w:val="%4."/>
      <w:lvlJc w:val="left"/>
      <w:pPr>
        <w:ind w:left="2967" w:hanging="360"/>
      </w:pPr>
    </w:lvl>
    <w:lvl w:ilvl="4" w:tplc="04260019" w:tentative="1">
      <w:start w:val="1"/>
      <w:numFmt w:val="lowerLetter"/>
      <w:lvlText w:val="%5."/>
      <w:lvlJc w:val="left"/>
      <w:pPr>
        <w:ind w:left="3687" w:hanging="360"/>
      </w:pPr>
    </w:lvl>
    <w:lvl w:ilvl="5" w:tplc="0426001B" w:tentative="1">
      <w:start w:val="1"/>
      <w:numFmt w:val="lowerRoman"/>
      <w:lvlText w:val="%6."/>
      <w:lvlJc w:val="right"/>
      <w:pPr>
        <w:ind w:left="4407" w:hanging="180"/>
      </w:pPr>
    </w:lvl>
    <w:lvl w:ilvl="6" w:tplc="0426000F" w:tentative="1">
      <w:start w:val="1"/>
      <w:numFmt w:val="decimal"/>
      <w:lvlText w:val="%7."/>
      <w:lvlJc w:val="left"/>
      <w:pPr>
        <w:ind w:left="5127" w:hanging="360"/>
      </w:pPr>
    </w:lvl>
    <w:lvl w:ilvl="7" w:tplc="04260019" w:tentative="1">
      <w:start w:val="1"/>
      <w:numFmt w:val="lowerLetter"/>
      <w:lvlText w:val="%8."/>
      <w:lvlJc w:val="left"/>
      <w:pPr>
        <w:ind w:left="5847" w:hanging="360"/>
      </w:pPr>
    </w:lvl>
    <w:lvl w:ilvl="8" w:tplc="0426001B" w:tentative="1">
      <w:start w:val="1"/>
      <w:numFmt w:val="lowerRoman"/>
      <w:lvlText w:val="%9."/>
      <w:lvlJc w:val="right"/>
      <w:pPr>
        <w:ind w:left="6567" w:hanging="180"/>
      </w:pPr>
    </w:lvl>
  </w:abstractNum>
  <w:abstractNum w:abstractNumId="12" w15:restartNumberingAfterBreak="0">
    <w:nsid w:val="5DF707A1"/>
    <w:multiLevelType w:val="hybridMultilevel"/>
    <w:tmpl w:val="9266D380"/>
    <w:lvl w:ilvl="0" w:tplc="543C1A4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20117E0"/>
    <w:multiLevelType w:val="hybridMultilevel"/>
    <w:tmpl w:val="6402168E"/>
    <w:lvl w:ilvl="0" w:tplc="A98256D4">
      <w:start w:val="1"/>
      <w:numFmt w:val="decimal"/>
      <w:lvlText w:val="%1."/>
      <w:lvlJc w:val="left"/>
      <w:pPr>
        <w:ind w:left="447" w:hanging="360"/>
      </w:pPr>
      <w:rPr>
        <w:rFonts w:hint="default"/>
      </w:rPr>
    </w:lvl>
    <w:lvl w:ilvl="1" w:tplc="04260019" w:tentative="1">
      <w:start w:val="1"/>
      <w:numFmt w:val="lowerLetter"/>
      <w:lvlText w:val="%2."/>
      <w:lvlJc w:val="left"/>
      <w:pPr>
        <w:ind w:left="1167" w:hanging="360"/>
      </w:pPr>
    </w:lvl>
    <w:lvl w:ilvl="2" w:tplc="0426001B" w:tentative="1">
      <w:start w:val="1"/>
      <w:numFmt w:val="lowerRoman"/>
      <w:lvlText w:val="%3."/>
      <w:lvlJc w:val="right"/>
      <w:pPr>
        <w:ind w:left="1887" w:hanging="180"/>
      </w:pPr>
    </w:lvl>
    <w:lvl w:ilvl="3" w:tplc="0426000F" w:tentative="1">
      <w:start w:val="1"/>
      <w:numFmt w:val="decimal"/>
      <w:lvlText w:val="%4."/>
      <w:lvlJc w:val="left"/>
      <w:pPr>
        <w:ind w:left="2607" w:hanging="360"/>
      </w:pPr>
    </w:lvl>
    <w:lvl w:ilvl="4" w:tplc="04260019" w:tentative="1">
      <w:start w:val="1"/>
      <w:numFmt w:val="lowerLetter"/>
      <w:lvlText w:val="%5."/>
      <w:lvlJc w:val="left"/>
      <w:pPr>
        <w:ind w:left="3327" w:hanging="360"/>
      </w:pPr>
    </w:lvl>
    <w:lvl w:ilvl="5" w:tplc="0426001B" w:tentative="1">
      <w:start w:val="1"/>
      <w:numFmt w:val="lowerRoman"/>
      <w:lvlText w:val="%6."/>
      <w:lvlJc w:val="right"/>
      <w:pPr>
        <w:ind w:left="4047" w:hanging="180"/>
      </w:pPr>
    </w:lvl>
    <w:lvl w:ilvl="6" w:tplc="0426000F" w:tentative="1">
      <w:start w:val="1"/>
      <w:numFmt w:val="decimal"/>
      <w:lvlText w:val="%7."/>
      <w:lvlJc w:val="left"/>
      <w:pPr>
        <w:ind w:left="4767" w:hanging="360"/>
      </w:pPr>
    </w:lvl>
    <w:lvl w:ilvl="7" w:tplc="04260019" w:tentative="1">
      <w:start w:val="1"/>
      <w:numFmt w:val="lowerLetter"/>
      <w:lvlText w:val="%8."/>
      <w:lvlJc w:val="left"/>
      <w:pPr>
        <w:ind w:left="5487" w:hanging="360"/>
      </w:pPr>
    </w:lvl>
    <w:lvl w:ilvl="8" w:tplc="0426001B" w:tentative="1">
      <w:start w:val="1"/>
      <w:numFmt w:val="lowerRoman"/>
      <w:lvlText w:val="%9."/>
      <w:lvlJc w:val="right"/>
      <w:pPr>
        <w:ind w:left="6207" w:hanging="180"/>
      </w:pPr>
    </w:lvl>
  </w:abstractNum>
  <w:abstractNum w:abstractNumId="14" w15:restartNumberingAfterBreak="0">
    <w:nsid w:val="64054E12"/>
    <w:multiLevelType w:val="hybridMultilevel"/>
    <w:tmpl w:val="88D61086"/>
    <w:lvl w:ilvl="0" w:tplc="04260011">
      <w:start w:val="1"/>
      <w:numFmt w:val="decimal"/>
      <w:lvlText w:val="%1)"/>
      <w:lvlJc w:val="left"/>
      <w:pPr>
        <w:ind w:left="1221" w:hanging="360"/>
      </w:pPr>
    </w:lvl>
    <w:lvl w:ilvl="1" w:tplc="04260019" w:tentative="1">
      <w:start w:val="1"/>
      <w:numFmt w:val="lowerLetter"/>
      <w:lvlText w:val="%2."/>
      <w:lvlJc w:val="left"/>
      <w:pPr>
        <w:ind w:left="1941" w:hanging="360"/>
      </w:pPr>
    </w:lvl>
    <w:lvl w:ilvl="2" w:tplc="0426001B" w:tentative="1">
      <w:start w:val="1"/>
      <w:numFmt w:val="lowerRoman"/>
      <w:lvlText w:val="%3."/>
      <w:lvlJc w:val="right"/>
      <w:pPr>
        <w:ind w:left="2661" w:hanging="180"/>
      </w:pPr>
    </w:lvl>
    <w:lvl w:ilvl="3" w:tplc="0426000F" w:tentative="1">
      <w:start w:val="1"/>
      <w:numFmt w:val="decimal"/>
      <w:lvlText w:val="%4."/>
      <w:lvlJc w:val="left"/>
      <w:pPr>
        <w:ind w:left="3381" w:hanging="360"/>
      </w:pPr>
    </w:lvl>
    <w:lvl w:ilvl="4" w:tplc="04260019" w:tentative="1">
      <w:start w:val="1"/>
      <w:numFmt w:val="lowerLetter"/>
      <w:lvlText w:val="%5."/>
      <w:lvlJc w:val="left"/>
      <w:pPr>
        <w:ind w:left="4101" w:hanging="360"/>
      </w:pPr>
    </w:lvl>
    <w:lvl w:ilvl="5" w:tplc="0426001B" w:tentative="1">
      <w:start w:val="1"/>
      <w:numFmt w:val="lowerRoman"/>
      <w:lvlText w:val="%6."/>
      <w:lvlJc w:val="right"/>
      <w:pPr>
        <w:ind w:left="4821" w:hanging="180"/>
      </w:pPr>
    </w:lvl>
    <w:lvl w:ilvl="6" w:tplc="0426000F" w:tentative="1">
      <w:start w:val="1"/>
      <w:numFmt w:val="decimal"/>
      <w:lvlText w:val="%7."/>
      <w:lvlJc w:val="left"/>
      <w:pPr>
        <w:ind w:left="5541" w:hanging="360"/>
      </w:pPr>
    </w:lvl>
    <w:lvl w:ilvl="7" w:tplc="04260019" w:tentative="1">
      <w:start w:val="1"/>
      <w:numFmt w:val="lowerLetter"/>
      <w:lvlText w:val="%8."/>
      <w:lvlJc w:val="left"/>
      <w:pPr>
        <w:ind w:left="6261" w:hanging="360"/>
      </w:pPr>
    </w:lvl>
    <w:lvl w:ilvl="8" w:tplc="0426001B" w:tentative="1">
      <w:start w:val="1"/>
      <w:numFmt w:val="lowerRoman"/>
      <w:lvlText w:val="%9."/>
      <w:lvlJc w:val="right"/>
      <w:pPr>
        <w:ind w:left="6981" w:hanging="180"/>
      </w:pPr>
    </w:lvl>
  </w:abstractNum>
  <w:abstractNum w:abstractNumId="15" w15:restartNumberingAfterBreak="0">
    <w:nsid w:val="6AB20829"/>
    <w:multiLevelType w:val="hybridMultilevel"/>
    <w:tmpl w:val="859C4910"/>
    <w:lvl w:ilvl="0" w:tplc="04260011">
      <w:start w:val="1"/>
      <w:numFmt w:val="decimal"/>
      <w:lvlText w:val="%1)"/>
      <w:lvlJc w:val="left"/>
      <w:pPr>
        <w:ind w:left="1221" w:hanging="360"/>
      </w:pPr>
    </w:lvl>
    <w:lvl w:ilvl="1" w:tplc="04260019" w:tentative="1">
      <w:start w:val="1"/>
      <w:numFmt w:val="lowerLetter"/>
      <w:lvlText w:val="%2."/>
      <w:lvlJc w:val="left"/>
      <w:pPr>
        <w:ind w:left="1941" w:hanging="360"/>
      </w:pPr>
    </w:lvl>
    <w:lvl w:ilvl="2" w:tplc="0426001B" w:tentative="1">
      <w:start w:val="1"/>
      <w:numFmt w:val="lowerRoman"/>
      <w:lvlText w:val="%3."/>
      <w:lvlJc w:val="right"/>
      <w:pPr>
        <w:ind w:left="2661" w:hanging="180"/>
      </w:pPr>
    </w:lvl>
    <w:lvl w:ilvl="3" w:tplc="0426000F" w:tentative="1">
      <w:start w:val="1"/>
      <w:numFmt w:val="decimal"/>
      <w:lvlText w:val="%4."/>
      <w:lvlJc w:val="left"/>
      <w:pPr>
        <w:ind w:left="3381" w:hanging="360"/>
      </w:pPr>
    </w:lvl>
    <w:lvl w:ilvl="4" w:tplc="04260019" w:tentative="1">
      <w:start w:val="1"/>
      <w:numFmt w:val="lowerLetter"/>
      <w:lvlText w:val="%5."/>
      <w:lvlJc w:val="left"/>
      <w:pPr>
        <w:ind w:left="4101" w:hanging="360"/>
      </w:pPr>
    </w:lvl>
    <w:lvl w:ilvl="5" w:tplc="0426001B" w:tentative="1">
      <w:start w:val="1"/>
      <w:numFmt w:val="lowerRoman"/>
      <w:lvlText w:val="%6."/>
      <w:lvlJc w:val="right"/>
      <w:pPr>
        <w:ind w:left="4821" w:hanging="180"/>
      </w:pPr>
    </w:lvl>
    <w:lvl w:ilvl="6" w:tplc="0426000F" w:tentative="1">
      <w:start w:val="1"/>
      <w:numFmt w:val="decimal"/>
      <w:lvlText w:val="%7."/>
      <w:lvlJc w:val="left"/>
      <w:pPr>
        <w:ind w:left="5541" w:hanging="360"/>
      </w:pPr>
    </w:lvl>
    <w:lvl w:ilvl="7" w:tplc="04260019" w:tentative="1">
      <w:start w:val="1"/>
      <w:numFmt w:val="lowerLetter"/>
      <w:lvlText w:val="%8."/>
      <w:lvlJc w:val="left"/>
      <w:pPr>
        <w:ind w:left="6261" w:hanging="360"/>
      </w:pPr>
    </w:lvl>
    <w:lvl w:ilvl="8" w:tplc="0426001B" w:tentative="1">
      <w:start w:val="1"/>
      <w:numFmt w:val="lowerRoman"/>
      <w:lvlText w:val="%9."/>
      <w:lvlJc w:val="right"/>
      <w:pPr>
        <w:ind w:left="6981" w:hanging="180"/>
      </w:pPr>
    </w:lvl>
  </w:abstractNum>
  <w:abstractNum w:abstractNumId="16" w15:restartNumberingAfterBreak="0">
    <w:nsid w:val="6D57702F"/>
    <w:multiLevelType w:val="hybridMultilevel"/>
    <w:tmpl w:val="F1527AF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7" w15:restartNumberingAfterBreak="0">
    <w:nsid w:val="70E434B4"/>
    <w:multiLevelType w:val="hybridMultilevel"/>
    <w:tmpl w:val="1DC0C30A"/>
    <w:lvl w:ilvl="0" w:tplc="1FB4B1EE">
      <w:start w:val="1"/>
      <w:numFmt w:val="decimal"/>
      <w:pStyle w:val="Daaarnumuru"/>
      <w:lvlText w:val="(%1)"/>
      <w:lvlJc w:val="left"/>
      <w:pPr>
        <w:ind w:left="928" w:hanging="360"/>
      </w:pPr>
      <w:rPr>
        <w:rFonts w:ascii="Times New Roman" w:hAnsi="Times New Roman" w:cs="Times New Roman"/>
        <w:b w:val="0"/>
        <w:bCs w:val="0"/>
        <w:i w:val="0"/>
        <w:iCs w:val="0"/>
        <w:caps w:val="0"/>
        <w:smallCaps w:val="0"/>
        <w:strike w:val="0"/>
        <w:dstrike w:val="0"/>
        <w:noProof w:val="0"/>
        <w:vanish w:val="0"/>
        <w:color w:val="auto"/>
        <w:spacing w:val="0"/>
        <w:kern w:val="0"/>
        <w:position w:val="0"/>
        <w:u w:val="none"/>
        <w:vertAlign w:val="baseline"/>
      </w:rPr>
    </w:lvl>
    <w:lvl w:ilvl="1" w:tplc="AB0454DE" w:tentative="1">
      <w:start w:val="1"/>
      <w:numFmt w:val="lowerLetter"/>
      <w:lvlText w:val="%2."/>
      <w:lvlJc w:val="left"/>
      <w:pPr>
        <w:ind w:left="-696" w:hanging="360"/>
      </w:pPr>
    </w:lvl>
    <w:lvl w:ilvl="2" w:tplc="4DA63BC6" w:tentative="1">
      <w:start w:val="1"/>
      <w:numFmt w:val="lowerRoman"/>
      <w:lvlText w:val="%3."/>
      <w:lvlJc w:val="right"/>
      <w:pPr>
        <w:ind w:left="24" w:hanging="180"/>
      </w:pPr>
    </w:lvl>
    <w:lvl w:ilvl="3" w:tplc="6720D17A" w:tentative="1">
      <w:start w:val="1"/>
      <w:numFmt w:val="decimal"/>
      <w:lvlText w:val="%4."/>
      <w:lvlJc w:val="left"/>
      <w:pPr>
        <w:ind w:left="744" w:hanging="360"/>
      </w:pPr>
    </w:lvl>
    <w:lvl w:ilvl="4" w:tplc="DD14F116" w:tentative="1">
      <w:start w:val="1"/>
      <w:numFmt w:val="lowerLetter"/>
      <w:lvlText w:val="%5."/>
      <w:lvlJc w:val="left"/>
      <w:pPr>
        <w:ind w:left="1464" w:hanging="360"/>
      </w:pPr>
    </w:lvl>
    <w:lvl w:ilvl="5" w:tplc="6F2AFF78" w:tentative="1">
      <w:start w:val="1"/>
      <w:numFmt w:val="lowerRoman"/>
      <w:lvlText w:val="%6."/>
      <w:lvlJc w:val="right"/>
      <w:pPr>
        <w:ind w:left="2184" w:hanging="180"/>
      </w:pPr>
    </w:lvl>
    <w:lvl w:ilvl="6" w:tplc="4DD2E848" w:tentative="1">
      <w:start w:val="1"/>
      <w:numFmt w:val="decimal"/>
      <w:lvlText w:val="%7."/>
      <w:lvlJc w:val="left"/>
      <w:pPr>
        <w:ind w:left="2904" w:hanging="360"/>
      </w:pPr>
    </w:lvl>
    <w:lvl w:ilvl="7" w:tplc="90EC4C40" w:tentative="1">
      <w:start w:val="1"/>
      <w:numFmt w:val="lowerLetter"/>
      <w:lvlText w:val="%8."/>
      <w:lvlJc w:val="left"/>
      <w:pPr>
        <w:ind w:left="3624" w:hanging="360"/>
      </w:pPr>
    </w:lvl>
    <w:lvl w:ilvl="8" w:tplc="AEF0B936" w:tentative="1">
      <w:start w:val="1"/>
      <w:numFmt w:val="lowerRoman"/>
      <w:lvlText w:val="%9."/>
      <w:lvlJc w:val="right"/>
      <w:pPr>
        <w:ind w:left="4344" w:hanging="180"/>
      </w:pPr>
    </w:lvl>
  </w:abstractNum>
  <w:abstractNum w:abstractNumId="18" w15:restartNumberingAfterBreak="0">
    <w:nsid w:val="72B016B5"/>
    <w:multiLevelType w:val="hybridMultilevel"/>
    <w:tmpl w:val="D19CCFF6"/>
    <w:lvl w:ilvl="0" w:tplc="D8A81DA0">
      <w:start w:val="1"/>
      <w:numFmt w:val="decimal"/>
      <w:lvlText w:val="%1)"/>
      <w:lvlJc w:val="left"/>
      <w:pPr>
        <w:ind w:left="833" w:hanging="360"/>
      </w:pPr>
      <w:rPr>
        <w:rFonts w:eastAsia="Times New Roman" w:hint="default"/>
      </w:rPr>
    </w:lvl>
    <w:lvl w:ilvl="1" w:tplc="04260019" w:tentative="1">
      <w:start w:val="1"/>
      <w:numFmt w:val="lowerLetter"/>
      <w:lvlText w:val="%2."/>
      <w:lvlJc w:val="left"/>
      <w:pPr>
        <w:ind w:left="1553" w:hanging="360"/>
      </w:pPr>
    </w:lvl>
    <w:lvl w:ilvl="2" w:tplc="0426001B" w:tentative="1">
      <w:start w:val="1"/>
      <w:numFmt w:val="lowerRoman"/>
      <w:lvlText w:val="%3."/>
      <w:lvlJc w:val="right"/>
      <w:pPr>
        <w:ind w:left="2273" w:hanging="180"/>
      </w:pPr>
    </w:lvl>
    <w:lvl w:ilvl="3" w:tplc="0426000F" w:tentative="1">
      <w:start w:val="1"/>
      <w:numFmt w:val="decimal"/>
      <w:lvlText w:val="%4."/>
      <w:lvlJc w:val="left"/>
      <w:pPr>
        <w:ind w:left="2993" w:hanging="360"/>
      </w:pPr>
    </w:lvl>
    <w:lvl w:ilvl="4" w:tplc="04260019" w:tentative="1">
      <w:start w:val="1"/>
      <w:numFmt w:val="lowerLetter"/>
      <w:lvlText w:val="%5."/>
      <w:lvlJc w:val="left"/>
      <w:pPr>
        <w:ind w:left="3713" w:hanging="360"/>
      </w:pPr>
    </w:lvl>
    <w:lvl w:ilvl="5" w:tplc="0426001B" w:tentative="1">
      <w:start w:val="1"/>
      <w:numFmt w:val="lowerRoman"/>
      <w:lvlText w:val="%6."/>
      <w:lvlJc w:val="right"/>
      <w:pPr>
        <w:ind w:left="4433" w:hanging="180"/>
      </w:pPr>
    </w:lvl>
    <w:lvl w:ilvl="6" w:tplc="0426000F" w:tentative="1">
      <w:start w:val="1"/>
      <w:numFmt w:val="decimal"/>
      <w:lvlText w:val="%7."/>
      <w:lvlJc w:val="left"/>
      <w:pPr>
        <w:ind w:left="5153" w:hanging="360"/>
      </w:pPr>
    </w:lvl>
    <w:lvl w:ilvl="7" w:tplc="04260019" w:tentative="1">
      <w:start w:val="1"/>
      <w:numFmt w:val="lowerLetter"/>
      <w:lvlText w:val="%8."/>
      <w:lvlJc w:val="left"/>
      <w:pPr>
        <w:ind w:left="5873" w:hanging="360"/>
      </w:pPr>
    </w:lvl>
    <w:lvl w:ilvl="8" w:tplc="0426001B" w:tentative="1">
      <w:start w:val="1"/>
      <w:numFmt w:val="lowerRoman"/>
      <w:lvlText w:val="%9."/>
      <w:lvlJc w:val="right"/>
      <w:pPr>
        <w:ind w:left="6593" w:hanging="180"/>
      </w:pPr>
    </w:lvl>
  </w:abstractNum>
  <w:abstractNum w:abstractNumId="19" w15:restartNumberingAfterBreak="0">
    <w:nsid w:val="743F5984"/>
    <w:multiLevelType w:val="hybridMultilevel"/>
    <w:tmpl w:val="43B018DA"/>
    <w:lvl w:ilvl="0" w:tplc="0E7E4F78">
      <w:start w:val="1"/>
      <w:numFmt w:val="decimal"/>
      <w:lvlText w:val="%1)"/>
      <w:lvlJc w:val="left"/>
      <w:pPr>
        <w:ind w:left="1167" w:hanging="360"/>
      </w:pPr>
      <w:rPr>
        <w:rFonts w:eastAsia="Calibri" w:hint="default"/>
        <w:color w:val="auto"/>
      </w:rPr>
    </w:lvl>
    <w:lvl w:ilvl="1" w:tplc="04260019" w:tentative="1">
      <w:start w:val="1"/>
      <w:numFmt w:val="lowerLetter"/>
      <w:lvlText w:val="%2."/>
      <w:lvlJc w:val="left"/>
      <w:pPr>
        <w:ind w:left="1887" w:hanging="360"/>
      </w:pPr>
    </w:lvl>
    <w:lvl w:ilvl="2" w:tplc="0426001B" w:tentative="1">
      <w:start w:val="1"/>
      <w:numFmt w:val="lowerRoman"/>
      <w:lvlText w:val="%3."/>
      <w:lvlJc w:val="right"/>
      <w:pPr>
        <w:ind w:left="2607" w:hanging="180"/>
      </w:pPr>
    </w:lvl>
    <w:lvl w:ilvl="3" w:tplc="0426000F" w:tentative="1">
      <w:start w:val="1"/>
      <w:numFmt w:val="decimal"/>
      <w:lvlText w:val="%4."/>
      <w:lvlJc w:val="left"/>
      <w:pPr>
        <w:ind w:left="3327" w:hanging="360"/>
      </w:pPr>
    </w:lvl>
    <w:lvl w:ilvl="4" w:tplc="04260019" w:tentative="1">
      <w:start w:val="1"/>
      <w:numFmt w:val="lowerLetter"/>
      <w:lvlText w:val="%5."/>
      <w:lvlJc w:val="left"/>
      <w:pPr>
        <w:ind w:left="4047" w:hanging="360"/>
      </w:pPr>
    </w:lvl>
    <w:lvl w:ilvl="5" w:tplc="0426001B" w:tentative="1">
      <w:start w:val="1"/>
      <w:numFmt w:val="lowerRoman"/>
      <w:lvlText w:val="%6."/>
      <w:lvlJc w:val="right"/>
      <w:pPr>
        <w:ind w:left="4767" w:hanging="180"/>
      </w:pPr>
    </w:lvl>
    <w:lvl w:ilvl="6" w:tplc="0426000F" w:tentative="1">
      <w:start w:val="1"/>
      <w:numFmt w:val="decimal"/>
      <w:lvlText w:val="%7."/>
      <w:lvlJc w:val="left"/>
      <w:pPr>
        <w:ind w:left="5487" w:hanging="360"/>
      </w:pPr>
    </w:lvl>
    <w:lvl w:ilvl="7" w:tplc="04260019" w:tentative="1">
      <w:start w:val="1"/>
      <w:numFmt w:val="lowerLetter"/>
      <w:lvlText w:val="%8."/>
      <w:lvlJc w:val="left"/>
      <w:pPr>
        <w:ind w:left="6207" w:hanging="360"/>
      </w:pPr>
    </w:lvl>
    <w:lvl w:ilvl="8" w:tplc="0426001B" w:tentative="1">
      <w:start w:val="1"/>
      <w:numFmt w:val="lowerRoman"/>
      <w:lvlText w:val="%9."/>
      <w:lvlJc w:val="right"/>
      <w:pPr>
        <w:ind w:left="6927" w:hanging="180"/>
      </w:pPr>
    </w:lvl>
  </w:abstractNum>
  <w:abstractNum w:abstractNumId="20" w15:restartNumberingAfterBreak="0">
    <w:nsid w:val="7A5E3251"/>
    <w:multiLevelType w:val="hybridMultilevel"/>
    <w:tmpl w:val="02B6755A"/>
    <w:lvl w:ilvl="0" w:tplc="0426000F">
      <w:start w:val="1"/>
      <w:numFmt w:val="decimal"/>
      <w:lvlText w:val="%1."/>
      <w:lvlJc w:val="left"/>
      <w:pPr>
        <w:ind w:left="807" w:hanging="360"/>
      </w:pPr>
    </w:lvl>
    <w:lvl w:ilvl="1" w:tplc="04260019" w:tentative="1">
      <w:start w:val="1"/>
      <w:numFmt w:val="lowerLetter"/>
      <w:lvlText w:val="%2."/>
      <w:lvlJc w:val="left"/>
      <w:pPr>
        <w:ind w:left="1527" w:hanging="360"/>
      </w:pPr>
    </w:lvl>
    <w:lvl w:ilvl="2" w:tplc="0426001B" w:tentative="1">
      <w:start w:val="1"/>
      <w:numFmt w:val="lowerRoman"/>
      <w:lvlText w:val="%3."/>
      <w:lvlJc w:val="right"/>
      <w:pPr>
        <w:ind w:left="2247" w:hanging="180"/>
      </w:pPr>
    </w:lvl>
    <w:lvl w:ilvl="3" w:tplc="0426000F" w:tentative="1">
      <w:start w:val="1"/>
      <w:numFmt w:val="decimal"/>
      <w:lvlText w:val="%4."/>
      <w:lvlJc w:val="left"/>
      <w:pPr>
        <w:ind w:left="2967" w:hanging="360"/>
      </w:pPr>
    </w:lvl>
    <w:lvl w:ilvl="4" w:tplc="04260019" w:tentative="1">
      <w:start w:val="1"/>
      <w:numFmt w:val="lowerLetter"/>
      <w:lvlText w:val="%5."/>
      <w:lvlJc w:val="left"/>
      <w:pPr>
        <w:ind w:left="3687" w:hanging="360"/>
      </w:pPr>
    </w:lvl>
    <w:lvl w:ilvl="5" w:tplc="0426001B" w:tentative="1">
      <w:start w:val="1"/>
      <w:numFmt w:val="lowerRoman"/>
      <w:lvlText w:val="%6."/>
      <w:lvlJc w:val="right"/>
      <w:pPr>
        <w:ind w:left="4407" w:hanging="180"/>
      </w:pPr>
    </w:lvl>
    <w:lvl w:ilvl="6" w:tplc="0426000F" w:tentative="1">
      <w:start w:val="1"/>
      <w:numFmt w:val="decimal"/>
      <w:lvlText w:val="%7."/>
      <w:lvlJc w:val="left"/>
      <w:pPr>
        <w:ind w:left="5127" w:hanging="360"/>
      </w:pPr>
    </w:lvl>
    <w:lvl w:ilvl="7" w:tplc="04260019" w:tentative="1">
      <w:start w:val="1"/>
      <w:numFmt w:val="lowerLetter"/>
      <w:lvlText w:val="%8."/>
      <w:lvlJc w:val="left"/>
      <w:pPr>
        <w:ind w:left="5847" w:hanging="360"/>
      </w:pPr>
    </w:lvl>
    <w:lvl w:ilvl="8" w:tplc="0426001B" w:tentative="1">
      <w:start w:val="1"/>
      <w:numFmt w:val="lowerRoman"/>
      <w:lvlText w:val="%9."/>
      <w:lvlJc w:val="right"/>
      <w:pPr>
        <w:ind w:left="6567" w:hanging="180"/>
      </w:pPr>
    </w:lvl>
  </w:abstractNum>
  <w:num w:numId="1">
    <w:abstractNumId w:val="17"/>
  </w:num>
  <w:num w:numId="2">
    <w:abstractNumId w:val="16"/>
  </w:num>
  <w:num w:numId="3">
    <w:abstractNumId w:val="12"/>
  </w:num>
  <w:num w:numId="4">
    <w:abstractNumId w:val="6"/>
  </w:num>
  <w:num w:numId="5">
    <w:abstractNumId w:val="18"/>
  </w:num>
  <w:num w:numId="6">
    <w:abstractNumId w:val="7"/>
  </w:num>
  <w:num w:numId="7">
    <w:abstractNumId w:val="13"/>
  </w:num>
  <w:num w:numId="8">
    <w:abstractNumId w:val="3"/>
  </w:num>
  <w:num w:numId="9">
    <w:abstractNumId w:val="20"/>
  </w:num>
  <w:num w:numId="10">
    <w:abstractNumId w:val="1"/>
  </w:num>
  <w:num w:numId="11">
    <w:abstractNumId w:val="5"/>
  </w:num>
  <w:num w:numId="12">
    <w:abstractNumId w:val="11"/>
  </w:num>
  <w:num w:numId="13">
    <w:abstractNumId w:val="2"/>
  </w:num>
  <w:num w:numId="14">
    <w:abstractNumId w:val="14"/>
  </w:num>
  <w:num w:numId="15">
    <w:abstractNumId w:val="8"/>
  </w:num>
  <w:num w:numId="16">
    <w:abstractNumId w:val="19"/>
  </w:num>
  <w:num w:numId="17">
    <w:abstractNumId w:val="9"/>
  </w:num>
  <w:num w:numId="18">
    <w:abstractNumId w:val="4"/>
  </w:num>
  <w:num w:numId="19">
    <w:abstractNumId w:val="10"/>
  </w:num>
  <w:num w:numId="20">
    <w:abstractNumId w:val="15"/>
  </w:num>
  <w:num w:numId="2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39A"/>
    <w:rsid w:val="000001E6"/>
    <w:rsid w:val="0000049F"/>
    <w:rsid w:val="00000A02"/>
    <w:rsid w:val="00000C1C"/>
    <w:rsid w:val="00000CF4"/>
    <w:rsid w:val="00000EDC"/>
    <w:rsid w:val="000012BE"/>
    <w:rsid w:val="000014FC"/>
    <w:rsid w:val="00002E15"/>
    <w:rsid w:val="00002FF0"/>
    <w:rsid w:val="00003D04"/>
    <w:rsid w:val="000045A2"/>
    <w:rsid w:val="00004CCF"/>
    <w:rsid w:val="00004E8B"/>
    <w:rsid w:val="000062D5"/>
    <w:rsid w:val="000072E4"/>
    <w:rsid w:val="00007B75"/>
    <w:rsid w:val="00007C63"/>
    <w:rsid w:val="000103B6"/>
    <w:rsid w:val="0001126B"/>
    <w:rsid w:val="00011318"/>
    <w:rsid w:val="0001177C"/>
    <w:rsid w:val="00011E03"/>
    <w:rsid w:val="00012BE6"/>
    <w:rsid w:val="000132B9"/>
    <w:rsid w:val="00013D24"/>
    <w:rsid w:val="00015253"/>
    <w:rsid w:val="000152C1"/>
    <w:rsid w:val="000155C4"/>
    <w:rsid w:val="00015A9A"/>
    <w:rsid w:val="000161F8"/>
    <w:rsid w:val="00016B08"/>
    <w:rsid w:val="0001736F"/>
    <w:rsid w:val="0001788E"/>
    <w:rsid w:val="00017B38"/>
    <w:rsid w:val="00017C50"/>
    <w:rsid w:val="000208AC"/>
    <w:rsid w:val="000209F0"/>
    <w:rsid w:val="00020B16"/>
    <w:rsid w:val="00020F84"/>
    <w:rsid w:val="00022002"/>
    <w:rsid w:val="000228C0"/>
    <w:rsid w:val="00024038"/>
    <w:rsid w:val="0002513D"/>
    <w:rsid w:val="000256EF"/>
    <w:rsid w:val="0002575C"/>
    <w:rsid w:val="0002638B"/>
    <w:rsid w:val="000268DD"/>
    <w:rsid w:val="00027410"/>
    <w:rsid w:val="00027540"/>
    <w:rsid w:val="00027C07"/>
    <w:rsid w:val="00027F1E"/>
    <w:rsid w:val="000305D7"/>
    <w:rsid w:val="00030ABA"/>
    <w:rsid w:val="0003130B"/>
    <w:rsid w:val="00031374"/>
    <w:rsid w:val="0003248D"/>
    <w:rsid w:val="00032911"/>
    <w:rsid w:val="000329B0"/>
    <w:rsid w:val="00032DA1"/>
    <w:rsid w:val="00032F60"/>
    <w:rsid w:val="00033D5E"/>
    <w:rsid w:val="0003592B"/>
    <w:rsid w:val="00035A6C"/>
    <w:rsid w:val="00036550"/>
    <w:rsid w:val="00037085"/>
    <w:rsid w:val="000404D7"/>
    <w:rsid w:val="0004097B"/>
    <w:rsid w:val="000409CE"/>
    <w:rsid w:val="00040C1A"/>
    <w:rsid w:val="00041002"/>
    <w:rsid w:val="000422B3"/>
    <w:rsid w:val="000423EB"/>
    <w:rsid w:val="000425C1"/>
    <w:rsid w:val="00043026"/>
    <w:rsid w:val="000441FF"/>
    <w:rsid w:val="000442BD"/>
    <w:rsid w:val="000447B1"/>
    <w:rsid w:val="00046074"/>
    <w:rsid w:val="000468FE"/>
    <w:rsid w:val="00050172"/>
    <w:rsid w:val="00050266"/>
    <w:rsid w:val="0005045E"/>
    <w:rsid w:val="00050EC9"/>
    <w:rsid w:val="0005162C"/>
    <w:rsid w:val="0005182F"/>
    <w:rsid w:val="00052038"/>
    <w:rsid w:val="00052703"/>
    <w:rsid w:val="000529D3"/>
    <w:rsid w:val="000532F3"/>
    <w:rsid w:val="00054293"/>
    <w:rsid w:val="00054FEE"/>
    <w:rsid w:val="0005528B"/>
    <w:rsid w:val="00055CBB"/>
    <w:rsid w:val="00057293"/>
    <w:rsid w:val="0005746C"/>
    <w:rsid w:val="000578A4"/>
    <w:rsid w:val="000579D2"/>
    <w:rsid w:val="0006147E"/>
    <w:rsid w:val="000618E7"/>
    <w:rsid w:val="0006321F"/>
    <w:rsid w:val="00063B95"/>
    <w:rsid w:val="0006464B"/>
    <w:rsid w:val="00066206"/>
    <w:rsid w:val="00067431"/>
    <w:rsid w:val="00070478"/>
    <w:rsid w:val="00071060"/>
    <w:rsid w:val="000714CF"/>
    <w:rsid w:val="000725B0"/>
    <w:rsid w:val="00073DDC"/>
    <w:rsid w:val="00073F5C"/>
    <w:rsid w:val="000740A0"/>
    <w:rsid w:val="00074F63"/>
    <w:rsid w:val="0007599D"/>
    <w:rsid w:val="0007611A"/>
    <w:rsid w:val="00076350"/>
    <w:rsid w:val="0007662A"/>
    <w:rsid w:val="00076B15"/>
    <w:rsid w:val="00076F77"/>
    <w:rsid w:val="00077A57"/>
    <w:rsid w:val="00077C7B"/>
    <w:rsid w:val="0008053F"/>
    <w:rsid w:val="00080746"/>
    <w:rsid w:val="000814E8"/>
    <w:rsid w:val="00081D04"/>
    <w:rsid w:val="000831B6"/>
    <w:rsid w:val="00083AD8"/>
    <w:rsid w:val="000840FE"/>
    <w:rsid w:val="00084203"/>
    <w:rsid w:val="0008457C"/>
    <w:rsid w:val="000854FF"/>
    <w:rsid w:val="00085CA9"/>
    <w:rsid w:val="00085EA4"/>
    <w:rsid w:val="000865AD"/>
    <w:rsid w:val="000866E5"/>
    <w:rsid w:val="00086739"/>
    <w:rsid w:val="000871FF"/>
    <w:rsid w:val="00087D76"/>
    <w:rsid w:val="00090087"/>
    <w:rsid w:val="00090881"/>
    <w:rsid w:val="0009095D"/>
    <w:rsid w:val="00091853"/>
    <w:rsid w:val="00091EAA"/>
    <w:rsid w:val="00092FE6"/>
    <w:rsid w:val="0009366B"/>
    <w:rsid w:val="0009372C"/>
    <w:rsid w:val="000946D3"/>
    <w:rsid w:val="00094B61"/>
    <w:rsid w:val="000950BD"/>
    <w:rsid w:val="000961BE"/>
    <w:rsid w:val="00096E20"/>
    <w:rsid w:val="000970C2"/>
    <w:rsid w:val="0009728B"/>
    <w:rsid w:val="000979AA"/>
    <w:rsid w:val="000A007E"/>
    <w:rsid w:val="000A0242"/>
    <w:rsid w:val="000A0C8A"/>
    <w:rsid w:val="000A1409"/>
    <w:rsid w:val="000A2B67"/>
    <w:rsid w:val="000A3108"/>
    <w:rsid w:val="000A3288"/>
    <w:rsid w:val="000A35E1"/>
    <w:rsid w:val="000A42C3"/>
    <w:rsid w:val="000A44DF"/>
    <w:rsid w:val="000A4679"/>
    <w:rsid w:val="000A4A1F"/>
    <w:rsid w:val="000A5A58"/>
    <w:rsid w:val="000A6089"/>
    <w:rsid w:val="000A7AA1"/>
    <w:rsid w:val="000B020B"/>
    <w:rsid w:val="000B0B57"/>
    <w:rsid w:val="000B1405"/>
    <w:rsid w:val="000B159B"/>
    <w:rsid w:val="000B1CAC"/>
    <w:rsid w:val="000B2535"/>
    <w:rsid w:val="000B2D77"/>
    <w:rsid w:val="000B316D"/>
    <w:rsid w:val="000B4F82"/>
    <w:rsid w:val="000B5205"/>
    <w:rsid w:val="000B5C09"/>
    <w:rsid w:val="000C052C"/>
    <w:rsid w:val="000C0772"/>
    <w:rsid w:val="000C0FE9"/>
    <w:rsid w:val="000C12D8"/>
    <w:rsid w:val="000C18D2"/>
    <w:rsid w:val="000C1CB8"/>
    <w:rsid w:val="000C2081"/>
    <w:rsid w:val="000C27B5"/>
    <w:rsid w:val="000C2F4D"/>
    <w:rsid w:val="000C4A8A"/>
    <w:rsid w:val="000C4B41"/>
    <w:rsid w:val="000C4DDB"/>
    <w:rsid w:val="000C4E1C"/>
    <w:rsid w:val="000C60D3"/>
    <w:rsid w:val="000C6693"/>
    <w:rsid w:val="000C7130"/>
    <w:rsid w:val="000C7172"/>
    <w:rsid w:val="000C7AFF"/>
    <w:rsid w:val="000D0BCE"/>
    <w:rsid w:val="000D22E0"/>
    <w:rsid w:val="000D256F"/>
    <w:rsid w:val="000D2749"/>
    <w:rsid w:val="000D283D"/>
    <w:rsid w:val="000D2BDA"/>
    <w:rsid w:val="000D3CC0"/>
    <w:rsid w:val="000D4C2C"/>
    <w:rsid w:val="000D57A0"/>
    <w:rsid w:val="000D58ED"/>
    <w:rsid w:val="000D5E0B"/>
    <w:rsid w:val="000D5E12"/>
    <w:rsid w:val="000D5E2B"/>
    <w:rsid w:val="000D66D2"/>
    <w:rsid w:val="000D6853"/>
    <w:rsid w:val="000D6927"/>
    <w:rsid w:val="000D6973"/>
    <w:rsid w:val="000D79C0"/>
    <w:rsid w:val="000D7DBA"/>
    <w:rsid w:val="000E1128"/>
    <w:rsid w:val="000E1D8D"/>
    <w:rsid w:val="000E209A"/>
    <w:rsid w:val="000E2411"/>
    <w:rsid w:val="000E2C19"/>
    <w:rsid w:val="000E2E20"/>
    <w:rsid w:val="000E324C"/>
    <w:rsid w:val="000E5037"/>
    <w:rsid w:val="000E6206"/>
    <w:rsid w:val="000E7728"/>
    <w:rsid w:val="000E7EBF"/>
    <w:rsid w:val="000F152B"/>
    <w:rsid w:val="000F2BBD"/>
    <w:rsid w:val="000F312B"/>
    <w:rsid w:val="000F3257"/>
    <w:rsid w:val="000F3A3D"/>
    <w:rsid w:val="000F3AD2"/>
    <w:rsid w:val="000F3DB3"/>
    <w:rsid w:val="000F3E77"/>
    <w:rsid w:val="000F6D34"/>
    <w:rsid w:val="000F6EA7"/>
    <w:rsid w:val="00100AE1"/>
    <w:rsid w:val="00101786"/>
    <w:rsid w:val="00101FB9"/>
    <w:rsid w:val="00103052"/>
    <w:rsid w:val="001030F8"/>
    <w:rsid w:val="00103DAC"/>
    <w:rsid w:val="00103FEC"/>
    <w:rsid w:val="0010585B"/>
    <w:rsid w:val="00105A93"/>
    <w:rsid w:val="00107D17"/>
    <w:rsid w:val="00107D3C"/>
    <w:rsid w:val="0011009B"/>
    <w:rsid w:val="00110200"/>
    <w:rsid w:val="00110991"/>
    <w:rsid w:val="00110A46"/>
    <w:rsid w:val="00110C46"/>
    <w:rsid w:val="001119FE"/>
    <w:rsid w:val="00112818"/>
    <w:rsid w:val="00112C7A"/>
    <w:rsid w:val="0011358F"/>
    <w:rsid w:val="0011394D"/>
    <w:rsid w:val="0011397F"/>
    <w:rsid w:val="00113C42"/>
    <w:rsid w:val="00114340"/>
    <w:rsid w:val="00114A07"/>
    <w:rsid w:val="001153E4"/>
    <w:rsid w:val="0011540C"/>
    <w:rsid w:val="00115446"/>
    <w:rsid w:val="001154CA"/>
    <w:rsid w:val="00115E48"/>
    <w:rsid w:val="00115FB3"/>
    <w:rsid w:val="001164DA"/>
    <w:rsid w:val="00116DF3"/>
    <w:rsid w:val="001172F1"/>
    <w:rsid w:val="00117407"/>
    <w:rsid w:val="0011776F"/>
    <w:rsid w:val="00117797"/>
    <w:rsid w:val="00117F8D"/>
    <w:rsid w:val="0012120E"/>
    <w:rsid w:val="00121341"/>
    <w:rsid w:val="00122DFF"/>
    <w:rsid w:val="00122F9A"/>
    <w:rsid w:val="0012301B"/>
    <w:rsid w:val="00123828"/>
    <w:rsid w:val="00123B98"/>
    <w:rsid w:val="0012419E"/>
    <w:rsid w:val="001245A2"/>
    <w:rsid w:val="00124A50"/>
    <w:rsid w:val="00124F83"/>
    <w:rsid w:val="001255C5"/>
    <w:rsid w:val="00125708"/>
    <w:rsid w:val="001259D2"/>
    <w:rsid w:val="00125C1D"/>
    <w:rsid w:val="00126230"/>
    <w:rsid w:val="001265CD"/>
    <w:rsid w:val="001267FC"/>
    <w:rsid w:val="001268E1"/>
    <w:rsid w:val="0012692A"/>
    <w:rsid w:val="00126C90"/>
    <w:rsid w:val="00130F78"/>
    <w:rsid w:val="001310E9"/>
    <w:rsid w:val="00131CEF"/>
    <w:rsid w:val="00132544"/>
    <w:rsid w:val="001326E9"/>
    <w:rsid w:val="001327AB"/>
    <w:rsid w:val="00132A20"/>
    <w:rsid w:val="00132FCD"/>
    <w:rsid w:val="001339AE"/>
    <w:rsid w:val="0013416C"/>
    <w:rsid w:val="00134914"/>
    <w:rsid w:val="00134E13"/>
    <w:rsid w:val="001350C9"/>
    <w:rsid w:val="0013619C"/>
    <w:rsid w:val="00136269"/>
    <w:rsid w:val="00136868"/>
    <w:rsid w:val="00136C6E"/>
    <w:rsid w:val="00136C98"/>
    <w:rsid w:val="001370A0"/>
    <w:rsid w:val="00137489"/>
    <w:rsid w:val="00137580"/>
    <w:rsid w:val="001377C5"/>
    <w:rsid w:val="0013782A"/>
    <w:rsid w:val="00137918"/>
    <w:rsid w:val="00140144"/>
    <w:rsid w:val="00140714"/>
    <w:rsid w:val="001408B8"/>
    <w:rsid w:val="0014197D"/>
    <w:rsid w:val="00141DFE"/>
    <w:rsid w:val="00143B0F"/>
    <w:rsid w:val="00143D5C"/>
    <w:rsid w:val="001445CD"/>
    <w:rsid w:val="001447A2"/>
    <w:rsid w:val="001447FD"/>
    <w:rsid w:val="001448BA"/>
    <w:rsid w:val="00145595"/>
    <w:rsid w:val="0014607F"/>
    <w:rsid w:val="00146130"/>
    <w:rsid w:val="0014657A"/>
    <w:rsid w:val="00146AB2"/>
    <w:rsid w:val="001476FD"/>
    <w:rsid w:val="001477AA"/>
    <w:rsid w:val="001477FE"/>
    <w:rsid w:val="00147D09"/>
    <w:rsid w:val="00147DB1"/>
    <w:rsid w:val="001510FA"/>
    <w:rsid w:val="00151F2F"/>
    <w:rsid w:val="001523F1"/>
    <w:rsid w:val="00152700"/>
    <w:rsid w:val="00153A6E"/>
    <w:rsid w:val="00153A7B"/>
    <w:rsid w:val="00153CD8"/>
    <w:rsid w:val="00153CF1"/>
    <w:rsid w:val="00153EFE"/>
    <w:rsid w:val="00154770"/>
    <w:rsid w:val="001569B6"/>
    <w:rsid w:val="00160F6C"/>
    <w:rsid w:val="00161A14"/>
    <w:rsid w:val="00162009"/>
    <w:rsid w:val="001624F6"/>
    <w:rsid w:val="00162686"/>
    <w:rsid w:val="00162DAD"/>
    <w:rsid w:val="001633B9"/>
    <w:rsid w:val="00163732"/>
    <w:rsid w:val="00164343"/>
    <w:rsid w:val="0016460F"/>
    <w:rsid w:val="00164732"/>
    <w:rsid w:val="00164B5D"/>
    <w:rsid w:val="001656E1"/>
    <w:rsid w:val="00165B3D"/>
    <w:rsid w:val="001662F3"/>
    <w:rsid w:val="00166386"/>
    <w:rsid w:val="001669B9"/>
    <w:rsid w:val="001706FB"/>
    <w:rsid w:val="00171022"/>
    <w:rsid w:val="001714DD"/>
    <w:rsid w:val="00171EA4"/>
    <w:rsid w:val="001722D1"/>
    <w:rsid w:val="00172D9C"/>
    <w:rsid w:val="00172FCC"/>
    <w:rsid w:val="0017396D"/>
    <w:rsid w:val="001748C2"/>
    <w:rsid w:val="00174B19"/>
    <w:rsid w:val="0017577F"/>
    <w:rsid w:val="001757E8"/>
    <w:rsid w:val="001758A0"/>
    <w:rsid w:val="0017623D"/>
    <w:rsid w:val="00177082"/>
    <w:rsid w:val="0017754E"/>
    <w:rsid w:val="0018083E"/>
    <w:rsid w:val="00180CC6"/>
    <w:rsid w:val="00181002"/>
    <w:rsid w:val="00182D91"/>
    <w:rsid w:val="0018306F"/>
    <w:rsid w:val="0018364D"/>
    <w:rsid w:val="00184CCF"/>
    <w:rsid w:val="0018577C"/>
    <w:rsid w:val="00187776"/>
    <w:rsid w:val="001900FF"/>
    <w:rsid w:val="00190450"/>
    <w:rsid w:val="00190A4A"/>
    <w:rsid w:val="00191096"/>
    <w:rsid w:val="001915AD"/>
    <w:rsid w:val="001926B5"/>
    <w:rsid w:val="00193A0C"/>
    <w:rsid w:val="001950B4"/>
    <w:rsid w:val="0019637B"/>
    <w:rsid w:val="00196683"/>
    <w:rsid w:val="00196943"/>
    <w:rsid w:val="0019787F"/>
    <w:rsid w:val="00197BB8"/>
    <w:rsid w:val="00197BFF"/>
    <w:rsid w:val="001A098F"/>
    <w:rsid w:val="001A1322"/>
    <w:rsid w:val="001A1362"/>
    <w:rsid w:val="001A1B88"/>
    <w:rsid w:val="001A431E"/>
    <w:rsid w:val="001A5372"/>
    <w:rsid w:val="001A542E"/>
    <w:rsid w:val="001A5C76"/>
    <w:rsid w:val="001A6533"/>
    <w:rsid w:val="001A6C8B"/>
    <w:rsid w:val="001A6F51"/>
    <w:rsid w:val="001A6FB4"/>
    <w:rsid w:val="001A7880"/>
    <w:rsid w:val="001A7B2A"/>
    <w:rsid w:val="001B0197"/>
    <w:rsid w:val="001B0345"/>
    <w:rsid w:val="001B0481"/>
    <w:rsid w:val="001B16A9"/>
    <w:rsid w:val="001B17D3"/>
    <w:rsid w:val="001B1C19"/>
    <w:rsid w:val="001B3C66"/>
    <w:rsid w:val="001B3C90"/>
    <w:rsid w:val="001B3EC8"/>
    <w:rsid w:val="001B4713"/>
    <w:rsid w:val="001B5C1C"/>
    <w:rsid w:val="001B611B"/>
    <w:rsid w:val="001B645B"/>
    <w:rsid w:val="001B70E4"/>
    <w:rsid w:val="001B741B"/>
    <w:rsid w:val="001B7AAF"/>
    <w:rsid w:val="001C102A"/>
    <w:rsid w:val="001C2A37"/>
    <w:rsid w:val="001C3885"/>
    <w:rsid w:val="001C38D5"/>
    <w:rsid w:val="001C3CBB"/>
    <w:rsid w:val="001C3ED3"/>
    <w:rsid w:val="001C51C8"/>
    <w:rsid w:val="001C5A65"/>
    <w:rsid w:val="001C6615"/>
    <w:rsid w:val="001C69AB"/>
    <w:rsid w:val="001D07A1"/>
    <w:rsid w:val="001D08BF"/>
    <w:rsid w:val="001D0A80"/>
    <w:rsid w:val="001D114D"/>
    <w:rsid w:val="001D1825"/>
    <w:rsid w:val="001D19FD"/>
    <w:rsid w:val="001D1BF0"/>
    <w:rsid w:val="001D31C1"/>
    <w:rsid w:val="001D384C"/>
    <w:rsid w:val="001D3D28"/>
    <w:rsid w:val="001D3F95"/>
    <w:rsid w:val="001D5021"/>
    <w:rsid w:val="001D6C76"/>
    <w:rsid w:val="001D6EE9"/>
    <w:rsid w:val="001D7E00"/>
    <w:rsid w:val="001E08D6"/>
    <w:rsid w:val="001E0B45"/>
    <w:rsid w:val="001E0C8C"/>
    <w:rsid w:val="001E0DD3"/>
    <w:rsid w:val="001E17B2"/>
    <w:rsid w:val="001E21CE"/>
    <w:rsid w:val="001E4AC9"/>
    <w:rsid w:val="001E4FF8"/>
    <w:rsid w:val="001E67B5"/>
    <w:rsid w:val="001E78EC"/>
    <w:rsid w:val="001E795F"/>
    <w:rsid w:val="001E7F30"/>
    <w:rsid w:val="001F208F"/>
    <w:rsid w:val="001F20C4"/>
    <w:rsid w:val="001F40CC"/>
    <w:rsid w:val="001F44A1"/>
    <w:rsid w:val="001F4825"/>
    <w:rsid w:val="001F52FC"/>
    <w:rsid w:val="001F695F"/>
    <w:rsid w:val="001F7FD7"/>
    <w:rsid w:val="00200246"/>
    <w:rsid w:val="00201392"/>
    <w:rsid w:val="00201F69"/>
    <w:rsid w:val="00202792"/>
    <w:rsid w:val="00202F86"/>
    <w:rsid w:val="00205886"/>
    <w:rsid w:val="0020614A"/>
    <w:rsid w:val="0020630C"/>
    <w:rsid w:val="00206370"/>
    <w:rsid w:val="002072FE"/>
    <w:rsid w:val="002103BF"/>
    <w:rsid w:val="00211686"/>
    <w:rsid w:val="00211D9D"/>
    <w:rsid w:val="00212302"/>
    <w:rsid w:val="0021238C"/>
    <w:rsid w:val="00212EF0"/>
    <w:rsid w:val="00214A5F"/>
    <w:rsid w:val="00214C86"/>
    <w:rsid w:val="002151E8"/>
    <w:rsid w:val="002167CB"/>
    <w:rsid w:val="002168D6"/>
    <w:rsid w:val="0021690C"/>
    <w:rsid w:val="002178B5"/>
    <w:rsid w:val="00217C2F"/>
    <w:rsid w:val="00220650"/>
    <w:rsid w:val="0022098B"/>
    <w:rsid w:val="002217C6"/>
    <w:rsid w:val="00221D45"/>
    <w:rsid w:val="00221F34"/>
    <w:rsid w:val="00221F95"/>
    <w:rsid w:val="002220D8"/>
    <w:rsid w:val="002233D8"/>
    <w:rsid w:val="00223B2F"/>
    <w:rsid w:val="002245FA"/>
    <w:rsid w:val="00225C70"/>
    <w:rsid w:val="00225F7E"/>
    <w:rsid w:val="00226657"/>
    <w:rsid w:val="00226B40"/>
    <w:rsid w:val="00226BB9"/>
    <w:rsid w:val="002271F8"/>
    <w:rsid w:val="002272EB"/>
    <w:rsid w:val="002278F0"/>
    <w:rsid w:val="00230331"/>
    <w:rsid w:val="00230377"/>
    <w:rsid w:val="0023096D"/>
    <w:rsid w:val="00230F2D"/>
    <w:rsid w:val="00231A09"/>
    <w:rsid w:val="002320A7"/>
    <w:rsid w:val="00232278"/>
    <w:rsid w:val="00232CD2"/>
    <w:rsid w:val="00233AA7"/>
    <w:rsid w:val="00233B09"/>
    <w:rsid w:val="00233F3B"/>
    <w:rsid w:val="002345E6"/>
    <w:rsid w:val="002347CA"/>
    <w:rsid w:val="00234D67"/>
    <w:rsid w:val="00234EE0"/>
    <w:rsid w:val="002353C1"/>
    <w:rsid w:val="00235CFB"/>
    <w:rsid w:val="0023604B"/>
    <w:rsid w:val="0023649B"/>
    <w:rsid w:val="00236941"/>
    <w:rsid w:val="00236D5E"/>
    <w:rsid w:val="0024035F"/>
    <w:rsid w:val="0024043A"/>
    <w:rsid w:val="00240916"/>
    <w:rsid w:val="00241864"/>
    <w:rsid w:val="00242160"/>
    <w:rsid w:val="00242F9F"/>
    <w:rsid w:val="002443B4"/>
    <w:rsid w:val="00244612"/>
    <w:rsid w:val="002446D8"/>
    <w:rsid w:val="0024561F"/>
    <w:rsid w:val="00245EBB"/>
    <w:rsid w:val="002476A1"/>
    <w:rsid w:val="00252860"/>
    <w:rsid w:val="00252A78"/>
    <w:rsid w:val="00253648"/>
    <w:rsid w:val="00253BF4"/>
    <w:rsid w:val="00255118"/>
    <w:rsid w:val="002553F6"/>
    <w:rsid w:val="002558AA"/>
    <w:rsid w:val="00255C8F"/>
    <w:rsid w:val="00256ACD"/>
    <w:rsid w:val="002577A1"/>
    <w:rsid w:val="002606D7"/>
    <w:rsid w:val="00260795"/>
    <w:rsid w:val="00260EBB"/>
    <w:rsid w:val="002619FD"/>
    <w:rsid w:val="00262995"/>
    <w:rsid w:val="00262B68"/>
    <w:rsid w:val="00263C50"/>
    <w:rsid w:val="00264312"/>
    <w:rsid w:val="002649CA"/>
    <w:rsid w:val="00264BFC"/>
    <w:rsid w:val="00265088"/>
    <w:rsid w:val="002666F3"/>
    <w:rsid w:val="00266C97"/>
    <w:rsid w:val="00266E66"/>
    <w:rsid w:val="002674F8"/>
    <w:rsid w:val="002704AE"/>
    <w:rsid w:val="00270544"/>
    <w:rsid w:val="00271731"/>
    <w:rsid w:val="00271837"/>
    <w:rsid w:val="00271B3F"/>
    <w:rsid w:val="0027237E"/>
    <w:rsid w:val="0027371D"/>
    <w:rsid w:val="0027385D"/>
    <w:rsid w:val="00273C9E"/>
    <w:rsid w:val="00275C84"/>
    <w:rsid w:val="00275CFD"/>
    <w:rsid w:val="00275E82"/>
    <w:rsid w:val="002765C2"/>
    <w:rsid w:val="0027712F"/>
    <w:rsid w:val="002778BE"/>
    <w:rsid w:val="002779F1"/>
    <w:rsid w:val="00277A78"/>
    <w:rsid w:val="00277D7B"/>
    <w:rsid w:val="00277FF9"/>
    <w:rsid w:val="00280DDB"/>
    <w:rsid w:val="00280F48"/>
    <w:rsid w:val="00281FAC"/>
    <w:rsid w:val="00282BC6"/>
    <w:rsid w:val="002854EE"/>
    <w:rsid w:val="0029068A"/>
    <w:rsid w:val="002907F0"/>
    <w:rsid w:val="00290E6B"/>
    <w:rsid w:val="00291B35"/>
    <w:rsid w:val="002925F9"/>
    <w:rsid w:val="00292614"/>
    <w:rsid w:val="00292889"/>
    <w:rsid w:val="00292896"/>
    <w:rsid w:val="00292E6D"/>
    <w:rsid w:val="0029374C"/>
    <w:rsid w:val="00293894"/>
    <w:rsid w:val="00293C73"/>
    <w:rsid w:val="00293F74"/>
    <w:rsid w:val="00294663"/>
    <w:rsid w:val="00294E3B"/>
    <w:rsid w:val="00295208"/>
    <w:rsid w:val="00295462"/>
    <w:rsid w:val="00295946"/>
    <w:rsid w:val="00295CBA"/>
    <w:rsid w:val="00296083"/>
    <w:rsid w:val="00297072"/>
    <w:rsid w:val="00297347"/>
    <w:rsid w:val="002A045C"/>
    <w:rsid w:val="002A1149"/>
    <w:rsid w:val="002A124F"/>
    <w:rsid w:val="002A1556"/>
    <w:rsid w:val="002A188E"/>
    <w:rsid w:val="002A1D2E"/>
    <w:rsid w:val="002A31C3"/>
    <w:rsid w:val="002A321A"/>
    <w:rsid w:val="002A3955"/>
    <w:rsid w:val="002A3ACF"/>
    <w:rsid w:val="002A474D"/>
    <w:rsid w:val="002A4993"/>
    <w:rsid w:val="002A4E42"/>
    <w:rsid w:val="002A4FC1"/>
    <w:rsid w:val="002A5D7D"/>
    <w:rsid w:val="002A6496"/>
    <w:rsid w:val="002A7117"/>
    <w:rsid w:val="002A744D"/>
    <w:rsid w:val="002B04A8"/>
    <w:rsid w:val="002B09E4"/>
    <w:rsid w:val="002B0A41"/>
    <w:rsid w:val="002B0B7C"/>
    <w:rsid w:val="002B11A9"/>
    <w:rsid w:val="002B21B0"/>
    <w:rsid w:val="002B21E8"/>
    <w:rsid w:val="002B2DD8"/>
    <w:rsid w:val="002B3797"/>
    <w:rsid w:val="002B4189"/>
    <w:rsid w:val="002B477B"/>
    <w:rsid w:val="002B5626"/>
    <w:rsid w:val="002B5EC3"/>
    <w:rsid w:val="002B60C3"/>
    <w:rsid w:val="002B62A2"/>
    <w:rsid w:val="002B656B"/>
    <w:rsid w:val="002B7DA9"/>
    <w:rsid w:val="002C0A32"/>
    <w:rsid w:val="002C0B48"/>
    <w:rsid w:val="002C1936"/>
    <w:rsid w:val="002C2F1F"/>
    <w:rsid w:val="002C38AE"/>
    <w:rsid w:val="002C3D41"/>
    <w:rsid w:val="002C44AA"/>
    <w:rsid w:val="002C46DD"/>
    <w:rsid w:val="002C564B"/>
    <w:rsid w:val="002C5DC4"/>
    <w:rsid w:val="002C61F3"/>
    <w:rsid w:val="002C62CC"/>
    <w:rsid w:val="002C69A6"/>
    <w:rsid w:val="002C728B"/>
    <w:rsid w:val="002C75E2"/>
    <w:rsid w:val="002C764E"/>
    <w:rsid w:val="002C7A56"/>
    <w:rsid w:val="002D0453"/>
    <w:rsid w:val="002D097C"/>
    <w:rsid w:val="002D0C19"/>
    <w:rsid w:val="002D0C84"/>
    <w:rsid w:val="002D0F4A"/>
    <w:rsid w:val="002D10F2"/>
    <w:rsid w:val="002D1613"/>
    <w:rsid w:val="002D18E4"/>
    <w:rsid w:val="002D1FDD"/>
    <w:rsid w:val="002D2BC7"/>
    <w:rsid w:val="002D3A5A"/>
    <w:rsid w:val="002D3F38"/>
    <w:rsid w:val="002D42CC"/>
    <w:rsid w:val="002D5252"/>
    <w:rsid w:val="002D548A"/>
    <w:rsid w:val="002D7462"/>
    <w:rsid w:val="002D7AD9"/>
    <w:rsid w:val="002D7F16"/>
    <w:rsid w:val="002E0449"/>
    <w:rsid w:val="002E0A19"/>
    <w:rsid w:val="002E2BE6"/>
    <w:rsid w:val="002E2C26"/>
    <w:rsid w:val="002E2C5D"/>
    <w:rsid w:val="002E2D92"/>
    <w:rsid w:val="002E31CF"/>
    <w:rsid w:val="002E4073"/>
    <w:rsid w:val="002E473E"/>
    <w:rsid w:val="002E53A9"/>
    <w:rsid w:val="002E5771"/>
    <w:rsid w:val="002E6133"/>
    <w:rsid w:val="002E658B"/>
    <w:rsid w:val="002E7437"/>
    <w:rsid w:val="002E799F"/>
    <w:rsid w:val="002E7A47"/>
    <w:rsid w:val="002F024F"/>
    <w:rsid w:val="002F0702"/>
    <w:rsid w:val="002F170C"/>
    <w:rsid w:val="002F1EAB"/>
    <w:rsid w:val="002F236A"/>
    <w:rsid w:val="002F2640"/>
    <w:rsid w:val="002F2A76"/>
    <w:rsid w:val="002F398B"/>
    <w:rsid w:val="002F47B8"/>
    <w:rsid w:val="002F4B47"/>
    <w:rsid w:val="002F5C63"/>
    <w:rsid w:val="002F6421"/>
    <w:rsid w:val="002F66FC"/>
    <w:rsid w:val="00300031"/>
    <w:rsid w:val="00300727"/>
    <w:rsid w:val="00300A08"/>
    <w:rsid w:val="00300A4A"/>
    <w:rsid w:val="0030107C"/>
    <w:rsid w:val="00301498"/>
    <w:rsid w:val="00301778"/>
    <w:rsid w:val="00301D7B"/>
    <w:rsid w:val="00301DE0"/>
    <w:rsid w:val="003020CF"/>
    <w:rsid w:val="00302498"/>
    <w:rsid w:val="003024BE"/>
    <w:rsid w:val="00302570"/>
    <w:rsid w:val="00302970"/>
    <w:rsid w:val="00302CD9"/>
    <w:rsid w:val="0030362D"/>
    <w:rsid w:val="003039A1"/>
    <w:rsid w:val="003043FF"/>
    <w:rsid w:val="00304CF4"/>
    <w:rsid w:val="00304FD4"/>
    <w:rsid w:val="003057F9"/>
    <w:rsid w:val="00305ACB"/>
    <w:rsid w:val="00305B19"/>
    <w:rsid w:val="00305F23"/>
    <w:rsid w:val="00307DD0"/>
    <w:rsid w:val="0031004E"/>
    <w:rsid w:val="0031054D"/>
    <w:rsid w:val="003110B6"/>
    <w:rsid w:val="00311AA0"/>
    <w:rsid w:val="00311B0E"/>
    <w:rsid w:val="00311F98"/>
    <w:rsid w:val="0031202F"/>
    <w:rsid w:val="00312701"/>
    <w:rsid w:val="00312A39"/>
    <w:rsid w:val="00312ABF"/>
    <w:rsid w:val="003134CF"/>
    <w:rsid w:val="003140D7"/>
    <w:rsid w:val="003141D5"/>
    <w:rsid w:val="00315424"/>
    <w:rsid w:val="003158FD"/>
    <w:rsid w:val="00315C50"/>
    <w:rsid w:val="00315FB0"/>
    <w:rsid w:val="00316194"/>
    <w:rsid w:val="003166E7"/>
    <w:rsid w:val="00317933"/>
    <w:rsid w:val="00317C2E"/>
    <w:rsid w:val="00320B23"/>
    <w:rsid w:val="00321533"/>
    <w:rsid w:val="003221E0"/>
    <w:rsid w:val="00322618"/>
    <w:rsid w:val="00322726"/>
    <w:rsid w:val="0032278F"/>
    <w:rsid w:val="003237CA"/>
    <w:rsid w:val="00323B02"/>
    <w:rsid w:val="00323F23"/>
    <w:rsid w:val="00324781"/>
    <w:rsid w:val="0032678A"/>
    <w:rsid w:val="00326F62"/>
    <w:rsid w:val="00327127"/>
    <w:rsid w:val="00330AED"/>
    <w:rsid w:val="00330BDF"/>
    <w:rsid w:val="00330C74"/>
    <w:rsid w:val="00331271"/>
    <w:rsid w:val="003316CE"/>
    <w:rsid w:val="00331ACF"/>
    <w:rsid w:val="00332D13"/>
    <w:rsid w:val="00333643"/>
    <w:rsid w:val="00333F19"/>
    <w:rsid w:val="00334215"/>
    <w:rsid w:val="003344E7"/>
    <w:rsid w:val="00336052"/>
    <w:rsid w:val="003360D9"/>
    <w:rsid w:val="003363CC"/>
    <w:rsid w:val="00336D21"/>
    <w:rsid w:val="003375A2"/>
    <w:rsid w:val="00337726"/>
    <w:rsid w:val="00337FD0"/>
    <w:rsid w:val="003412BD"/>
    <w:rsid w:val="00341674"/>
    <w:rsid w:val="003419F1"/>
    <w:rsid w:val="00341B6B"/>
    <w:rsid w:val="00343349"/>
    <w:rsid w:val="0034367F"/>
    <w:rsid w:val="00343E5E"/>
    <w:rsid w:val="00344D82"/>
    <w:rsid w:val="0034547F"/>
    <w:rsid w:val="00345488"/>
    <w:rsid w:val="00345498"/>
    <w:rsid w:val="003455D0"/>
    <w:rsid w:val="00345AED"/>
    <w:rsid w:val="0035049F"/>
    <w:rsid w:val="00350C3D"/>
    <w:rsid w:val="00352DBC"/>
    <w:rsid w:val="003538AC"/>
    <w:rsid w:val="003548CF"/>
    <w:rsid w:val="003557A5"/>
    <w:rsid w:val="00355DF8"/>
    <w:rsid w:val="00355E61"/>
    <w:rsid w:val="00355E80"/>
    <w:rsid w:val="00356153"/>
    <w:rsid w:val="00356240"/>
    <w:rsid w:val="00356996"/>
    <w:rsid w:val="00356FE3"/>
    <w:rsid w:val="0035758B"/>
    <w:rsid w:val="0036049B"/>
    <w:rsid w:val="00360626"/>
    <w:rsid w:val="003608DB"/>
    <w:rsid w:val="00360EEC"/>
    <w:rsid w:val="00361F84"/>
    <w:rsid w:val="003621E2"/>
    <w:rsid w:val="00362948"/>
    <w:rsid w:val="003635C0"/>
    <w:rsid w:val="00364A08"/>
    <w:rsid w:val="00364B18"/>
    <w:rsid w:val="0036501D"/>
    <w:rsid w:val="003705DE"/>
    <w:rsid w:val="0037116F"/>
    <w:rsid w:val="00372CE9"/>
    <w:rsid w:val="0037304C"/>
    <w:rsid w:val="003738E4"/>
    <w:rsid w:val="003739A4"/>
    <w:rsid w:val="00374369"/>
    <w:rsid w:val="00374CCE"/>
    <w:rsid w:val="00374FA0"/>
    <w:rsid w:val="0037581E"/>
    <w:rsid w:val="00375D58"/>
    <w:rsid w:val="003763EC"/>
    <w:rsid w:val="0037681F"/>
    <w:rsid w:val="00376AEB"/>
    <w:rsid w:val="003778EC"/>
    <w:rsid w:val="00377A05"/>
    <w:rsid w:val="0038021D"/>
    <w:rsid w:val="00380257"/>
    <w:rsid w:val="00380532"/>
    <w:rsid w:val="003819E3"/>
    <w:rsid w:val="00382232"/>
    <w:rsid w:val="00382A38"/>
    <w:rsid w:val="00382D98"/>
    <w:rsid w:val="003836D9"/>
    <w:rsid w:val="0038389C"/>
    <w:rsid w:val="003838EE"/>
    <w:rsid w:val="003841C1"/>
    <w:rsid w:val="003864B9"/>
    <w:rsid w:val="00387A5A"/>
    <w:rsid w:val="00387CA5"/>
    <w:rsid w:val="00390A67"/>
    <w:rsid w:val="00391933"/>
    <w:rsid w:val="00391E57"/>
    <w:rsid w:val="00391FD6"/>
    <w:rsid w:val="00392507"/>
    <w:rsid w:val="00392FC1"/>
    <w:rsid w:val="003934D4"/>
    <w:rsid w:val="00393B75"/>
    <w:rsid w:val="00394C9B"/>
    <w:rsid w:val="00394F14"/>
    <w:rsid w:val="00395936"/>
    <w:rsid w:val="00395CBC"/>
    <w:rsid w:val="0039607E"/>
    <w:rsid w:val="0039636F"/>
    <w:rsid w:val="003970CE"/>
    <w:rsid w:val="0039726D"/>
    <w:rsid w:val="00397602"/>
    <w:rsid w:val="00397CFE"/>
    <w:rsid w:val="003A15C0"/>
    <w:rsid w:val="003A28B3"/>
    <w:rsid w:val="003A32E0"/>
    <w:rsid w:val="003A35ED"/>
    <w:rsid w:val="003A3B10"/>
    <w:rsid w:val="003A4C8D"/>
    <w:rsid w:val="003A4DEF"/>
    <w:rsid w:val="003A4E73"/>
    <w:rsid w:val="003A5941"/>
    <w:rsid w:val="003A5F95"/>
    <w:rsid w:val="003A5FA4"/>
    <w:rsid w:val="003A75C1"/>
    <w:rsid w:val="003A7CA8"/>
    <w:rsid w:val="003A7DC4"/>
    <w:rsid w:val="003B0028"/>
    <w:rsid w:val="003B0673"/>
    <w:rsid w:val="003B0EC7"/>
    <w:rsid w:val="003B1138"/>
    <w:rsid w:val="003B129F"/>
    <w:rsid w:val="003B1E4F"/>
    <w:rsid w:val="003B25CE"/>
    <w:rsid w:val="003B3E22"/>
    <w:rsid w:val="003B477C"/>
    <w:rsid w:val="003B55BE"/>
    <w:rsid w:val="003B5D32"/>
    <w:rsid w:val="003B7221"/>
    <w:rsid w:val="003B7227"/>
    <w:rsid w:val="003B778A"/>
    <w:rsid w:val="003C094E"/>
    <w:rsid w:val="003C0970"/>
    <w:rsid w:val="003C09C8"/>
    <w:rsid w:val="003C0A41"/>
    <w:rsid w:val="003C10E1"/>
    <w:rsid w:val="003C276D"/>
    <w:rsid w:val="003C3006"/>
    <w:rsid w:val="003C32E3"/>
    <w:rsid w:val="003C331A"/>
    <w:rsid w:val="003C3476"/>
    <w:rsid w:val="003C371F"/>
    <w:rsid w:val="003C3B04"/>
    <w:rsid w:val="003C3C26"/>
    <w:rsid w:val="003C429C"/>
    <w:rsid w:val="003C42CE"/>
    <w:rsid w:val="003C4B79"/>
    <w:rsid w:val="003C5319"/>
    <w:rsid w:val="003C6888"/>
    <w:rsid w:val="003C6FDD"/>
    <w:rsid w:val="003C730E"/>
    <w:rsid w:val="003D1338"/>
    <w:rsid w:val="003D1AA0"/>
    <w:rsid w:val="003D2363"/>
    <w:rsid w:val="003D2F4C"/>
    <w:rsid w:val="003D31F8"/>
    <w:rsid w:val="003D354C"/>
    <w:rsid w:val="003D384F"/>
    <w:rsid w:val="003D43B3"/>
    <w:rsid w:val="003D43B8"/>
    <w:rsid w:val="003D50C4"/>
    <w:rsid w:val="003D5FDA"/>
    <w:rsid w:val="003D6473"/>
    <w:rsid w:val="003D732F"/>
    <w:rsid w:val="003D7CD2"/>
    <w:rsid w:val="003E162A"/>
    <w:rsid w:val="003E26DB"/>
    <w:rsid w:val="003E2823"/>
    <w:rsid w:val="003E2FEA"/>
    <w:rsid w:val="003E3BA7"/>
    <w:rsid w:val="003E3C22"/>
    <w:rsid w:val="003E3D26"/>
    <w:rsid w:val="003E3D28"/>
    <w:rsid w:val="003E3D9F"/>
    <w:rsid w:val="003E3DBD"/>
    <w:rsid w:val="003E3DD3"/>
    <w:rsid w:val="003E43F1"/>
    <w:rsid w:val="003E46AD"/>
    <w:rsid w:val="003E4714"/>
    <w:rsid w:val="003E5FFD"/>
    <w:rsid w:val="003E6FD1"/>
    <w:rsid w:val="003E7020"/>
    <w:rsid w:val="003E7230"/>
    <w:rsid w:val="003E7CE7"/>
    <w:rsid w:val="003F0DE6"/>
    <w:rsid w:val="003F12D9"/>
    <w:rsid w:val="003F1470"/>
    <w:rsid w:val="003F33DA"/>
    <w:rsid w:val="003F3538"/>
    <w:rsid w:val="003F3A05"/>
    <w:rsid w:val="003F3A6A"/>
    <w:rsid w:val="003F3E20"/>
    <w:rsid w:val="003F4AAD"/>
    <w:rsid w:val="003F5740"/>
    <w:rsid w:val="003F58F8"/>
    <w:rsid w:val="003F5C07"/>
    <w:rsid w:val="003F693D"/>
    <w:rsid w:val="003F76E9"/>
    <w:rsid w:val="0040031B"/>
    <w:rsid w:val="004003C6"/>
    <w:rsid w:val="0040046B"/>
    <w:rsid w:val="00400DDD"/>
    <w:rsid w:val="00401259"/>
    <w:rsid w:val="00401E2A"/>
    <w:rsid w:val="004033E9"/>
    <w:rsid w:val="00403AC6"/>
    <w:rsid w:val="00403B24"/>
    <w:rsid w:val="004049D5"/>
    <w:rsid w:val="00405A7C"/>
    <w:rsid w:val="00405DAE"/>
    <w:rsid w:val="00406019"/>
    <w:rsid w:val="004078E9"/>
    <w:rsid w:val="00407937"/>
    <w:rsid w:val="00407F93"/>
    <w:rsid w:val="004106C1"/>
    <w:rsid w:val="0041082F"/>
    <w:rsid w:val="004112AD"/>
    <w:rsid w:val="0041169D"/>
    <w:rsid w:val="00413BA3"/>
    <w:rsid w:val="00413F0D"/>
    <w:rsid w:val="00414C12"/>
    <w:rsid w:val="00415228"/>
    <w:rsid w:val="004155C0"/>
    <w:rsid w:val="0041566F"/>
    <w:rsid w:val="004157A7"/>
    <w:rsid w:val="004159A2"/>
    <w:rsid w:val="00415AA9"/>
    <w:rsid w:val="00415FCB"/>
    <w:rsid w:val="004172C0"/>
    <w:rsid w:val="00417A4C"/>
    <w:rsid w:val="00417DDE"/>
    <w:rsid w:val="00420082"/>
    <w:rsid w:val="00420538"/>
    <w:rsid w:val="004206F7"/>
    <w:rsid w:val="004207C4"/>
    <w:rsid w:val="004210D0"/>
    <w:rsid w:val="004217DF"/>
    <w:rsid w:val="0042293E"/>
    <w:rsid w:val="00422EE1"/>
    <w:rsid w:val="004234BD"/>
    <w:rsid w:val="004241BE"/>
    <w:rsid w:val="00424835"/>
    <w:rsid w:val="00424E3A"/>
    <w:rsid w:val="0042519A"/>
    <w:rsid w:val="00425E82"/>
    <w:rsid w:val="00425FBE"/>
    <w:rsid w:val="00426077"/>
    <w:rsid w:val="00426D86"/>
    <w:rsid w:val="00426E61"/>
    <w:rsid w:val="004271FD"/>
    <w:rsid w:val="00430031"/>
    <w:rsid w:val="00430868"/>
    <w:rsid w:val="00430BCD"/>
    <w:rsid w:val="00430C2E"/>
    <w:rsid w:val="00431DB2"/>
    <w:rsid w:val="00432E50"/>
    <w:rsid w:val="004337F8"/>
    <w:rsid w:val="00433A6B"/>
    <w:rsid w:val="004341A3"/>
    <w:rsid w:val="004342E0"/>
    <w:rsid w:val="004342E8"/>
    <w:rsid w:val="004344F4"/>
    <w:rsid w:val="00435E2C"/>
    <w:rsid w:val="00440558"/>
    <w:rsid w:val="00440EAC"/>
    <w:rsid w:val="0044217E"/>
    <w:rsid w:val="004430C5"/>
    <w:rsid w:val="00443600"/>
    <w:rsid w:val="00443C48"/>
    <w:rsid w:val="00447130"/>
    <w:rsid w:val="00450E8D"/>
    <w:rsid w:val="00451AD7"/>
    <w:rsid w:val="00451BC5"/>
    <w:rsid w:val="004520CA"/>
    <w:rsid w:val="00452D9A"/>
    <w:rsid w:val="00453DC2"/>
    <w:rsid w:val="00454DDC"/>
    <w:rsid w:val="00455206"/>
    <w:rsid w:val="004562BB"/>
    <w:rsid w:val="00456350"/>
    <w:rsid w:val="004573AE"/>
    <w:rsid w:val="0045768A"/>
    <w:rsid w:val="00457DA3"/>
    <w:rsid w:val="004605B5"/>
    <w:rsid w:val="004613A8"/>
    <w:rsid w:val="00463BE7"/>
    <w:rsid w:val="004641E0"/>
    <w:rsid w:val="00464800"/>
    <w:rsid w:val="00465173"/>
    <w:rsid w:val="0046549F"/>
    <w:rsid w:val="00465C21"/>
    <w:rsid w:val="004661FC"/>
    <w:rsid w:val="0046677D"/>
    <w:rsid w:val="00467595"/>
    <w:rsid w:val="004675C3"/>
    <w:rsid w:val="004675C8"/>
    <w:rsid w:val="00467872"/>
    <w:rsid w:val="00470CE3"/>
    <w:rsid w:val="00470F8F"/>
    <w:rsid w:val="004715A6"/>
    <w:rsid w:val="004718B1"/>
    <w:rsid w:val="00471E9D"/>
    <w:rsid w:val="004723A1"/>
    <w:rsid w:val="0047274D"/>
    <w:rsid w:val="00473017"/>
    <w:rsid w:val="004737E1"/>
    <w:rsid w:val="00473D76"/>
    <w:rsid w:val="0047441F"/>
    <w:rsid w:val="0047503F"/>
    <w:rsid w:val="0047549A"/>
    <w:rsid w:val="00475CF8"/>
    <w:rsid w:val="00475DBC"/>
    <w:rsid w:val="00476D9B"/>
    <w:rsid w:val="00480387"/>
    <w:rsid w:val="00480452"/>
    <w:rsid w:val="004805B0"/>
    <w:rsid w:val="004809B6"/>
    <w:rsid w:val="00481920"/>
    <w:rsid w:val="00481ABB"/>
    <w:rsid w:val="004821A5"/>
    <w:rsid w:val="004828C1"/>
    <w:rsid w:val="00483464"/>
    <w:rsid w:val="00483846"/>
    <w:rsid w:val="00484656"/>
    <w:rsid w:val="004848F2"/>
    <w:rsid w:val="00485E93"/>
    <w:rsid w:val="00486BF6"/>
    <w:rsid w:val="004878D5"/>
    <w:rsid w:val="00490499"/>
    <w:rsid w:val="004907C4"/>
    <w:rsid w:val="00490DF6"/>
    <w:rsid w:val="0049311C"/>
    <w:rsid w:val="00493A44"/>
    <w:rsid w:val="004945A2"/>
    <w:rsid w:val="004948CA"/>
    <w:rsid w:val="00495689"/>
    <w:rsid w:val="0049680F"/>
    <w:rsid w:val="0049681B"/>
    <w:rsid w:val="00497A96"/>
    <w:rsid w:val="004A0433"/>
    <w:rsid w:val="004A076A"/>
    <w:rsid w:val="004A1A60"/>
    <w:rsid w:val="004A1A65"/>
    <w:rsid w:val="004A1ACA"/>
    <w:rsid w:val="004A24D4"/>
    <w:rsid w:val="004A2E72"/>
    <w:rsid w:val="004A33C6"/>
    <w:rsid w:val="004A36C0"/>
    <w:rsid w:val="004A3A96"/>
    <w:rsid w:val="004A4F50"/>
    <w:rsid w:val="004A572C"/>
    <w:rsid w:val="004A5CAC"/>
    <w:rsid w:val="004A6119"/>
    <w:rsid w:val="004A6F76"/>
    <w:rsid w:val="004A78FC"/>
    <w:rsid w:val="004A7A93"/>
    <w:rsid w:val="004B08EE"/>
    <w:rsid w:val="004B0FE9"/>
    <w:rsid w:val="004B1283"/>
    <w:rsid w:val="004B1E0D"/>
    <w:rsid w:val="004B1FA4"/>
    <w:rsid w:val="004B2D55"/>
    <w:rsid w:val="004B2F33"/>
    <w:rsid w:val="004B3331"/>
    <w:rsid w:val="004B366C"/>
    <w:rsid w:val="004B3E89"/>
    <w:rsid w:val="004B4777"/>
    <w:rsid w:val="004B501F"/>
    <w:rsid w:val="004B51C9"/>
    <w:rsid w:val="004B5231"/>
    <w:rsid w:val="004B544E"/>
    <w:rsid w:val="004B6557"/>
    <w:rsid w:val="004B7B23"/>
    <w:rsid w:val="004C036E"/>
    <w:rsid w:val="004C10BE"/>
    <w:rsid w:val="004C1142"/>
    <w:rsid w:val="004C12DB"/>
    <w:rsid w:val="004C1FC4"/>
    <w:rsid w:val="004C2148"/>
    <w:rsid w:val="004C24D2"/>
    <w:rsid w:val="004C2571"/>
    <w:rsid w:val="004C2E18"/>
    <w:rsid w:val="004C345A"/>
    <w:rsid w:val="004C3987"/>
    <w:rsid w:val="004C4DBE"/>
    <w:rsid w:val="004C670A"/>
    <w:rsid w:val="004C6848"/>
    <w:rsid w:val="004C6A47"/>
    <w:rsid w:val="004C73F8"/>
    <w:rsid w:val="004C7BC5"/>
    <w:rsid w:val="004D00EB"/>
    <w:rsid w:val="004D14A0"/>
    <w:rsid w:val="004D1859"/>
    <w:rsid w:val="004D18C0"/>
    <w:rsid w:val="004D1E94"/>
    <w:rsid w:val="004D21E1"/>
    <w:rsid w:val="004D227D"/>
    <w:rsid w:val="004D24CD"/>
    <w:rsid w:val="004D29F0"/>
    <w:rsid w:val="004D2FAC"/>
    <w:rsid w:val="004D4968"/>
    <w:rsid w:val="004D4D3F"/>
    <w:rsid w:val="004D698A"/>
    <w:rsid w:val="004D6A39"/>
    <w:rsid w:val="004D7201"/>
    <w:rsid w:val="004E0147"/>
    <w:rsid w:val="004E0A37"/>
    <w:rsid w:val="004E1429"/>
    <w:rsid w:val="004E1BDF"/>
    <w:rsid w:val="004E1CA4"/>
    <w:rsid w:val="004E2105"/>
    <w:rsid w:val="004E2CD8"/>
    <w:rsid w:val="004E3781"/>
    <w:rsid w:val="004E3B73"/>
    <w:rsid w:val="004E5801"/>
    <w:rsid w:val="004E5CE0"/>
    <w:rsid w:val="004E667B"/>
    <w:rsid w:val="004E67A2"/>
    <w:rsid w:val="004E714F"/>
    <w:rsid w:val="004E756C"/>
    <w:rsid w:val="004E7858"/>
    <w:rsid w:val="004E7C0E"/>
    <w:rsid w:val="004F2322"/>
    <w:rsid w:val="004F2326"/>
    <w:rsid w:val="004F28BA"/>
    <w:rsid w:val="004F2959"/>
    <w:rsid w:val="004F30A1"/>
    <w:rsid w:val="004F319D"/>
    <w:rsid w:val="004F322D"/>
    <w:rsid w:val="004F485C"/>
    <w:rsid w:val="004F4D9C"/>
    <w:rsid w:val="004F5515"/>
    <w:rsid w:val="004F5ACC"/>
    <w:rsid w:val="004F6659"/>
    <w:rsid w:val="004F7E92"/>
    <w:rsid w:val="005008F7"/>
    <w:rsid w:val="00500EFD"/>
    <w:rsid w:val="005014F4"/>
    <w:rsid w:val="0050191A"/>
    <w:rsid w:val="00501D5C"/>
    <w:rsid w:val="00502049"/>
    <w:rsid w:val="00502969"/>
    <w:rsid w:val="005033C4"/>
    <w:rsid w:val="00503A5C"/>
    <w:rsid w:val="0050467E"/>
    <w:rsid w:val="00505A91"/>
    <w:rsid w:val="00505F98"/>
    <w:rsid w:val="00506887"/>
    <w:rsid w:val="005105AC"/>
    <w:rsid w:val="00510E76"/>
    <w:rsid w:val="00510ED3"/>
    <w:rsid w:val="00510F29"/>
    <w:rsid w:val="0051294B"/>
    <w:rsid w:val="005133B7"/>
    <w:rsid w:val="00513723"/>
    <w:rsid w:val="005137B2"/>
    <w:rsid w:val="005140B4"/>
    <w:rsid w:val="0051414C"/>
    <w:rsid w:val="00514322"/>
    <w:rsid w:val="00514CEE"/>
    <w:rsid w:val="0051597E"/>
    <w:rsid w:val="005169D7"/>
    <w:rsid w:val="005174A5"/>
    <w:rsid w:val="00517792"/>
    <w:rsid w:val="0052075D"/>
    <w:rsid w:val="005209D8"/>
    <w:rsid w:val="005214FB"/>
    <w:rsid w:val="00521532"/>
    <w:rsid w:val="005221D3"/>
    <w:rsid w:val="00523B9F"/>
    <w:rsid w:val="00523FBE"/>
    <w:rsid w:val="0052466A"/>
    <w:rsid w:val="0052480F"/>
    <w:rsid w:val="0052490B"/>
    <w:rsid w:val="00525218"/>
    <w:rsid w:val="005255CF"/>
    <w:rsid w:val="00526051"/>
    <w:rsid w:val="0052732D"/>
    <w:rsid w:val="00527B1A"/>
    <w:rsid w:val="00527B9D"/>
    <w:rsid w:val="00530419"/>
    <w:rsid w:val="0053091A"/>
    <w:rsid w:val="00531668"/>
    <w:rsid w:val="005323EC"/>
    <w:rsid w:val="005336A4"/>
    <w:rsid w:val="00533B55"/>
    <w:rsid w:val="0053430F"/>
    <w:rsid w:val="00534EC3"/>
    <w:rsid w:val="00535E8A"/>
    <w:rsid w:val="0053649B"/>
    <w:rsid w:val="005367AD"/>
    <w:rsid w:val="005376A4"/>
    <w:rsid w:val="00537996"/>
    <w:rsid w:val="005401F0"/>
    <w:rsid w:val="005414B1"/>
    <w:rsid w:val="00541E9C"/>
    <w:rsid w:val="0054240B"/>
    <w:rsid w:val="00542D39"/>
    <w:rsid w:val="005435C1"/>
    <w:rsid w:val="0054450E"/>
    <w:rsid w:val="00544942"/>
    <w:rsid w:val="0054507F"/>
    <w:rsid w:val="0054543D"/>
    <w:rsid w:val="005457B1"/>
    <w:rsid w:val="00547086"/>
    <w:rsid w:val="00550713"/>
    <w:rsid w:val="005513EB"/>
    <w:rsid w:val="005530C5"/>
    <w:rsid w:val="00554812"/>
    <w:rsid w:val="00554907"/>
    <w:rsid w:val="00554CF6"/>
    <w:rsid w:val="00554DB2"/>
    <w:rsid w:val="005558D6"/>
    <w:rsid w:val="005562EE"/>
    <w:rsid w:val="00556719"/>
    <w:rsid w:val="00556EA9"/>
    <w:rsid w:val="00560D79"/>
    <w:rsid w:val="00561078"/>
    <w:rsid w:val="00561148"/>
    <w:rsid w:val="00561CE3"/>
    <w:rsid w:val="0056203D"/>
    <w:rsid w:val="0056247D"/>
    <w:rsid w:val="00562F81"/>
    <w:rsid w:val="00563255"/>
    <w:rsid w:val="00563363"/>
    <w:rsid w:val="00564ED9"/>
    <w:rsid w:val="00567A64"/>
    <w:rsid w:val="0057015D"/>
    <w:rsid w:val="00570428"/>
    <w:rsid w:val="00570F90"/>
    <w:rsid w:val="00571BF9"/>
    <w:rsid w:val="00571F52"/>
    <w:rsid w:val="00572844"/>
    <w:rsid w:val="00573A1F"/>
    <w:rsid w:val="00573A57"/>
    <w:rsid w:val="00573C28"/>
    <w:rsid w:val="00574F71"/>
    <w:rsid w:val="00575428"/>
    <w:rsid w:val="005754DF"/>
    <w:rsid w:val="00575B0A"/>
    <w:rsid w:val="005762B0"/>
    <w:rsid w:val="00576C9C"/>
    <w:rsid w:val="00577061"/>
    <w:rsid w:val="00577231"/>
    <w:rsid w:val="00577604"/>
    <w:rsid w:val="00577D36"/>
    <w:rsid w:val="00580BC8"/>
    <w:rsid w:val="005810EB"/>
    <w:rsid w:val="00582527"/>
    <w:rsid w:val="00582AAA"/>
    <w:rsid w:val="005833B3"/>
    <w:rsid w:val="0058364E"/>
    <w:rsid w:val="00584104"/>
    <w:rsid w:val="0058563C"/>
    <w:rsid w:val="005857E0"/>
    <w:rsid w:val="0058716E"/>
    <w:rsid w:val="00587DEC"/>
    <w:rsid w:val="0059007F"/>
    <w:rsid w:val="005907FD"/>
    <w:rsid w:val="00590849"/>
    <w:rsid w:val="00590C29"/>
    <w:rsid w:val="005910B2"/>
    <w:rsid w:val="00591248"/>
    <w:rsid w:val="005914CC"/>
    <w:rsid w:val="00591587"/>
    <w:rsid w:val="005916DC"/>
    <w:rsid w:val="005919C5"/>
    <w:rsid w:val="00591D5A"/>
    <w:rsid w:val="00591DD8"/>
    <w:rsid w:val="00592EB3"/>
    <w:rsid w:val="0059302E"/>
    <w:rsid w:val="0059331A"/>
    <w:rsid w:val="00593715"/>
    <w:rsid w:val="00593AB9"/>
    <w:rsid w:val="00594516"/>
    <w:rsid w:val="005946AC"/>
    <w:rsid w:val="00595429"/>
    <w:rsid w:val="005954B4"/>
    <w:rsid w:val="00595C78"/>
    <w:rsid w:val="005960ED"/>
    <w:rsid w:val="0059679B"/>
    <w:rsid w:val="00596965"/>
    <w:rsid w:val="005971AE"/>
    <w:rsid w:val="00597BD0"/>
    <w:rsid w:val="00597C21"/>
    <w:rsid w:val="005A002B"/>
    <w:rsid w:val="005A039A"/>
    <w:rsid w:val="005A0C2B"/>
    <w:rsid w:val="005A10BD"/>
    <w:rsid w:val="005A12DB"/>
    <w:rsid w:val="005A3783"/>
    <w:rsid w:val="005A3986"/>
    <w:rsid w:val="005A3B85"/>
    <w:rsid w:val="005A4A0F"/>
    <w:rsid w:val="005A5CB7"/>
    <w:rsid w:val="005A66B2"/>
    <w:rsid w:val="005A671A"/>
    <w:rsid w:val="005A6879"/>
    <w:rsid w:val="005A6941"/>
    <w:rsid w:val="005A7CD7"/>
    <w:rsid w:val="005B090B"/>
    <w:rsid w:val="005B10AE"/>
    <w:rsid w:val="005B2D51"/>
    <w:rsid w:val="005B3626"/>
    <w:rsid w:val="005B3652"/>
    <w:rsid w:val="005B3F18"/>
    <w:rsid w:val="005B4E20"/>
    <w:rsid w:val="005B74FF"/>
    <w:rsid w:val="005B7B2D"/>
    <w:rsid w:val="005C0649"/>
    <w:rsid w:val="005C1299"/>
    <w:rsid w:val="005C1E70"/>
    <w:rsid w:val="005C1E93"/>
    <w:rsid w:val="005C2AE9"/>
    <w:rsid w:val="005C2B63"/>
    <w:rsid w:val="005C318A"/>
    <w:rsid w:val="005C3747"/>
    <w:rsid w:val="005C39BA"/>
    <w:rsid w:val="005C4A1A"/>
    <w:rsid w:val="005C4C51"/>
    <w:rsid w:val="005C604B"/>
    <w:rsid w:val="005C65C8"/>
    <w:rsid w:val="005C6C40"/>
    <w:rsid w:val="005C7DA8"/>
    <w:rsid w:val="005C7F3D"/>
    <w:rsid w:val="005C7F85"/>
    <w:rsid w:val="005D0030"/>
    <w:rsid w:val="005D02F7"/>
    <w:rsid w:val="005D07AD"/>
    <w:rsid w:val="005D08B7"/>
    <w:rsid w:val="005D08D8"/>
    <w:rsid w:val="005D2CA8"/>
    <w:rsid w:val="005D2D73"/>
    <w:rsid w:val="005D3B02"/>
    <w:rsid w:val="005D3C27"/>
    <w:rsid w:val="005D4031"/>
    <w:rsid w:val="005D407D"/>
    <w:rsid w:val="005D4AD8"/>
    <w:rsid w:val="005D4CD1"/>
    <w:rsid w:val="005D559D"/>
    <w:rsid w:val="005D5706"/>
    <w:rsid w:val="005D5F19"/>
    <w:rsid w:val="005D617F"/>
    <w:rsid w:val="005D624D"/>
    <w:rsid w:val="005D660F"/>
    <w:rsid w:val="005D6C55"/>
    <w:rsid w:val="005D6FC9"/>
    <w:rsid w:val="005D735E"/>
    <w:rsid w:val="005D7D47"/>
    <w:rsid w:val="005E0279"/>
    <w:rsid w:val="005E0943"/>
    <w:rsid w:val="005E0FE5"/>
    <w:rsid w:val="005E1895"/>
    <w:rsid w:val="005E1E38"/>
    <w:rsid w:val="005E26A9"/>
    <w:rsid w:val="005E4418"/>
    <w:rsid w:val="005E4DF8"/>
    <w:rsid w:val="005E50B0"/>
    <w:rsid w:val="005E545B"/>
    <w:rsid w:val="005E5743"/>
    <w:rsid w:val="005E5E2E"/>
    <w:rsid w:val="005E6399"/>
    <w:rsid w:val="005E7014"/>
    <w:rsid w:val="005E7201"/>
    <w:rsid w:val="005F0295"/>
    <w:rsid w:val="005F056A"/>
    <w:rsid w:val="005F0EFE"/>
    <w:rsid w:val="005F1418"/>
    <w:rsid w:val="005F1E0A"/>
    <w:rsid w:val="005F2A84"/>
    <w:rsid w:val="005F3512"/>
    <w:rsid w:val="005F3786"/>
    <w:rsid w:val="005F4588"/>
    <w:rsid w:val="005F50A8"/>
    <w:rsid w:val="005F50C1"/>
    <w:rsid w:val="005F5C63"/>
    <w:rsid w:val="005F674E"/>
    <w:rsid w:val="005F67ED"/>
    <w:rsid w:val="005F6830"/>
    <w:rsid w:val="005F6A3F"/>
    <w:rsid w:val="005F7711"/>
    <w:rsid w:val="00600162"/>
    <w:rsid w:val="006001E5"/>
    <w:rsid w:val="006003AD"/>
    <w:rsid w:val="00600B2C"/>
    <w:rsid w:val="00601B97"/>
    <w:rsid w:val="0060209A"/>
    <w:rsid w:val="0060266D"/>
    <w:rsid w:val="00602E00"/>
    <w:rsid w:val="00603CCA"/>
    <w:rsid w:val="006044AE"/>
    <w:rsid w:val="006048EE"/>
    <w:rsid w:val="006055E7"/>
    <w:rsid w:val="00605726"/>
    <w:rsid w:val="00605840"/>
    <w:rsid w:val="00605A3E"/>
    <w:rsid w:val="006065DA"/>
    <w:rsid w:val="0060685C"/>
    <w:rsid w:val="006106F9"/>
    <w:rsid w:val="00612E5E"/>
    <w:rsid w:val="006130BD"/>
    <w:rsid w:val="006135DF"/>
    <w:rsid w:val="00613B56"/>
    <w:rsid w:val="006140A2"/>
    <w:rsid w:val="00614446"/>
    <w:rsid w:val="00614621"/>
    <w:rsid w:val="006149C1"/>
    <w:rsid w:val="00614EAB"/>
    <w:rsid w:val="00616B4A"/>
    <w:rsid w:val="006178DB"/>
    <w:rsid w:val="00617DB6"/>
    <w:rsid w:val="006203ED"/>
    <w:rsid w:val="00620FF0"/>
    <w:rsid w:val="00621133"/>
    <w:rsid w:val="0062192A"/>
    <w:rsid w:val="00621AA4"/>
    <w:rsid w:val="00621CC9"/>
    <w:rsid w:val="00621F43"/>
    <w:rsid w:val="00622CEE"/>
    <w:rsid w:val="0062376B"/>
    <w:rsid w:val="006238BB"/>
    <w:rsid w:val="0062427A"/>
    <w:rsid w:val="00624E5B"/>
    <w:rsid w:val="006253C1"/>
    <w:rsid w:val="00625D02"/>
    <w:rsid w:val="00626135"/>
    <w:rsid w:val="006265FA"/>
    <w:rsid w:val="0062726E"/>
    <w:rsid w:val="0063085D"/>
    <w:rsid w:val="00630EB9"/>
    <w:rsid w:val="00630F72"/>
    <w:rsid w:val="00631026"/>
    <w:rsid w:val="00631202"/>
    <w:rsid w:val="006318CC"/>
    <w:rsid w:val="00632237"/>
    <w:rsid w:val="00632389"/>
    <w:rsid w:val="00632A29"/>
    <w:rsid w:val="00632EE1"/>
    <w:rsid w:val="006330CA"/>
    <w:rsid w:val="00633C38"/>
    <w:rsid w:val="00634560"/>
    <w:rsid w:val="00634B12"/>
    <w:rsid w:val="00635B2A"/>
    <w:rsid w:val="00635D8F"/>
    <w:rsid w:val="006361AE"/>
    <w:rsid w:val="00636370"/>
    <w:rsid w:val="006367A8"/>
    <w:rsid w:val="00641FBD"/>
    <w:rsid w:val="00642F79"/>
    <w:rsid w:val="006436EA"/>
    <w:rsid w:val="0064469C"/>
    <w:rsid w:val="00644E7F"/>
    <w:rsid w:val="00644ED1"/>
    <w:rsid w:val="0064507B"/>
    <w:rsid w:val="00646B7B"/>
    <w:rsid w:val="00647341"/>
    <w:rsid w:val="00647548"/>
    <w:rsid w:val="00647A75"/>
    <w:rsid w:val="0065041F"/>
    <w:rsid w:val="006507CF"/>
    <w:rsid w:val="0065091E"/>
    <w:rsid w:val="00650E32"/>
    <w:rsid w:val="00650F4C"/>
    <w:rsid w:val="00651DA2"/>
    <w:rsid w:val="00652703"/>
    <w:rsid w:val="0065270A"/>
    <w:rsid w:val="00652844"/>
    <w:rsid w:val="0065304A"/>
    <w:rsid w:val="006536D3"/>
    <w:rsid w:val="0065388B"/>
    <w:rsid w:val="00653B41"/>
    <w:rsid w:val="00655756"/>
    <w:rsid w:val="00655CE7"/>
    <w:rsid w:val="006565D1"/>
    <w:rsid w:val="006571E8"/>
    <w:rsid w:val="0065746F"/>
    <w:rsid w:val="0066095E"/>
    <w:rsid w:val="00661608"/>
    <w:rsid w:val="00661837"/>
    <w:rsid w:val="00661E0F"/>
    <w:rsid w:val="00662672"/>
    <w:rsid w:val="00662B22"/>
    <w:rsid w:val="0066502B"/>
    <w:rsid w:val="00665ACE"/>
    <w:rsid w:val="006660AC"/>
    <w:rsid w:val="0066620A"/>
    <w:rsid w:val="00666F92"/>
    <w:rsid w:val="00667153"/>
    <w:rsid w:val="00670A3D"/>
    <w:rsid w:val="00670ECA"/>
    <w:rsid w:val="0067110A"/>
    <w:rsid w:val="0067164A"/>
    <w:rsid w:val="00671806"/>
    <w:rsid w:val="00672768"/>
    <w:rsid w:val="00673B2B"/>
    <w:rsid w:val="00673E45"/>
    <w:rsid w:val="00674E7A"/>
    <w:rsid w:val="006752A5"/>
    <w:rsid w:val="00675EC3"/>
    <w:rsid w:val="00675FC9"/>
    <w:rsid w:val="006766C6"/>
    <w:rsid w:val="0067694F"/>
    <w:rsid w:val="00676A71"/>
    <w:rsid w:val="00676F00"/>
    <w:rsid w:val="006772B5"/>
    <w:rsid w:val="006773D1"/>
    <w:rsid w:val="0068020A"/>
    <w:rsid w:val="0068021D"/>
    <w:rsid w:val="00681B34"/>
    <w:rsid w:val="006821F2"/>
    <w:rsid w:val="0068285A"/>
    <w:rsid w:val="006831CF"/>
    <w:rsid w:val="00683C25"/>
    <w:rsid w:val="00683E67"/>
    <w:rsid w:val="00683FCF"/>
    <w:rsid w:val="00685025"/>
    <w:rsid w:val="00685218"/>
    <w:rsid w:val="00685A74"/>
    <w:rsid w:val="006862EC"/>
    <w:rsid w:val="006865B5"/>
    <w:rsid w:val="00686C1F"/>
    <w:rsid w:val="00686D9F"/>
    <w:rsid w:val="00686FD1"/>
    <w:rsid w:val="0068717B"/>
    <w:rsid w:val="00687E23"/>
    <w:rsid w:val="00690838"/>
    <w:rsid w:val="00690D44"/>
    <w:rsid w:val="00691138"/>
    <w:rsid w:val="0069169E"/>
    <w:rsid w:val="00691965"/>
    <w:rsid w:val="006932B4"/>
    <w:rsid w:val="006935D6"/>
    <w:rsid w:val="00693D89"/>
    <w:rsid w:val="0069584A"/>
    <w:rsid w:val="006A0A17"/>
    <w:rsid w:val="006A0DCB"/>
    <w:rsid w:val="006A106E"/>
    <w:rsid w:val="006A1650"/>
    <w:rsid w:val="006A17B9"/>
    <w:rsid w:val="006A2F12"/>
    <w:rsid w:val="006A307B"/>
    <w:rsid w:val="006A4901"/>
    <w:rsid w:val="006A4F6C"/>
    <w:rsid w:val="006A52A0"/>
    <w:rsid w:val="006A5A8A"/>
    <w:rsid w:val="006A62FD"/>
    <w:rsid w:val="006A67C9"/>
    <w:rsid w:val="006A67F7"/>
    <w:rsid w:val="006A6B9A"/>
    <w:rsid w:val="006A6DE8"/>
    <w:rsid w:val="006A72C5"/>
    <w:rsid w:val="006A7306"/>
    <w:rsid w:val="006A76D6"/>
    <w:rsid w:val="006A777C"/>
    <w:rsid w:val="006A7A9D"/>
    <w:rsid w:val="006A7F1E"/>
    <w:rsid w:val="006B0500"/>
    <w:rsid w:val="006B08CD"/>
    <w:rsid w:val="006B09DB"/>
    <w:rsid w:val="006B12C6"/>
    <w:rsid w:val="006B1BF5"/>
    <w:rsid w:val="006B1D13"/>
    <w:rsid w:val="006B1F93"/>
    <w:rsid w:val="006B362D"/>
    <w:rsid w:val="006B3A6B"/>
    <w:rsid w:val="006B466C"/>
    <w:rsid w:val="006B59B0"/>
    <w:rsid w:val="006B6A2B"/>
    <w:rsid w:val="006B6E14"/>
    <w:rsid w:val="006B7144"/>
    <w:rsid w:val="006B7A22"/>
    <w:rsid w:val="006B7EA1"/>
    <w:rsid w:val="006C0019"/>
    <w:rsid w:val="006C03EA"/>
    <w:rsid w:val="006C18BC"/>
    <w:rsid w:val="006C22C6"/>
    <w:rsid w:val="006C2365"/>
    <w:rsid w:val="006C2377"/>
    <w:rsid w:val="006C2A9C"/>
    <w:rsid w:val="006C2E95"/>
    <w:rsid w:val="006C2FE9"/>
    <w:rsid w:val="006C3439"/>
    <w:rsid w:val="006C460E"/>
    <w:rsid w:val="006C4C5D"/>
    <w:rsid w:val="006C4F1A"/>
    <w:rsid w:val="006C53AA"/>
    <w:rsid w:val="006C5724"/>
    <w:rsid w:val="006C59FA"/>
    <w:rsid w:val="006C5C33"/>
    <w:rsid w:val="006C5E23"/>
    <w:rsid w:val="006C6120"/>
    <w:rsid w:val="006C6614"/>
    <w:rsid w:val="006C6A7F"/>
    <w:rsid w:val="006D0007"/>
    <w:rsid w:val="006D0D81"/>
    <w:rsid w:val="006D0EEA"/>
    <w:rsid w:val="006D0FCD"/>
    <w:rsid w:val="006D14E7"/>
    <w:rsid w:val="006D21D1"/>
    <w:rsid w:val="006D24A5"/>
    <w:rsid w:val="006D3D80"/>
    <w:rsid w:val="006D45BD"/>
    <w:rsid w:val="006D76F3"/>
    <w:rsid w:val="006D7AEB"/>
    <w:rsid w:val="006D7C4C"/>
    <w:rsid w:val="006D7D15"/>
    <w:rsid w:val="006E0A0B"/>
    <w:rsid w:val="006E10E4"/>
    <w:rsid w:val="006E1415"/>
    <w:rsid w:val="006E2FF1"/>
    <w:rsid w:val="006E3191"/>
    <w:rsid w:val="006E3395"/>
    <w:rsid w:val="006E4F03"/>
    <w:rsid w:val="006E575F"/>
    <w:rsid w:val="006E5E91"/>
    <w:rsid w:val="006E658B"/>
    <w:rsid w:val="006E667F"/>
    <w:rsid w:val="006E6A10"/>
    <w:rsid w:val="006E6EA6"/>
    <w:rsid w:val="006E7D64"/>
    <w:rsid w:val="006F0C0C"/>
    <w:rsid w:val="006F1023"/>
    <w:rsid w:val="006F1B99"/>
    <w:rsid w:val="006F2377"/>
    <w:rsid w:val="006F24AD"/>
    <w:rsid w:val="006F273D"/>
    <w:rsid w:val="006F2C6F"/>
    <w:rsid w:val="006F360D"/>
    <w:rsid w:val="006F37F1"/>
    <w:rsid w:val="006F3C57"/>
    <w:rsid w:val="006F3D17"/>
    <w:rsid w:val="006F4697"/>
    <w:rsid w:val="006F4F63"/>
    <w:rsid w:val="006F5689"/>
    <w:rsid w:val="006F5B6A"/>
    <w:rsid w:val="006F5C65"/>
    <w:rsid w:val="006F6289"/>
    <w:rsid w:val="006F70BD"/>
    <w:rsid w:val="006F7293"/>
    <w:rsid w:val="006F7A85"/>
    <w:rsid w:val="006F7CBA"/>
    <w:rsid w:val="0070083B"/>
    <w:rsid w:val="00700E56"/>
    <w:rsid w:val="0070128C"/>
    <w:rsid w:val="0070199A"/>
    <w:rsid w:val="007020A0"/>
    <w:rsid w:val="007022BC"/>
    <w:rsid w:val="007027CE"/>
    <w:rsid w:val="00702FDC"/>
    <w:rsid w:val="00703CD6"/>
    <w:rsid w:val="00703EF1"/>
    <w:rsid w:val="00704CC0"/>
    <w:rsid w:val="0070579C"/>
    <w:rsid w:val="00706247"/>
    <w:rsid w:val="007066B4"/>
    <w:rsid w:val="00706BB5"/>
    <w:rsid w:val="00706DAD"/>
    <w:rsid w:val="007074DB"/>
    <w:rsid w:val="00707676"/>
    <w:rsid w:val="00710B5B"/>
    <w:rsid w:val="00711292"/>
    <w:rsid w:val="007115ED"/>
    <w:rsid w:val="00711B9E"/>
    <w:rsid w:val="00711C20"/>
    <w:rsid w:val="00711E9F"/>
    <w:rsid w:val="00711EE5"/>
    <w:rsid w:val="00711F83"/>
    <w:rsid w:val="00712331"/>
    <w:rsid w:val="0071238D"/>
    <w:rsid w:val="00712592"/>
    <w:rsid w:val="00712ECD"/>
    <w:rsid w:val="00712F92"/>
    <w:rsid w:val="007145C2"/>
    <w:rsid w:val="00714D9E"/>
    <w:rsid w:val="007151E3"/>
    <w:rsid w:val="00717393"/>
    <w:rsid w:val="00717536"/>
    <w:rsid w:val="0071754B"/>
    <w:rsid w:val="00717BA1"/>
    <w:rsid w:val="00720923"/>
    <w:rsid w:val="00720A09"/>
    <w:rsid w:val="00720C6D"/>
    <w:rsid w:val="00720DFF"/>
    <w:rsid w:val="007210FE"/>
    <w:rsid w:val="00722107"/>
    <w:rsid w:val="007222AE"/>
    <w:rsid w:val="00722607"/>
    <w:rsid w:val="00723173"/>
    <w:rsid w:val="00723449"/>
    <w:rsid w:val="00723CED"/>
    <w:rsid w:val="0072401A"/>
    <w:rsid w:val="00724276"/>
    <w:rsid w:val="007242C8"/>
    <w:rsid w:val="007246D7"/>
    <w:rsid w:val="007247FD"/>
    <w:rsid w:val="00724F74"/>
    <w:rsid w:val="007250B0"/>
    <w:rsid w:val="007251DD"/>
    <w:rsid w:val="00725CB9"/>
    <w:rsid w:val="007263E7"/>
    <w:rsid w:val="007264DC"/>
    <w:rsid w:val="0072665A"/>
    <w:rsid w:val="007267E9"/>
    <w:rsid w:val="0072757E"/>
    <w:rsid w:val="007302F5"/>
    <w:rsid w:val="00730454"/>
    <w:rsid w:val="00731075"/>
    <w:rsid w:val="00731A08"/>
    <w:rsid w:val="00731A5C"/>
    <w:rsid w:val="00732216"/>
    <w:rsid w:val="00732370"/>
    <w:rsid w:val="00732454"/>
    <w:rsid w:val="00732B54"/>
    <w:rsid w:val="00732E0A"/>
    <w:rsid w:val="00733161"/>
    <w:rsid w:val="0073321E"/>
    <w:rsid w:val="0073354E"/>
    <w:rsid w:val="00733B66"/>
    <w:rsid w:val="007346C3"/>
    <w:rsid w:val="00734D73"/>
    <w:rsid w:val="007356D4"/>
    <w:rsid w:val="00735BBE"/>
    <w:rsid w:val="00736912"/>
    <w:rsid w:val="00736B2B"/>
    <w:rsid w:val="00737580"/>
    <w:rsid w:val="00737BA4"/>
    <w:rsid w:val="0074099A"/>
    <w:rsid w:val="0074160C"/>
    <w:rsid w:val="0074261D"/>
    <w:rsid w:val="00742D22"/>
    <w:rsid w:val="0074306D"/>
    <w:rsid w:val="00743126"/>
    <w:rsid w:val="007441B2"/>
    <w:rsid w:val="00744C45"/>
    <w:rsid w:val="007450C0"/>
    <w:rsid w:val="00745407"/>
    <w:rsid w:val="00745821"/>
    <w:rsid w:val="00745AF8"/>
    <w:rsid w:val="00746E89"/>
    <w:rsid w:val="00747918"/>
    <w:rsid w:val="00747E39"/>
    <w:rsid w:val="00747F5C"/>
    <w:rsid w:val="00750093"/>
    <w:rsid w:val="0075074E"/>
    <w:rsid w:val="00751278"/>
    <w:rsid w:val="00751BF6"/>
    <w:rsid w:val="007523C4"/>
    <w:rsid w:val="00752F08"/>
    <w:rsid w:val="00752F4B"/>
    <w:rsid w:val="0075346E"/>
    <w:rsid w:val="0075361F"/>
    <w:rsid w:val="00753EC0"/>
    <w:rsid w:val="00754A1F"/>
    <w:rsid w:val="007557A2"/>
    <w:rsid w:val="00755FA1"/>
    <w:rsid w:val="007569A1"/>
    <w:rsid w:val="00757B02"/>
    <w:rsid w:val="007618E3"/>
    <w:rsid w:val="00763064"/>
    <w:rsid w:val="00763FD8"/>
    <w:rsid w:val="0076423B"/>
    <w:rsid w:val="00764BC7"/>
    <w:rsid w:val="00764E04"/>
    <w:rsid w:val="007667BB"/>
    <w:rsid w:val="00770A12"/>
    <w:rsid w:val="00771507"/>
    <w:rsid w:val="00771AF9"/>
    <w:rsid w:val="00771B39"/>
    <w:rsid w:val="00772164"/>
    <w:rsid w:val="007723B6"/>
    <w:rsid w:val="00772CD4"/>
    <w:rsid w:val="00772D65"/>
    <w:rsid w:val="00772E26"/>
    <w:rsid w:val="00772EEA"/>
    <w:rsid w:val="00775021"/>
    <w:rsid w:val="0077537F"/>
    <w:rsid w:val="007755A7"/>
    <w:rsid w:val="007759E6"/>
    <w:rsid w:val="00775E60"/>
    <w:rsid w:val="00776EE9"/>
    <w:rsid w:val="007779CB"/>
    <w:rsid w:val="00777D03"/>
    <w:rsid w:val="00780862"/>
    <w:rsid w:val="007809CC"/>
    <w:rsid w:val="00780F9D"/>
    <w:rsid w:val="00781121"/>
    <w:rsid w:val="0078141F"/>
    <w:rsid w:val="0078288D"/>
    <w:rsid w:val="007839AC"/>
    <w:rsid w:val="00784117"/>
    <w:rsid w:val="007841FB"/>
    <w:rsid w:val="00784DCC"/>
    <w:rsid w:val="007858B8"/>
    <w:rsid w:val="00786903"/>
    <w:rsid w:val="0078772E"/>
    <w:rsid w:val="0079084B"/>
    <w:rsid w:val="00790BF7"/>
    <w:rsid w:val="00792B0E"/>
    <w:rsid w:val="00793074"/>
    <w:rsid w:val="00793ECA"/>
    <w:rsid w:val="00793EE1"/>
    <w:rsid w:val="0079410D"/>
    <w:rsid w:val="00794849"/>
    <w:rsid w:val="00794B39"/>
    <w:rsid w:val="007953CE"/>
    <w:rsid w:val="00796476"/>
    <w:rsid w:val="0079661E"/>
    <w:rsid w:val="00796BEB"/>
    <w:rsid w:val="00797CB1"/>
    <w:rsid w:val="00797E54"/>
    <w:rsid w:val="00797FA6"/>
    <w:rsid w:val="007A02EC"/>
    <w:rsid w:val="007A0C42"/>
    <w:rsid w:val="007A1225"/>
    <w:rsid w:val="007A15CD"/>
    <w:rsid w:val="007A2486"/>
    <w:rsid w:val="007A271A"/>
    <w:rsid w:val="007A41D7"/>
    <w:rsid w:val="007A489A"/>
    <w:rsid w:val="007A4AE9"/>
    <w:rsid w:val="007A4BB7"/>
    <w:rsid w:val="007A5AC1"/>
    <w:rsid w:val="007A5EC7"/>
    <w:rsid w:val="007A6802"/>
    <w:rsid w:val="007A6B26"/>
    <w:rsid w:val="007A6EEE"/>
    <w:rsid w:val="007A7186"/>
    <w:rsid w:val="007A72E2"/>
    <w:rsid w:val="007A7824"/>
    <w:rsid w:val="007A7D95"/>
    <w:rsid w:val="007A7F83"/>
    <w:rsid w:val="007B025C"/>
    <w:rsid w:val="007B0D2F"/>
    <w:rsid w:val="007B165C"/>
    <w:rsid w:val="007B1B05"/>
    <w:rsid w:val="007B1F92"/>
    <w:rsid w:val="007B29E3"/>
    <w:rsid w:val="007B2DA6"/>
    <w:rsid w:val="007B2F0F"/>
    <w:rsid w:val="007B3788"/>
    <w:rsid w:val="007B3C3E"/>
    <w:rsid w:val="007B4202"/>
    <w:rsid w:val="007B443C"/>
    <w:rsid w:val="007B5D56"/>
    <w:rsid w:val="007B660F"/>
    <w:rsid w:val="007B682D"/>
    <w:rsid w:val="007B7954"/>
    <w:rsid w:val="007B7BB3"/>
    <w:rsid w:val="007C0056"/>
    <w:rsid w:val="007C20AF"/>
    <w:rsid w:val="007C2428"/>
    <w:rsid w:val="007C3919"/>
    <w:rsid w:val="007C44FE"/>
    <w:rsid w:val="007C4E11"/>
    <w:rsid w:val="007C5093"/>
    <w:rsid w:val="007C5DFC"/>
    <w:rsid w:val="007C5E22"/>
    <w:rsid w:val="007C61D8"/>
    <w:rsid w:val="007C6213"/>
    <w:rsid w:val="007C6FA3"/>
    <w:rsid w:val="007D09E6"/>
    <w:rsid w:val="007D0B62"/>
    <w:rsid w:val="007D0E8A"/>
    <w:rsid w:val="007D0FF6"/>
    <w:rsid w:val="007D1021"/>
    <w:rsid w:val="007D1559"/>
    <w:rsid w:val="007D1D03"/>
    <w:rsid w:val="007D4245"/>
    <w:rsid w:val="007D4392"/>
    <w:rsid w:val="007D4BB3"/>
    <w:rsid w:val="007D4BE2"/>
    <w:rsid w:val="007D4D3E"/>
    <w:rsid w:val="007D5047"/>
    <w:rsid w:val="007D50ED"/>
    <w:rsid w:val="007D5B1C"/>
    <w:rsid w:val="007D5D27"/>
    <w:rsid w:val="007D6062"/>
    <w:rsid w:val="007D6321"/>
    <w:rsid w:val="007D6AF5"/>
    <w:rsid w:val="007D6B5D"/>
    <w:rsid w:val="007D7589"/>
    <w:rsid w:val="007D780B"/>
    <w:rsid w:val="007E0247"/>
    <w:rsid w:val="007E0361"/>
    <w:rsid w:val="007E044B"/>
    <w:rsid w:val="007E051A"/>
    <w:rsid w:val="007E09B9"/>
    <w:rsid w:val="007E150D"/>
    <w:rsid w:val="007E1A66"/>
    <w:rsid w:val="007E238B"/>
    <w:rsid w:val="007E2637"/>
    <w:rsid w:val="007E3A14"/>
    <w:rsid w:val="007E3FE7"/>
    <w:rsid w:val="007E4D50"/>
    <w:rsid w:val="007E50CC"/>
    <w:rsid w:val="007E52BE"/>
    <w:rsid w:val="007E5C58"/>
    <w:rsid w:val="007E613A"/>
    <w:rsid w:val="007E6530"/>
    <w:rsid w:val="007E65E0"/>
    <w:rsid w:val="007E6AD4"/>
    <w:rsid w:val="007E72AA"/>
    <w:rsid w:val="007E747D"/>
    <w:rsid w:val="007E78A9"/>
    <w:rsid w:val="007F0191"/>
    <w:rsid w:val="007F0BFE"/>
    <w:rsid w:val="007F0EDF"/>
    <w:rsid w:val="007F1D57"/>
    <w:rsid w:val="007F2F39"/>
    <w:rsid w:val="007F3B06"/>
    <w:rsid w:val="007F3C9F"/>
    <w:rsid w:val="007F4064"/>
    <w:rsid w:val="007F4349"/>
    <w:rsid w:val="007F4516"/>
    <w:rsid w:val="007F4FA2"/>
    <w:rsid w:val="007F5866"/>
    <w:rsid w:val="007F5ABB"/>
    <w:rsid w:val="007F5C92"/>
    <w:rsid w:val="007F5FC3"/>
    <w:rsid w:val="007F6DFB"/>
    <w:rsid w:val="007F78D7"/>
    <w:rsid w:val="008000AD"/>
    <w:rsid w:val="008011F3"/>
    <w:rsid w:val="0080179A"/>
    <w:rsid w:val="00801A19"/>
    <w:rsid w:val="00802BBC"/>
    <w:rsid w:val="00802E6D"/>
    <w:rsid w:val="00802EA9"/>
    <w:rsid w:val="00803179"/>
    <w:rsid w:val="00803AA8"/>
    <w:rsid w:val="008042E1"/>
    <w:rsid w:val="008047A6"/>
    <w:rsid w:val="00804B1B"/>
    <w:rsid w:val="00804BD2"/>
    <w:rsid w:val="0080501A"/>
    <w:rsid w:val="008053EB"/>
    <w:rsid w:val="00805D61"/>
    <w:rsid w:val="008064C3"/>
    <w:rsid w:val="00806CAE"/>
    <w:rsid w:val="00806D77"/>
    <w:rsid w:val="00806D90"/>
    <w:rsid w:val="008071A6"/>
    <w:rsid w:val="00807D07"/>
    <w:rsid w:val="00807D08"/>
    <w:rsid w:val="008114B0"/>
    <w:rsid w:val="00811CC9"/>
    <w:rsid w:val="008120A1"/>
    <w:rsid w:val="008125DD"/>
    <w:rsid w:val="00812B61"/>
    <w:rsid w:val="00813430"/>
    <w:rsid w:val="008149EF"/>
    <w:rsid w:val="00814B6D"/>
    <w:rsid w:val="00815AD5"/>
    <w:rsid w:val="008161B0"/>
    <w:rsid w:val="00816AFD"/>
    <w:rsid w:val="00816B93"/>
    <w:rsid w:val="00816C62"/>
    <w:rsid w:val="00816D7B"/>
    <w:rsid w:val="0081711B"/>
    <w:rsid w:val="0081763B"/>
    <w:rsid w:val="008176F3"/>
    <w:rsid w:val="00817A10"/>
    <w:rsid w:val="00820287"/>
    <w:rsid w:val="008225BE"/>
    <w:rsid w:val="00822749"/>
    <w:rsid w:val="008237C1"/>
    <w:rsid w:val="00823842"/>
    <w:rsid w:val="008244AE"/>
    <w:rsid w:val="00824C93"/>
    <w:rsid w:val="00825484"/>
    <w:rsid w:val="00826652"/>
    <w:rsid w:val="008305D5"/>
    <w:rsid w:val="0083084F"/>
    <w:rsid w:val="00830CBC"/>
    <w:rsid w:val="00830E70"/>
    <w:rsid w:val="008318CB"/>
    <w:rsid w:val="00831F97"/>
    <w:rsid w:val="00832D07"/>
    <w:rsid w:val="00833334"/>
    <w:rsid w:val="008345EB"/>
    <w:rsid w:val="00836115"/>
    <w:rsid w:val="00836155"/>
    <w:rsid w:val="00836480"/>
    <w:rsid w:val="00836EA8"/>
    <w:rsid w:val="0084021F"/>
    <w:rsid w:val="00840668"/>
    <w:rsid w:val="0084081F"/>
    <w:rsid w:val="00841440"/>
    <w:rsid w:val="00841696"/>
    <w:rsid w:val="00841D7F"/>
    <w:rsid w:val="00842826"/>
    <w:rsid w:val="00842A7A"/>
    <w:rsid w:val="0084563F"/>
    <w:rsid w:val="00845E11"/>
    <w:rsid w:val="008464FE"/>
    <w:rsid w:val="008469B6"/>
    <w:rsid w:val="00846DAD"/>
    <w:rsid w:val="00847506"/>
    <w:rsid w:val="0084751F"/>
    <w:rsid w:val="00850401"/>
    <w:rsid w:val="008506B9"/>
    <w:rsid w:val="0085087A"/>
    <w:rsid w:val="00851967"/>
    <w:rsid w:val="00852031"/>
    <w:rsid w:val="008523E5"/>
    <w:rsid w:val="00854197"/>
    <w:rsid w:val="00854DBE"/>
    <w:rsid w:val="0085501A"/>
    <w:rsid w:val="008559AF"/>
    <w:rsid w:val="00856010"/>
    <w:rsid w:val="00856A8C"/>
    <w:rsid w:val="00857833"/>
    <w:rsid w:val="00860856"/>
    <w:rsid w:val="00860FF1"/>
    <w:rsid w:val="008619D8"/>
    <w:rsid w:val="00861D80"/>
    <w:rsid w:val="008627F4"/>
    <w:rsid w:val="0086410C"/>
    <w:rsid w:val="00864A2F"/>
    <w:rsid w:val="00864F8F"/>
    <w:rsid w:val="0086528D"/>
    <w:rsid w:val="00865516"/>
    <w:rsid w:val="00865912"/>
    <w:rsid w:val="008660C9"/>
    <w:rsid w:val="0086614A"/>
    <w:rsid w:val="008662FF"/>
    <w:rsid w:val="0086639A"/>
    <w:rsid w:val="00866CE8"/>
    <w:rsid w:val="00867862"/>
    <w:rsid w:val="00867A87"/>
    <w:rsid w:val="00867C2D"/>
    <w:rsid w:val="00867C74"/>
    <w:rsid w:val="00870517"/>
    <w:rsid w:val="00870842"/>
    <w:rsid w:val="00870B22"/>
    <w:rsid w:val="008718CF"/>
    <w:rsid w:val="008720A5"/>
    <w:rsid w:val="00872484"/>
    <w:rsid w:val="00874098"/>
    <w:rsid w:val="00874468"/>
    <w:rsid w:val="00874871"/>
    <w:rsid w:val="008748A7"/>
    <w:rsid w:val="008749D0"/>
    <w:rsid w:val="0087521E"/>
    <w:rsid w:val="008752ED"/>
    <w:rsid w:val="008759F7"/>
    <w:rsid w:val="00875C92"/>
    <w:rsid w:val="00875CF8"/>
    <w:rsid w:val="00876830"/>
    <w:rsid w:val="008768DC"/>
    <w:rsid w:val="008772D6"/>
    <w:rsid w:val="00877384"/>
    <w:rsid w:val="008773BF"/>
    <w:rsid w:val="00877932"/>
    <w:rsid w:val="0088032F"/>
    <w:rsid w:val="00880BFE"/>
    <w:rsid w:val="00880DFB"/>
    <w:rsid w:val="00881F21"/>
    <w:rsid w:val="00882009"/>
    <w:rsid w:val="00882348"/>
    <w:rsid w:val="00884A30"/>
    <w:rsid w:val="008851BC"/>
    <w:rsid w:val="008876AD"/>
    <w:rsid w:val="00890ADD"/>
    <w:rsid w:val="00890B91"/>
    <w:rsid w:val="00890DCD"/>
    <w:rsid w:val="008910D5"/>
    <w:rsid w:val="008913D9"/>
    <w:rsid w:val="00892EE6"/>
    <w:rsid w:val="008931AB"/>
    <w:rsid w:val="00893451"/>
    <w:rsid w:val="00893839"/>
    <w:rsid w:val="00895D1B"/>
    <w:rsid w:val="0089784A"/>
    <w:rsid w:val="00897C62"/>
    <w:rsid w:val="00897E19"/>
    <w:rsid w:val="00897F0E"/>
    <w:rsid w:val="008A017C"/>
    <w:rsid w:val="008A1E55"/>
    <w:rsid w:val="008A21CA"/>
    <w:rsid w:val="008A238C"/>
    <w:rsid w:val="008A2883"/>
    <w:rsid w:val="008A331C"/>
    <w:rsid w:val="008A3B89"/>
    <w:rsid w:val="008A402E"/>
    <w:rsid w:val="008A4078"/>
    <w:rsid w:val="008A4B9B"/>
    <w:rsid w:val="008A52B8"/>
    <w:rsid w:val="008A58E3"/>
    <w:rsid w:val="008A63D5"/>
    <w:rsid w:val="008A6D18"/>
    <w:rsid w:val="008A6E7A"/>
    <w:rsid w:val="008A73DB"/>
    <w:rsid w:val="008A73F2"/>
    <w:rsid w:val="008B0375"/>
    <w:rsid w:val="008B040E"/>
    <w:rsid w:val="008B0C03"/>
    <w:rsid w:val="008B15F2"/>
    <w:rsid w:val="008B24BA"/>
    <w:rsid w:val="008B29CC"/>
    <w:rsid w:val="008B2A46"/>
    <w:rsid w:val="008B3080"/>
    <w:rsid w:val="008B4940"/>
    <w:rsid w:val="008B4CC6"/>
    <w:rsid w:val="008B5644"/>
    <w:rsid w:val="008B65B7"/>
    <w:rsid w:val="008B687B"/>
    <w:rsid w:val="008B73E6"/>
    <w:rsid w:val="008B748C"/>
    <w:rsid w:val="008C0023"/>
    <w:rsid w:val="008C12C8"/>
    <w:rsid w:val="008C1646"/>
    <w:rsid w:val="008C2385"/>
    <w:rsid w:val="008C2D02"/>
    <w:rsid w:val="008C2DDA"/>
    <w:rsid w:val="008C3135"/>
    <w:rsid w:val="008C34DA"/>
    <w:rsid w:val="008C398D"/>
    <w:rsid w:val="008C4122"/>
    <w:rsid w:val="008C449D"/>
    <w:rsid w:val="008C4D25"/>
    <w:rsid w:val="008C519E"/>
    <w:rsid w:val="008C535F"/>
    <w:rsid w:val="008C558F"/>
    <w:rsid w:val="008C5F5E"/>
    <w:rsid w:val="008C6613"/>
    <w:rsid w:val="008C6964"/>
    <w:rsid w:val="008D0E91"/>
    <w:rsid w:val="008D1677"/>
    <w:rsid w:val="008D1FBD"/>
    <w:rsid w:val="008D2234"/>
    <w:rsid w:val="008D2FFF"/>
    <w:rsid w:val="008D3668"/>
    <w:rsid w:val="008D3682"/>
    <w:rsid w:val="008D39B0"/>
    <w:rsid w:val="008D41D3"/>
    <w:rsid w:val="008D495C"/>
    <w:rsid w:val="008D5738"/>
    <w:rsid w:val="008D57D5"/>
    <w:rsid w:val="008D59BC"/>
    <w:rsid w:val="008D5DB4"/>
    <w:rsid w:val="008D6ADC"/>
    <w:rsid w:val="008D7057"/>
    <w:rsid w:val="008D7237"/>
    <w:rsid w:val="008D789C"/>
    <w:rsid w:val="008E0B5B"/>
    <w:rsid w:val="008E1DB1"/>
    <w:rsid w:val="008E217E"/>
    <w:rsid w:val="008E362C"/>
    <w:rsid w:val="008E3FC9"/>
    <w:rsid w:val="008E4251"/>
    <w:rsid w:val="008E4920"/>
    <w:rsid w:val="008E5219"/>
    <w:rsid w:val="008E52FB"/>
    <w:rsid w:val="008E64BB"/>
    <w:rsid w:val="008E7624"/>
    <w:rsid w:val="008E7822"/>
    <w:rsid w:val="008E7840"/>
    <w:rsid w:val="008E7EE2"/>
    <w:rsid w:val="008F0C4D"/>
    <w:rsid w:val="008F0E60"/>
    <w:rsid w:val="008F1384"/>
    <w:rsid w:val="008F4567"/>
    <w:rsid w:val="008F4AA5"/>
    <w:rsid w:val="008F4FB5"/>
    <w:rsid w:val="008F503F"/>
    <w:rsid w:val="008F5D11"/>
    <w:rsid w:val="008F6C71"/>
    <w:rsid w:val="008F6D48"/>
    <w:rsid w:val="008F77C0"/>
    <w:rsid w:val="0090002A"/>
    <w:rsid w:val="009006C3"/>
    <w:rsid w:val="009008CE"/>
    <w:rsid w:val="00900C9E"/>
    <w:rsid w:val="00900EDC"/>
    <w:rsid w:val="00900FF8"/>
    <w:rsid w:val="00901620"/>
    <w:rsid w:val="00901E7F"/>
    <w:rsid w:val="00901ED3"/>
    <w:rsid w:val="00902A18"/>
    <w:rsid w:val="00903433"/>
    <w:rsid w:val="0090355F"/>
    <w:rsid w:val="00903C0F"/>
    <w:rsid w:val="0090428D"/>
    <w:rsid w:val="00904AF7"/>
    <w:rsid w:val="00905B34"/>
    <w:rsid w:val="00905E58"/>
    <w:rsid w:val="00906335"/>
    <w:rsid w:val="009063C9"/>
    <w:rsid w:val="00906C82"/>
    <w:rsid w:val="00906D68"/>
    <w:rsid w:val="0090752C"/>
    <w:rsid w:val="009075F2"/>
    <w:rsid w:val="00907CFD"/>
    <w:rsid w:val="009107D0"/>
    <w:rsid w:val="00912059"/>
    <w:rsid w:val="00912908"/>
    <w:rsid w:val="00912EA7"/>
    <w:rsid w:val="00913BA8"/>
    <w:rsid w:val="00913FC2"/>
    <w:rsid w:val="00914462"/>
    <w:rsid w:val="0091453D"/>
    <w:rsid w:val="00914E5D"/>
    <w:rsid w:val="009155C6"/>
    <w:rsid w:val="00915DD5"/>
    <w:rsid w:val="00915F79"/>
    <w:rsid w:val="009160E7"/>
    <w:rsid w:val="00916644"/>
    <w:rsid w:val="00916A66"/>
    <w:rsid w:val="00920BC4"/>
    <w:rsid w:val="00920CBD"/>
    <w:rsid w:val="0092117E"/>
    <w:rsid w:val="009222B1"/>
    <w:rsid w:val="009222FC"/>
    <w:rsid w:val="00922500"/>
    <w:rsid w:val="009231B6"/>
    <w:rsid w:val="00923933"/>
    <w:rsid w:val="00923DDD"/>
    <w:rsid w:val="00924C78"/>
    <w:rsid w:val="009252B8"/>
    <w:rsid w:val="0092547C"/>
    <w:rsid w:val="00926B88"/>
    <w:rsid w:val="009273BF"/>
    <w:rsid w:val="00931088"/>
    <w:rsid w:val="0093177E"/>
    <w:rsid w:val="00931873"/>
    <w:rsid w:val="00933299"/>
    <w:rsid w:val="0093378A"/>
    <w:rsid w:val="0093422A"/>
    <w:rsid w:val="009342CB"/>
    <w:rsid w:val="00934325"/>
    <w:rsid w:val="00934D25"/>
    <w:rsid w:val="00935764"/>
    <w:rsid w:val="00935997"/>
    <w:rsid w:val="0093629F"/>
    <w:rsid w:val="00936730"/>
    <w:rsid w:val="0093777D"/>
    <w:rsid w:val="00937BC4"/>
    <w:rsid w:val="009402BB"/>
    <w:rsid w:val="00940A38"/>
    <w:rsid w:val="00941891"/>
    <w:rsid w:val="00941DA8"/>
    <w:rsid w:val="0094206B"/>
    <w:rsid w:val="0094262E"/>
    <w:rsid w:val="00944B3D"/>
    <w:rsid w:val="00945FF5"/>
    <w:rsid w:val="00946182"/>
    <w:rsid w:val="00946E0C"/>
    <w:rsid w:val="00946E6B"/>
    <w:rsid w:val="009473DA"/>
    <w:rsid w:val="00947A94"/>
    <w:rsid w:val="00947D91"/>
    <w:rsid w:val="00950385"/>
    <w:rsid w:val="009508CB"/>
    <w:rsid w:val="00951981"/>
    <w:rsid w:val="00951DD5"/>
    <w:rsid w:val="00952066"/>
    <w:rsid w:val="00952242"/>
    <w:rsid w:val="0095227B"/>
    <w:rsid w:val="0095228D"/>
    <w:rsid w:val="00954039"/>
    <w:rsid w:val="00956672"/>
    <w:rsid w:val="00956A18"/>
    <w:rsid w:val="00957073"/>
    <w:rsid w:val="009573B5"/>
    <w:rsid w:val="00960403"/>
    <w:rsid w:val="00960801"/>
    <w:rsid w:val="00960991"/>
    <w:rsid w:val="00960EEF"/>
    <w:rsid w:val="0096106D"/>
    <w:rsid w:val="0096121A"/>
    <w:rsid w:val="009616CC"/>
    <w:rsid w:val="00962CE7"/>
    <w:rsid w:val="00963F93"/>
    <w:rsid w:val="00964280"/>
    <w:rsid w:val="00964312"/>
    <w:rsid w:val="00965F94"/>
    <w:rsid w:val="009665A7"/>
    <w:rsid w:val="00966E22"/>
    <w:rsid w:val="00967B19"/>
    <w:rsid w:val="00967DEC"/>
    <w:rsid w:val="00967E98"/>
    <w:rsid w:val="00970D89"/>
    <w:rsid w:val="0097122D"/>
    <w:rsid w:val="009743CF"/>
    <w:rsid w:val="00974A4C"/>
    <w:rsid w:val="00974F57"/>
    <w:rsid w:val="0097567B"/>
    <w:rsid w:val="00976074"/>
    <w:rsid w:val="00977485"/>
    <w:rsid w:val="00980B45"/>
    <w:rsid w:val="00981595"/>
    <w:rsid w:val="00981BE3"/>
    <w:rsid w:val="00981F6D"/>
    <w:rsid w:val="00982053"/>
    <w:rsid w:val="00982435"/>
    <w:rsid w:val="00982463"/>
    <w:rsid w:val="00982B03"/>
    <w:rsid w:val="00982ECC"/>
    <w:rsid w:val="0098388A"/>
    <w:rsid w:val="00983CD6"/>
    <w:rsid w:val="009842D6"/>
    <w:rsid w:val="00984712"/>
    <w:rsid w:val="00985AE5"/>
    <w:rsid w:val="00985CE2"/>
    <w:rsid w:val="00986025"/>
    <w:rsid w:val="009865D6"/>
    <w:rsid w:val="00986EB0"/>
    <w:rsid w:val="00987132"/>
    <w:rsid w:val="00990809"/>
    <w:rsid w:val="00991CA8"/>
    <w:rsid w:val="0099261B"/>
    <w:rsid w:val="009930D8"/>
    <w:rsid w:val="00993175"/>
    <w:rsid w:val="00993A36"/>
    <w:rsid w:val="009940CA"/>
    <w:rsid w:val="009940D9"/>
    <w:rsid w:val="009942BA"/>
    <w:rsid w:val="009943B0"/>
    <w:rsid w:val="00994FC2"/>
    <w:rsid w:val="009966EA"/>
    <w:rsid w:val="00996BA2"/>
    <w:rsid w:val="00996DAF"/>
    <w:rsid w:val="00996FC2"/>
    <w:rsid w:val="00996FF0"/>
    <w:rsid w:val="00997130"/>
    <w:rsid w:val="00997385"/>
    <w:rsid w:val="00997674"/>
    <w:rsid w:val="009A0742"/>
    <w:rsid w:val="009A0A74"/>
    <w:rsid w:val="009A123F"/>
    <w:rsid w:val="009A16E2"/>
    <w:rsid w:val="009A1CC6"/>
    <w:rsid w:val="009A1D25"/>
    <w:rsid w:val="009A2C86"/>
    <w:rsid w:val="009A3959"/>
    <w:rsid w:val="009A3B4D"/>
    <w:rsid w:val="009A4404"/>
    <w:rsid w:val="009A52C5"/>
    <w:rsid w:val="009A538A"/>
    <w:rsid w:val="009A64EF"/>
    <w:rsid w:val="009A679C"/>
    <w:rsid w:val="009A6886"/>
    <w:rsid w:val="009A6B60"/>
    <w:rsid w:val="009A6E1B"/>
    <w:rsid w:val="009A6ED5"/>
    <w:rsid w:val="009A74A9"/>
    <w:rsid w:val="009A7DA2"/>
    <w:rsid w:val="009A7E12"/>
    <w:rsid w:val="009B05BE"/>
    <w:rsid w:val="009B1323"/>
    <w:rsid w:val="009B2795"/>
    <w:rsid w:val="009B369C"/>
    <w:rsid w:val="009B43C3"/>
    <w:rsid w:val="009B45D5"/>
    <w:rsid w:val="009B4D5A"/>
    <w:rsid w:val="009B5BAD"/>
    <w:rsid w:val="009B68C8"/>
    <w:rsid w:val="009B698A"/>
    <w:rsid w:val="009B6FDB"/>
    <w:rsid w:val="009B74A6"/>
    <w:rsid w:val="009B788D"/>
    <w:rsid w:val="009B7DCB"/>
    <w:rsid w:val="009C08EA"/>
    <w:rsid w:val="009C09D0"/>
    <w:rsid w:val="009C0C22"/>
    <w:rsid w:val="009C136C"/>
    <w:rsid w:val="009C1D9B"/>
    <w:rsid w:val="009C1DD6"/>
    <w:rsid w:val="009C1EB4"/>
    <w:rsid w:val="009C3377"/>
    <w:rsid w:val="009C370E"/>
    <w:rsid w:val="009C3BE9"/>
    <w:rsid w:val="009C43BD"/>
    <w:rsid w:val="009C4F1E"/>
    <w:rsid w:val="009C59E0"/>
    <w:rsid w:val="009C5A38"/>
    <w:rsid w:val="009C5BD3"/>
    <w:rsid w:val="009C6261"/>
    <w:rsid w:val="009C62E1"/>
    <w:rsid w:val="009C6567"/>
    <w:rsid w:val="009C71DE"/>
    <w:rsid w:val="009C753B"/>
    <w:rsid w:val="009C797D"/>
    <w:rsid w:val="009D00EC"/>
    <w:rsid w:val="009D02B7"/>
    <w:rsid w:val="009D0BE2"/>
    <w:rsid w:val="009D0CE0"/>
    <w:rsid w:val="009D0DA7"/>
    <w:rsid w:val="009D1ACE"/>
    <w:rsid w:val="009D21EE"/>
    <w:rsid w:val="009D28DC"/>
    <w:rsid w:val="009D2B82"/>
    <w:rsid w:val="009D3C47"/>
    <w:rsid w:val="009D41F8"/>
    <w:rsid w:val="009D4B12"/>
    <w:rsid w:val="009D61DA"/>
    <w:rsid w:val="009D6249"/>
    <w:rsid w:val="009D7122"/>
    <w:rsid w:val="009D79D1"/>
    <w:rsid w:val="009D7FED"/>
    <w:rsid w:val="009E0899"/>
    <w:rsid w:val="009E0EEA"/>
    <w:rsid w:val="009E1158"/>
    <w:rsid w:val="009E2539"/>
    <w:rsid w:val="009E297B"/>
    <w:rsid w:val="009E2B9E"/>
    <w:rsid w:val="009E2C76"/>
    <w:rsid w:val="009E2E18"/>
    <w:rsid w:val="009E33D2"/>
    <w:rsid w:val="009E45D9"/>
    <w:rsid w:val="009E521F"/>
    <w:rsid w:val="009E5729"/>
    <w:rsid w:val="009E582E"/>
    <w:rsid w:val="009E588D"/>
    <w:rsid w:val="009E5C2C"/>
    <w:rsid w:val="009E66E6"/>
    <w:rsid w:val="009E68BE"/>
    <w:rsid w:val="009E6C01"/>
    <w:rsid w:val="009E6F0A"/>
    <w:rsid w:val="009E70DF"/>
    <w:rsid w:val="009E7598"/>
    <w:rsid w:val="009E7D59"/>
    <w:rsid w:val="009E7DEB"/>
    <w:rsid w:val="009E7F7F"/>
    <w:rsid w:val="009F081D"/>
    <w:rsid w:val="009F100E"/>
    <w:rsid w:val="009F2147"/>
    <w:rsid w:val="009F247E"/>
    <w:rsid w:val="009F3BF9"/>
    <w:rsid w:val="009F3C12"/>
    <w:rsid w:val="009F5006"/>
    <w:rsid w:val="009F55A5"/>
    <w:rsid w:val="009F5E0A"/>
    <w:rsid w:val="009F645B"/>
    <w:rsid w:val="009F682A"/>
    <w:rsid w:val="009F6911"/>
    <w:rsid w:val="009F72D5"/>
    <w:rsid w:val="009F7D6B"/>
    <w:rsid w:val="009F7DA4"/>
    <w:rsid w:val="00A00714"/>
    <w:rsid w:val="00A01681"/>
    <w:rsid w:val="00A01779"/>
    <w:rsid w:val="00A0259A"/>
    <w:rsid w:val="00A0270A"/>
    <w:rsid w:val="00A0342F"/>
    <w:rsid w:val="00A037CA"/>
    <w:rsid w:val="00A041E3"/>
    <w:rsid w:val="00A04717"/>
    <w:rsid w:val="00A05E3B"/>
    <w:rsid w:val="00A0640D"/>
    <w:rsid w:val="00A066AE"/>
    <w:rsid w:val="00A10079"/>
    <w:rsid w:val="00A100B7"/>
    <w:rsid w:val="00A10CDA"/>
    <w:rsid w:val="00A10CEF"/>
    <w:rsid w:val="00A11E78"/>
    <w:rsid w:val="00A120FA"/>
    <w:rsid w:val="00A12235"/>
    <w:rsid w:val="00A125B3"/>
    <w:rsid w:val="00A12C68"/>
    <w:rsid w:val="00A12C71"/>
    <w:rsid w:val="00A130C0"/>
    <w:rsid w:val="00A13875"/>
    <w:rsid w:val="00A14964"/>
    <w:rsid w:val="00A14B77"/>
    <w:rsid w:val="00A14C6C"/>
    <w:rsid w:val="00A14DF2"/>
    <w:rsid w:val="00A15307"/>
    <w:rsid w:val="00A15801"/>
    <w:rsid w:val="00A15A76"/>
    <w:rsid w:val="00A15B19"/>
    <w:rsid w:val="00A1637D"/>
    <w:rsid w:val="00A163A9"/>
    <w:rsid w:val="00A163CE"/>
    <w:rsid w:val="00A16AF1"/>
    <w:rsid w:val="00A1714E"/>
    <w:rsid w:val="00A177E1"/>
    <w:rsid w:val="00A17B1C"/>
    <w:rsid w:val="00A17B80"/>
    <w:rsid w:val="00A202DB"/>
    <w:rsid w:val="00A202EC"/>
    <w:rsid w:val="00A20638"/>
    <w:rsid w:val="00A214CD"/>
    <w:rsid w:val="00A21EE0"/>
    <w:rsid w:val="00A22692"/>
    <w:rsid w:val="00A23752"/>
    <w:rsid w:val="00A24A5E"/>
    <w:rsid w:val="00A25B2B"/>
    <w:rsid w:val="00A25E07"/>
    <w:rsid w:val="00A262C3"/>
    <w:rsid w:val="00A2645B"/>
    <w:rsid w:val="00A27C77"/>
    <w:rsid w:val="00A30422"/>
    <w:rsid w:val="00A311CF"/>
    <w:rsid w:val="00A3157A"/>
    <w:rsid w:val="00A31980"/>
    <w:rsid w:val="00A32104"/>
    <w:rsid w:val="00A3213A"/>
    <w:rsid w:val="00A32790"/>
    <w:rsid w:val="00A32AAB"/>
    <w:rsid w:val="00A3433E"/>
    <w:rsid w:val="00A34630"/>
    <w:rsid w:val="00A34679"/>
    <w:rsid w:val="00A3480E"/>
    <w:rsid w:val="00A36D5D"/>
    <w:rsid w:val="00A40A7A"/>
    <w:rsid w:val="00A41231"/>
    <w:rsid w:val="00A41284"/>
    <w:rsid w:val="00A412AD"/>
    <w:rsid w:val="00A41399"/>
    <w:rsid w:val="00A420E2"/>
    <w:rsid w:val="00A42223"/>
    <w:rsid w:val="00A429AC"/>
    <w:rsid w:val="00A43D55"/>
    <w:rsid w:val="00A43EE3"/>
    <w:rsid w:val="00A44D26"/>
    <w:rsid w:val="00A4513B"/>
    <w:rsid w:val="00A452D7"/>
    <w:rsid w:val="00A4583D"/>
    <w:rsid w:val="00A464B1"/>
    <w:rsid w:val="00A47860"/>
    <w:rsid w:val="00A505D0"/>
    <w:rsid w:val="00A509BA"/>
    <w:rsid w:val="00A51070"/>
    <w:rsid w:val="00A5180D"/>
    <w:rsid w:val="00A51BBE"/>
    <w:rsid w:val="00A520C6"/>
    <w:rsid w:val="00A5265E"/>
    <w:rsid w:val="00A531D8"/>
    <w:rsid w:val="00A53FD9"/>
    <w:rsid w:val="00A543B8"/>
    <w:rsid w:val="00A548CF"/>
    <w:rsid w:val="00A54D58"/>
    <w:rsid w:val="00A5529D"/>
    <w:rsid w:val="00A553D0"/>
    <w:rsid w:val="00A5686F"/>
    <w:rsid w:val="00A57B3C"/>
    <w:rsid w:val="00A60B0B"/>
    <w:rsid w:val="00A625DB"/>
    <w:rsid w:val="00A6260E"/>
    <w:rsid w:val="00A626F7"/>
    <w:rsid w:val="00A63696"/>
    <w:rsid w:val="00A63F51"/>
    <w:rsid w:val="00A64B76"/>
    <w:rsid w:val="00A64CAE"/>
    <w:rsid w:val="00A64EBF"/>
    <w:rsid w:val="00A655A4"/>
    <w:rsid w:val="00A65A8D"/>
    <w:rsid w:val="00A661FD"/>
    <w:rsid w:val="00A676A7"/>
    <w:rsid w:val="00A702F7"/>
    <w:rsid w:val="00A7143B"/>
    <w:rsid w:val="00A7217F"/>
    <w:rsid w:val="00A724AE"/>
    <w:rsid w:val="00A72B91"/>
    <w:rsid w:val="00A7388D"/>
    <w:rsid w:val="00A74982"/>
    <w:rsid w:val="00A74DED"/>
    <w:rsid w:val="00A74FF3"/>
    <w:rsid w:val="00A752D4"/>
    <w:rsid w:val="00A7574C"/>
    <w:rsid w:val="00A76CD4"/>
    <w:rsid w:val="00A7721F"/>
    <w:rsid w:val="00A77539"/>
    <w:rsid w:val="00A775AB"/>
    <w:rsid w:val="00A775BC"/>
    <w:rsid w:val="00A77D74"/>
    <w:rsid w:val="00A77E19"/>
    <w:rsid w:val="00A80043"/>
    <w:rsid w:val="00A80124"/>
    <w:rsid w:val="00A8020D"/>
    <w:rsid w:val="00A805E9"/>
    <w:rsid w:val="00A8096B"/>
    <w:rsid w:val="00A81DF5"/>
    <w:rsid w:val="00A81FEC"/>
    <w:rsid w:val="00A82C0C"/>
    <w:rsid w:val="00A82C41"/>
    <w:rsid w:val="00A83512"/>
    <w:rsid w:val="00A83731"/>
    <w:rsid w:val="00A83EB6"/>
    <w:rsid w:val="00A8403B"/>
    <w:rsid w:val="00A8425D"/>
    <w:rsid w:val="00A871D7"/>
    <w:rsid w:val="00A874EC"/>
    <w:rsid w:val="00A91A97"/>
    <w:rsid w:val="00A92A9F"/>
    <w:rsid w:val="00A92B15"/>
    <w:rsid w:val="00A93C56"/>
    <w:rsid w:val="00A940C7"/>
    <w:rsid w:val="00A9435F"/>
    <w:rsid w:val="00A950DE"/>
    <w:rsid w:val="00A95D7A"/>
    <w:rsid w:val="00A96009"/>
    <w:rsid w:val="00A962E2"/>
    <w:rsid w:val="00A9638C"/>
    <w:rsid w:val="00A96E42"/>
    <w:rsid w:val="00A96F9F"/>
    <w:rsid w:val="00A9730C"/>
    <w:rsid w:val="00A97C0F"/>
    <w:rsid w:val="00A97E39"/>
    <w:rsid w:val="00AA11DE"/>
    <w:rsid w:val="00AA11FE"/>
    <w:rsid w:val="00AA1295"/>
    <w:rsid w:val="00AA131F"/>
    <w:rsid w:val="00AA1A11"/>
    <w:rsid w:val="00AA259A"/>
    <w:rsid w:val="00AA2836"/>
    <w:rsid w:val="00AA33ED"/>
    <w:rsid w:val="00AA43FD"/>
    <w:rsid w:val="00AA4BB1"/>
    <w:rsid w:val="00AA526F"/>
    <w:rsid w:val="00AA588B"/>
    <w:rsid w:val="00AA590B"/>
    <w:rsid w:val="00AA5F1B"/>
    <w:rsid w:val="00AA607E"/>
    <w:rsid w:val="00AA67BF"/>
    <w:rsid w:val="00AA67D5"/>
    <w:rsid w:val="00AA70B6"/>
    <w:rsid w:val="00AA7138"/>
    <w:rsid w:val="00AA725D"/>
    <w:rsid w:val="00AB045E"/>
    <w:rsid w:val="00AB0C1C"/>
    <w:rsid w:val="00AB1550"/>
    <w:rsid w:val="00AB1FDA"/>
    <w:rsid w:val="00AB2257"/>
    <w:rsid w:val="00AB22C7"/>
    <w:rsid w:val="00AB3317"/>
    <w:rsid w:val="00AB3956"/>
    <w:rsid w:val="00AB4BC5"/>
    <w:rsid w:val="00AB4CD7"/>
    <w:rsid w:val="00AB55BA"/>
    <w:rsid w:val="00AB5DAE"/>
    <w:rsid w:val="00AB5FC6"/>
    <w:rsid w:val="00AB61E0"/>
    <w:rsid w:val="00AB78DE"/>
    <w:rsid w:val="00AC006E"/>
    <w:rsid w:val="00AC0967"/>
    <w:rsid w:val="00AC1462"/>
    <w:rsid w:val="00AC30AA"/>
    <w:rsid w:val="00AC31B9"/>
    <w:rsid w:val="00AC409E"/>
    <w:rsid w:val="00AC4D94"/>
    <w:rsid w:val="00AC55B2"/>
    <w:rsid w:val="00AC5CFD"/>
    <w:rsid w:val="00AC5E9D"/>
    <w:rsid w:val="00AC6042"/>
    <w:rsid w:val="00AC6783"/>
    <w:rsid w:val="00AC7009"/>
    <w:rsid w:val="00AC72A8"/>
    <w:rsid w:val="00AC7D8E"/>
    <w:rsid w:val="00AD021A"/>
    <w:rsid w:val="00AD0944"/>
    <w:rsid w:val="00AD0E0C"/>
    <w:rsid w:val="00AD12EB"/>
    <w:rsid w:val="00AD16AF"/>
    <w:rsid w:val="00AD16F6"/>
    <w:rsid w:val="00AD1C81"/>
    <w:rsid w:val="00AD395B"/>
    <w:rsid w:val="00AD4A7D"/>
    <w:rsid w:val="00AD594A"/>
    <w:rsid w:val="00AD5F6A"/>
    <w:rsid w:val="00AD6641"/>
    <w:rsid w:val="00AD66A6"/>
    <w:rsid w:val="00AD712C"/>
    <w:rsid w:val="00AD7801"/>
    <w:rsid w:val="00AE06FD"/>
    <w:rsid w:val="00AE0D8E"/>
    <w:rsid w:val="00AE1225"/>
    <w:rsid w:val="00AE21DE"/>
    <w:rsid w:val="00AE22E4"/>
    <w:rsid w:val="00AE2A3E"/>
    <w:rsid w:val="00AE37A9"/>
    <w:rsid w:val="00AE4B81"/>
    <w:rsid w:val="00AE5144"/>
    <w:rsid w:val="00AE5FB5"/>
    <w:rsid w:val="00AE6A9B"/>
    <w:rsid w:val="00AE7838"/>
    <w:rsid w:val="00AF2154"/>
    <w:rsid w:val="00AF233B"/>
    <w:rsid w:val="00AF282E"/>
    <w:rsid w:val="00AF28C2"/>
    <w:rsid w:val="00AF3CA4"/>
    <w:rsid w:val="00AF3FE8"/>
    <w:rsid w:val="00AF4252"/>
    <w:rsid w:val="00AF4AAC"/>
    <w:rsid w:val="00AF4B0C"/>
    <w:rsid w:val="00AF4B54"/>
    <w:rsid w:val="00AF4E39"/>
    <w:rsid w:val="00AF502C"/>
    <w:rsid w:val="00AF59A0"/>
    <w:rsid w:val="00AF6409"/>
    <w:rsid w:val="00AF67CE"/>
    <w:rsid w:val="00AF6A70"/>
    <w:rsid w:val="00AF7654"/>
    <w:rsid w:val="00AF7AC6"/>
    <w:rsid w:val="00B000C1"/>
    <w:rsid w:val="00B0040C"/>
    <w:rsid w:val="00B00AD8"/>
    <w:rsid w:val="00B00C15"/>
    <w:rsid w:val="00B0126A"/>
    <w:rsid w:val="00B01684"/>
    <w:rsid w:val="00B01A78"/>
    <w:rsid w:val="00B020A7"/>
    <w:rsid w:val="00B02A41"/>
    <w:rsid w:val="00B03C9B"/>
    <w:rsid w:val="00B03EDD"/>
    <w:rsid w:val="00B04044"/>
    <w:rsid w:val="00B0423E"/>
    <w:rsid w:val="00B04555"/>
    <w:rsid w:val="00B04852"/>
    <w:rsid w:val="00B04AB8"/>
    <w:rsid w:val="00B053A5"/>
    <w:rsid w:val="00B0551B"/>
    <w:rsid w:val="00B05544"/>
    <w:rsid w:val="00B05654"/>
    <w:rsid w:val="00B06657"/>
    <w:rsid w:val="00B07237"/>
    <w:rsid w:val="00B07E1E"/>
    <w:rsid w:val="00B11820"/>
    <w:rsid w:val="00B126E9"/>
    <w:rsid w:val="00B128DC"/>
    <w:rsid w:val="00B13727"/>
    <w:rsid w:val="00B137C6"/>
    <w:rsid w:val="00B147F4"/>
    <w:rsid w:val="00B1660A"/>
    <w:rsid w:val="00B168FC"/>
    <w:rsid w:val="00B16B83"/>
    <w:rsid w:val="00B16C2A"/>
    <w:rsid w:val="00B171F6"/>
    <w:rsid w:val="00B17522"/>
    <w:rsid w:val="00B17C59"/>
    <w:rsid w:val="00B17E1D"/>
    <w:rsid w:val="00B17EE0"/>
    <w:rsid w:val="00B20455"/>
    <w:rsid w:val="00B208D2"/>
    <w:rsid w:val="00B20D65"/>
    <w:rsid w:val="00B22987"/>
    <w:rsid w:val="00B22C36"/>
    <w:rsid w:val="00B23126"/>
    <w:rsid w:val="00B23E89"/>
    <w:rsid w:val="00B24C14"/>
    <w:rsid w:val="00B24E2C"/>
    <w:rsid w:val="00B260E7"/>
    <w:rsid w:val="00B262F3"/>
    <w:rsid w:val="00B26A33"/>
    <w:rsid w:val="00B26B68"/>
    <w:rsid w:val="00B2789A"/>
    <w:rsid w:val="00B30341"/>
    <w:rsid w:val="00B30452"/>
    <w:rsid w:val="00B304D9"/>
    <w:rsid w:val="00B3087C"/>
    <w:rsid w:val="00B30E60"/>
    <w:rsid w:val="00B3205B"/>
    <w:rsid w:val="00B32193"/>
    <w:rsid w:val="00B32F02"/>
    <w:rsid w:val="00B32F95"/>
    <w:rsid w:val="00B33565"/>
    <w:rsid w:val="00B343F2"/>
    <w:rsid w:val="00B344C4"/>
    <w:rsid w:val="00B34778"/>
    <w:rsid w:val="00B3531E"/>
    <w:rsid w:val="00B355B1"/>
    <w:rsid w:val="00B3563A"/>
    <w:rsid w:val="00B35691"/>
    <w:rsid w:val="00B37247"/>
    <w:rsid w:val="00B37326"/>
    <w:rsid w:val="00B4092F"/>
    <w:rsid w:val="00B40AB2"/>
    <w:rsid w:val="00B40B8F"/>
    <w:rsid w:val="00B40B9B"/>
    <w:rsid w:val="00B410D5"/>
    <w:rsid w:val="00B41ED7"/>
    <w:rsid w:val="00B41F2F"/>
    <w:rsid w:val="00B424B1"/>
    <w:rsid w:val="00B42919"/>
    <w:rsid w:val="00B42E67"/>
    <w:rsid w:val="00B43684"/>
    <w:rsid w:val="00B439B2"/>
    <w:rsid w:val="00B441CE"/>
    <w:rsid w:val="00B44527"/>
    <w:rsid w:val="00B449B5"/>
    <w:rsid w:val="00B44FF3"/>
    <w:rsid w:val="00B45102"/>
    <w:rsid w:val="00B45FA7"/>
    <w:rsid w:val="00B463EE"/>
    <w:rsid w:val="00B467CE"/>
    <w:rsid w:val="00B46DB2"/>
    <w:rsid w:val="00B47154"/>
    <w:rsid w:val="00B47A72"/>
    <w:rsid w:val="00B50B78"/>
    <w:rsid w:val="00B50E34"/>
    <w:rsid w:val="00B5240C"/>
    <w:rsid w:val="00B52462"/>
    <w:rsid w:val="00B52F6C"/>
    <w:rsid w:val="00B531DF"/>
    <w:rsid w:val="00B53BFA"/>
    <w:rsid w:val="00B53E21"/>
    <w:rsid w:val="00B54180"/>
    <w:rsid w:val="00B54CA8"/>
    <w:rsid w:val="00B55020"/>
    <w:rsid w:val="00B55126"/>
    <w:rsid w:val="00B55B33"/>
    <w:rsid w:val="00B55EE7"/>
    <w:rsid w:val="00B562B0"/>
    <w:rsid w:val="00B566EF"/>
    <w:rsid w:val="00B5697A"/>
    <w:rsid w:val="00B570FE"/>
    <w:rsid w:val="00B5748C"/>
    <w:rsid w:val="00B57BBD"/>
    <w:rsid w:val="00B60274"/>
    <w:rsid w:val="00B60639"/>
    <w:rsid w:val="00B607EE"/>
    <w:rsid w:val="00B60923"/>
    <w:rsid w:val="00B609C3"/>
    <w:rsid w:val="00B60C0D"/>
    <w:rsid w:val="00B61DC1"/>
    <w:rsid w:val="00B61FDB"/>
    <w:rsid w:val="00B6267F"/>
    <w:rsid w:val="00B6354C"/>
    <w:rsid w:val="00B636AD"/>
    <w:rsid w:val="00B63CAB"/>
    <w:rsid w:val="00B63EE3"/>
    <w:rsid w:val="00B64379"/>
    <w:rsid w:val="00B65861"/>
    <w:rsid w:val="00B65CC2"/>
    <w:rsid w:val="00B66183"/>
    <w:rsid w:val="00B6630A"/>
    <w:rsid w:val="00B66351"/>
    <w:rsid w:val="00B6673B"/>
    <w:rsid w:val="00B675E1"/>
    <w:rsid w:val="00B70BC1"/>
    <w:rsid w:val="00B70E7F"/>
    <w:rsid w:val="00B70EA8"/>
    <w:rsid w:val="00B7168D"/>
    <w:rsid w:val="00B7178E"/>
    <w:rsid w:val="00B71A16"/>
    <w:rsid w:val="00B71C1A"/>
    <w:rsid w:val="00B73067"/>
    <w:rsid w:val="00B7416B"/>
    <w:rsid w:val="00B74500"/>
    <w:rsid w:val="00B74912"/>
    <w:rsid w:val="00B75355"/>
    <w:rsid w:val="00B75465"/>
    <w:rsid w:val="00B75BE0"/>
    <w:rsid w:val="00B75DF1"/>
    <w:rsid w:val="00B76A4D"/>
    <w:rsid w:val="00B7700B"/>
    <w:rsid w:val="00B801F5"/>
    <w:rsid w:val="00B810D2"/>
    <w:rsid w:val="00B81479"/>
    <w:rsid w:val="00B81BEC"/>
    <w:rsid w:val="00B81E9D"/>
    <w:rsid w:val="00B823DC"/>
    <w:rsid w:val="00B83868"/>
    <w:rsid w:val="00B8407E"/>
    <w:rsid w:val="00B84097"/>
    <w:rsid w:val="00B84125"/>
    <w:rsid w:val="00B84C96"/>
    <w:rsid w:val="00B84E43"/>
    <w:rsid w:val="00B8500E"/>
    <w:rsid w:val="00B85EEE"/>
    <w:rsid w:val="00B85FC6"/>
    <w:rsid w:val="00B87F6D"/>
    <w:rsid w:val="00B90266"/>
    <w:rsid w:val="00B9099A"/>
    <w:rsid w:val="00B90C6F"/>
    <w:rsid w:val="00B91CC9"/>
    <w:rsid w:val="00B91D25"/>
    <w:rsid w:val="00B91E6D"/>
    <w:rsid w:val="00B92494"/>
    <w:rsid w:val="00B927AA"/>
    <w:rsid w:val="00B92BE5"/>
    <w:rsid w:val="00B92CB5"/>
    <w:rsid w:val="00B92E3C"/>
    <w:rsid w:val="00B938BF"/>
    <w:rsid w:val="00B94231"/>
    <w:rsid w:val="00B94748"/>
    <w:rsid w:val="00B94C8A"/>
    <w:rsid w:val="00B97E6C"/>
    <w:rsid w:val="00BA0136"/>
    <w:rsid w:val="00BA040B"/>
    <w:rsid w:val="00BA0A5B"/>
    <w:rsid w:val="00BA0C0D"/>
    <w:rsid w:val="00BA0D75"/>
    <w:rsid w:val="00BA0ECF"/>
    <w:rsid w:val="00BA13A2"/>
    <w:rsid w:val="00BA14B5"/>
    <w:rsid w:val="00BA243F"/>
    <w:rsid w:val="00BA29BB"/>
    <w:rsid w:val="00BA2DD1"/>
    <w:rsid w:val="00BA314D"/>
    <w:rsid w:val="00BA3AD3"/>
    <w:rsid w:val="00BA5FAB"/>
    <w:rsid w:val="00BA6185"/>
    <w:rsid w:val="00BA69CE"/>
    <w:rsid w:val="00BA7175"/>
    <w:rsid w:val="00BA77FE"/>
    <w:rsid w:val="00BA7ACC"/>
    <w:rsid w:val="00BA7CE8"/>
    <w:rsid w:val="00BB08A9"/>
    <w:rsid w:val="00BB0B17"/>
    <w:rsid w:val="00BB0C7D"/>
    <w:rsid w:val="00BB0F60"/>
    <w:rsid w:val="00BB1E0F"/>
    <w:rsid w:val="00BB21D3"/>
    <w:rsid w:val="00BB22D7"/>
    <w:rsid w:val="00BB2B33"/>
    <w:rsid w:val="00BB2F4C"/>
    <w:rsid w:val="00BB325B"/>
    <w:rsid w:val="00BB3C27"/>
    <w:rsid w:val="00BB3E89"/>
    <w:rsid w:val="00BB3F9E"/>
    <w:rsid w:val="00BB3FB3"/>
    <w:rsid w:val="00BB405B"/>
    <w:rsid w:val="00BB42BE"/>
    <w:rsid w:val="00BB514B"/>
    <w:rsid w:val="00BB5E57"/>
    <w:rsid w:val="00BB7169"/>
    <w:rsid w:val="00BB7198"/>
    <w:rsid w:val="00BC0334"/>
    <w:rsid w:val="00BC0992"/>
    <w:rsid w:val="00BC09D2"/>
    <w:rsid w:val="00BC12EE"/>
    <w:rsid w:val="00BC15BF"/>
    <w:rsid w:val="00BC1AA3"/>
    <w:rsid w:val="00BC1D6B"/>
    <w:rsid w:val="00BC4239"/>
    <w:rsid w:val="00BC495A"/>
    <w:rsid w:val="00BC4996"/>
    <w:rsid w:val="00BD2110"/>
    <w:rsid w:val="00BD3EF3"/>
    <w:rsid w:val="00BD4019"/>
    <w:rsid w:val="00BD40C8"/>
    <w:rsid w:val="00BD42B2"/>
    <w:rsid w:val="00BD50F2"/>
    <w:rsid w:val="00BD52BE"/>
    <w:rsid w:val="00BD54EE"/>
    <w:rsid w:val="00BD55EB"/>
    <w:rsid w:val="00BD62F0"/>
    <w:rsid w:val="00BD669C"/>
    <w:rsid w:val="00BD78F2"/>
    <w:rsid w:val="00BD7DEC"/>
    <w:rsid w:val="00BE0A28"/>
    <w:rsid w:val="00BE0C24"/>
    <w:rsid w:val="00BE0E54"/>
    <w:rsid w:val="00BE0EE6"/>
    <w:rsid w:val="00BE174A"/>
    <w:rsid w:val="00BE24E6"/>
    <w:rsid w:val="00BE2915"/>
    <w:rsid w:val="00BE34E5"/>
    <w:rsid w:val="00BE380C"/>
    <w:rsid w:val="00BE3AA5"/>
    <w:rsid w:val="00BE3FBD"/>
    <w:rsid w:val="00BE4244"/>
    <w:rsid w:val="00BE43BF"/>
    <w:rsid w:val="00BE46D4"/>
    <w:rsid w:val="00BE49E1"/>
    <w:rsid w:val="00BE4BC6"/>
    <w:rsid w:val="00BE4E01"/>
    <w:rsid w:val="00BE5185"/>
    <w:rsid w:val="00BE5793"/>
    <w:rsid w:val="00BE57CB"/>
    <w:rsid w:val="00BE682C"/>
    <w:rsid w:val="00BE6992"/>
    <w:rsid w:val="00BE7C8E"/>
    <w:rsid w:val="00BF05A7"/>
    <w:rsid w:val="00BF0B46"/>
    <w:rsid w:val="00BF0BC2"/>
    <w:rsid w:val="00BF0C43"/>
    <w:rsid w:val="00BF1E13"/>
    <w:rsid w:val="00BF1F90"/>
    <w:rsid w:val="00BF23E3"/>
    <w:rsid w:val="00BF2823"/>
    <w:rsid w:val="00BF39B9"/>
    <w:rsid w:val="00BF4313"/>
    <w:rsid w:val="00BF4CCA"/>
    <w:rsid w:val="00BF4D21"/>
    <w:rsid w:val="00BF5183"/>
    <w:rsid w:val="00BF5EE7"/>
    <w:rsid w:val="00BF6104"/>
    <w:rsid w:val="00BF6339"/>
    <w:rsid w:val="00BF65F5"/>
    <w:rsid w:val="00C00450"/>
    <w:rsid w:val="00C01057"/>
    <w:rsid w:val="00C01743"/>
    <w:rsid w:val="00C028BE"/>
    <w:rsid w:val="00C02CCE"/>
    <w:rsid w:val="00C0328B"/>
    <w:rsid w:val="00C03888"/>
    <w:rsid w:val="00C045E7"/>
    <w:rsid w:val="00C04A99"/>
    <w:rsid w:val="00C05226"/>
    <w:rsid w:val="00C0538B"/>
    <w:rsid w:val="00C057FE"/>
    <w:rsid w:val="00C058B4"/>
    <w:rsid w:val="00C05BAD"/>
    <w:rsid w:val="00C05E04"/>
    <w:rsid w:val="00C0616F"/>
    <w:rsid w:val="00C06844"/>
    <w:rsid w:val="00C06A48"/>
    <w:rsid w:val="00C06B8A"/>
    <w:rsid w:val="00C07EA5"/>
    <w:rsid w:val="00C1074A"/>
    <w:rsid w:val="00C10AD8"/>
    <w:rsid w:val="00C11047"/>
    <w:rsid w:val="00C1162F"/>
    <w:rsid w:val="00C122DD"/>
    <w:rsid w:val="00C13269"/>
    <w:rsid w:val="00C13463"/>
    <w:rsid w:val="00C14373"/>
    <w:rsid w:val="00C148BD"/>
    <w:rsid w:val="00C14BF7"/>
    <w:rsid w:val="00C1542D"/>
    <w:rsid w:val="00C158FB"/>
    <w:rsid w:val="00C160D8"/>
    <w:rsid w:val="00C171F3"/>
    <w:rsid w:val="00C204DB"/>
    <w:rsid w:val="00C205D5"/>
    <w:rsid w:val="00C2070B"/>
    <w:rsid w:val="00C214AC"/>
    <w:rsid w:val="00C21544"/>
    <w:rsid w:val="00C21952"/>
    <w:rsid w:val="00C21C79"/>
    <w:rsid w:val="00C229E3"/>
    <w:rsid w:val="00C22CB0"/>
    <w:rsid w:val="00C237EF"/>
    <w:rsid w:val="00C23980"/>
    <w:rsid w:val="00C24FDE"/>
    <w:rsid w:val="00C25339"/>
    <w:rsid w:val="00C26F1F"/>
    <w:rsid w:val="00C27736"/>
    <w:rsid w:val="00C3037A"/>
    <w:rsid w:val="00C304DA"/>
    <w:rsid w:val="00C311D9"/>
    <w:rsid w:val="00C31D8E"/>
    <w:rsid w:val="00C329EC"/>
    <w:rsid w:val="00C32D78"/>
    <w:rsid w:val="00C332B8"/>
    <w:rsid w:val="00C334EE"/>
    <w:rsid w:val="00C336FD"/>
    <w:rsid w:val="00C33B0D"/>
    <w:rsid w:val="00C33C87"/>
    <w:rsid w:val="00C34576"/>
    <w:rsid w:val="00C35FFB"/>
    <w:rsid w:val="00C36066"/>
    <w:rsid w:val="00C3643B"/>
    <w:rsid w:val="00C365F5"/>
    <w:rsid w:val="00C3708B"/>
    <w:rsid w:val="00C37CA4"/>
    <w:rsid w:val="00C40441"/>
    <w:rsid w:val="00C417D5"/>
    <w:rsid w:val="00C4258B"/>
    <w:rsid w:val="00C426F6"/>
    <w:rsid w:val="00C4280B"/>
    <w:rsid w:val="00C42D4C"/>
    <w:rsid w:val="00C43401"/>
    <w:rsid w:val="00C43E07"/>
    <w:rsid w:val="00C43FB8"/>
    <w:rsid w:val="00C4427A"/>
    <w:rsid w:val="00C45411"/>
    <w:rsid w:val="00C45EA3"/>
    <w:rsid w:val="00C4622C"/>
    <w:rsid w:val="00C4744F"/>
    <w:rsid w:val="00C4786C"/>
    <w:rsid w:val="00C47D2D"/>
    <w:rsid w:val="00C51C2D"/>
    <w:rsid w:val="00C51E18"/>
    <w:rsid w:val="00C52216"/>
    <w:rsid w:val="00C5233D"/>
    <w:rsid w:val="00C52931"/>
    <w:rsid w:val="00C534E4"/>
    <w:rsid w:val="00C5374E"/>
    <w:rsid w:val="00C53B25"/>
    <w:rsid w:val="00C53D44"/>
    <w:rsid w:val="00C53DD0"/>
    <w:rsid w:val="00C54084"/>
    <w:rsid w:val="00C5414A"/>
    <w:rsid w:val="00C54896"/>
    <w:rsid w:val="00C54F6B"/>
    <w:rsid w:val="00C563A7"/>
    <w:rsid w:val="00C56A77"/>
    <w:rsid w:val="00C56A98"/>
    <w:rsid w:val="00C57195"/>
    <w:rsid w:val="00C576E6"/>
    <w:rsid w:val="00C60553"/>
    <w:rsid w:val="00C60B4F"/>
    <w:rsid w:val="00C6191B"/>
    <w:rsid w:val="00C6210C"/>
    <w:rsid w:val="00C62EF1"/>
    <w:rsid w:val="00C64FBE"/>
    <w:rsid w:val="00C65D2D"/>
    <w:rsid w:val="00C664DB"/>
    <w:rsid w:val="00C66B61"/>
    <w:rsid w:val="00C67335"/>
    <w:rsid w:val="00C6740E"/>
    <w:rsid w:val="00C675AB"/>
    <w:rsid w:val="00C678B9"/>
    <w:rsid w:val="00C7065A"/>
    <w:rsid w:val="00C707E7"/>
    <w:rsid w:val="00C70805"/>
    <w:rsid w:val="00C710D6"/>
    <w:rsid w:val="00C7183B"/>
    <w:rsid w:val="00C72812"/>
    <w:rsid w:val="00C72A6F"/>
    <w:rsid w:val="00C72DBA"/>
    <w:rsid w:val="00C734BB"/>
    <w:rsid w:val="00C75CD0"/>
    <w:rsid w:val="00C762B9"/>
    <w:rsid w:val="00C765CF"/>
    <w:rsid w:val="00C76BAA"/>
    <w:rsid w:val="00C779BB"/>
    <w:rsid w:val="00C779BF"/>
    <w:rsid w:val="00C77DE3"/>
    <w:rsid w:val="00C809A9"/>
    <w:rsid w:val="00C80C30"/>
    <w:rsid w:val="00C81524"/>
    <w:rsid w:val="00C81F2F"/>
    <w:rsid w:val="00C822AC"/>
    <w:rsid w:val="00C8256B"/>
    <w:rsid w:val="00C83077"/>
    <w:rsid w:val="00C83116"/>
    <w:rsid w:val="00C83318"/>
    <w:rsid w:val="00C83CDC"/>
    <w:rsid w:val="00C848B4"/>
    <w:rsid w:val="00C855B3"/>
    <w:rsid w:val="00C85F36"/>
    <w:rsid w:val="00C877B0"/>
    <w:rsid w:val="00C87E9B"/>
    <w:rsid w:val="00C90BA7"/>
    <w:rsid w:val="00C90FF5"/>
    <w:rsid w:val="00C91B84"/>
    <w:rsid w:val="00C91F0F"/>
    <w:rsid w:val="00C9272B"/>
    <w:rsid w:val="00C92A95"/>
    <w:rsid w:val="00C9311D"/>
    <w:rsid w:val="00C9391B"/>
    <w:rsid w:val="00C93BAB"/>
    <w:rsid w:val="00C93F43"/>
    <w:rsid w:val="00C94065"/>
    <w:rsid w:val="00C95123"/>
    <w:rsid w:val="00C9571C"/>
    <w:rsid w:val="00C96971"/>
    <w:rsid w:val="00C97598"/>
    <w:rsid w:val="00C97A97"/>
    <w:rsid w:val="00C97C4C"/>
    <w:rsid w:val="00C97FC5"/>
    <w:rsid w:val="00CA0710"/>
    <w:rsid w:val="00CA084E"/>
    <w:rsid w:val="00CA09E5"/>
    <w:rsid w:val="00CA0BA8"/>
    <w:rsid w:val="00CA1D50"/>
    <w:rsid w:val="00CA2C07"/>
    <w:rsid w:val="00CA3D44"/>
    <w:rsid w:val="00CA474A"/>
    <w:rsid w:val="00CA4DC4"/>
    <w:rsid w:val="00CA5219"/>
    <w:rsid w:val="00CA54DE"/>
    <w:rsid w:val="00CA5933"/>
    <w:rsid w:val="00CA6610"/>
    <w:rsid w:val="00CA694C"/>
    <w:rsid w:val="00CA69D5"/>
    <w:rsid w:val="00CA6D1C"/>
    <w:rsid w:val="00CA7105"/>
    <w:rsid w:val="00CA7166"/>
    <w:rsid w:val="00CA74E1"/>
    <w:rsid w:val="00CA7B47"/>
    <w:rsid w:val="00CB0512"/>
    <w:rsid w:val="00CB2428"/>
    <w:rsid w:val="00CB254A"/>
    <w:rsid w:val="00CB275C"/>
    <w:rsid w:val="00CB28C5"/>
    <w:rsid w:val="00CB2B41"/>
    <w:rsid w:val="00CB2ECE"/>
    <w:rsid w:val="00CB3F3C"/>
    <w:rsid w:val="00CB485A"/>
    <w:rsid w:val="00CB518B"/>
    <w:rsid w:val="00CB57CD"/>
    <w:rsid w:val="00CB5C27"/>
    <w:rsid w:val="00CB6370"/>
    <w:rsid w:val="00CB6ED5"/>
    <w:rsid w:val="00CB6F86"/>
    <w:rsid w:val="00CB71C4"/>
    <w:rsid w:val="00CB7E8B"/>
    <w:rsid w:val="00CC00B3"/>
    <w:rsid w:val="00CC062F"/>
    <w:rsid w:val="00CC0C1E"/>
    <w:rsid w:val="00CC1146"/>
    <w:rsid w:val="00CC195B"/>
    <w:rsid w:val="00CC2272"/>
    <w:rsid w:val="00CC2626"/>
    <w:rsid w:val="00CC2A18"/>
    <w:rsid w:val="00CC3432"/>
    <w:rsid w:val="00CC35F4"/>
    <w:rsid w:val="00CC470A"/>
    <w:rsid w:val="00CC4767"/>
    <w:rsid w:val="00CC5627"/>
    <w:rsid w:val="00CC78F0"/>
    <w:rsid w:val="00CD065B"/>
    <w:rsid w:val="00CD121F"/>
    <w:rsid w:val="00CD16DD"/>
    <w:rsid w:val="00CD20C0"/>
    <w:rsid w:val="00CD3649"/>
    <w:rsid w:val="00CD3A28"/>
    <w:rsid w:val="00CD3ACC"/>
    <w:rsid w:val="00CD44E8"/>
    <w:rsid w:val="00CD4B5D"/>
    <w:rsid w:val="00CD4E35"/>
    <w:rsid w:val="00CD51DA"/>
    <w:rsid w:val="00CD60E3"/>
    <w:rsid w:val="00CD791E"/>
    <w:rsid w:val="00CD7BFB"/>
    <w:rsid w:val="00CE099A"/>
    <w:rsid w:val="00CE09D1"/>
    <w:rsid w:val="00CE0C7B"/>
    <w:rsid w:val="00CE11F6"/>
    <w:rsid w:val="00CE183E"/>
    <w:rsid w:val="00CE1F5B"/>
    <w:rsid w:val="00CE2440"/>
    <w:rsid w:val="00CE2B0C"/>
    <w:rsid w:val="00CE2B7C"/>
    <w:rsid w:val="00CE3096"/>
    <w:rsid w:val="00CE31DC"/>
    <w:rsid w:val="00CE324B"/>
    <w:rsid w:val="00CE326A"/>
    <w:rsid w:val="00CE50D8"/>
    <w:rsid w:val="00CE50DE"/>
    <w:rsid w:val="00CE514A"/>
    <w:rsid w:val="00CE5968"/>
    <w:rsid w:val="00CE6179"/>
    <w:rsid w:val="00CE697C"/>
    <w:rsid w:val="00CE7215"/>
    <w:rsid w:val="00CE74B7"/>
    <w:rsid w:val="00CE78B3"/>
    <w:rsid w:val="00CE7B44"/>
    <w:rsid w:val="00CF025C"/>
    <w:rsid w:val="00CF1168"/>
    <w:rsid w:val="00CF12F1"/>
    <w:rsid w:val="00CF17D1"/>
    <w:rsid w:val="00CF203A"/>
    <w:rsid w:val="00CF34AC"/>
    <w:rsid w:val="00CF3B2C"/>
    <w:rsid w:val="00CF40EA"/>
    <w:rsid w:val="00CF4280"/>
    <w:rsid w:val="00CF4D76"/>
    <w:rsid w:val="00CF5318"/>
    <w:rsid w:val="00CF53FE"/>
    <w:rsid w:val="00CF674E"/>
    <w:rsid w:val="00CF6AFF"/>
    <w:rsid w:val="00CF6DC8"/>
    <w:rsid w:val="00CF742E"/>
    <w:rsid w:val="00D014D1"/>
    <w:rsid w:val="00D02573"/>
    <w:rsid w:val="00D02628"/>
    <w:rsid w:val="00D02813"/>
    <w:rsid w:val="00D02E7E"/>
    <w:rsid w:val="00D0362B"/>
    <w:rsid w:val="00D0363B"/>
    <w:rsid w:val="00D05320"/>
    <w:rsid w:val="00D054F6"/>
    <w:rsid w:val="00D076EB"/>
    <w:rsid w:val="00D101D5"/>
    <w:rsid w:val="00D102F0"/>
    <w:rsid w:val="00D10C16"/>
    <w:rsid w:val="00D10C5E"/>
    <w:rsid w:val="00D10D1A"/>
    <w:rsid w:val="00D10D4D"/>
    <w:rsid w:val="00D115A6"/>
    <w:rsid w:val="00D119A1"/>
    <w:rsid w:val="00D11DD4"/>
    <w:rsid w:val="00D12802"/>
    <w:rsid w:val="00D14266"/>
    <w:rsid w:val="00D1428D"/>
    <w:rsid w:val="00D14A77"/>
    <w:rsid w:val="00D150EA"/>
    <w:rsid w:val="00D154DB"/>
    <w:rsid w:val="00D15680"/>
    <w:rsid w:val="00D15A0A"/>
    <w:rsid w:val="00D1671C"/>
    <w:rsid w:val="00D16C89"/>
    <w:rsid w:val="00D16DB6"/>
    <w:rsid w:val="00D17076"/>
    <w:rsid w:val="00D20611"/>
    <w:rsid w:val="00D20C2B"/>
    <w:rsid w:val="00D20E85"/>
    <w:rsid w:val="00D218A0"/>
    <w:rsid w:val="00D21AF1"/>
    <w:rsid w:val="00D22498"/>
    <w:rsid w:val="00D22B0E"/>
    <w:rsid w:val="00D22ECC"/>
    <w:rsid w:val="00D2391D"/>
    <w:rsid w:val="00D24D9A"/>
    <w:rsid w:val="00D251C7"/>
    <w:rsid w:val="00D25F1C"/>
    <w:rsid w:val="00D264A1"/>
    <w:rsid w:val="00D27371"/>
    <w:rsid w:val="00D2760F"/>
    <w:rsid w:val="00D31CC2"/>
    <w:rsid w:val="00D31E2E"/>
    <w:rsid w:val="00D32032"/>
    <w:rsid w:val="00D32FA8"/>
    <w:rsid w:val="00D33F4E"/>
    <w:rsid w:val="00D34A5B"/>
    <w:rsid w:val="00D354FB"/>
    <w:rsid w:val="00D35875"/>
    <w:rsid w:val="00D35F37"/>
    <w:rsid w:val="00D36017"/>
    <w:rsid w:val="00D362CE"/>
    <w:rsid w:val="00D36558"/>
    <w:rsid w:val="00D3658A"/>
    <w:rsid w:val="00D3683A"/>
    <w:rsid w:val="00D372CF"/>
    <w:rsid w:val="00D37917"/>
    <w:rsid w:val="00D403CD"/>
    <w:rsid w:val="00D4072E"/>
    <w:rsid w:val="00D40790"/>
    <w:rsid w:val="00D408A1"/>
    <w:rsid w:val="00D40BE5"/>
    <w:rsid w:val="00D41E6A"/>
    <w:rsid w:val="00D4239C"/>
    <w:rsid w:val="00D42918"/>
    <w:rsid w:val="00D42B67"/>
    <w:rsid w:val="00D450DA"/>
    <w:rsid w:val="00D46359"/>
    <w:rsid w:val="00D46A4B"/>
    <w:rsid w:val="00D46AA2"/>
    <w:rsid w:val="00D46E9F"/>
    <w:rsid w:val="00D50D15"/>
    <w:rsid w:val="00D51B4B"/>
    <w:rsid w:val="00D52193"/>
    <w:rsid w:val="00D528EE"/>
    <w:rsid w:val="00D52B29"/>
    <w:rsid w:val="00D52F62"/>
    <w:rsid w:val="00D534B0"/>
    <w:rsid w:val="00D536E2"/>
    <w:rsid w:val="00D5372E"/>
    <w:rsid w:val="00D53766"/>
    <w:rsid w:val="00D53835"/>
    <w:rsid w:val="00D53ED7"/>
    <w:rsid w:val="00D55B51"/>
    <w:rsid w:val="00D561CE"/>
    <w:rsid w:val="00D568B9"/>
    <w:rsid w:val="00D57145"/>
    <w:rsid w:val="00D600E6"/>
    <w:rsid w:val="00D6052B"/>
    <w:rsid w:val="00D6127D"/>
    <w:rsid w:val="00D62132"/>
    <w:rsid w:val="00D627CC"/>
    <w:rsid w:val="00D64154"/>
    <w:rsid w:val="00D642F0"/>
    <w:rsid w:val="00D66054"/>
    <w:rsid w:val="00D669BD"/>
    <w:rsid w:val="00D66B8B"/>
    <w:rsid w:val="00D66C77"/>
    <w:rsid w:val="00D66E55"/>
    <w:rsid w:val="00D67053"/>
    <w:rsid w:val="00D7089D"/>
    <w:rsid w:val="00D70A99"/>
    <w:rsid w:val="00D70D36"/>
    <w:rsid w:val="00D70D4A"/>
    <w:rsid w:val="00D70FE1"/>
    <w:rsid w:val="00D72699"/>
    <w:rsid w:val="00D72D9B"/>
    <w:rsid w:val="00D7333F"/>
    <w:rsid w:val="00D7334F"/>
    <w:rsid w:val="00D745E6"/>
    <w:rsid w:val="00D74A98"/>
    <w:rsid w:val="00D74C58"/>
    <w:rsid w:val="00D75007"/>
    <w:rsid w:val="00D76081"/>
    <w:rsid w:val="00D76993"/>
    <w:rsid w:val="00D7741C"/>
    <w:rsid w:val="00D775E7"/>
    <w:rsid w:val="00D77B20"/>
    <w:rsid w:val="00D77E81"/>
    <w:rsid w:val="00D806F0"/>
    <w:rsid w:val="00D81D23"/>
    <w:rsid w:val="00D82ABE"/>
    <w:rsid w:val="00D841E2"/>
    <w:rsid w:val="00D84F34"/>
    <w:rsid w:val="00D856D0"/>
    <w:rsid w:val="00D865D3"/>
    <w:rsid w:val="00D8682C"/>
    <w:rsid w:val="00D872AC"/>
    <w:rsid w:val="00D879BB"/>
    <w:rsid w:val="00D90DFA"/>
    <w:rsid w:val="00D91189"/>
    <w:rsid w:val="00D9142E"/>
    <w:rsid w:val="00D914B2"/>
    <w:rsid w:val="00D91C2D"/>
    <w:rsid w:val="00D92355"/>
    <w:rsid w:val="00D92491"/>
    <w:rsid w:val="00D939D5"/>
    <w:rsid w:val="00D93A11"/>
    <w:rsid w:val="00D93BC4"/>
    <w:rsid w:val="00D961E6"/>
    <w:rsid w:val="00D96306"/>
    <w:rsid w:val="00D97EB8"/>
    <w:rsid w:val="00D97F44"/>
    <w:rsid w:val="00DA240F"/>
    <w:rsid w:val="00DA2BCA"/>
    <w:rsid w:val="00DA36D2"/>
    <w:rsid w:val="00DA57D3"/>
    <w:rsid w:val="00DA67D1"/>
    <w:rsid w:val="00DA6DF4"/>
    <w:rsid w:val="00DA799F"/>
    <w:rsid w:val="00DA7FA8"/>
    <w:rsid w:val="00DB03D0"/>
    <w:rsid w:val="00DB1226"/>
    <w:rsid w:val="00DB1B4E"/>
    <w:rsid w:val="00DB2993"/>
    <w:rsid w:val="00DB2BAE"/>
    <w:rsid w:val="00DB2E50"/>
    <w:rsid w:val="00DB3631"/>
    <w:rsid w:val="00DB3F45"/>
    <w:rsid w:val="00DB479F"/>
    <w:rsid w:val="00DB4E28"/>
    <w:rsid w:val="00DB4F05"/>
    <w:rsid w:val="00DB52C8"/>
    <w:rsid w:val="00DB5779"/>
    <w:rsid w:val="00DB60D6"/>
    <w:rsid w:val="00DB6359"/>
    <w:rsid w:val="00DB63FB"/>
    <w:rsid w:val="00DB7728"/>
    <w:rsid w:val="00DC1A85"/>
    <w:rsid w:val="00DC1BF9"/>
    <w:rsid w:val="00DC1D8E"/>
    <w:rsid w:val="00DC1E83"/>
    <w:rsid w:val="00DC33D8"/>
    <w:rsid w:val="00DC3CBE"/>
    <w:rsid w:val="00DC4D61"/>
    <w:rsid w:val="00DC52F0"/>
    <w:rsid w:val="00DC5CC2"/>
    <w:rsid w:val="00DC72B9"/>
    <w:rsid w:val="00DD00A6"/>
    <w:rsid w:val="00DD018F"/>
    <w:rsid w:val="00DD034C"/>
    <w:rsid w:val="00DD0EC5"/>
    <w:rsid w:val="00DD1D2C"/>
    <w:rsid w:val="00DD1E31"/>
    <w:rsid w:val="00DD2349"/>
    <w:rsid w:val="00DD33C3"/>
    <w:rsid w:val="00DD3677"/>
    <w:rsid w:val="00DD3EF8"/>
    <w:rsid w:val="00DD461F"/>
    <w:rsid w:val="00DD4D67"/>
    <w:rsid w:val="00DD4E87"/>
    <w:rsid w:val="00DD503E"/>
    <w:rsid w:val="00DD5179"/>
    <w:rsid w:val="00DD5345"/>
    <w:rsid w:val="00DD581C"/>
    <w:rsid w:val="00DD6D34"/>
    <w:rsid w:val="00DD7607"/>
    <w:rsid w:val="00DD7846"/>
    <w:rsid w:val="00DD7AE5"/>
    <w:rsid w:val="00DE0153"/>
    <w:rsid w:val="00DE0600"/>
    <w:rsid w:val="00DE06E5"/>
    <w:rsid w:val="00DE0C8D"/>
    <w:rsid w:val="00DE0E85"/>
    <w:rsid w:val="00DE10AB"/>
    <w:rsid w:val="00DE1C37"/>
    <w:rsid w:val="00DE279E"/>
    <w:rsid w:val="00DE2CDC"/>
    <w:rsid w:val="00DE365A"/>
    <w:rsid w:val="00DE435D"/>
    <w:rsid w:val="00DE43B1"/>
    <w:rsid w:val="00DE452C"/>
    <w:rsid w:val="00DE57A8"/>
    <w:rsid w:val="00DE5920"/>
    <w:rsid w:val="00DE5BFD"/>
    <w:rsid w:val="00DE5D16"/>
    <w:rsid w:val="00DE676A"/>
    <w:rsid w:val="00DE681C"/>
    <w:rsid w:val="00DE708D"/>
    <w:rsid w:val="00DF0727"/>
    <w:rsid w:val="00DF0B2C"/>
    <w:rsid w:val="00DF0BB6"/>
    <w:rsid w:val="00DF1E71"/>
    <w:rsid w:val="00DF4B7E"/>
    <w:rsid w:val="00DF5634"/>
    <w:rsid w:val="00DF5944"/>
    <w:rsid w:val="00DF6091"/>
    <w:rsid w:val="00DF68B7"/>
    <w:rsid w:val="00DF7FBC"/>
    <w:rsid w:val="00E00B95"/>
    <w:rsid w:val="00E00C4F"/>
    <w:rsid w:val="00E01572"/>
    <w:rsid w:val="00E01859"/>
    <w:rsid w:val="00E01CB9"/>
    <w:rsid w:val="00E02143"/>
    <w:rsid w:val="00E02682"/>
    <w:rsid w:val="00E02966"/>
    <w:rsid w:val="00E029B0"/>
    <w:rsid w:val="00E03F32"/>
    <w:rsid w:val="00E04C81"/>
    <w:rsid w:val="00E068BA"/>
    <w:rsid w:val="00E07117"/>
    <w:rsid w:val="00E07965"/>
    <w:rsid w:val="00E07B96"/>
    <w:rsid w:val="00E1046A"/>
    <w:rsid w:val="00E104CD"/>
    <w:rsid w:val="00E109DD"/>
    <w:rsid w:val="00E10C51"/>
    <w:rsid w:val="00E10DA7"/>
    <w:rsid w:val="00E1202F"/>
    <w:rsid w:val="00E12975"/>
    <w:rsid w:val="00E136E3"/>
    <w:rsid w:val="00E14780"/>
    <w:rsid w:val="00E1499E"/>
    <w:rsid w:val="00E14AB2"/>
    <w:rsid w:val="00E14FAC"/>
    <w:rsid w:val="00E161C1"/>
    <w:rsid w:val="00E16258"/>
    <w:rsid w:val="00E16BD7"/>
    <w:rsid w:val="00E16D47"/>
    <w:rsid w:val="00E17AD1"/>
    <w:rsid w:val="00E20002"/>
    <w:rsid w:val="00E20171"/>
    <w:rsid w:val="00E211F4"/>
    <w:rsid w:val="00E21C1A"/>
    <w:rsid w:val="00E21D71"/>
    <w:rsid w:val="00E22391"/>
    <w:rsid w:val="00E2289F"/>
    <w:rsid w:val="00E22C46"/>
    <w:rsid w:val="00E236CC"/>
    <w:rsid w:val="00E244A4"/>
    <w:rsid w:val="00E24E81"/>
    <w:rsid w:val="00E250DD"/>
    <w:rsid w:val="00E25A8D"/>
    <w:rsid w:val="00E2686A"/>
    <w:rsid w:val="00E269C7"/>
    <w:rsid w:val="00E26D9E"/>
    <w:rsid w:val="00E27DB0"/>
    <w:rsid w:val="00E3082B"/>
    <w:rsid w:val="00E3083F"/>
    <w:rsid w:val="00E3092C"/>
    <w:rsid w:val="00E30DBB"/>
    <w:rsid w:val="00E31C07"/>
    <w:rsid w:val="00E332BD"/>
    <w:rsid w:val="00E338B2"/>
    <w:rsid w:val="00E35FA2"/>
    <w:rsid w:val="00E36094"/>
    <w:rsid w:val="00E3618A"/>
    <w:rsid w:val="00E3718E"/>
    <w:rsid w:val="00E3734B"/>
    <w:rsid w:val="00E400B7"/>
    <w:rsid w:val="00E4040C"/>
    <w:rsid w:val="00E40759"/>
    <w:rsid w:val="00E40BA8"/>
    <w:rsid w:val="00E40C98"/>
    <w:rsid w:val="00E41A43"/>
    <w:rsid w:val="00E42455"/>
    <w:rsid w:val="00E43537"/>
    <w:rsid w:val="00E43ABF"/>
    <w:rsid w:val="00E43C32"/>
    <w:rsid w:val="00E44286"/>
    <w:rsid w:val="00E44428"/>
    <w:rsid w:val="00E45208"/>
    <w:rsid w:val="00E460FA"/>
    <w:rsid w:val="00E4632F"/>
    <w:rsid w:val="00E46397"/>
    <w:rsid w:val="00E465F3"/>
    <w:rsid w:val="00E4781A"/>
    <w:rsid w:val="00E47BAE"/>
    <w:rsid w:val="00E50F2B"/>
    <w:rsid w:val="00E515E0"/>
    <w:rsid w:val="00E520E9"/>
    <w:rsid w:val="00E52277"/>
    <w:rsid w:val="00E5399B"/>
    <w:rsid w:val="00E53A56"/>
    <w:rsid w:val="00E53B00"/>
    <w:rsid w:val="00E5414D"/>
    <w:rsid w:val="00E54A8A"/>
    <w:rsid w:val="00E55977"/>
    <w:rsid w:val="00E55D94"/>
    <w:rsid w:val="00E56310"/>
    <w:rsid w:val="00E567D0"/>
    <w:rsid w:val="00E56D68"/>
    <w:rsid w:val="00E5713A"/>
    <w:rsid w:val="00E57543"/>
    <w:rsid w:val="00E57735"/>
    <w:rsid w:val="00E57F8B"/>
    <w:rsid w:val="00E605BE"/>
    <w:rsid w:val="00E60656"/>
    <w:rsid w:val="00E62148"/>
    <w:rsid w:val="00E628A5"/>
    <w:rsid w:val="00E62AEF"/>
    <w:rsid w:val="00E63F5E"/>
    <w:rsid w:val="00E64B2B"/>
    <w:rsid w:val="00E6526A"/>
    <w:rsid w:val="00E652EF"/>
    <w:rsid w:val="00E653A6"/>
    <w:rsid w:val="00E6568E"/>
    <w:rsid w:val="00E658B7"/>
    <w:rsid w:val="00E65D18"/>
    <w:rsid w:val="00E66345"/>
    <w:rsid w:val="00E66453"/>
    <w:rsid w:val="00E6668D"/>
    <w:rsid w:val="00E66FB8"/>
    <w:rsid w:val="00E7089F"/>
    <w:rsid w:val="00E70D42"/>
    <w:rsid w:val="00E710B1"/>
    <w:rsid w:val="00E712C8"/>
    <w:rsid w:val="00E733B8"/>
    <w:rsid w:val="00E73DA6"/>
    <w:rsid w:val="00E7757B"/>
    <w:rsid w:val="00E7770A"/>
    <w:rsid w:val="00E77E25"/>
    <w:rsid w:val="00E77E9A"/>
    <w:rsid w:val="00E81EEA"/>
    <w:rsid w:val="00E82045"/>
    <w:rsid w:val="00E820B9"/>
    <w:rsid w:val="00E82249"/>
    <w:rsid w:val="00E82FA0"/>
    <w:rsid w:val="00E8307D"/>
    <w:rsid w:val="00E8313D"/>
    <w:rsid w:val="00E8334A"/>
    <w:rsid w:val="00E83893"/>
    <w:rsid w:val="00E84864"/>
    <w:rsid w:val="00E84BA7"/>
    <w:rsid w:val="00E8529F"/>
    <w:rsid w:val="00E85B3D"/>
    <w:rsid w:val="00E85E64"/>
    <w:rsid w:val="00E86E0B"/>
    <w:rsid w:val="00E86E1B"/>
    <w:rsid w:val="00E86F30"/>
    <w:rsid w:val="00E877CE"/>
    <w:rsid w:val="00E87A1E"/>
    <w:rsid w:val="00E87A87"/>
    <w:rsid w:val="00E87EDC"/>
    <w:rsid w:val="00E90C13"/>
    <w:rsid w:val="00E90D54"/>
    <w:rsid w:val="00E9152C"/>
    <w:rsid w:val="00E91ACF"/>
    <w:rsid w:val="00E93117"/>
    <w:rsid w:val="00E9354F"/>
    <w:rsid w:val="00E93BAB"/>
    <w:rsid w:val="00E93CE1"/>
    <w:rsid w:val="00E9448F"/>
    <w:rsid w:val="00E949EC"/>
    <w:rsid w:val="00E94A74"/>
    <w:rsid w:val="00E94D8A"/>
    <w:rsid w:val="00E95027"/>
    <w:rsid w:val="00E95EE8"/>
    <w:rsid w:val="00E96209"/>
    <w:rsid w:val="00E9731B"/>
    <w:rsid w:val="00E97E3B"/>
    <w:rsid w:val="00EA124E"/>
    <w:rsid w:val="00EA18D4"/>
    <w:rsid w:val="00EA1B42"/>
    <w:rsid w:val="00EA252D"/>
    <w:rsid w:val="00EA2849"/>
    <w:rsid w:val="00EA3201"/>
    <w:rsid w:val="00EA34D5"/>
    <w:rsid w:val="00EA3884"/>
    <w:rsid w:val="00EA3BB3"/>
    <w:rsid w:val="00EA446F"/>
    <w:rsid w:val="00EA4790"/>
    <w:rsid w:val="00EA4DF8"/>
    <w:rsid w:val="00EA59AA"/>
    <w:rsid w:val="00EA5C1B"/>
    <w:rsid w:val="00EA64A7"/>
    <w:rsid w:val="00EA6726"/>
    <w:rsid w:val="00EA6F67"/>
    <w:rsid w:val="00EA6FA3"/>
    <w:rsid w:val="00EB0A59"/>
    <w:rsid w:val="00EB116D"/>
    <w:rsid w:val="00EB1390"/>
    <w:rsid w:val="00EB14C0"/>
    <w:rsid w:val="00EB1C65"/>
    <w:rsid w:val="00EB1F50"/>
    <w:rsid w:val="00EB1F5E"/>
    <w:rsid w:val="00EB2202"/>
    <w:rsid w:val="00EB2FBE"/>
    <w:rsid w:val="00EB3232"/>
    <w:rsid w:val="00EB3255"/>
    <w:rsid w:val="00EB36B4"/>
    <w:rsid w:val="00EB3A8F"/>
    <w:rsid w:val="00EB48F6"/>
    <w:rsid w:val="00EB494A"/>
    <w:rsid w:val="00EB4C06"/>
    <w:rsid w:val="00EB4EA8"/>
    <w:rsid w:val="00EB5F8E"/>
    <w:rsid w:val="00EB748C"/>
    <w:rsid w:val="00EB7C37"/>
    <w:rsid w:val="00EC0357"/>
    <w:rsid w:val="00EC03A8"/>
    <w:rsid w:val="00EC0C21"/>
    <w:rsid w:val="00EC1462"/>
    <w:rsid w:val="00EC1777"/>
    <w:rsid w:val="00EC1A34"/>
    <w:rsid w:val="00EC26BE"/>
    <w:rsid w:val="00EC2E62"/>
    <w:rsid w:val="00EC3371"/>
    <w:rsid w:val="00EC3AF1"/>
    <w:rsid w:val="00EC3F72"/>
    <w:rsid w:val="00EC4118"/>
    <w:rsid w:val="00EC46FF"/>
    <w:rsid w:val="00EC652B"/>
    <w:rsid w:val="00EC6790"/>
    <w:rsid w:val="00EC6909"/>
    <w:rsid w:val="00EC6F81"/>
    <w:rsid w:val="00EC7379"/>
    <w:rsid w:val="00ED12E8"/>
    <w:rsid w:val="00ED1840"/>
    <w:rsid w:val="00ED2CD1"/>
    <w:rsid w:val="00ED3342"/>
    <w:rsid w:val="00ED3CCA"/>
    <w:rsid w:val="00ED3D3C"/>
    <w:rsid w:val="00ED3F13"/>
    <w:rsid w:val="00ED5228"/>
    <w:rsid w:val="00ED66BA"/>
    <w:rsid w:val="00ED6726"/>
    <w:rsid w:val="00ED6A79"/>
    <w:rsid w:val="00ED6C1A"/>
    <w:rsid w:val="00ED767E"/>
    <w:rsid w:val="00EE0533"/>
    <w:rsid w:val="00EE177F"/>
    <w:rsid w:val="00EE1B89"/>
    <w:rsid w:val="00EE1C14"/>
    <w:rsid w:val="00EE302B"/>
    <w:rsid w:val="00EE31CD"/>
    <w:rsid w:val="00EE385C"/>
    <w:rsid w:val="00EE52FC"/>
    <w:rsid w:val="00EE5C22"/>
    <w:rsid w:val="00EE5E7F"/>
    <w:rsid w:val="00EE6130"/>
    <w:rsid w:val="00EE6C6E"/>
    <w:rsid w:val="00EF0B5D"/>
    <w:rsid w:val="00EF0C65"/>
    <w:rsid w:val="00EF18FC"/>
    <w:rsid w:val="00EF1C08"/>
    <w:rsid w:val="00EF21C1"/>
    <w:rsid w:val="00EF2766"/>
    <w:rsid w:val="00EF3A8B"/>
    <w:rsid w:val="00EF3EA6"/>
    <w:rsid w:val="00EF40A3"/>
    <w:rsid w:val="00EF4BC4"/>
    <w:rsid w:val="00EF50FB"/>
    <w:rsid w:val="00EF58D4"/>
    <w:rsid w:val="00EF682D"/>
    <w:rsid w:val="00EF6DC8"/>
    <w:rsid w:val="00F005B7"/>
    <w:rsid w:val="00F00832"/>
    <w:rsid w:val="00F00A52"/>
    <w:rsid w:val="00F01FB1"/>
    <w:rsid w:val="00F024FA"/>
    <w:rsid w:val="00F02DAB"/>
    <w:rsid w:val="00F0342E"/>
    <w:rsid w:val="00F03CE0"/>
    <w:rsid w:val="00F041E6"/>
    <w:rsid w:val="00F04601"/>
    <w:rsid w:val="00F0503E"/>
    <w:rsid w:val="00F05DFF"/>
    <w:rsid w:val="00F061FB"/>
    <w:rsid w:val="00F068F3"/>
    <w:rsid w:val="00F07C07"/>
    <w:rsid w:val="00F07CC7"/>
    <w:rsid w:val="00F07D48"/>
    <w:rsid w:val="00F10CCC"/>
    <w:rsid w:val="00F11728"/>
    <w:rsid w:val="00F11780"/>
    <w:rsid w:val="00F1383B"/>
    <w:rsid w:val="00F13FC5"/>
    <w:rsid w:val="00F141E1"/>
    <w:rsid w:val="00F149DB"/>
    <w:rsid w:val="00F1561E"/>
    <w:rsid w:val="00F1570F"/>
    <w:rsid w:val="00F16F11"/>
    <w:rsid w:val="00F17F2C"/>
    <w:rsid w:val="00F20026"/>
    <w:rsid w:val="00F207FB"/>
    <w:rsid w:val="00F229FB"/>
    <w:rsid w:val="00F22B17"/>
    <w:rsid w:val="00F22CB4"/>
    <w:rsid w:val="00F22CFF"/>
    <w:rsid w:val="00F2326C"/>
    <w:rsid w:val="00F24754"/>
    <w:rsid w:val="00F24DB1"/>
    <w:rsid w:val="00F24EFD"/>
    <w:rsid w:val="00F25048"/>
    <w:rsid w:val="00F25324"/>
    <w:rsid w:val="00F25DF3"/>
    <w:rsid w:val="00F261D0"/>
    <w:rsid w:val="00F26EAB"/>
    <w:rsid w:val="00F27770"/>
    <w:rsid w:val="00F301C8"/>
    <w:rsid w:val="00F302D5"/>
    <w:rsid w:val="00F30553"/>
    <w:rsid w:val="00F30914"/>
    <w:rsid w:val="00F30B8D"/>
    <w:rsid w:val="00F30C6F"/>
    <w:rsid w:val="00F30E30"/>
    <w:rsid w:val="00F321B2"/>
    <w:rsid w:val="00F3453A"/>
    <w:rsid w:val="00F349EB"/>
    <w:rsid w:val="00F34EF9"/>
    <w:rsid w:val="00F35277"/>
    <w:rsid w:val="00F3540B"/>
    <w:rsid w:val="00F354E8"/>
    <w:rsid w:val="00F3671A"/>
    <w:rsid w:val="00F37EF5"/>
    <w:rsid w:val="00F37F56"/>
    <w:rsid w:val="00F40A44"/>
    <w:rsid w:val="00F416A4"/>
    <w:rsid w:val="00F4184E"/>
    <w:rsid w:val="00F41DEC"/>
    <w:rsid w:val="00F429D0"/>
    <w:rsid w:val="00F4385F"/>
    <w:rsid w:val="00F44151"/>
    <w:rsid w:val="00F4449E"/>
    <w:rsid w:val="00F44A98"/>
    <w:rsid w:val="00F453E7"/>
    <w:rsid w:val="00F45C48"/>
    <w:rsid w:val="00F4633D"/>
    <w:rsid w:val="00F465A7"/>
    <w:rsid w:val="00F46F3B"/>
    <w:rsid w:val="00F47275"/>
    <w:rsid w:val="00F47853"/>
    <w:rsid w:val="00F47DAB"/>
    <w:rsid w:val="00F5090E"/>
    <w:rsid w:val="00F516E8"/>
    <w:rsid w:val="00F530C6"/>
    <w:rsid w:val="00F53D6A"/>
    <w:rsid w:val="00F53F7E"/>
    <w:rsid w:val="00F555D0"/>
    <w:rsid w:val="00F555F9"/>
    <w:rsid w:val="00F55639"/>
    <w:rsid w:val="00F565D8"/>
    <w:rsid w:val="00F56A67"/>
    <w:rsid w:val="00F576DC"/>
    <w:rsid w:val="00F57B10"/>
    <w:rsid w:val="00F57C3A"/>
    <w:rsid w:val="00F610EA"/>
    <w:rsid w:val="00F61984"/>
    <w:rsid w:val="00F619CD"/>
    <w:rsid w:val="00F61F36"/>
    <w:rsid w:val="00F62B11"/>
    <w:rsid w:val="00F62D4B"/>
    <w:rsid w:val="00F63D9D"/>
    <w:rsid w:val="00F643C2"/>
    <w:rsid w:val="00F64547"/>
    <w:rsid w:val="00F646B0"/>
    <w:rsid w:val="00F64C5D"/>
    <w:rsid w:val="00F668D9"/>
    <w:rsid w:val="00F669EC"/>
    <w:rsid w:val="00F67860"/>
    <w:rsid w:val="00F67A91"/>
    <w:rsid w:val="00F708CE"/>
    <w:rsid w:val="00F71357"/>
    <w:rsid w:val="00F729CE"/>
    <w:rsid w:val="00F73850"/>
    <w:rsid w:val="00F743CC"/>
    <w:rsid w:val="00F7530F"/>
    <w:rsid w:val="00F75358"/>
    <w:rsid w:val="00F75B15"/>
    <w:rsid w:val="00F75F5E"/>
    <w:rsid w:val="00F764D8"/>
    <w:rsid w:val="00F76584"/>
    <w:rsid w:val="00F7717E"/>
    <w:rsid w:val="00F80603"/>
    <w:rsid w:val="00F8080D"/>
    <w:rsid w:val="00F80AAD"/>
    <w:rsid w:val="00F81129"/>
    <w:rsid w:val="00F81748"/>
    <w:rsid w:val="00F81F65"/>
    <w:rsid w:val="00F8287B"/>
    <w:rsid w:val="00F82B9D"/>
    <w:rsid w:val="00F84915"/>
    <w:rsid w:val="00F85275"/>
    <w:rsid w:val="00F85628"/>
    <w:rsid w:val="00F85657"/>
    <w:rsid w:val="00F85D72"/>
    <w:rsid w:val="00F8675D"/>
    <w:rsid w:val="00F87806"/>
    <w:rsid w:val="00F907E2"/>
    <w:rsid w:val="00F90E0E"/>
    <w:rsid w:val="00F90F49"/>
    <w:rsid w:val="00F90F75"/>
    <w:rsid w:val="00F91169"/>
    <w:rsid w:val="00F91EAE"/>
    <w:rsid w:val="00F9215A"/>
    <w:rsid w:val="00F93660"/>
    <w:rsid w:val="00F93E43"/>
    <w:rsid w:val="00F94202"/>
    <w:rsid w:val="00F954A5"/>
    <w:rsid w:val="00F9564D"/>
    <w:rsid w:val="00F95D81"/>
    <w:rsid w:val="00F968F0"/>
    <w:rsid w:val="00F970B8"/>
    <w:rsid w:val="00F97813"/>
    <w:rsid w:val="00F97B4D"/>
    <w:rsid w:val="00FA14DD"/>
    <w:rsid w:val="00FA1915"/>
    <w:rsid w:val="00FA1E73"/>
    <w:rsid w:val="00FA3237"/>
    <w:rsid w:val="00FA3631"/>
    <w:rsid w:val="00FA3749"/>
    <w:rsid w:val="00FA4959"/>
    <w:rsid w:val="00FA6319"/>
    <w:rsid w:val="00FA68E1"/>
    <w:rsid w:val="00FA6CFB"/>
    <w:rsid w:val="00FA70AE"/>
    <w:rsid w:val="00FB0252"/>
    <w:rsid w:val="00FB0A8D"/>
    <w:rsid w:val="00FB0AFB"/>
    <w:rsid w:val="00FB0B19"/>
    <w:rsid w:val="00FB1383"/>
    <w:rsid w:val="00FB16EC"/>
    <w:rsid w:val="00FB1952"/>
    <w:rsid w:val="00FB2461"/>
    <w:rsid w:val="00FB287F"/>
    <w:rsid w:val="00FB2985"/>
    <w:rsid w:val="00FB2C5C"/>
    <w:rsid w:val="00FB2CB5"/>
    <w:rsid w:val="00FB3A11"/>
    <w:rsid w:val="00FB3C45"/>
    <w:rsid w:val="00FB45E3"/>
    <w:rsid w:val="00FB4833"/>
    <w:rsid w:val="00FB5761"/>
    <w:rsid w:val="00FB5E10"/>
    <w:rsid w:val="00FB61B8"/>
    <w:rsid w:val="00FB646B"/>
    <w:rsid w:val="00FB70C5"/>
    <w:rsid w:val="00FB77A4"/>
    <w:rsid w:val="00FB7AC3"/>
    <w:rsid w:val="00FB7D9A"/>
    <w:rsid w:val="00FC0DBD"/>
    <w:rsid w:val="00FC170C"/>
    <w:rsid w:val="00FC1C5A"/>
    <w:rsid w:val="00FC3E4F"/>
    <w:rsid w:val="00FC3F9F"/>
    <w:rsid w:val="00FC4463"/>
    <w:rsid w:val="00FC45CF"/>
    <w:rsid w:val="00FC67EA"/>
    <w:rsid w:val="00FC69F0"/>
    <w:rsid w:val="00FC7060"/>
    <w:rsid w:val="00FC717F"/>
    <w:rsid w:val="00FC77EB"/>
    <w:rsid w:val="00FD01C0"/>
    <w:rsid w:val="00FD0971"/>
    <w:rsid w:val="00FD10F2"/>
    <w:rsid w:val="00FD113B"/>
    <w:rsid w:val="00FD1A14"/>
    <w:rsid w:val="00FD1EEE"/>
    <w:rsid w:val="00FD2239"/>
    <w:rsid w:val="00FD2351"/>
    <w:rsid w:val="00FD301A"/>
    <w:rsid w:val="00FD3D3A"/>
    <w:rsid w:val="00FD43A9"/>
    <w:rsid w:val="00FD467F"/>
    <w:rsid w:val="00FD4781"/>
    <w:rsid w:val="00FD4855"/>
    <w:rsid w:val="00FD4A8B"/>
    <w:rsid w:val="00FD545B"/>
    <w:rsid w:val="00FD584C"/>
    <w:rsid w:val="00FD722C"/>
    <w:rsid w:val="00FE1487"/>
    <w:rsid w:val="00FE3144"/>
    <w:rsid w:val="00FE3467"/>
    <w:rsid w:val="00FE354D"/>
    <w:rsid w:val="00FE36B6"/>
    <w:rsid w:val="00FE3808"/>
    <w:rsid w:val="00FE3D46"/>
    <w:rsid w:val="00FE4D2D"/>
    <w:rsid w:val="00FE4E31"/>
    <w:rsid w:val="00FE5161"/>
    <w:rsid w:val="00FE6281"/>
    <w:rsid w:val="00FE6FF4"/>
    <w:rsid w:val="00FE72D5"/>
    <w:rsid w:val="00FE7469"/>
    <w:rsid w:val="00FF1CF2"/>
    <w:rsid w:val="00FF2209"/>
    <w:rsid w:val="00FF25BE"/>
    <w:rsid w:val="00FF27A5"/>
    <w:rsid w:val="00FF4402"/>
    <w:rsid w:val="00FF4DEA"/>
    <w:rsid w:val="00FF5316"/>
    <w:rsid w:val="00FF7F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3B1E9"/>
  <w15:chartTrackingRefBased/>
  <w15:docId w15:val="{791ABABB-C040-458B-BDD7-A1CB30B85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FBD"/>
    <w:rPr>
      <w:sz w:val="28"/>
      <w:szCs w:val="22"/>
      <w:lang w:eastAsia="en-US"/>
    </w:rPr>
  </w:style>
  <w:style w:type="paragraph" w:styleId="Heading1">
    <w:name w:val="heading 1"/>
    <w:basedOn w:val="Normal"/>
    <w:next w:val="Normal"/>
    <w:link w:val="Heading1Char"/>
    <w:uiPriority w:val="9"/>
    <w:qFormat/>
    <w:rsid w:val="00A130C0"/>
    <w:pPr>
      <w:keepNext/>
      <w:keepLines/>
      <w:outlineLvl w:val="0"/>
    </w:pPr>
    <w:rPr>
      <w:rFonts w:eastAsia="Times New Roman"/>
      <w:b/>
      <w:bCs/>
      <w:sz w:val="32"/>
      <w:szCs w:val="28"/>
    </w:rPr>
  </w:style>
  <w:style w:type="paragraph" w:styleId="Heading3">
    <w:name w:val="heading 3"/>
    <w:basedOn w:val="Normal"/>
    <w:next w:val="Normal"/>
    <w:link w:val="Heading3Char"/>
    <w:uiPriority w:val="9"/>
    <w:qFormat/>
    <w:rsid w:val="00CC470A"/>
    <w:pPr>
      <w:keepNext/>
      <w:spacing w:before="240" w:after="60"/>
      <w:outlineLvl w:val="2"/>
    </w:pPr>
    <w:rPr>
      <w:rFonts w:ascii="Cambria" w:eastAsia="Times New Roman" w:hAnsi="Cambria"/>
      <w:b/>
      <w:bCs/>
      <w:sz w:val="26"/>
      <w:szCs w:val="26"/>
    </w:rPr>
  </w:style>
  <w:style w:type="paragraph" w:styleId="Heading5">
    <w:name w:val="heading 5"/>
    <w:basedOn w:val="Normal"/>
    <w:next w:val="Normal"/>
    <w:link w:val="Heading5Char"/>
    <w:qFormat/>
    <w:rsid w:val="00BB1E0F"/>
    <w:pPr>
      <w:suppressAutoHyphens/>
      <w:spacing w:before="240" w:after="60"/>
      <w:outlineLvl w:val="4"/>
    </w:pPr>
    <w:rPr>
      <w:rFonts w:eastAsia="Times New Roman"/>
      <w:b/>
      <w:bCs/>
      <w:i/>
      <w:iCs/>
      <w:kern w:val="1"/>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5A039A"/>
    <w:pPr>
      <w:spacing w:before="100" w:beforeAutospacing="1" w:after="100" w:afterAutospacing="1"/>
    </w:pPr>
    <w:rPr>
      <w:rFonts w:eastAsia="Times New Roman"/>
      <w:sz w:val="24"/>
      <w:szCs w:val="24"/>
      <w:lang w:eastAsia="lv-LV"/>
    </w:rPr>
  </w:style>
  <w:style w:type="paragraph" w:customStyle="1" w:styleId="naisc">
    <w:name w:val="naisc"/>
    <w:basedOn w:val="Normal"/>
    <w:rsid w:val="005A039A"/>
    <w:pPr>
      <w:spacing w:before="100" w:beforeAutospacing="1" w:after="100" w:afterAutospacing="1"/>
    </w:pPr>
    <w:rPr>
      <w:rFonts w:eastAsia="Times New Roman"/>
      <w:sz w:val="24"/>
      <w:szCs w:val="24"/>
      <w:lang w:eastAsia="lv-LV"/>
    </w:rPr>
  </w:style>
  <w:style w:type="paragraph" w:customStyle="1" w:styleId="naiskr">
    <w:name w:val="naiskr"/>
    <w:basedOn w:val="Normal"/>
    <w:rsid w:val="005A039A"/>
    <w:pPr>
      <w:spacing w:before="100" w:beforeAutospacing="1" w:after="100" w:afterAutospacing="1"/>
    </w:pPr>
    <w:rPr>
      <w:rFonts w:eastAsia="Times New Roman"/>
      <w:sz w:val="24"/>
      <w:szCs w:val="24"/>
      <w:lang w:eastAsia="lv-LV"/>
    </w:rPr>
  </w:style>
  <w:style w:type="paragraph" w:customStyle="1" w:styleId="naislab">
    <w:name w:val="naislab"/>
    <w:basedOn w:val="Normal"/>
    <w:rsid w:val="005A039A"/>
    <w:pPr>
      <w:spacing w:before="100" w:beforeAutospacing="1" w:after="100" w:afterAutospacing="1"/>
    </w:pPr>
    <w:rPr>
      <w:rFonts w:eastAsia="Times New Roman"/>
      <w:sz w:val="24"/>
      <w:szCs w:val="24"/>
      <w:lang w:eastAsia="lv-LV"/>
    </w:rPr>
  </w:style>
  <w:style w:type="paragraph" w:customStyle="1" w:styleId="naisf">
    <w:name w:val="naisf"/>
    <w:basedOn w:val="Normal"/>
    <w:rsid w:val="005A039A"/>
    <w:pPr>
      <w:spacing w:before="100" w:beforeAutospacing="1" w:after="100" w:afterAutospacing="1"/>
    </w:pPr>
    <w:rPr>
      <w:rFonts w:eastAsia="Times New Roman"/>
      <w:sz w:val="24"/>
      <w:szCs w:val="24"/>
      <w:lang w:eastAsia="lv-LV"/>
    </w:rPr>
  </w:style>
  <w:style w:type="paragraph" w:styleId="ListParagraph">
    <w:name w:val="List Paragraph"/>
    <w:basedOn w:val="Normal"/>
    <w:uiPriority w:val="34"/>
    <w:qFormat/>
    <w:rsid w:val="00A130C0"/>
    <w:pPr>
      <w:spacing w:after="200" w:line="276" w:lineRule="auto"/>
      <w:ind w:left="720"/>
      <w:contextualSpacing/>
    </w:pPr>
  </w:style>
  <w:style w:type="character" w:customStyle="1" w:styleId="Heading1Char">
    <w:name w:val="Heading 1 Char"/>
    <w:link w:val="Heading1"/>
    <w:uiPriority w:val="9"/>
    <w:rsid w:val="00A130C0"/>
    <w:rPr>
      <w:rFonts w:eastAsia="Times New Roman" w:cs="Times New Roman"/>
      <w:b/>
      <w:bCs/>
      <w:sz w:val="32"/>
      <w:szCs w:val="28"/>
    </w:rPr>
  </w:style>
  <w:style w:type="character" w:customStyle="1" w:styleId="spelle">
    <w:name w:val="spelle"/>
    <w:basedOn w:val="DefaultParagraphFont"/>
    <w:rsid w:val="00A130C0"/>
  </w:style>
  <w:style w:type="character" w:styleId="Hyperlink">
    <w:name w:val="Hyperlink"/>
    <w:uiPriority w:val="99"/>
    <w:rsid w:val="0070128C"/>
    <w:rPr>
      <w:color w:val="0000FF"/>
      <w:u w:val="single"/>
    </w:rPr>
  </w:style>
  <w:style w:type="character" w:styleId="Strong">
    <w:name w:val="Strong"/>
    <w:uiPriority w:val="99"/>
    <w:qFormat/>
    <w:rsid w:val="0070128C"/>
    <w:rPr>
      <w:b/>
      <w:bCs/>
    </w:rPr>
  </w:style>
  <w:style w:type="character" w:styleId="CommentReference">
    <w:name w:val="annotation reference"/>
    <w:uiPriority w:val="99"/>
    <w:semiHidden/>
    <w:unhideWhenUsed/>
    <w:rsid w:val="009D7FED"/>
    <w:rPr>
      <w:sz w:val="16"/>
      <w:szCs w:val="16"/>
    </w:rPr>
  </w:style>
  <w:style w:type="paragraph" w:styleId="CommentText">
    <w:name w:val="annotation text"/>
    <w:basedOn w:val="Normal"/>
    <w:link w:val="CommentTextChar"/>
    <w:uiPriority w:val="99"/>
    <w:unhideWhenUsed/>
    <w:rsid w:val="009D7FED"/>
    <w:rPr>
      <w:rFonts w:ascii="Calibri" w:hAnsi="Calibri"/>
      <w:sz w:val="20"/>
      <w:szCs w:val="20"/>
    </w:rPr>
  </w:style>
  <w:style w:type="character" w:customStyle="1" w:styleId="CommentTextChar">
    <w:name w:val="Comment Text Char"/>
    <w:link w:val="CommentText"/>
    <w:uiPriority w:val="99"/>
    <w:rsid w:val="009D7FE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9D7FED"/>
    <w:rPr>
      <w:rFonts w:ascii="Tahoma" w:hAnsi="Tahoma"/>
      <w:sz w:val="16"/>
      <w:szCs w:val="16"/>
    </w:rPr>
  </w:style>
  <w:style w:type="character" w:customStyle="1" w:styleId="BalloonTextChar">
    <w:name w:val="Balloon Text Char"/>
    <w:link w:val="BalloonText"/>
    <w:uiPriority w:val="99"/>
    <w:semiHidden/>
    <w:rsid w:val="009D7FED"/>
    <w:rPr>
      <w:rFonts w:ascii="Tahoma" w:hAnsi="Tahoma" w:cs="Tahoma"/>
      <w:sz w:val="16"/>
      <w:szCs w:val="16"/>
    </w:rPr>
  </w:style>
  <w:style w:type="paragraph" w:styleId="NoSpacing">
    <w:name w:val="No Spacing"/>
    <w:uiPriority w:val="1"/>
    <w:qFormat/>
    <w:rsid w:val="0013416C"/>
    <w:rPr>
      <w:sz w:val="28"/>
      <w:szCs w:val="22"/>
      <w:lang w:eastAsia="en-US"/>
    </w:rPr>
  </w:style>
  <w:style w:type="paragraph" w:styleId="BodyTextIndent">
    <w:name w:val="Body Text Indent"/>
    <w:basedOn w:val="Normal"/>
    <w:link w:val="BodyTextIndentChar"/>
    <w:uiPriority w:val="99"/>
    <w:rsid w:val="00BB1E0F"/>
    <w:pPr>
      <w:ind w:firstLine="700"/>
      <w:jc w:val="both"/>
    </w:pPr>
    <w:rPr>
      <w:rFonts w:eastAsia="Times New Roman"/>
      <w:sz w:val="20"/>
      <w:szCs w:val="24"/>
    </w:rPr>
  </w:style>
  <w:style w:type="character" w:customStyle="1" w:styleId="BodyTextIndentChar">
    <w:name w:val="Body Text Indent Char"/>
    <w:link w:val="BodyTextIndent"/>
    <w:uiPriority w:val="99"/>
    <w:rsid w:val="00BB1E0F"/>
    <w:rPr>
      <w:rFonts w:eastAsia="Times New Roman" w:cs="Times New Roman"/>
      <w:szCs w:val="24"/>
    </w:rPr>
  </w:style>
  <w:style w:type="character" w:customStyle="1" w:styleId="Heading5Char">
    <w:name w:val="Heading 5 Char"/>
    <w:link w:val="Heading5"/>
    <w:rsid w:val="00BB1E0F"/>
    <w:rPr>
      <w:rFonts w:eastAsia="Times New Roman" w:cs="Times New Roman"/>
      <w:b/>
      <w:bCs/>
      <w:i/>
      <w:iCs/>
      <w:kern w:val="1"/>
      <w:sz w:val="26"/>
      <w:szCs w:val="26"/>
      <w:lang w:eastAsia="ar-SA"/>
    </w:rPr>
  </w:style>
  <w:style w:type="paragraph" w:styleId="Header">
    <w:name w:val="header"/>
    <w:basedOn w:val="Normal"/>
    <w:link w:val="HeaderChar"/>
    <w:uiPriority w:val="99"/>
    <w:unhideWhenUsed/>
    <w:rsid w:val="008125DD"/>
    <w:pPr>
      <w:tabs>
        <w:tab w:val="center" w:pos="4153"/>
        <w:tab w:val="right" w:pos="8306"/>
      </w:tabs>
    </w:pPr>
  </w:style>
  <w:style w:type="character" w:customStyle="1" w:styleId="HeaderChar">
    <w:name w:val="Header Char"/>
    <w:basedOn w:val="DefaultParagraphFont"/>
    <w:link w:val="Header"/>
    <w:uiPriority w:val="99"/>
    <w:rsid w:val="008125DD"/>
  </w:style>
  <w:style w:type="paragraph" w:styleId="Footer">
    <w:name w:val="footer"/>
    <w:basedOn w:val="Normal"/>
    <w:link w:val="FooterChar"/>
    <w:uiPriority w:val="99"/>
    <w:unhideWhenUsed/>
    <w:rsid w:val="008125DD"/>
    <w:pPr>
      <w:tabs>
        <w:tab w:val="center" w:pos="4153"/>
        <w:tab w:val="right" w:pos="8306"/>
      </w:tabs>
    </w:pPr>
  </w:style>
  <w:style w:type="character" w:customStyle="1" w:styleId="FooterChar">
    <w:name w:val="Footer Char"/>
    <w:basedOn w:val="DefaultParagraphFont"/>
    <w:link w:val="Footer"/>
    <w:uiPriority w:val="99"/>
    <w:rsid w:val="008125DD"/>
  </w:style>
  <w:style w:type="paragraph" w:customStyle="1" w:styleId="Default">
    <w:name w:val="Default"/>
    <w:rsid w:val="002B7DA9"/>
    <w:pPr>
      <w:autoSpaceDE w:val="0"/>
      <w:autoSpaceDN w:val="0"/>
      <w:adjustRightInd w:val="0"/>
    </w:pPr>
    <w:rPr>
      <w:rFonts w:ascii="EUAlbertina" w:hAnsi="EUAlbertina" w:cs="EUAlbertina"/>
      <w:color w:val="000000"/>
      <w:sz w:val="24"/>
      <w:szCs w:val="24"/>
    </w:rPr>
  </w:style>
  <w:style w:type="paragraph" w:styleId="BodyText">
    <w:name w:val="Body Text"/>
    <w:basedOn w:val="Normal"/>
    <w:link w:val="BodyTextChar"/>
    <w:uiPriority w:val="99"/>
    <w:unhideWhenUsed/>
    <w:rsid w:val="00F45C48"/>
    <w:pPr>
      <w:spacing w:after="120"/>
    </w:pPr>
  </w:style>
  <w:style w:type="character" w:customStyle="1" w:styleId="BodyTextChar">
    <w:name w:val="Body Text Char"/>
    <w:link w:val="BodyText"/>
    <w:uiPriority w:val="99"/>
    <w:rsid w:val="00F45C48"/>
    <w:rPr>
      <w:sz w:val="28"/>
      <w:szCs w:val="22"/>
      <w:lang w:eastAsia="en-US"/>
    </w:rPr>
  </w:style>
  <w:style w:type="paragraph" w:customStyle="1" w:styleId="T">
    <w:name w:val="T"/>
    <w:basedOn w:val="Normal"/>
    <w:rsid w:val="00AC6042"/>
    <w:pPr>
      <w:jc w:val="center"/>
    </w:pPr>
    <w:rPr>
      <w:rFonts w:eastAsia="Times New Roman"/>
      <w:b/>
      <w:i/>
      <w:sz w:val="24"/>
      <w:szCs w:val="20"/>
    </w:rPr>
  </w:style>
  <w:style w:type="paragraph" w:styleId="CommentSubject">
    <w:name w:val="annotation subject"/>
    <w:basedOn w:val="CommentText"/>
    <w:next w:val="CommentText"/>
    <w:link w:val="CommentSubjectChar"/>
    <w:uiPriority w:val="99"/>
    <w:semiHidden/>
    <w:unhideWhenUsed/>
    <w:rsid w:val="00E02682"/>
    <w:rPr>
      <w:rFonts w:ascii="Times New Roman" w:hAnsi="Times New Roman"/>
      <w:b/>
      <w:bCs/>
    </w:rPr>
  </w:style>
  <w:style w:type="character" w:customStyle="1" w:styleId="CommentSubjectChar">
    <w:name w:val="Comment Subject Char"/>
    <w:link w:val="CommentSubject"/>
    <w:uiPriority w:val="99"/>
    <w:semiHidden/>
    <w:rsid w:val="00E02682"/>
    <w:rPr>
      <w:rFonts w:ascii="Calibri" w:eastAsia="Calibri" w:hAnsi="Calibri" w:cs="Times New Roman"/>
      <w:b/>
      <w:bCs/>
      <w:sz w:val="20"/>
      <w:szCs w:val="20"/>
      <w:lang w:eastAsia="en-US"/>
    </w:rPr>
  </w:style>
  <w:style w:type="paragraph" w:customStyle="1" w:styleId="Daaarnumuru">
    <w:name w:val="Daļa ar numuru"/>
    <w:basedOn w:val="Normal"/>
    <w:qFormat/>
    <w:rsid w:val="00D218A0"/>
    <w:pPr>
      <w:widowControl w:val="0"/>
      <w:numPr>
        <w:numId w:val="1"/>
      </w:numPr>
      <w:tabs>
        <w:tab w:val="left" w:pos="1072"/>
        <w:tab w:val="left" w:pos="1418"/>
      </w:tabs>
      <w:adjustRightInd w:val="0"/>
      <w:spacing w:before="120" w:after="120"/>
      <w:ind w:left="0" w:firstLine="720"/>
      <w:jc w:val="both"/>
      <w:textAlignment w:val="baseline"/>
    </w:pPr>
    <w:rPr>
      <w:rFonts w:eastAsia="Times New Roman"/>
      <w:szCs w:val="28"/>
      <w:lang w:eastAsia="lv-LV"/>
    </w:rPr>
  </w:style>
  <w:style w:type="paragraph" w:customStyle="1" w:styleId="CM4">
    <w:name w:val="CM4"/>
    <w:basedOn w:val="Default"/>
    <w:next w:val="Default"/>
    <w:uiPriority w:val="99"/>
    <w:rsid w:val="00D841E2"/>
    <w:rPr>
      <w:rFonts w:cs="Times New Roman"/>
      <w:color w:val="auto"/>
    </w:rPr>
  </w:style>
  <w:style w:type="table" w:styleId="TableGrid">
    <w:name w:val="Table Grid"/>
    <w:basedOn w:val="TableNormal"/>
    <w:uiPriority w:val="39"/>
    <w:rsid w:val="006A6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0">
    <w:name w:val="listparagraph"/>
    <w:basedOn w:val="Normal"/>
    <w:rsid w:val="002F024F"/>
    <w:pPr>
      <w:spacing w:before="100" w:beforeAutospacing="1" w:after="100" w:afterAutospacing="1"/>
    </w:pPr>
    <w:rPr>
      <w:rFonts w:eastAsia="Times New Roman"/>
      <w:color w:val="000000"/>
      <w:sz w:val="24"/>
      <w:szCs w:val="24"/>
      <w:lang w:eastAsia="lv-LV"/>
    </w:rPr>
  </w:style>
  <w:style w:type="paragraph" w:customStyle="1" w:styleId="Daabeznumura">
    <w:name w:val="Daļa bez numura"/>
    <w:basedOn w:val="Normal"/>
    <w:qFormat/>
    <w:rsid w:val="002F024F"/>
    <w:pPr>
      <w:widowControl w:val="0"/>
      <w:adjustRightInd w:val="0"/>
      <w:spacing w:before="120" w:after="120"/>
      <w:ind w:firstLine="720"/>
      <w:jc w:val="both"/>
      <w:textAlignment w:val="baseline"/>
    </w:pPr>
    <w:rPr>
      <w:rFonts w:eastAsia="Times New Roman"/>
      <w:szCs w:val="28"/>
      <w:lang w:eastAsia="lv-LV"/>
    </w:rPr>
  </w:style>
  <w:style w:type="paragraph" w:customStyle="1" w:styleId="CharChar">
    <w:name w:val="Char Char"/>
    <w:basedOn w:val="Normal"/>
    <w:rsid w:val="00CE50D8"/>
    <w:pPr>
      <w:spacing w:after="160" w:line="240" w:lineRule="exact"/>
    </w:pPr>
    <w:rPr>
      <w:rFonts w:ascii="Tahoma" w:eastAsia="Times New Roman" w:hAnsi="Tahoma"/>
      <w:sz w:val="20"/>
      <w:szCs w:val="20"/>
      <w:lang w:val="en-US"/>
    </w:rPr>
  </w:style>
  <w:style w:type="paragraph" w:styleId="NormalWeb">
    <w:name w:val="Normal (Web)"/>
    <w:basedOn w:val="Normal"/>
    <w:uiPriority w:val="99"/>
    <w:rsid w:val="004D4968"/>
    <w:pPr>
      <w:spacing w:before="100" w:beforeAutospacing="1" w:after="100" w:afterAutospacing="1"/>
    </w:pPr>
    <w:rPr>
      <w:rFonts w:eastAsia="Times New Roman"/>
      <w:sz w:val="24"/>
      <w:szCs w:val="24"/>
      <w:lang w:eastAsia="lv-LV"/>
    </w:rPr>
  </w:style>
  <w:style w:type="character" w:customStyle="1" w:styleId="Heading3Char">
    <w:name w:val="Heading 3 Char"/>
    <w:link w:val="Heading3"/>
    <w:uiPriority w:val="9"/>
    <w:rsid w:val="00CC470A"/>
    <w:rPr>
      <w:rFonts w:ascii="Cambria" w:eastAsia="Times New Roman" w:hAnsi="Cambria" w:cs="Times New Roman"/>
      <w:b/>
      <w:bCs/>
      <w:sz w:val="26"/>
      <w:szCs w:val="26"/>
      <w:lang w:eastAsia="en-US"/>
    </w:rPr>
  </w:style>
  <w:style w:type="paragraph" w:customStyle="1" w:styleId="CM1">
    <w:name w:val="CM1"/>
    <w:basedOn w:val="Default"/>
    <w:next w:val="Default"/>
    <w:uiPriority w:val="99"/>
    <w:rsid w:val="00667153"/>
    <w:rPr>
      <w:rFonts w:eastAsia="Times New Roman" w:cs="Times New Roman"/>
      <w:color w:val="auto"/>
    </w:rPr>
  </w:style>
  <w:style w:type="paragraph" w:styleId="Revision">
    <w:name w:val="Revision"/>
    <w:hidden/>
    <w:uiPriority w:val="99"/>
    <w:semiHidden/>
    <w:rsid w:val="00397602"/>
    <w:rPr>
      <w:sz w:val="28"/>
      <w:szCs w:val="22"/>
      <w:lang w:eastAsia="en-US"/>
    </w:rPr>
  </w:style>
  <w:style w:type="paragraph" w:styleId="FootnoteText">
    <w:name w:val="footnote text"/>
    <w:basedOn w:val="Normal"/>
    <w:link w:val="FootnoteTextChar"/>
    <w:uiPriority w:val="99"/>
    <w:semiHidden/>
    <w:unhideWhenUsed/>
    <w:rsid w:val="005E1E38"/>
    <w:pPr>
      <w:widowControl w:val="0"/>
    </w:pPr>
    <w:rPr>
      <w:rFonts w:ascii="Calibri" w:hAnsi="Calibri"/>
      <w:sz w:val="20"/>
      <w:szCs w:val="20"/>
      <w:lang w:val="en-US"/>
    </w:rPr>
  </w:style>
  <w:style w:type="character" w:customStyle="1" w:styleId="FootnoteTextChar">
    <w:name w:val="Footnote Text Char"/>
    <w:link w:val="FootnoteText"/>
    <w:uiPriority w:val="99"/>
    <w:semiHidden/>
    <w:rsid w:val="005E1E38"/>
    <w:rPr>
      <w:rFonts w:ascii="Calibri" w:hAnsi="Calibri"/>
      <w:lang w:val="en-US" w:eastAsia="en-US"/>
    </w:rPr>
  </w:style>
  <w:style w:type="character" w:styleId="FootnoteReference">
    <w:name w:val="footnote reference"/>
    <w:uiPriority w:val="99"/>
    <w:unhideWhenUsed/>
    <w:rsid w:val="005E1E38"/>
    <w:rPr>
      <w:vertAlign w:val="superscript"/>
    </w:rPr>
  </w:style>
  <w:style w:type="character" w:customStyle="1" w:styleId="FontStyle26">
    <w:name w:val="Font Style26"/>
    <w:uiPriority w:val="99"/>
    <w:rsid w:val="005E1E38"/>
    <w:rPr>
      <w:rFonts w:ascii="Calibri" w:hAnsi="Calibri" w:cs="Calibri" w:hint="default"/>
      <w:b/>
      <w:bCs/>
      <w:sz w:val="22"/>
      <w:szCs w:val="22"/>
    </w:rPr>
  </w:style>
  <w:style w:type="paragraph" w:styleId="PlainText">
    <w:name w:val="Plain Text"/>
    <w:basedOn w:val="Normal"/>
    <w:link w:val="PlainTextChar"/>
    <w:uiPriority w:val="99"/>
    <w:unhideWhenUsed/>
    <w:rsid w:val="00E53A56"/>
    <w:rPr>
      <w:rFonts w:ascii="Calibri" w:hAnsi="Calibri" w:cs="Calibri"/>
      <w:sz w:val="22"/>
      <w:lang w:eastAsia="lv-LV"/>
    </w:rPr>
  </w:style>
  <w:style w:type="character" w:customStyle="1" w:styleId="PlainTextChar">
    <w:name w:val="Plain Text Char"/>
    <w:link w:val="PlainText"/>
    <w:uiPriority w:val="99"/>
    <w:rsid w:val="00E53A56"/>
    <w:rPr>
      <w:rFonts w:ascii="Calibri" w:hAnsi="Calibri" w:cs="Calibri"/>
      <w:sz w:val="22"/>
      <w:szCs w:val="22"/>
    </w:rPr>
  </w:style>
  <w:style w:type="paragraph" w:customStyle="1" w:styleId="tv2132">
    <w:name w:val="tv2132"/>
    <w:basedOn w:val="Normal"/>
    <w:rsid w:val="00E7757B"/>
    <w:pPr>
      <w:spacing w:line="360" w:lineRule="auto"/>
      <w:ind w:firstLine="300"/>
    </w:pPr>
    <w:rPr>
      <w:rFonts w:eastAsia="Times New Roman"/>
      <w:color w:val="414142"/>
      <w:sz w:val="20"/>
      <w:szCs w:val="20"/>
      <w:lang w:eastAsia="lv-LV"/>
    </w:rPr>
  </w:style>
  <w:style w:type="character" w:styleId="FollowedHyperlink">
    <w:name w:val="FollowedHyperlink"/>
    <w:basedOn w:val="DefaultParagraphFont"/>
    <w:uiPriority w:val="99"/>
    <w:semiHidden/>
    <w:unhideWhenUsed/>
    <w:rsid w:val="006D24A5"/>
    <w:rPr>
      <w:color w:val="954F72" w:themeColor="followedHyperlink"/>
      <w:u w:val="single"/>
    </w:rPr>
  </w:style>
  <w:style w:type="character" w:styleId="Emphasis">
    <w:name w:val="Emphasis"/>
    <w:basedOn w:val="DefaultParagraphFont"/>
    <w:uiPriority w:val="20"/>
    <w:qFormat/>
    <w:rsid w:val="00AA1A11"/>
    <w:rPr>
      <w:i/>
      <w:iCs/>
    </w:rPr>
  </w:style>
  <w:style w:type="paragraph" w:customStyle="1" w:styleId="tv213">
    <w:name w:val="tv213"/>
    <w:basedOn w:val="Normal"/>
    <w:rsid w:val="00D51B4B"/>
    <w:pPr>
      <w:spacing w:before="100" w:beforeAutospacing="1" w:after="100" w:afterAutospacing="1"/>
    </w:pPr>
    <w:rPr>
      <w:rFonts w:eastAsia="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8519">
      <w:bodyDiv w:val="1"/>
      <w:marLeft w:val="0"/>
      <w:marRight w:val="0"/>
      <w:marTop w:val="0"/>
      <w:marBottom w:val="0"/>
      <w:divBdr>
        <w:top w:val="none" w:sz="0" w:space="0" w:color="auto"/>
        <w:left w:val="none" w:sz="0" w:space="0" w:color="auto"/>
        <w:bottom w:val="none" w:sz="0" w:space="0" w:color="auto"/>
        <w:right w:val="none" w:sz="0" w:space="0" w:color="auto"/>
      </w:divBdr>
    </w:div>
    <w:div w:id="39329952">
      <w:bodyDiv w:val="1"/>
      <w:marLeft w:val="0"/>
      <w:marRight w:val="0"/>
      <w:marTop w:val="0"/>
      <w:marBottom w:val="0"/>
      <w:divBdr>
        <w:top w:val="none" w:sz="0" w:space="0" w:color="auto"/>
        <w:left w:val="none" w:sz="0" w:space="0" w:color="auto"/>
        <w:bottom w:val="none" w:sz="0" w:space="0" w:color="auto"/>
        <w:right w:val="none" w:sz="0" w:space="0" w:color="auto"/>
      </w:divBdr>
    </w:div>
    <w:div w:id="45570321">
      <w:bodyDiv w:val="1"/>
      <w:marLeft w:val="0"/>
      <w:marRight w:val="0"/>
      <w:marTop w:val="0"/>
      <w:marBottom w:val="0"/>
      <w:divBdr>
        <w:top w:val="none" w:sz="0" w:space="0" w:color="auto"/>
        <w:left w:val="none" w:sz="0" w:space="0" w:color="auto"/>
        <w:bottom w:val="none" w:sz="0" w:space="0" w:color="auto"/>
        <w:right w:val="none" w:sz="0" w:space="0" w:color="auto"/>
      </w:divBdr>
    </w:div>
    <w:div w:id="75059822">
      <w:bodyDiv w:val="1"/>
      <w:marLeft w:val="0"/>
      <w:marRight w:val="0"/>
      <w:marTop w:val="0"/>
      <w:marBottom w:val="0"/>
      <w:divBdr>
        <w:top w:val="none" w:sz="0" w:space="0" w:color="auto"/>
        <w:left w:val="none" w:sz="0" w:space="0" w:color="auto"/>
        <w:bottom w:val="none" w:sz="0" w:space="0" w:color="auto"/>
        <w:right w:val="none" w:sz="0" w:space="0" w:color="auto"/>
      </w:divBdr>
    </w:div>
    <w:div w:id="98763792">
      <w:bodyDiv w:val="1"/>
      <w:marLeft w:val="0"/>
      <w:marRight w:val="0"/>
      <w:marTop w:val="0"/>
      <w:marBottom w:val="0"/>
      <w:divBdr>
        <w:top w:val="none" w:sz="0" w:space="0" w:color="auto"/>
        <w:left w:val="none" w:sz="0" w:space="0" w:color="auto"/>
        <w:bottom w:val="none" w:sz="0" w:space="0" w:color="auto"/>
        <w:right w:val="none" w:sz="0" w:space="0" w:color="auto"/>
      </w:divBdr>
    </w:div>
    <w:div w:id="114105764">
      <w:bodyDiv w:val="1"/>
      <w:marLeft w:val="0"/>
      <w:marRight w:val="0"/>
      <w:marTop w:val="0"/>
      <w:marBottom w:val="0"/>
      <w:divBdr>
        <w:top w:val="none" w:sz="0" w:space="0" w:color="auto"/>
        <w:left w:val="none" w:sz="0" w:space="0" w:color="auto"/>
        <w:bottom w:val="none" w:sz="0" w:space="0" w:color="auto"/>
        <w:right w:val="none" w:sz="0" w:space="0" w:color="auto"/>
      </w:divBdr>
    </w:div>
    <w:div w:id="123936585">
      <w:bodyDiv w:val="1"/>
      <w:marLeft w:val="0"/>
      <w:marRight w:val="0"/>
      <w:marTop w:val="0"/>
      <w:marBottom w:val="0"/>
      <w:divBdr>
        <w:top w:val="none" w:sz="0" w:space="0" w:color="auto"/>
        <w:left w:val="none" w:sz="0" w:space="0" w:color="auto"/>
        <w:bottom w:val="none" w:sz="0" w:space="0" w:color="auto"/>
        <w:right w:val="none" w:sz="0" w:space="0" w:color="auto"/>
      </w:divBdr>
    </w:div>
    <w:div w:id="171264802">
      <w:bodyDiv w:val="1"/>
      <w:marLeft w:val="0"/>
      <w:marRight w:val="0"/>
      <w:marTop w:val="0"/>
      <w:marBottom w:val="0"/>
      <w:divBdr>
        <w:top w:val="none" w:sz="0" w:space="0" w:color="auto"/>
        <w:left w:val="none" w:sz="0" w:space="0" w:color="auto"/>
        <w:bottom w:val="none" w:sz="0" w:space="0" w:color="auto"/>
        <w:right w:val="none" w:sz="0" w:space="0" w:color="auto"/>
      </w:divBdr>
    </w:div>
    <w:div w:id="203299153">
      <w:bodyDiv w:val="1"/>
      <w:marLeft w:val="0"/>
      <w:marRight w:val="0"/>
      <w:marTop w:val="0"/>
      <w:marBottom w:val="0"/>
      <w:divBdr>
        <w:top w:val="none" w:sz="0" w:space="0" w:color="auto"/>
        <w:left w:val="none" w:sz="0" w:space="0" w:color="auto"/>
        <w:bottom w:val="none" w:sz="0" w:space="0" w:color="auto"/>
        <w:right w:val="none" w:sz="0" w:space="0" w:color="auto"/>
      </w:divBdr>
    </w:div>
    <w:div w:id="284849034">
      <w:bodyDiv w:val="1"/>
      <w:marLeft w:val="0"/>
      <w:marRight w:val="0"/>
      <w:marTop w:val="0"/>
      <w:marBottom w:val="0"/>
      <w:divBdr>
        <w:top w:val="none" w:sz="0" w:space="0" w:color="auto"/>
        <w:left w:val="none" w:sz="0" w:space="0" w:color="auto"/>
        <w:bottom w:val="none" w:sz="0" w:space="0" w:color="auto"/>
        <w:right w:val="none" w:sz="0" w:space="0" w:color="auto"/>
      </w:divBdr>
    </w:div>
    <w:div w:id="334497550">
      <w:bodyDiv w:val="1"/>
      <w:marLeft w:val="0"/>
      <w:marRight w:val="0"/>
      <w:marTop w:val="0"/>
      <w:marBottom w:val="0"/>
      <w:divBdr>
        <w:top w:val="none" w:sz="0" w:space="0" w:color="auto"/>
        <w:left w:val="none" w:sz="0" w:space="0" w:color="auto"/>
        <w:bottom w:val="none" w:sz="0" w:space="0" w:color="auto"/>
        <w:right w:val="none" w:sz="0" w:space="0" w:color="auto"/>
      </w:divBdr>
    </w:div>
    <w:div w:id="377124483">
      <w:bodyDiv w:val="1"/>
      <w:marLeft w:val="0"/>
      <w:marRight w:val="0"/>
      <w:marTop w:val="0"/>
      <w:marBottom w:val="0"/>
      <w:divBdr>
        <w:top w:val="none" w:sz="0" w:space="0" w:color="auto"/>
        <w:left w:val="none" w:sz="0" w:space="0" w:color="auto"/>
        <w:bottom w:val="none" w:sz="0" w:space="0" w:color="auto"/>
        <w:right w:val="none" w:sz="0" w:space="0" w:color="auto"/>
      </w:divBdr>
    </w:div>
    <w:div w:id="390615740">
      <w:bodyDiv w:val="1"/>
      <w:marLeft w:val="0"/>
      <w:marRight w:val="0"/>
      <w:marTop w:val="0"/>
      <w:marBottom w:val="0"/>
      <w:divBdr>
        <w:top w:val="none" w:sz="0" w:space="0" w:color="auto"/>
        <w:left w:val="none" w:sz="0" w:space="0" w:color="auto"/>
        <w:bottom w:val="none" w:sz="0" w:space="0" w:color="auto"/>
        <w:right w:val="none" w:sz="0" w:space="0" w:color="auto"/>
      </w:divBdr>
    </w:div>
    <w:div w:id="397290533">
      <w:bodyDiv w:val="1"/>
      <w:marLeft w:val="0"/>
      <w:marRight w:val="0"/>
      <w:marTop w:val="0"/>
      <w:marBottom w:val="0"/>
      <w:divBdr>
        <w:top w:val="none" w:sz="0" w:space="0" w:color="auto"/>
        <w:left w:val="none" w:sz="0" w:space="0" w:color="auto"/>
        <w:bottom w:val="none" w:sz="0" w:space="0" w:color="auto"/>
        <w:right w:val="none" w:sz="0" w:space="0" w:color="auto"/>
      </w:divBdr>
    </w:div>
    <w:div w:id="399210745">
      <w:bodyDiv w:val="1"/>
      <w:marLeft w:val="0"/>
      <w:marRight w:val="0"/>
      <w:marTop w:val="0"/>
      <w:marBottom w:val="0"/>
      <w:divBdr>
        <w:top w:val="none" w:sz="0" w:space="0" w:color="auto"/>
        <w:left w:val="none" w:sz="0" w:space="0" w:color="auto"/>
        <w:bottom w:val="none" w:sz="0" w:space="0" w:color="auto"/>
        <w:right w:val="none" w:sz="0" w:space="0" w:color="auto"/>
      </w:divBdr>
    </w:div>
    <w:div w:id="419642973">
      <w:bodyDiv w:val="1"/>
      <w:marLeft w:val="0"/>
      <w:marRight w:val="0"/>
      <w:marTop w:val="0"/>
      <w:marBottom w:val="0"/>
      <w:divBdr>
        <w:top w:val="none" w:sz="0" w:space="0" w:color="auto"/>
        <w:left w:val="none" w:sz="0" w:space="0" w:color="auto"/>
        <w:bottom w:val="none" w:sz="0" w:space="0" w:color="auto"/>
        <w:right w:val="none" w:sz="0" w:space="0" w:color="auto"/>
      </w:divBdr>
      <w:divsChild>
        <w:div w:id="22943319">
          <w:marLeft w:val="0"/>
          <w:marRight w:val="0"/>
          <w:marTop w:val="0"/>
          <w:marBottom w:val="0"/>
          <w:divBdr>
            <w:top w:val="none" w:sz="0" w:space="0" w:color="auto"/>
            <w:left w:val="none" w:sz="0" w:space="0" w:color="auto"/>
            <w:bottom w:val="none" w:sz="0" w:space="0" w:color="auto"/>
            <w:right w:val="none" w:sz="0" w:space="0" w:color="auto"/>
          </w:divBdr>
        </w:div>
        <w:div w:id="52198664">
          <w:marLeft w:val="0"/>
          <w:marRight w:val="0"/>
          <w:marTop w:val="0"/>
          <w:marBottom w:val="0"/>
          <w:divBdr>
            <w:top w:val="none" w:sz="0" w:space="0" w:color="auto"/>
            <w:left w:val="none" w:sz="0" w:space="0" w:color="auto"/>
            <w:bottom w:val="none" w:sz="0" w:space="0" w:color="auto"/>
            <w:right w:val="none" w:sz="0" w:space="0" w:color="auto"/>
          </w:divBdr>
        </w:div>
        <w:div w:id="79646566">
          <w:marLeft w:val="0"/>
          <w:marRight w:val="0"/>
          <w:marTop w:val="0"/>
          <w:marBottom w:val="0"/>
          <w:divBdr>
            <w:top w:val="none" w:sz="0" w:space="0" w:color="auto"/>
            <w:left w:val="none" w:sz="0" w:space="0" w:color="auto"/>
            <w:bottom w:val="none" w:sz="0" w:space="0" w:color="auto"/>
            <w:right w:val="none" w:sz="0" w:space="0" w:color="auto"/>
          </w:divBdr>
        </w:div>
        <w:div w:id="105775148">
          <w:marLeft w:val="0"/>
          <w:marRight w:val="0"/>
          <w:marTop w:val="0"/>
          <w:marBottom w:val="0"/>
          <w:divBdr>
            <w:top w:val="none" w:sz="0" w:space="0" w:color="auto"/>
            <w:left w:val="none" w:sz="0" w:space="0" w:color="auto"/>
            <w:bottom w:val="none" w:sz="0" w:space="0" w:color="auto"/>
            <w:right w:val="none" w:sz="0" w:space="0" w:color="auto"/>
          </w:divBdr>
        </w:div>
        <w:div w:id="117459562">
          <w:marLeft w:val="0"/>
          <w:marRight w:val="0"/>
          <w:marTop w:val="0"/>
          <w:marBottom w:val="0"/>
          <w:divBdr>
            <w:top w:val="none" w:sz="0" w:space="0" w:color="auto"/>
            <w:left w:val="none" w:sz="0" w:space="0" w:color="auto"/>
            <w:bottom w:val="none" w:sz="0" w:space="0" w:color="auto"/>
            <w:right w:val="none" w:sz="0" w:space="0" w:color="auto"/>
          </w:divBdr>
        </w:div>
        <w:div w:id="218051320">
          <w:marLeft w:val="0"/>
          <w:marRight w:val="0"/>
          <w:marTop w:val="0"/>
          <w:marBottom w:val="0"/>
          <w:divBdr>
            <w:top w:val="none" w:sz="0" w:space="0" w:color="auto"/>
            <w:left w:val="none" w:sz="0" w:space="0" w:color="auto"/>
            <w:bottom w:val="none" w:sz="0" w:space="0" w:color="auto"/>
            <w:right w:val="none" w:sz="0" w:space="0" w:color="auto"/>
          </w:divBdr>
        </w:div>
        <w:div w:id="257256364">
          <w:marLeft w:val="0"/>
          <w:marRight w:val="0"/>
          <w:marTop w:val="0"/>
          <w:marBottom w:val="0"/>
          <w:divBdr>
            <w:top w:val="none" w:sz="0" w:space="0" w:color="auto"/>
            <w:left w:val="none" w:sz="0" w:space="0" w:color="auto"/>
            <w:bottom w:val="none" w:sz="0" w:space="0" w:color="auto"/>
            <w:right w:val="none" w:sz="0" w:space="0" w:color="auto"/>
          </w:divBdr>
        </w:div>
        <w:div w:id="465508485">
          <w:marLeft w:val="0"/>
          <w:marRight w:val="0"/>
          <w:marTop w:val="0"/>
          <w:marBottom w:val="0"/>
          <w:divBdr>
            <w:top w:val="none" w:sz="0" w:space="0" w:color="auto"/>
            <w:left w:val="none" w:sz="0" w:space="0" w:color="auto"/>
            <w:bottom w:val="none" w:sz="0" w:space="0" w:color="auto"/>
            <w:right w:val="none" w:sz="0" w:space="0" w:color="auto"/>
          </w:divBdr>
        </w:div>
        <w:div w:id="486242030">
          <w:marLeft w:val="0"/>
          <w:marRight w:val="0"/>
          <w:marTop w:val="0"/>
          <w:marBottom w:val="0"/>
          <w:divBdr>
            <w:top w:val="none" w:sz="0" w:space="0" w:color="auto"/>
            <w:left w:val="none" w:sz="0" w:space="0" w:color="auto"/>
            <w:bottom w:val="none" w:sz="0" w:space="0" w:color="auto"/>
            <w:right w:val="none" w:sz="0" w:space="0" w:color="auto"/>
          </w:divBdr>
        </w:div>
        <w:div w:id="586963803">
          <w:marLeft w:val="0"/>
          <w:marRight w:val="0"/>
          <w:marTop w:val="0"/>
          <w:marBottom w:val="0"/>
          <w:divBdr>
            <w:top w:val="none" w:sz="0" w:space="0" w:color="auto"/>
            <w:left w:val="none" w:sz="0" w:space="0" w:color="auto"/>
            <w:bottom w:val="none" w:sz="0" w:space="0" w:color="auto"/>
            <w:right w:val="none" w:sz="0" w:space="0" w:color="auto"/>
          </w:divBdr>
        </w:div>
        <w:div w:id="605505968">
          <w:marLeft w:val="0"/>
          <w:marRight w:val="0"/>
          <w:marTop w:val="0"/>
          <w:marBottom w:val="0"/>
          <w:divBdr>
            <w:top w:val="none" w:sz="0" w:space="0" w:color="auto"/>
            <w:left w:val="none" w:sz="0" w:space="0" w:color="auto"/>
            <w:bottom w:val="none" w:sz="0" w:space="0" w:color="auto"/>
            <w:right w:val="none" w:sz="0" w:space="0" w:color="auto"/>
          </w:divBdr>
        </w:div>
        <w:div w:id="623385454">
          <w:marLeft w:val="0"/>
          <w:marRight w:val="0"/>
          <w:marTop w:val="0"/>
          <w:marBottom w:val="0"/>
          <w:divBdr>
            <w:top w:val="none" w:sz="0" w:space="0" w:color="auto"/>
            <w:left w:val="none" w:sz="0" w:space="0" w:color="auto"/>
            <w:bottom w:val="none" w:sz="0" w:space="0" w:color="auto"/>
            <w:right w:val="none" w:sz="0" w:space="0" w:color="auto"/>
          </w:divBdr>
        </w:div>
        <w:div w:id="693117915">
          <w:marLeft w:val="0"/>
          <w:marRight w:val="0"/>
          <w:marTop w:val="0"/>
          <w:marBottom w:val="0"/>
          <w:divBdr>
            <w:top w:val="none" w:sz="0" w:space="0" w:color="auto"/>
            <w:left w:val="none" w:sz="0" w:space="0" w:color="auto"/>
            <w:bottom w:val="none" w:sz="0" w:space="0" w:color="auto"/>
            <w:right w:val="none" w:sz="0" w:space="0" w:color="auto"/>
          </w:divBdr>
        </w:div>
        <w:div w:id="719019505">
          <w:marLeft w:val="0"/>
          <w:marRight w:val="0"/>
          <w:marTop w:val="0"/>
          <w:marBottom w:val="0"/>
          <w:divBdr>
            <w:top w:val="none" w:sz="0" w:space="0" w:color="auto"/>
            <w:left w:val="none" w:sz="0" w:space="0" w:color="auto"/>
            <w:bottom w:val="none" w:sz="0" w:space="0" w:color="auto"/>
            <w:right w:val="none" w:sz="0" w:space="0" w:color="auto"/>
          </w:divBdr>
        </w:div>
        <w:div w:id="726684542">
          <w:marLeft w:val="0"/>
          <w:marRight w:val="0"/>
          <w:marTop w:val="0"/>
          <w:marBottom w:val="0"/>
          <w:divBdr>
            <w:top w:val="none" w:sz="0" w:space="0" w:color="auto"/>
            <w:left w:val="none" w:sz="0" w:space="0" w:color="auto"/>
            <w:bottom w:val="none" w:sz="0" w:space="0" w:color="auto"/>
            <w:right w:val="none" w:sz="0" w:space="0" w:color="auto"/>
          </w:divBdr>
        </w:div>
        <w:div w:id="756293917">
          <w:marLeft w:val="0"/>
          <w:marRight w:val="0"/>
          <w:marTop w:val="0"/>
          <w:marBottom w:val="0"/>
          <w:divBdr>
            <w:top w:val="none" w:sz="0" w:space="0" w:color="auto"/>
            <w:left w:val="none" w:sz="0" w:space="0" w:color="auto"/>
            <w:bottom w:val="none" w:sz="0" w:space="0" w:color="auto"/>
            <w:right w:val="none" w:sz="0" w:space="0" w:color="auto"/>
          </w:divBdr>
        </w:div>
        <w:div w:id="1014186319">
          <w:marLeft w:val="0"/>
          <w:marRight w:val="0"/>
          <w:marTop w:val="0"/>
          <w:marBottom w:val="0"/>
          <w:divBdr>
            <w:top w:val="none" w:sz="0" w:space="0" w:color="auto"/>
            <w:left w:val="none" w:sz="0" w:space="0" w:color="auto"/>
            <w:bottom w:val="none" w:sz="0" w:space="0" w:color="auto"/>
            <w:right w:val="none" w:sz="0" w:space="0" w:color="auto"/>
          </w:divBdr>
        </w:div>
        <w:div w:id="1170634718">
          <w:marLeft w:val="0"/>
          <w:marRight w:val="0"/>
          <w:marTop w:val="0"/>
          <w:marBottom w:val="0"/>
          <w:divBdr>
            <w:top w:val="none" w:sz="0" w:space="0" w:color="auto"/>
            <w:left w:val="none" w:sz="0" w:space="0" w:color="auto"/>
            <w:bottom w:val="none" w:sz="0" w:space="0" w:color="auto"/>
            <w:right w:val="none" w:sz="0" w:space="0" w:color="auto"/>
          </w:divBdr>
        </w:div>
        <w:div w:id="1183327725">
          <w:marLeft w:val="0"/>
          <w:marRight w:val="0"/>
          <w:marTop w:val="0"/>
          <w:marBottom w:val="0"/>
          <w:divBdr>
            <w:top w:val="none" w:sz="0" w:space="0" w:color="auto"/>
            <w:left w:val="none" w:sz="0" w:space="0" w:color="auto"/>
            <w:bottom w:val="none" w:sz="0" w:space="0" w:color="auto"/>
            <w:right w:val="none" w:sz="0" w:space="0" w:color="auto"/>
          </w:divBdr>
        </w:div>
        <w:div w:id="1238174176">
          <w:marLeft w:val="0"/>
          <w:marRight w:val="0"/>
          <w:marTop w:val="0"/>
          <w:marBottom w:val="0"/>
          <w:divBdr>
            <w:top w:val="none" w:sz="0" w:space="0" w:color="auto"/>
            <w:left w:val="none" w:sz="0" w:space="0" w:color="auto"/>
            <w:bottom w:val="none" w:sz="0" w:space="0" w:color="auto"/>
            <w:right w:val="none" w:sz="0" w:space="0" w:color="auto"/>
          </w:divBdr>
        </w:div>
        <w:div w:id="1239973817">
          <w:marLeft w:val="0"/>
          <w:marRight w:val="0"/>
          <w:marTop w:val="0"/>
          <w:marBottom w:val="0"/>
          <w:divBdr>
            <w:top w:val="none" w:sz="0" w:space="0" w:color="auto"/>
            <w:left w:val="none" w:sz="0" w:space="0" w:color="auto"/>
            <w:bottom w:val="none" w:sz="0" w:space="0" w:color="auto"/>
            <w:right w:val="none" w:sz="0" w:space="0" w:color="auto"/>
          </w:divBdr>
        </w:div>
        <w:div w:id="1361470435">
          <w:marLeft w:val="0"/>
          <w:marRight w:val="0"/>
          <w:marTop w:val="0"/>
          <w:marBottom w:val="0"/>
          <w:divBdr>
            <w:top w:val="none" w:sz="0" w:space="0" w:color="auto"/>
            <w:left w:val="none" w:sz="0" w:space="0" w:color="auto"/>
            <w:bottom w:val="none" w:sz="0" w:space="0" w:color="auto"/>
            <w:right w:val="none" w:sz="0" w:space="0" w:color="auto"/>
          </w:divBdr>
        </w:div>
        <w:div w:id="1464232558">
          <w:marLeft w:val="0"/>
          <w:marRight w:val="0"/>
          <w:marTop w:val="0"/>
          <w:marBottom w:val="0"/>
          <w:divBdr>
            <w:top w:val="none" w:sz="0" w:space="0" w:color="auto"/>
            <w:left w:val="none" w:sz="0" w:space="0" w:color="auto"/>
            <w:bottom w:val="none" w:sz="0" w:space="0" w:color="auto"/>
            <w:right w:val="none" w:sz="0" w:space="0" w:color="auto"/>
          </w:divBdr>
        </w:div>
        <w:div w:id="1546063302">
          <w:marLeft w:val="0"/>
          <w:marRight w:val="0"/>
          <w:marTop w:val="0"/>
          <w:marBottom w:val="0"/>
          <w:divBdr>
            <w:top w:val="none" w:sz="0" w:space="0" w:color="auto"/>
            <w:left w:val="none" w:sz="0" w:space="0" w:color="auto"/>
            <w:bottom w:val="none" w:sz="0" w:space="0" w:color="auto"/>
            <w:right w:val="none" w:sz="0" w:space="0" w:color="auto"/>
          </w:divBdr>
        </w:div>
        <w:div w:id="1758013337">
          <w:marLeft w:val="0"/>
          <w:marRight w:val="0"/>
          <w:marTop w:val="0"/>
          <w:marBottom w:val="0"/>
          <w:divBdr>
            <w:top w:val="none" w:sz="0" w:space="0" w:color="auto"/>
            <w:left w:val="none" w:sz="0" w:space="0" w:color="auto"/>
            <w:bottom w:val="none" w:sz="0" w:space="0" w:color="auto"/>
            <w:right w:val="none" w:sz="0" w:space="0" w:color="auto"/>
          </w:divBdr>
        </w:div>
        <w:div w:id="1780639641">
          <w:marLeft w:val="0"/>
          <w:marRight w:val="0"/>
          <w:marTop w:val="0"/>
          <w:marBottom w:val="0"/>
          <w:divBdr>
            <w:top w:val="none" w:sz="0" w:space="0" w:color="auto"/>
            <w:left w:val="none" w:sz="0" w:space="0" w:color="auto"/>
            <w:bottom w:val="none" w:sz="0" w:space="0" w:color="auto"/>
            <w:right w:val="none" w:sz="0" w:space="0" w:color="auto"/>
          </w:divBdr>
        </w:div>
        <w:div w:id="1781021647">
          <w:marLeft w:val="0"/>
          <w:marRight w:val="0"/>
          <w:marTop w:val="0"/>
          <w:marBottom w:val="0"/>
          <w:divBdr>
            <w:top w:val="none" w:sz="0" w:space="0" w:color="auto"/>
            <w:left w:val="none" w:sz="0" w:space="0" w:color="auto"/>
            <w:bottom w:val="none" w:sz="0" w:space="0" w:color="auto"/>
            <w:right w:val="none" w:sz="0" w:space="0" w:color="auto"/>
          </w:divBdr>
        </w:div>
        <w:div w:id="2001958752">
          <w:marLeft w:val="0"/>
          <w:marRight w:val="0"/>
          <w:marTop w:val="0"/>
          <w:marBottom w:val="0"/>
          <w:divBdr>
            <w:top w:val="none" w:sz="0" w:space="0" w:color="auto"/>
            <w:left w:val="none" w:sz="0" w:space="0" w:color="auto"/>
            <w:bottom w:val="none" w:sz="0" w:space="0" w:color="auto"/>
            <w:right w:val="none" w:sz="0" w:space="0" w:color="auto"/>
          </w:divBdr>
        </w:div>
        <w:div w:id="2020934660">
          <w:marLeft w:val="0"/>
          <w:marRight w:val="0"/>
          <w:marTop w:val="0"/>
          <w:marBottom w:val="0"/>
          <w:divBdr>
            <w:top w:val="none" w:sz="0" w:space="0" w:color="auto"/>
            <w:left w:val="none" w:sz="0" w:space="0" w:color="auto"/>
            <w:bottom w:val="none" w:sz="0" w:space="0" w:color="auto"/>
            <w:right w:val="none" w:sz="0" w:space="0" w:color="auto"/>
          </w:divBdr>
        </w:div>
        <w:div w:id="2028024362">
          <w:marLeft w:val="0"/>
          <w:marRight w:val="0"/>
          <w:marTop w:val="0"/>
          <w:marBottom w:val="0"/>
          <w:divBdr>
            <w:top w:val="none" w:sz="0" w:space="0" w:color="auto"/>
            <w:left w:val="none" w:sz="0" w:space="0" w:color="auto"/>
            <w:bottom w:val="none" w:sz="0" w:space="0" w:color="auto"/>
            <w:right w:val="none" w:sz="0" w:space="0" w:color="auto"/>
          </w:divBdr>
        </w:div>
        <w:div w:id="2075203963">
          <w:marLeft w:val="0"/>
          <w:marRight w:val="0"/>
          <w:marTop w:val="0"/>
          <w:marBottom w:val="0"/>
          <w:divBdr>
            <w:top w:val="none" w:sz="0" w:space="0" w:color="auto"/>
            <w:left w:val="none" w:sz="0" w:space="0" w:color="auto"/>
            <w:bottom w:val="none" w:sz="0" w:space="0" w:color="auto"/>
            <w:right w:val="none" w:sz="0" w:space="0" w:color="auto"/>
          </w:divBdr>
        </w:div>
      </w:divsChild>
    </w:div>
    <w:div w:id="525101776">
      <w:bodyDiv w:val="1"/>
      <w:marLeft w:val="0"/>
      <w:marRight w:val="0"/>
      <w:marTop w:val="0"/>
      <w:marBottom w:val="0"/>
      <w:divBdr>
        <w:top w:val="none" w:sz="0" w:space="0" w:color="auto"/>
        <w:left w:val="none" w:sz="0" w:space="0" w:color="auto"/>
        <w:bottom w:val="none" w:sz="0" w:space="0" w:color="auto"/>
        <w:right w:val="none" w:sz="0" w:space="0" w:color="auto"/>
      </w:divBdr>
    </w:div>
    <w:div w:id="554699140">
      <w:bodyDiv w:val="1"/>
      <w:marLeft w:val="0"/>
      <w:marRight w:val="0"/>
      <w:marTop w:val="0"/>
      <w:marBottom w:val="0"/>
      <w:divBdr>
        <w:top w:val="none" w:sz="0" w:space="0" w:color="auto"/>
        <w:left w:val="none" w:sz="0" w:space="0" w:color="auto"/>
        <w:bottom w:val="none" w:sz="0" w:space="0" w:color="auto"/>
        <w:right w:val="none" w:sz="0" w:space="0" w:color="auto"/>
      </w:divBdr>
    </w:div>
    <w:div w:id="776871560">
      <w:bodyDiv w:val="1"/>
      <w:marLeft w:val="0"/>
      <w:marRight w:val="0"/>
      <w:marTop w:val="0"/>
      <w:marBottom w:val="0"/>
      <w:divBdr>
        <w:top w:val="none" w:sz="0" w:space="0" w:color="auto"/>
        <w:left w:val="none" w:sz="0" w:space="0" w:color="auto"/>
        <w:bottom w:val="none" w:sz="0" w:space="0" w:color="auto"/>
        <w:right w:val="none" w:sz="0" w:space="0" w:color="auto"/>
      </w:divBdr>
    </w:div>
    <w:div w:id="789208891">
      <w:bodyDiv w:val="1"/>
      <w:marLeft w:val="0"/>
      <w:marRight w:val="0"/>
      <w:marTop w:val="0"/>
      <w:marBottom w:val="0"/>
      <w:divBdr>
        <w:top w:val="none" w:sz="0" w:space="0" w:color="auto"/>
        <w:left w:val="none" w:sz="0" w:space="0" w:color="auto"/>
        <w:bottom w:val="none" w:sz="0" w:space="0" w:color="auto"/>
        <w:right w:val="none" w:sz="0" w:space="0" w:color="auto"/>
      </w:divBdr>
    </w:div>
    <w:div w:id="796677735">
      <w:bodyDiv w:val="1"/>
      <w:marLeft w:val="0"/>
      <w:marRight w:val="0"/>
      <w:marTop w:val="0"/>
      <w:marBottom w:val="0"/>
      <w:divBdr>
        <w:top w:val="none" w:sz="0" w:space="0" w:color="auto"/>
        <w:left w:val="none" w:sz="0" w:space="0" w:color="auto"/>
        <w:bottom w:val="none" w:sz="0" w:space="0" w:color="auto"/>
        <w:right w:val="none" w:sz="0" w:space="0" w:color="auto"/>
      </w:divBdr>
    </w:div>
    <w:div w:id="835917959">
      <w:bodyDiv w:val="1"/>
      <w:marLeft w:val="0"/>
      <w:marRight w:val="0"/>
      <w:marTop w:val="0"/>
      <w:marBottom w:val="0"/>
      <w:divBdr>
        <w:top w:val="none" w:sz="0" w:space="0" w:color="auto"/>
        <w:left w:val="none" w:sz="0" w:space="0" w:color="auto"/>
        <w:bottom w:val="none" w:sz="0" w:space="0" w:color="auto"/>
        <w:right w:val="none" w:sz="0" w:space="0" w:color="auto"/>
      </w:divBdr>
    </w:div>
    <w:div w:id="863520985">
      <w:bodyDiv w:val="1"/>
      <w:marLeft w:val="0"/>
      <w:marRight w:val="0"/>
      <w:marTop w:val="0"/>
      <w:marBottom w:val="0"/>
      <w:divBdr>
        <w:top w:val="none" w:sz="0" w:space="0" w:color="auto"/>
        <w:left w:val="none" w:sz="0" w:space="0" w:color="auto"/>
        <w:bottom w:val="none" w:sz="0" w:space="0" w:color="auto"/>
        <w:right w:val="none" w:sz="0" w:space="0" w:color="auto"/>
      </w:divBdr>
    </w:div>
    <w:div w:id="873276103">
      <w:bodyDiv w:val="1"/>
      <w:marLeft w:val="0"/>
      <w:marRight w:val="0"/>
      <w:marTop w:val="0"/>
      <w:marBottom w:val="0"/>
      <w:divBdr>
        <w:top w:val="none" w:sz="0" w:space="0" w:color="auto"/>
        <w:left w:val="none" w:sz="0" w:space="0" w:color="auto"/>
        <w:bottom w:val="none" w:sz="0" w:space="0" w:color="auto"/>
        <w:right w:val="none" w:sz="0" w:space="0" w:color="auto"/>
      </w:divBdr>
    </w:div>
    <w:div w:id="896282145">
      <w:bodyDiv w:val="1"/>
      <w:marLeft w:val="0"/>
      <w:marRight w:val="0"/>
      <w:marTop w:val="0"/>
      <w:marBottom w:val="0"/>
      <w:divBdr>
        <w:top w:val="none" w:sz="0" w:space="0" w:color="auto"/>
        <w:left w:val="none" w:sz="0" w:space="0" w:color="auto"/>
        <w:bottom w:val="none" w:sz="0" w:space="0" w:color="auto"/>
        <w:right w:val="none" w:sz="0" w:space="0" w:color="auto"/>
      </w:divBdr>
    </w:div>
    <w:div w:id="938365382">
      <w:bodyDiv w:val="1"/>
      <w:marLeft w:val="0"/>
      <w:marRight w:val="0"/>
      <w:marTop w:val="0"/>
      <w:marBottom w:val="0"/>
      <w:divBdr>
        <w:top w:val="none" w:sz="0" w:space="0" w:color="auto"/>
        <w:left w:val="none" w:sz="0" w:space="0" w:color="auto"/>
        <w:bottom w:val="none" w:sz="0" w:space="0" w:color="auto"/>
        <w:right w:val="none" w:sz="0" w:space="0" w:color="auto"/>
      </w:divBdr>
    </w:div>
    <w:div w:id="975791067">
      <w:bodyDiv w:val="1"/>
      <w:marLeft w:val="0"/>
      <w:marRight w:val="0"/>
      <w:marTop w:val="0"/>
      <w:marBottom w:val="0"/>
      <w:divBdr>
        <w:top w:val="none" w:sz="0" w:space="0" w:color="auto"/>
        <w:left w:val="none" w:sz="0" w:space="0" w:color="auto"/>
        <w:bottom w:val="none" w:sz="0" w:space="0" w:color="auto"/>
        <w:right w:val="none" w:sz="0" w:space="0" w:color="auto"/>
      </w:divBdr>
    </w:div>
    <w:div w:id="1010907921">
      <w:bodyDiv w:val="1"/>
      <w:marLeft w:val="0"/>
      <w:marRight w:val="0"/>
      <w:marTop w:val="0"/>
      <w:marBottom w:val="0"/>
      <w:divBdr>
        <w:top w:val="none" w:sz="0" w:space="0" w:color="auto"/>
        <w:left w:val="none" w:sz="0" w:space="0" w:color="auto"/>
        <w:bottom w:val="none" w:sz="0" w:space="0" w:color="auto"/>
        <w:right w:val="none" w:sz="0" w:space="0" w:color="auto"/>
      </w:divBdr>
    </w:div>
    <w:div w:id="1010989235">
      <w:bodyDiv w:val="1"/>
      <w:marLeft w:val="0"/>
      <w:marRight w:val="0"/>
      <w:marTop w:val="0"/>
      <w:marBottom w:val="0"/>
      <w:divBdr>
        <w:top w:val="none" w:sz="0" w:space="0" w:color="auto"/>
        <w:left w:val="none" w:sz="0" w:space="0" w:color="auto"/>
        <w:bottom w:val="none" w:sz="0" w:space="0" w:color="auto"/>
        <w:right w:val="none" w:sz="0" w:space="0" w:color="auto"/>
      </w:divBdr>
    </w:div>
    <w:div w:id="1024209681">
      <w:bodyDiv w:val="1"/>
      <w:marLeft w:val="0"/>
      <w:marRight w:val="0"/>
      <w:marTop w:val="0"/>
      <w:marBottom w:val="0"/>
      <w:divBdr>
        <w:top w:val="none" w:sz="0" w:space="0" w:color="auto"/>
        <w:left w:val="none" w:sz="0" w:space="0" w:color="auto"/>
        <w:bottom w:val="none" w:sz="0" w:space="0" w:color="auto"/>
        <w:right w:val="none" w:sz="0" w:space="0" w:color="auto"/>
      </w:divBdr>
    </w:div>
    <w:div w:id="1028413709">
      <w:bodyDiv w:val="1"/>
      <w:marLeft w:val="0"/>
      <w:marRight w:val="0"/>
      <w:marTop w:val="0"/>
      <w:marBottom w:val="0"/>
      <w:divBdr>
        <w:top w:val="none" w:sz="0" w:space="0" w:color="auto"/>
        <w:left w:val="none" w:sz="0" w:space="0" w:color="auto"/>
        <w:bottom w:val="none" w:sz="0" w:space="0" w:color="auto"/>
        <w:right w:val="none" w:sz="0" w:space="0" w:color="auto"/>
      </w:divBdr>
    </w:div>
    <w:div w:id="1103233572">
      <w:bodyDiv w:val="1"/>
      <w:marLeft w:val="0"/>
      <w:marRight w:val="0"/>
      <w:marTop w:val="0"/>
      <w:marBottom w:val="0"/>
      <w:divBdr>
        <w:top w:val="none" w:sz="0" w:space="0" w:color="auto"/>
        <w:left w:val="none" w:sz="0" w:space="0" w:color="auto"/>
        <w:bottom w:val="none" w:sz="0" w:space="0" w:color="auto"/>
        <w:right w:val="none" w:sz="0" w:space="0" w:color="auto"/>
      </w:divBdr>
    </w:div>
    <w:div w:id="1122462205">
      <w:bodyDiv w:val="1"/>
      <w:marLeft w:val="0"/>
      <w:marRight w:val="0"/>
      <w:marTop w:val="0"/>
      <w:marBottom w:val="0"/>
      <w:divBdr>
        <w:top w:val="none" w:sz="0" w:space="0" w:color="auto"/>
        <w:left w:val="none" w:sz="0" w:space="0" w:color="auto"/>
        <w:bottom w:val="none" w:sz="0" w:space="0" w:color="auto"/>
        <w:right w:val="none" w:sz="0" w:space="0" w:color="auto"/>
      </w:divBdr>
    </w:div>
    <w:div w:id="1195770781">
      <w:bodyDiv w:val="1"/>
      <w:marLeft w:val="0"/>
      <w:marRight w:val="0"/>
      <w:marTop w:val="0"/>
      <w:marBottom w:val="0"/>
      <w:divBdr>
        <w:top w:val="none" w:sz="0" w:space="0" w:color="auto"/>
        <w:left w:val="none" w:sz="0" w:space="0" w:color="auto"/>
        <w:bottom w:val="none" w:sz="0" w:space="0" w:color="auto"/>
        <w:right w:val="none" w:sz="0" w:space="0" w:color="auto"/>
      </w:divBdr>
    </w:div>
    <w:div w:id="1234320109">
      <w:bodyDiv w:val="1"/>
      <w:marLeft w:val="0"/>
      <w:marRight w:val="0"/>
      <w:marTop w:val="0"/>
      <w:marBottom w:val="0"/>
      <w:divBdr>
        <w:top w:val="none" w:sz="0" w:space="0" w:color="auto"/>
        <w:left w:val="none" w:sz="0" w:space="0" w:color="auto"/>
        <w:bottom w:val="none" w:sz="0" w:space="0" w:color="auto"/>
        <w:right w:val="none" w:sz="0" w:space="0" w:color="auto"/>
      </w:divBdr>
    </w:div>
    <w:div w:id="1279066132">
      <w:bodyDiv w:val="1"/>
      <w:marLeft w:val="0"/>
      <w:marRight w:val="0"/>
      <w:marTop w:val="0"/>
      <w:marBottom w:val="0"/>
      <w:divBdr>
        <w:top w:val="none" w:sz="0" w:space="0" w:color="auto"/>
        <w:left w:val="none" w:sz="0" w:space="0" w:color="auto"/>
        <w:bottom w:val="none" w:sz="0" w:space="0" w:color="auto"/>
        <w:right w:val="none" w:sz="0" w:space="0" w:color="auto"/>
      </w:divBdr>
    </w:div>
    <w:div w:id="1303731880">
      <w:bodyDiv w:val="1"/>
      <w:marLeft w:val="0"/>
      <w:marRight w:val="0"/>
      <w:marTop w:val="0"/>
      <w:marBottom w:val="0"/>
      <w:divBdr>
        <w:top w:val="none" w:sz="0" w:space="0" w:color="auto"/>
        <w:left w:val="none" w:sz="0" w:space="0" w:color="auto"/>
        <w:bottom w:val="none" w:sz="0" w:space="0" w:color="auto"/>
        <w:right w:val="none" w:sz="0" w:space="0" w:color="auto"/>
      </w:divBdr>
    </w:div>
    <w:div w:id="1304046044">
      <w:bodyDiv w:val="1"/>
      <w:marLeft w:val="0"/>
      <w:marRight w:val="0"/>
      <w:marTop w:val="0"/>
      <w:marBottom w:val="0"/>
      <w:divBdr>
        <w:top w:val="none" w:sz="0" w:space="0" w:color="auto"/>
        <w:left w:val="none" w:sz="0" w:space="0" w:color="auto"/>
        <w:bottom w:val="none" w:sz="0" w:space="0" w:color="auto"/>
        <w:right w:val="none" w:sz="0" w:space="0" w:color="auto"/>
      </w:divBdr>
    </w:div>
    <w:div w:id="1333951783">
      <w:bodyDiv w:val="1"/>
      <w:marLeft w:val="0"/>
      <w:marRight w:val="0"/>
      <w:marTop w:val="0"/>
      <w:marBottom w:val="0"/>
      <w:divBdr>
        <w:top w:val="none" w:sz="0" w:space="0" w:color="auto"/>
        <w:left w:val="none" w:sz="0" w:space="0" w:color="auto"/>
        <w:bottom w:val="none" w:sz="0" w:space="0" w:color="auto"/>
        <w:right w:val="none" w:sz="0" w:space="0" w:color="auto"/>
      </w:divBdr>
    </w:div>
    <w:div w:id="1369527771">
      <w:bodyDiv w:val="1"/>
      <w:marLeft w:val="0"/>
      <w:marRight w:val="0"/>
      <w:marTop w:val="0"/>
      <w:marBottom w:val="0"/>
      <w:divBdr>
        <w:top w:val="none" w:sz="0" w:space="0" w:color="auto"/>
        <w:left w:val="none" w:sz="0" w:space="0" w:color="auto"/>
        <w:bottom w:val="none" w:sz="0" w:space="0" w:color="auto"/>
        <w:right w:val="none" w:sz="0" w:space="0" w:color="auto"/>
      </w:divBdr>
    </w:div>
    <w:div w:id="1391077284">
      <w:bodyDiv w:val="1"/>
      <w:marLeft w:val="0"/>
      <w:marRight w:val="0"/>
      <w:marTop w:val="0"/>
      <w:marBottom w:val="0"/>
      <w:divBdr>
        <w:top w:val="none" w:sz="0" w:space="0" w:color="auto"/>
        <w:left w:val="none" w:sz="0" w:space="0" w:color="auto"/>
        <w:bottom w:val="none" w:sz="0" w:space="0" w:color="auto"/>
        <w:right w:val="none" w:sz="0" w:space="0" w:color="auto"/>
      </w:divBdr>
    </w:div>
    <w:div w:id="1394041088">
      <w:bodyDiv w:val="1"/>
      <w:marLeft w:val="0"/>
      <w:marRight w:val="0"/>
      <w:marTop w:val="0"/>
      <w:marBottom w:val="0"/>
      <w:divBdr>
        <w:top w:val="none" w:sz="0" w:space="0" w:color="auto"/>
        <w:left w:val="none" w:sz="0" w:space="0" w:color="auto"/>
        <w:bottom w:val="none" w:sz="0" w:space="0" w:color="auto"/>
        <w:right w:val="none" w:sz="0" w:space="0" w:color="auto"/>
      </w:divBdr>
    </w:div>
    <w:div w:id="1409497550">
      <w:bodyDiv w:val="1"/>
      <w:marLeft w:val="0"/>
      <w:marRight w:val="0"/>
      <w:marTop w:val="0"/>
      <w:marBottom w:val="0"/>
      <w:divBdr>
        <w:top w:val="none" w:sz="0" w:space="0" w:color="auto"/>
        <w:left w:val="none" w:sz="0" w:space="0" w:color="auto"/>
        <w:bottom w:val="none" w:sz="0" w:space="0" w:color="auto"/>
        <w:right w:val="none" w:sz="0" w:space="0" w:color="auto"/>
      </w:divBdr>
    </w:div>
    <w:div w:id="1423262299">
      <w:bodyDiv w:val="1"/>
      <w:marLeft w:val="0"/>
      <w:marRight w:val="0"/>
      <w:marTop w:val="0"/>
      <w:marBottom w:val="0"/>
      <w:divBdr>
        <w:top w:val="none" w:sz="0" w:space="0" w:color="auto"/>
        <w:left w:val="none" w:sz="0" w:space="0" w:color="auto"/>
        <w:bottom w:val="none" w:sz="0" w:space="0" w:color="auto"/>
        <w:right w:val="none" w:sz="0" w:space="0" w:color="auto"/>
      </w:divBdr>
    </w:div>
    <w:div w:id="1454246958">
      <w:bodyDiv w:val="1"/>
      <w:marLeft w:val="0"/>
      <w:marRight w:val="0"/>
      <w:marTop w:val="0"/>
      <w:marBottom w:val="0"/>
      <w:divBdr>
        <w:top w:val="none" w:sz="0" w:space="0" w:color="auto"/>
        <w:left w:val="none" w:sz="0" w:space="0" w:color="auto"/>
        <w:bottom w:val="none" w:sz="0" w:space="0" w:color="auto"/>
        <w:right w:val="none" w:sz="0" w:space="0" w:color="auto"/>
      </w:divBdr>
    </w:div>
    <w:div w:id="1480489710">
      <w:bodyDiv w:val="1"/>
      <w:marLeft w:val="0"/>
      <w:marRight w:val="0"/>
      <w:marTop w:val="0"/>
      <w:marBottom w:val="0"/>
      <w:divBdr>
        <w:top w:val="none" w:sz="0" w:space="0" w:color="auto"/>
        <w:left w:val="none" w:sz="0" w:space="0" w:color="auto"/>
        <w:bottom w:val="none" w:sz="0" w:space="0" w:color="auto"/>
        <w:right w:val="none" w:sz="0" w:space="0" w:color="auto"/>
      </w:divBdr>
    </w:div>
    <w:div w:id="1484548122">
      <w:bodyDiv w:val="1"/>
      <w:marLeft w:val="0"/>
      <w:marRight w:val="0"/>
      <w:marTop w:val="0"/>
      <w:marBottom w:val="0"/>
      <w:divBdr>
        <w:top w:val="none" w:sz="0" w:space="0" w:color="auto"/>
        <w:left w:val="none" w:sz="0" w:space="0" w:color="auto"/>
        <w:bottom w:val="none" w:sz="0" w:space="0" w:color="auto"/>
        <w:right w:val="none" w:sz="0" w:space="0" w:color="auto"/>
      </w:divBdr>
    </w:div>
    <w:div w:id="1647122191">
      <w:bodyDiv w:val="1"/>
      <w:marLeft w:val="0"/>
      <w:marRight w:val="0"/>
      <w:marTop w:val="0"/>
      <w:marBottom w:val="0"/>
      <w:divBdr>
        <w:top w:val="none" w:sz="0" w:space="0" w:color="auto"/>
        <w:left w:val="none" w:sz="0" w:space="0" w:color="auto"/>
        <w:bottom w:val="none" w:sz="0" w:space="0" w:color="auto"/>
        <w:right w:val="none" w:sz="0" w:space="0" w:color="auto"/>
      </w:divBdr>
    </w:div>
    <w:div w:id="1653440414">
      <w:bodyDiv w:val="1"/>
      <w:marLeft w:val="0"/>
      <w:marRight w:val="0"/>
      <w:marTop w:val="0"/>
      <w:marBottom w:val="0"/>
      <w:divBdr>
        <w:top w:val="none" w:sz="0" w:space="0" w:color="auto"/>
        <w:left w:val="none" w:sz="0" w:space="0" w:color="auto"/>
        <w:bottom w:val="none" w:sz="0" w:space="0" w:color="auto"/>
        <w:right w:val="none" w:sz="0" w:space="0" w:color="auto"/>
      </w:divBdr>
    </w:div>
    <w:div w:id="1654137214">
      <w:bodyDiv w:val="1"/>
      <w:marLeft w:val="0"/>
      <w:marRight w:val="0"/>
      <w:marTop w:val="0"/>
      <w:marBottom w:val="0"/>
      <w:divBdr>
        <w:top w:val="none" w:sz="0" w:space="0" w:color="auto"/>
        <w:left w:val="none" w:sz="0" w:space="0" w:color="auto"/>
        <w:bottom w:val="none" w:sz="0" w:space="0" w:color="auto"/>
        <w:right w:val="none" w:sz="0" w:space="0" w:color="auto"/>
      </w:divBdr>
    </w:div>
    <w:div w:id="1715231078">
      <w:bodyDiv w:val="1"/>
      <w:marLeft w:val="0"/>
      <w:marRight w:val="0"/>
      <w:marTop w:val="0"/>
      <w:marBottom w:val="0"/>
      <w:divBdr>
        <w:top w:val="none" w:sz="0" w:space="0" w:color="auto"/>
        <w:left w:val="none" w:sz="0" w:space="0" w:color="auto"/>
        <w:bottom w:val="none" w:sz="0" w:space="0" w:color="auto"/>
        <w:right w:val="none" w:sz="0" w:space="0" w:color="auto"/>
      </w:divBdr>
      <w:divsChild>
        <w:div w:id="69646319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743985616">
      <w:bodyDiv w:val="1"/>
      <w:marLeft w:val="0"/>
      <w:marRight w:val="0"/>
      <w:marTop w:val="0"/>
      <w:marBottom w:val="0"/>
      <w:divBdr>
        <w:top w:val="none" w:sz="0" w:space="0" w:color="auto"/>
        <w:left w:val="none" w:sz="0" w:space="0" w:color="auto"/>
        <w:bottom w:val="none" w:sz="0" w:space="0" w:color="auto"/>
        <w:right w:val="none" w:sz="0" w:space="0" w:color="auto"/>
      </w:divBdr>
    </w:div>
    <w:div w:id="1772507230">
      <w:bodyDiv w:val="1"/>
      <w:marLeft w:val="0"/>
      <w:marRight w:val="0"/>
      <w:marTop w:val="0"/>
      <w:marBottom w:val="0"/>
      <w:divBdr>
        <w:top w:val="none" w:sz="0" w:space="0" w:color="auto"/>
        <w:left w:val="none" w:sz="0" w:space="0" w:color="auto"/>
        <w:bottom w:val="none" w:sz="0" w:space="0" w:color="auto"/>
        <w:right w:val="none" w:sz="0" w:space="0" w:color="auto"/>
      </w:divBdr>
      <w:divsChild>
        <w:div w:id="1235778064">
          <w:marLeft w:val="0"/>
          <w:marRight w:val="0"/>
          <w:marTop w:val="0"/>
          <w:marBottom w:val="0"/>
          <w:divBdr>
            <w:top w:val="none" w:sz="0" w:space="0" w:color="auto"/>
            <w:left w:val="none" w:sz="0" w:space="0" w:color="auto"/>
            <w:bottom w:val="none" w:sz="0" w:space="0" w:color="auto"/>
            <w:right w:val="none" w:sz="0" w:space="0" w:color="auto"/>
          </w:divBdr>
          <w:divsChild>
            <w:div w:id="61565861">
              <w:marLeft w:val="0"/>
              <w:marRight w:val="0"/>
              <w:marTop w:val="0"/>
              <w:marBottom w:val="0"/>
              <w:divBdr>
                <w:top w:val="none" w:sz="0" w:space="0" w:color="auto"/>
                <w:left w:val="none" w:sz="0" w:space="0" w:color="auto"/>
                <w:bottom w:val="none" w:sz="0" w:space="0" w:color="auto"/>
                <w:right w:val="none" w:sz="0" w:space="0" w:color="auto"/>
              </w:divBdr>
              <w:divsChild>
                <w:div w:id="1219974914">
                  <w:marLeft w:val="0"/>
                  <w:marRight w:val="0"/>
                  <w:marTop w:val="0"/>
                  <w:marBottom w:val="0"/>
                  <w:divBdr>
                    <w:top w:val="none" w:sz="0" w:space="0" w:color="auto"/>
                    <w:left w:val="none" w:sz="0" w:space="0" w:color="auto"/>
                    <w:bottom w:val="none" w:sz="0" w:space="0" w:color="auto"/>
                    <w:right w:val="none" w:sz="0" w:space="0" w:color="auto"/>
                  </w:divBdr>
                  <w:divsChild>
                    <w:div w:id="1544756228">
                      <w:marLeft w:val="0"/>
                      <w:marRight w:val="0"/>
                      <w:marTop w:val="0"/>
                      <w:marBottom w:val="0"/>
                      <w:divBdr>
                        <w:top w:val="none" w:sz="0" w:space="0" w:color="auto"/>
                        <w:left w:val="none" w:sz="0" w:space="0" w:color="auto"/>
                        <w:bottom w:val="none" w:sz="0" w:space="0" w:color="auto"/>
                        <w:right w:val="none" w:sz="0" w:space="0" w:color="auto"/>
                      </w:divBdr>
                      <w:divsChild>
                        <w:div w:id="1848594323">
                          <w:marLeft w:val="0"/>
                          <w:marRight w:val="0"/>
                          <w:marTop w:val="0"/>
                          <w:marBottom w:val="0"/>
                          <w:divBdr>
                            <w:top w:val="none" w:sz="0" w:space="0" w:color="auto"/>
                            <w:left w:val="none" w:sz="0" w:space="0" w:color="auto"/>
                            <w:bottom w:val="none" w:sz="0" w:space="0" w:color="auto"/>
                            <w:right w:val="none" w:sz="0" w:space="0" w:color="auto"/>
                          </w:divBdr>
                          <w:divsChild>
                            <w:div w:id="197787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599725">
      <w:bodyDiv w:val="1"/>
      <w:marLeft w:val="0"/>
      <w:marRight w:val="0"/>
      <w:marTop w:val="0"/>
      <w:marBottom w:val="0"/>
      <w:divBdr>
        <w:top w:val="none" w:sz="0" w:space="0" w:color="auto"/>
        <w:left w:val="none" w:sz="0" w:space="0" w:color="auto"/>
        <w:bottom w:val="none" w:sz="0" w:space="0" w:color="auto"/>
        <w:right w:val="none" w:sz="0" w:space="0" w:color="auto"/>
      </w:divBdr>
    </w:div>
    <w:div w:id="1941066282">
      <w:bodyDiv w:val="1"/>
      <w:marLeft w:val="0"/>
      <w:marRight w:val="0"/>
      <w:marTop w:val="0"/>
      <w:marBottom w:val="0"/>
      <w:divBdr>
        <w:top w:val="none" w:sz="0" w:space="0" w:color="auto"/>
        <w:left w:val="none" w:sz="0" w:space="0" w:color="auto"/>
        <w:bottom w:val="none" w:sz="0" w:space="0" w:color="auto"/>
        <w:right w:val="none" w:sz="0" w:space="0" w:color="auto"/>
      </w:divBdr>
    </w:div>
    <w:div w:id="1990787527">
      <w:bodyDiv w:val="1"/>
      <w:marLeft w:val="0"/>
      <w:marRight w:val="0"/>
      <w:marTop w:val="0"/>
      <w:marBottom w:val="0"/>
      <w:divBdr>
        <w:top w:val="none" w:sz="0" w:space="0" w:color="auto"/>
        <w:left w:val="none" w:sz="0" w:space="0" w:color="auto"/>
        <w:bottom w:val="none" w:sz="0" w:space="0" w:color="auto"/>
        <w:right w:val="none" w:sz="0" w:space="0" w:color="auto"/>
      </w:divBdr>
    </w:div>
    <w:div w:id="2042898145">
      <w:bodyDiv w:val="1"/>
      <w:marLeft w:val="0"/>
      <w:marRight w:val="0"/>
      <w:marTop w:val="0"/>
      <w:marBottom w:val="0"/>
      <w:divBdr>
        <w:top w:val="none" w:sz="0" w:space="0" w:color="auto"/>
        <w:left w:val="none" w:sz="0" w:space="0" w:color="auto"/>
        <w:bottom w:val="none" w:sz="0" w:space="0" w:color="auto"/>
        <w:right w:val="none" w:sz="0" w:space="0" w:color="auto"/>
      </w:divBdr>
    </w:div>
    <w:div w:id="2107647766">
      <w:bodyDiv w:val="1"/>
      <w:marLeft w:val="0"/>
      <w:marRight w:val="0"/>
      <w:marTop w:val="0"/>
      <w:marBottom w:val="0"/>
      <w:divBdr>
        <w:top w:val="none" w:sz="0" w:space="0" w:color="auto"/>
        <w:left w:val="none" w:sz="0" w:space="0" w:color="auto"/>
        <w:bottom w:val="none" w:sz="0" w:space="0" w:color="auto"/>
        <w:right w:val="none" w:sz="0" w:space="0" w:color="auto"/>
      </w:divBdr>
    </w:div>
    <w:div w:id="2135899287">
      <w:bodyDiv w:val="1"/>
      <w:marLeft w:val="0"/>
      <w:marRight w:val="0"/>
      <w:marTop w:val="0"/>
      <w:marBottom w:val="0"/>
      <w:divBdr>
        <w:top w:val="none" w:sz="0" w:space="0" w:color="auto"/>
        <w:left w:val="none" w:sz="0" w:space="0" w:color="auto"/>
        <w:bottom w:val="none" w:sz="0" w:space="0" w:color="auto"/>
        <w:right w:val="none" w:sz="0" w:space="0" w:color="auto"/>
      </w:divBdr>
    </w:div>
    <w:div w:id="2140563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eli/reg/2012/967/oj/?locale=LV" TargetMode="External"/><Relationship Id="rId2" Type="http://schemas.openxmlformats.org/officeDocument/2006/relationships/hyperlink" Target="http://eur-lex.europa.eu/eli/dir/2006/112/oj/?locale=LV" TargetMode="External"/><Relationship Id="rId1" Type="http://schemas.openxmlformats.org/officeDocument/2006/relationships/hyperlink" Target="http://eur-lex.europa.eu/eli/reg_impl/2011/282/oj/?locale=LV" TargetMode="External"/><Relationship Id="rId4" Type="http://schemas.openxmlformats.org/officeDocument/2006/relationships/hyperlink" Target="http://eur-lex.europa.eu/eli/reg_impl/2011/282/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DC8DD-B8D3-4340-BCC1-2A1F9C5FE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14369</Words>
  <Characters>8191</Characters>
  <Application>Microsoft Office Word</Application>
  <DocSecurity>0</DocSecurity>
  <Lines>68</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2013.gada 3.janvāra noteikumos Nr.17 “Pievienotās vērtības nodokļa likuma normu piemērošanas kārtība un atsevišķas prasības pievienotās vērtības nodokļa maksāšanai un administrēšanai”” sāko</vt:lpstr>
      <vt:lpstr>Anotācija likumprojektam "Grozījumi likumā "Par pievienotās vērtības nodokli""</vt:lpstr>
    </vt:vector>
  </TitlesOfParts>
  <Company>Finanšu ministrija</Company>
  <LinksUpToDate>false</LinksUpToDate>
  <CharactersWithSpaces>22515</CharactersWithSpaces>
  <SharedDoc>false</SharedDoc>
  <HLinks>
    <vt:vector size="6" baseType="variant">
      <vt:variant>
        <vt:i4>7340153</vt:i4>
      </vt:variant>
      <vt:variant>
        <vt:i4>0</vt:i4>
      </vt:variant>
      <vt:variant>
        <vt:i4>0</vt:i4>
      </vt:variant>
      <vt:variant>
        <vt:i4>5</vt:i4>
      </vt:variant>
      <vt:variant>
        <vt:lpwstr>https://mk.gov.lv/content/ministru-kabineta-diskusiju-dokumenti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3.janvāra noteikumos Nr.17 “Pievienotās vērtības nodokļa likuma normu piemērošanas kārtība un atsevišķas prasības pievienotās vērtības nodokļa maksāšanai un administrēšanai”” sākotnējās ietekmes novērtējuma ziņojums (anotācija)</dc:title>
  <dc:subject>Ministru kabineta noteikumu projekta anotācija</dc:subject>
  <dc:creator>Jeļena Kuhaļska</dc:creator>
  <cp:keywords/>
  <dc:description>Jeļena.Kuhalska@fm.gov.lv_x000d_
tālr. 67083849</dc:description>
  <cp:lastModifiedBy>Jeļena Kuhaļska</cp:lastModifiedBy>
  <cp:revision>10</cp:revision>
  <cp:lastPrinted>2017-11-14T14:43:00Z</cp:lastPrinted>
  <dcterms:created xsi:type="dcterms:W3CDTF">2019-06-14T07:54:00Z</dcterms:created>
  <dcterms:modified xsi:type="dcterms:W3CDTF">2019-06-18T13:35:00Z</dcterms:modified>
</cp:coreProperties>
</file>