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215F" w14:textId="77777777" w:rsidR="007116C7" w:rsidRPr="00E62CB7" w:rsidRDefault="007116C7" w:rsidP="00DB7395">
      <w:pPr>
        <w:pStyle w:val="naisnod"/>
        <w:spacing w:before="0" w:after="0"/>
        <w:ind w:firstLine="720"/>
        <w:rPr>
          <w:sz w:val="22"/>
          <w:szCs w:val="22"/>
        </w:rPr>
      </w:pPr>
      <w:bookmarkStart w:id="0" w:name="_GoBack"/>
      <w:bookmarkEnd w:id="0"/>
      <w:r w:rsidRPr="00E62CB7">
        <w:rPr>
          <w:sz w:val="22"/>
          <w:szCs w:val="22"/>
        </w:rPr>
        <w:t>Izziņa par atzinumos sniegtajiem iebildumiem</w:t>
      </w:r>
    </w:p>
    <w:p w14:paraId="4C00118D" w14:textId="77777777" w:rsidR="007116C7" w:rsidRPr="00E62CB7" w:rsidRDefault="007116C7" w:rsidP="00DB7395">
      <w:pPr>
        <w:pStyle w:val="naisf"/>
        <w:spacing w:before="0" w:after="0"/>
        <w:ind w:firstLine="720"/>
        <w:rPr>
          <w:sz w:val="22"/>
          <w:szCs w:val="22"/>
        </w:rPr>
      </w:pPr>
    </w:p>
    <w:tbl>
      <w:tblPr>
        <w:tblW w:w="0" w:type="auto"/>
        <w:jc w:val="center"/>
        <w:tblLook w:val="00A0" w:firstRow="1" w:lastRow="0" w:firstColumn="1" w:lastColumn="0" w:noHBand="0" w:noVBand="0"/>
      </w:tblPr>
      <w:tblGrid>
        <w:gridCol w:w="10472"/>
      </w:tblGrid>
      <w:tr w:rsidR="007116C7" w:rsidRPr="00E62CB7" w14:paraId="6BB94329" w14:textId="77777777" w:rsidTr="00B84EE4">
        <w:trPr>
          <w:jc w:val="center"/>
        </w:trPr>
        <w:tc>
          <w:tcPr>
            <w:tcW w:w="10472" w:type="dxa"/>
            <w:tcBorders>
              <w:bottom w:val="single" w:sz="6" w:space="0" w:color="000000"/>
            </w:tcBorders>
          </w:tcPr>
          <w:p w14:paraId="39AE3879" w14:textId="01EE6CF1" w:rsidR="007116C7" w:rsidRPr="00E62CB7" w:rsidRDefault="00411CCD" w:rsidP="00B4637A">
            <w:pPr>
              <w:jc w:val="center"/>
              <w:rPr>
                <w:b/>
                <w:bCs/>
                <w:sz w:val="22"/>
                <w:szCs w:val="22"/>
              </w:rPr>
            </w:pPr>
            <w:r w:rsidRPr="00E62CB7">
              <w:rPr>
                <w:sz w:val="22"/>
                <w:szCs w:val="22"/>
              </w:rPr>
              <w:t>Ministru kabineta noteikumu projekts “</w:t>
            </w:r>
            <w:r w:rsidR="00F850C7" w:rsidRPr="00E62CB7">
              <w:rPr>
                <w:sz w:val="22"/>
                <w:szCs w:val="22"/>
              </w:rPr>
              <w:t>Grozījumi Ministru kabineta 2017.gada 14.novembra noteikumos Nr.677 “Uzņēmumu ienākuma nodokļa likuma normu piemērošanas noteikumi”</w:t>
            </w:r>
            <w:r w:rsidRPr="00E62CB7">
              <w:rPr>
                <w:sz w:val="22"/>
                <w:szCs w:val="22"/>
              </w:rPr>
              <w:t>”</w:t>
            </w:r>
          </w:p>
        </w:tc>
      </w:tr>
    </w:tbl>
    <w:p w14:paraId="3D52677E" w14:textId="77777777" w:rsidR="007B4C0F" w:rsidRPr="00E62CB7" w:rsidRDefault="007B4C0F" w:rsidP="0052490D">
      <w:pPr>
        <w:pStyle w:val="naisf"/>
        <w:spacing w:before="0" w:after="0"/>
        <w:ind w:firstLine="0"/>
        <w:rPr>
          <w:sz w:val="22"/>
          <w:szCs w:val="22"/>
        </w:rPr>
      </w:pPr>
    </w:p>
    <w:p w14:paraId="1D592052" w14:textId="77777777" w:rsidR="007B4C0F" w:rsidRPr="00E62CB7" w:rsidRDefault="007B4C0F" w:rsidP="00184479">
      <w:pPr>
        <w:pStyle w:val="naisf"/>
        <w:spacing w:before="0" w:after="0"/>
        <w:ind w:firstLine="0"/>
        <w:jc w:val="center"/>
        <w:rPr>
          <w:b/>
          <w:sz w:val="22"/>
          <w:szCs w:val="22"/>
        </w:rPr>
      </w:pPr>
      <w:r w:rsidRPr="00E62CB7">
        <w:rPr>
          <w:b/>
          <w:sz w:val="22"/>
          <w:szCs w:val="22"/>
        </w:rPr>
        <w:t xml:space="preserve">I. Jautājumi, par kuriem saskaņošanā </w:t>
      </w:r>
      <w:r w:rsidR="00134188" w:rsidRPr="00E62CB7">
        <w:rPr>
          <w:b/>
          <w:sz w:val="22"/>
          <w:szCs w:val="22"/>
        </w:rPr>
        <w:t xml:space="preserve">vienošanās </w:t>
      </w:r>
      <w:r w:rsidRPr="00E62CB7">
        <w:rPr>
          <w:b/>
          <w:sz w:val="22"/>
          <w:szCs w:val="22"/>
        </w:rPr>
        <w:t>nav panākta</w:t>
      </w:r>
    </w:p>
    <w:p w14:paraId="7F39B191" w14:textId="77777777" w:rsidR="007B4C0F" w:rsidRPr="00E62CB7" w:rsidRDefault="007B4C0F" w:rsidP="00DB7395">
      <w:pPr>
        <w:pStyle w:val="naisf"/>
        <w:spacing w:before="0" w:after="0"/>
        <w:ind w:firstLine="72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72"/>
        <w:gridCol w:w="2571"/>
        <w:gridCol w:w="3776"/>
        <w:gridCol w:w="2293"/>
        <w:gridCol w:w="2923"/>
        <w:gridCol w:w="1755"/>
      </w:tblGrid>
      <w:tr w:rsidR="00C468A5" w:rsidRPr="00E62CB7" w14:paraId="5530610D" w14:textId="77777777" w:rsidTr="008D636F">
        <w:tc>
          <w:tcPr>
            <w:tcW w:w="0" w:type="auto"/>
            <w:tcBorders>
              <w:top w:val="single" w:sz="6" w:space="0" w:color="000000"/>
              <w:left w:val="single" w:sz="6" w:space="0" w:color="000000"/>
              <w:bottom w:val="single" w:sz="6" w:space="0" w:color="000000"/>
              <w:right w:val="single" w:sz="6" w:space="0" w:color="000000"/>
            </w:tcBorders>
            <w:vAlign w:val="center"/>
          </w:tcPr>
          <w:p w14:paraId="635E0853" w14:textId="77777777" w:rsidR="005F4BFD" w:rsidRPr="00E62CB7" w:rsidRDefault="005F4BFD" w:rsidP="0036160E">
            <w:pPr>
              <w:pStyle w:val="naisc"/>
              <w:spacing w:before="0" w:after="0"/>
              <w:rPr>
                <w:sz w:val="22"/>
                <w:szCs w:val="22"/>
              </w:rPr>
            </w:pPr>
            <w:r w:rsidRPr="00E62CB7">
              <w:rPr>
                <w:sz w:val="22"/>
                <w:szCs w:val="22"/>
              </w:rPr>
              <w:t>Nr. p.</w:t>
            </w:r>
            <w:r w:rsidR="00D64FB0" w:rsidRPr="00E62CB7">
              <w:rPr>
                <w:sz w:val="22"/>
                <w:szCs w:val="22"/>
              </w:rPr>
              <w:t> </w:t>
            </w:r>
            <w:r w:rsidRPr="00E62CB7">
              <w:rPr>
                <w:sz w:val="22"/>
                <w:szCs w:val="22"/>
              </w:rPr>
              <w:t>k.</w:t>
            </w:r>
          </w:p>
        </w:tc>
        <w:tc>
          <w:tcPr>
            <w:tcW w:w="0" w:type="auto"/>
            <w:tcBorders>
              <w:top w:val="single" w:sz="6" w:space="0" w:color="000000"/>
              <w:left w:val="single" w:sz="6" w:space="0" w:color="000000"/>
              <w:bottom w:val="single" w:sz="6" w:space="0" w:color="000000"/>
              <w:right w:val="single" w:sz="6" w:space="0" w:color="000000"/>
            </w:tcBorders>
            <w:vAlign w:val="center"/>
          </w:tcPr>
          <w:p w14:paraId="297253B6" w14:textId="77777777" w:rsidR="005F4BFD" w:rsidRPr="00E62CB7" w:rsidRDefault="005F4BFD" w:rsidP="00364BB6">
            <w:pPr>
              <w:pStyle w:val="naisc"/>
              <w:spacing w:before="0" w:after="0"/>
              <w:ind w:firstLine="12"/>
              <w:rPr>
                <w:sz w:val="22"/>
                <w:szCs w:val="22"/>
              </w:rPr>
            </w:pPr>
            <w:r w:rsidRPr="00E62CB7">
              <w:rPr>
                <w:sz w:val="22"/>
                <w:szCs w:val="22"/>
              </w:rPr>
              <w:t>Saskaņošanai nosūtītā projekta redakcija (konkrēta punkta (panta) redakcija)</w:t>
            </w:r>
          </w:p>
        </w:tc>
        <w:tc>
          <w:tcPr>
            <w:tcW w:w="0" w:type="auto"/>
            <w:tcBorders>
              <w:top w:val="single" w:sz="6" w:space="0" w:color="000000"/>
              <w:left w:val="single" w:sz="6" w:space="0" w:color="000000"/>
              <w:bottom w:val="single" w:sz="6" w:space="0" w:color="000000"/>
              <w:right w:val="single" w:sz="6" w:space="0" w:color="000000"/>
            </w:tcBorders>
            <w:vAlign w:val="center"/>
          </w:tcPr>
          <w:p w14:paraId="220234C0" w14:textId="77777777" w:rsidR="005F4BFD" w:rsidRPr="00E62CB7" w:rsidRDefault="005F4BFD" w:rsidP="00364BB6">
            <w:pPr>
              <w:pStyle w:val="naisc"/>
              <w:spacing w:before="0" w:after="0"/>
              <w:ind w:right="3"/>
              <w:rPr>
                <w:sz w:val="22"/>
                <w:szCs w:val="22"/>
              </w:rPr>
            </w:pPr>
            <w:r w:rsidRPr="00E62CB7">
              <w:rPr>
                <w:sz w:val="22"/>
                <w:szCs w:val="22"/>
              </w:rPr>
              <w:t>Atzinumā norādītais ministrijas (citas institūcijas) iebildums</w:t>
            </w:r>
            <w:r w:rsidR="00184479" w:rsidRPr="00E62CB7">
              <w:rPr>
                <w:sz w:val="22"/>
                <w:szCs w:val="22"/>
              </w:rPr>
              <w:t>,</w:t>
            </w:r>
            <w:r w:rsidR="000E5509" w:rsidRPr="00E62CB7">
              <w:rPr>
                <w:sz w:val="22"/>
                <w:szCs w:val="22"/>
              </w:rPr>
              <w:t xml:space="preserve"> kā arī saskaņošanā papildus izteiktais iebildums</w:t>
            </w:r>
            <w:r w:rsidRPr="00E62CB7">
              <w:rPr>
                <w:sz w:val="22"/>
                <w:szCs w:val="22"/>
              </w:rPr>
              <w:t xml:space="preserve"> par projekta konkrēto punktu (pantu)</w:t>
            </w:r>
          </w:p>
        </w:tc>
        <w:tc>
          <w:tcPr>
            <w:tcW w:w="0" w:type="auto"/>
            <w:tcBorders>
              <w:top w:val="single" w:sz="6" w:space="0" w:color="000000"/>
              <w:left w:val="single" w:sz="6" w:space="0" w:color="000000"/>
              <w:bottom w:val="single" w:sz="6" w:space="0" w:color="000000"/>
              <w:right w:val="single" w:sz="6" w:space="0" w:color="000000"/>
            </w:tcBorders>
            <w:vAlign w:val="center"/>
          </w:tcPr>
          <w:p w14:paraId="49AE761A" w14:textId="77777777" w:rsidR="005F4BFD" w:rsidRPr="00E62CB7" w:rsidRDefault="005F4BFD" w:rsidP="00364BB6">
            <w:pPr>
              <w:pStyle w:val="naisc"/>
              <w:spacing w:before="0" w:after="0"/>
              <w:ind w:firstLine="21"/>
              <w:rPr>
                <w:sz w:val="22"/>
                <w:szCs w:val="22"/>
              </w:rPr>
            </w:pPr>
            <w:r w:rsidRPr="00E62CB7">
              <w:rPr>
                <w:sz w:val="22"/>
                <w:szCs w:val="22"/>
              </w:rPr>
              <w:t>Atbildīgās ministrijas pamatojums</w:t>
            </w:r>
            <w:r w:rsidR="009307F2" w:rsidRPr="00E62CB7">
              <w:rPr>
                <w:sz w:val="22"/>
                <w:szCs w:val="22"/>
              </w:rPr>
              <w:t xml:space="preserve"> iebilduma noraidījumam</w:t>
            </w:r>
          </w:p>
        </w:tc>
        <w:tc>
          <w:tcPr>
            <w:tcW w:w="0" w:type="auto"/>
            <w:tcBorders>
              <w:top w:val="single" w:sz="4" w:space="0" w:color="auto"/>
              <w:left w:val="single" w:sz="4" w:space="0" w:color="auto"/>
              <w:bottom w:val="single" w:sz="4" w:space="0" w:color="auto"/>
              <w:right w:val="single" w:sz="4" w:space="0" w:color="auto"/>
            </w:tcBorders>
            <w:vAlign w:val="center"/>
          </w:tcPr>
          <w:p w14:paraId="44F5A0CE" w14:textId="77777777" w:rsidR="005F4BFD" w:rsidRPr="00E62CB7" w:rsidRDefault="005F4BFD" w:rsidP="00364BB6">
            <w:pPr>
              <w:jc w:val="center"/>
              <w:rPr>
                <w:sz w:val="22"/>
                <w:szCs w:val="22"/>
              </w:rPr>
            </w:pPr>
            <w:r w:rsidRPr="00E62CB7">
              <w:rPr>
                <w:sz w:val="22"/>
                <w:szCs w:val="22"/>
              </w:rPr>
              <w:t>Atzinuma sniedzēja uzturētais iebildums, ja tas atšķiras no atzinumā norādītā iebilduma pamatojuma</w:t>
            </w:r>
          </w:p>
        </w:tc>
        <w:tc>
          <w:tcPr>
            <w:tcW w:w="0" w:type="auto"/>
            <w:tcBorders>
              <w:top w:val="single" w:sz="4" w:space="0" w:color="auto"/>
              <w:left w:val="single" w:sz="4" w:space="0" w:color="auto"/>
              <w:bottom w:val="single" w:sz="4" w:space="0" w:color="auto"/>
            </w:tcBorders>
            <w:vAlign w:val="center"/>
          </w:tcPr>
          <w:p w14:paraId="1E26E51E" w14:textId="77777777" w:rsidR="005F4BFD" w:rsidRPr="00E62CB7" w:rsidRDefault="005F4BFD" w:rsidP="00364BB6">
            <w:pPr>
              <w:jc w:val="center"/>
              <w:rPr>
                <w:sz w:val="22"/>
                <w:szCs w:val="22"/>
              </w:rPr>
            </w:pPr>
            <w:r w:rsidRPr="00E62CB7">
              <w:rPr>
                <w:sz w:val="22"/>
                <w:szCs w:val="22"/>
              </w:rPr>
              <w:t>Projekta attiecīgā punkta (panta) galīgā redakcija</w:t>
            </w:r>
          </w:p>
        </w:tc>
      </w:tr>
      <w:tr w:rsidR="00C468A5" w:rsidRPr="00E62CB7" w14:paraId="3EAFE39C" w14:textId="77777777" w:rsidTr="008D636F">
        <w:tc>
          <w:tcPr>
            <w:tcW w:w="0" w:type="auto"/>
            <w:tcBorders>
              <w:top w:val="single" w:sz="6" w:space="0" w:color="000000"/>
              <w:left w:val="single" w:sz="6" w:space="0" w:color="000000"/>
              <w:bottom w:val="single" w:sz="6" w:space="0" w:color="000000"/>
              <w:right w:val="single" w:sz="6" w:space="0" w:color="000000"/>
            </w:tcBorders>
          </w:tcPr>
          <w:p w14:paraId="3C080F8E" w14:textId="77777777" w:rsidR="005F4BFD" w:rsidRPr="00E62CB7" w:rsidRDefault="008A36C9" w:rsidP="008A36C9">
            <w:pPr>
              <w:pStyle w:val="naisc"/>
              <w:spacing w:before="0" w:after="0"/>
              <w:rPr>
                <w:sz w:val="22"/>
                <w:szCs w:val="22"/>
              </w:rPr>
            </w:pPr>
            <w:r w:rsidRPr="00E62CB7">
              <w:rPr>
                <w:sz w:val="22"/>
                <w:szCs w:val="22"/>
              </w:rPr>
              <w:t>1</w:t>
            </w:r>
          </w:p>
        </w:tc>
        <w:tc>
          <w:tcPr>
            <w:tcW w:w="0" w:type="auto"/>
            <w:tcBorders>
              <w:top w:val="single" w:sz="6" w:space="0" w:color="000000"/>
              <w:left w:val="single" w:sz="6" w:space="0" w:color="000000"/>
              <w:bottom w:val="single" w:sz="6" w:space="0" w:color="000000"/>
              <w:right w:val="single" w:sz="6" w:space="0" w:color="000000"/>
            </w:tcBorders>
          </w:tcPr>
          <w:p w14:paraId="1C49A0A4" w14:textId="77777777" w:rsidR="005F4BFD" w:rsidRPr="00E62CB7" w:rsidRDefault="008A36C9" w:rsidP="008A36C9">
            <w:pPr>
              <w:pStyle w:val="naisc"/>
              <w:spacing w:before="0" w:after="0"/>
              <w:ind w:firstLine="720"/>
              <w:rPr>
                <w:sz w:val="22"/>
                <w:szCs w:val="22"/>
              </w:rPr>
            </w:pPr>
            <w:r w:rsidRPr="00E62CB7">
              <w:rPr>
                <w:sz w:val="22"/>
                <w:szCs w:val="22"/>
              </w:rPr>
              <w:t>2</w:t>
            </w:r>
          </w:p>
        </w:tc>
        <w:tc>
          <w:tcPr>
            <w:tcW w:w="0" w:type="auto"/>
            <w:tcBorders>
              <w:top w:val="single" w:sz="6" w:space="0" w:color="000000"/>
              <w:left w:val="single" w:sz="6" w:space="0" w:color="000000"/>
              <w:bottom w:val="single" w:sz="6" w:space="0" w:color="000000"/>
              <w:right w:val="single" w:sz="6" w:space="0" w:color="000000"/>
            </w:tcBorders>
          </w:tcPr>
          <w:p w14:paraId="4FA47630" w14:textId="77777777" w:rsidR="005F4BFD" w:rsidRPr="00E62CB7" w:rsidRDefault="008A36C9" w:rsidP="008A36C9">
            <w:pPr>
              <w:pStyle w:val="naisc"/>
              <w:spacing w:before="0" w:after="0"/>
              <w:ind w:firstLine="720"/>
              <w:rPr>
                <w:sz w:val="22"/>
                <w:szCs w:val="22"/>
              </w:rPr>
            </w:pPr>
            <w:r w:rsidRPr="00E62CB7">
              <w:rPr>
                <w:sz w:val="22"/>
                <w:szCs w:val="22"/>
              </w:rPr>
              <w:t>3</w:t>
            </w:r>
          </w:p>
        </w:tc>
        <w:tc>
          <w:tcPr>
            <w:tcW w:w="0" w:type="auto"/>
            <w:tcBorders>
              <w:top w:val="single" w:sz="6" w:space="0" w:color="000000"/>
              <w:left w:val="single" w:sz="6" w:space="0" w:color="000000"/>
              <w:bottom w:val="single" w:sz="6" w:space="0" w:color="000000"/>
              <w:right w:val="single" w:sz="6" w:space="0" w:color="000000"/>
            </w:tcBorders>
          </w:tcPr>
          <w:p w14:paraId="7356FBA2" w14:textId="77777777" w:rsidR="005F4BFD" w:rsidRPr="00E62CB7" w:rsidRDefault="008A36C9" w:rsidP="008A36C9">
            <w:pPr>
              <w:pStyle w:val="naisc"/>
              <w:spacing w:before="0" w:after="0"/>
              <w:ind w:firstLine="720"/>
              <w:rPr>
                <w:sz w:val="22"/>
                <w:szCs w:val="22"/>
              </w:rPr>
            </w:pPr>
            <w:r w:rsidRPr="00E62CB7">
              <w:rPr>
                <w:sz w:val="22"/>
                <w:szCs w:val="22"/>
              </w:rPr>
              <w:t>4</w:t>
            </w:r>
          </w:p>
        </w:tc>
        <w:tc>
          <w:tcPr>
            <w:tcW w:w="0" w:type="auto"/>
            <w:tcBorders>
              <w:top w:val="single" w:sz="4" w:space="0" w:color="auto"/>
              <w:left w:val="single" w:sz="4" w:space="0" w:color="auto"/>
              <w:bottom w:val="single" w:sz="4" w:space="0" w:color="auto"/>
              <w:right w:val="single" w:sz="4" w:space="0" w:color="auto"/>
            </w:tcBorders>
          </w:tcPr>
          <w:p w14:paraId="6B005AC7" w14:textId="77777777" w:rsidR="005F4BFD" w:rsidRPr="00E62CB7" w:rsidRDefault="008A36C9" w:rsidP="008A36C9">
            <w:pPr>
              <w:jc w:val="center"/>
              <w:rPr>
                <w:sz w:val="22"/>
                <w:szCs w:val="22"/>
              </w:rPr>
            </w:pPr>
            <w:r w:rsidRPr="00E62CB7">
              <w:rPr>
                <w:sz w:val="22"/>
                <w:szCs w:val="22"/>
              </w:rPr>
              <w:t>5</w:t>
            </w:r>
          </w:p>
        </w:tc>
        <w:tc>
          <w:tcPr>
            <w:tcW w:w="0" w:type="auto"/>
            <w:tcBorders>
              <w:top w:val="single" w:sz="4" w:space="0" w:color="auto"/>
              <w:left w:val="single" w:sz="4" w:space="0" w:color="auto"/>
              <w:bottom w:val="single" w:sz="4" w:space="0" w:color="auto"/>
            </w:tcBorders>
          </w:tcPr>
          <w:p w14:paraId="07A777E9" w14:textId="77777777" w:rsidR="005F4BFD" w:rsidRPr="00E62CB7" w:rsidRDefault="008A36C9" w:rsidP="008A36C9">
            <w:pPr>
              <w:jc w:val="center"/>
              <w:rPr>
                <w:sz w:val="22"/>
                <w:szCs w:val="22"/>
              </w:rPr>
            </w:pPr>
            <w:r w:rsidRPr="00E62CB7">
              <w:rPr>
                <w:sz w:val="22"/>
                <w:szCs w:val="22"/>
              </w:rPr>
              <w:t>6</w:t>
            </w:r>
          </w:p>
        </w:tc>
      </w:tr>
      <w:tr w:rsidR="00C468A5" w:rsidRPr="00E62CB7" w14:paraId="5C10F68E" w14:textId="77777777" w:rsidTr="008D636F">
        <w:tc>
          <w:tcPr>
            <w:tcW w:w="0" w:type="auto"/>
            <w:tcBorders>
              <w:left w:val="single" w:sz="6" w:space="0" w:color="000000"/>
              <w:bottom w:val="single" w:sz="4" w:space="0" w:color="auto"/>
              <w:right w:val="single" w:sz="6" w:space="0" w:color="000000"/>
            </w:tcBorders>
          </w:tcPr>
          <w:p w14:paraId="7CBBB9D3" w14:textId="77777777" w:rsidR="005F4BFD" w:rsidRPr="00E62CB7" w:rsidRDefault="005F4BFD" w:rsidP="008D636F">
            <w:pPr>
              <w:pStyle w:val="naisc"/>
              <w:spacing w:before="0" w:after="0"/>
              <w:ind w:firstLine="720"/>
              <w:jc w:val="both"/>
              <w:rPr>
                <w:sz w:val="22"/>
                <w:szCs w:val="22"/>
              </w:rPr>
            </w:pPr>
          </w:p>
        </w:tc>
        <w:tc>
          <w:tcPr>
            <w:tcW w:w="0" w:type="auto"/>
            <w:tcBorders>
              <w:left w:val="single" w:sz="6" w:space="0" w:color="000000"/>
              <w:bottom w:val="single" w:sz="4" w:space="0" w:color="auto"/>
              <w:right w:val="single" w:sz="6" w:space="0" w:color="000000"/>
            </w:tcBorders>
          </w:tcPr>
          <w:p w14:paraId="48D4D1E8" w14:textId="77777777" w:rsidR="00FA5EF0" w:rsidRPr="00E62CB7" w:rsidRDefault="00FA5EF0" w:rsidP="00696A13">
            <w:pPr>
              <w:jc w:val="both"/>
              <w:rPr>
                <w:rFonts w:eastAsiaTheme="minorHAnsi"/>
                <w:sz w:val="22"/>
                <w:szCs w:val="22"/>
                <w:lang w:eastAsia="en-US"/>
              </w:rPr>
            </w:pPr>
          </w:p>
        </w:tc>
        <w:tc>
          <w:tcPr>
            <w:tcW w:w="0" w:type="auto"/>
            <w:tcBorders>
              <w:left w:val="single" w:sz="6" w:space="0" w:color="000000"/>
              <w:bottom w:val="single" w:sz="4" w:space="0" w:color="auto"/>
              <w:right w:val="single" w:sz="6" w:space="0" w:color="000000"/>
            </w:tcBorders>
          </w:tcPr>
          <w:p w14:paraId="27858DAB" w14:textId="77777777" w:rsidR="00E36AF1" w:rsidRPr="00E62CB7" w:rsidRDefault="00E36AF1" w:rsidP="00E36AF1">
            <w:pPr>
              <w:pStyle w:val="naisc"/>
              <w:spacing w:before="0" w:after="0"/>
              <w:ind w:firstLine="720"/>
              <w:jc w:val="both"/>
              <w:rPr>
                <w:rFonts w:eastAsiaTheme="minorHAnsi"/>
                <w:sz w:val="22"/>
                <w:szCs w:val="22"/>
                <w:lang w:eastAsia="en-US"/>
              </w:rPr>
            </w:pPr>
          </w:p>
        </w:tc>
        <w:tc>
          <w:tcPr>
            <w:tcW w:w="0" w:type="auto"/>
            <w:tcBorders>
              <w:left w:val="single" w:sz="6" w:space="0" w:color="000000"/>
              <w:bottom w:val="single" w:sz="4" w:space="0" w:color="auto"/>
              <w:right w:val="single" w:sz="6" w:space="0" w:color="000000"/>
            </w:tcBorders>
          </w:tcPr>
          <w:p w14:paraId="4998B189" w14:textId="77777777" w:rsidR="00FF7066" w:rsidRPr="00E62CB7" w:rsidRDefault="00FF7066" w:rsidP="00696A13">
            <w:pPr>
              <w:pStyle w:val="naisc"/>
              <w:spacing w:before="0" w:after="0"/>
              <w:ind w:firstLine="720"/>
              <w:jc w:val="both"/>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01DFBB80" w14:textId="77777777" w:rsidR="005F4BFD" w:rsidRPr="00E62CB7" w:rsidRDefault="005F4BFD" w:rsidP="008D636F">
            <w:pPr>
              <w:jc w:val="both"/>
              <w:rPr>
                <w:sz w:val="22"/>
                <w:szCs w:val="22"/>
              </w:rPr>
            </w:pPr>
          </w:p>
        </w:tc>
        <w:tc>
          <w:tcPr>
            <w:tcW w:w="0" w:type="auto"/>
            <w:tcBorders>
              <w:top w:val="single" w:sz="4" w:space="0" w:color="auto"/>
              <w:left w:val="single" w:sz="4" w:space="0" w:color="auto"/>
              <w:bottom w:val="single" w:sz="4" w:space="0" w:color="auto"/>
            </w:tcBorders>
          </w:tcPr>
          <w:p w14:paraId="7F28D219" w14:textId="77777777" w:rsidR="00E80986" w:rsidRPr="00E62CB7" w:rsidRDefault="00E80986" w:rsidP="00C468A5">
            <w:pPr>
              <w:jc w:val="both"/>
              <w:rPr>
                <w:sz w:val="22"/>
                <w:szCs w:val="22"/>
              </w:rPr>
            </w:pPr>
          </w:p>
        </w:tc>
      </w:tr>
    </w:tbl>
    <w:p w14:paraId="11CF7E87" w14:textId="77777777" w:rsidR="007B4C0F" w:rsidRPr="00E62CB7" w:rsidRDefault="007B4C0F" w:rsidP="007B4C0F">
      <w:pPr>
        <w:pStyle w:val="naisf"/>
        <w:spacing w:before="0" w:after="0"/>
        <w:ind w:firstLine="0"/>
        <w:rPr>
          <w:sz w:val="22"/>
          <w:szCs w:val="22"/>
        </w:rPr>
      </w:pPr>
    </w:p>
    <w:p w14:paraId="6035CBD2" w14:textId="77777777" w:rsidR="00631E75" w:rsidRPr="00E62CB7" w:rsidRDefault="00631E75" w:rsidP="007B4C0F">
      <w:pPr>
        <w:pStyle w:val="naisf"/>
        <w:spacing w:before="0" w:after="0"/>
        <w:ind w:firstLine="0"/>
        <w:rPr>
          <w:sz w:val="22"/>
          <w:szCs w:val="22"/>
        </w:rPr>
      </w:pPr>
    </w:p>
    <w:p w14:paraId="0AD91BC5" w14:textId="77777777" w:rsidR="005D67F7" w:rsidRPr="00E62CB7" w:rsidRDefault="005D67F7" w:rsidP="005D67F7">
      <w:pPr>
        <w:pStyle w:val="naisf"/>
        <w:spacing w:before="0" w:after="0"/>
        <w:ind w:firstLine="0"/>
        <w:rPr>
          <w:b/>
          <w:sz w:val="22"/>
          <w:szCs w:val="22"/>
        </w:rPr>
      </w:pPr>
      <w:r w:rsidRPr="00E62CB7">
        <w:rPr>
          <w:b/>
          <w:sz w:val="22"/>
          <w:szCs w:val="22"/>
        </w:rPr>
        <w:t xml:space="preserve">Informācija par </w:t>
      </w:r>
      <w:proofErr w:type="spellStart"/>
      <w:r w:rsidRPr="00E62CB7">
        <w:rPr>
          <w:b/>
          <w:sz w:val="22"/>
          <w:szCs w:val="22"/>
        </w:rPr>
        <w:t>starpministriju</w:t>
      </w:r>
      <w:proofErr w:type="spellEnd"/>
      <w:r w:rsidRPr="00E62CB7">
        <w:rPr>
          <w:b/>
          <w:sz w:val="22"/>
          <w:szCs w:val="22"/>
        </w:rPr>
        <w:t xml:space="preserve"> (starpinstitūciju) sanāksmi vai elektronisko saskaņošanu</w:t>
      </w:r>
    </w:p>
    <w:p w14:paraId="460B1E4C" w14:textId="77777777" w:rsidR="005D67F7" w:rsidRPr="00E62CB7" w:rsidRDefault="005D67F7" w:rsidP="005D67F7">
      <w:pPr>
        <w:pStyle w:val="naisf"/>
        <w:spacing w:before="0" w:after="0"/>
        <w:ind w:firstLine="0"/>
        <w:rPr>
          <w:b/>
          <w:sz w:val="22"/>
          <w:szCs w:val="22"/>
        </w:rPr>
      </w:pPr>
    </w:p>
    <w:tbl>
      <w:tblPr>
        <w:tblW w:w="12156" w:type="dxa"/>
        <w:tblInd w:w="426" w:type="dxa"/>
        <w:tblLook w:val="00A0" w:firstRow="1" w:lastRow="0" w:firstColumn="1" w:lastColumn="0" w:noHBand="0" w:noVBand="0"/>
      </w:tblPr>
      <w:tblGrid>
        <w:gridCol w:w="5919"/>
        <w:gridCol w:w="6237"/>
      </w:tblGrid>
      <w:tr w:rsidR="007B4C0F" w:rsidRPr="00E62CB7" w14:paraId="4B470809" w14:textId="77777777" w:rsidTr="00631E75">
        <w:tc>
          <w:tcPr>
            <w:tcW w:w="5919" w:type="dxa"/>
          </w:tcPr>
          <w:p w14:paraId="33961942" w14:textId="77777777" w:rsidR="007B4C0F" w:rsidRPr="00E62CB7" w:rsidRDefault="005D67F7" w:rsidP="005D67F7">
            <w:pPr>
              <w:pStyle w:val="naisf"/>
              <w:spacing w:before="0" w:after="0"/>
              <w:ind w:firstLine="0"/>
              <w:rPr>
                <w:sz w:val="22"/>
                <w:szCs w:val="22"/>
              </w:rPr>
            </w:pPr>
            <w:r w:rsidRPr="00E62CB7">
              <w:rPr>
                <w:sz w:val="22"/>
                <w:szCs w:val="22"/>
              </w:rPr>
              <w:t>D</w:t>
            </w:r>
            <w:r w:rsidR="007B4C0F" w:rsidRPr="00E62CB7">
              <w:rPr>
                <w:sz w:val="22"/>
                <w:szCs w:val="22"/>
              </w:rPr>
              <w:t>atums</w:t>
            </w:r>
          </w:p>
        </w:tc>
        <w:tc>
          <w:tcPr>
            <w:tcW w:w="6237" w:type="dxa"/>
            <w:tcBorders>
              <w:bottom w:val="single" w:sz="4" w:space="0" w:color="auto"/>
            </w:tcBorders>
          </w:tcPr>
          <w:p w14:paraId="2053D60A" w14:textId="01F04EC5" w:rsidR="007B4C0F" w:rsidRPr="00E62CB7" w:rsidRDefault="00B4637A" w:rsidP="006F4E04">
            <w:pPr>
              <w:pStyle w:val="NormalWeb"/>
              <w:spacing w:before="0" w:beforeAutospacing="0" w:after="0" w:afterAutospacing="0"/>
              <w:ind w:left="638" w:firstLine="82"/>
              <w:rPr>
                <w:sz w:val="22"/>
                <w:szCs w:val="22"/>
              </w:rPr>
            </w:pPr>
            <w:r w:rsidRPr="00E62CB7">
              <w:rPr>
                <w:sz w:val="22"/>
                <w:szCs w:val="22"/>
              </w:rPr>
              <w:t>201</w:t>
            </w:r>
            <w:r w:rsidR="002D487E" w:rsidRPr="00E62CB7">
              <w:rPr>
                <w:sz w:val="22"/>
                <w:szCs w:val="22"/>
              </w:rPr>
              <w:t>9</w:t>
            </w:r>
            <w:r w:rsidRPr="00E62CB7">
              <w:rPr>
                <w:sz w:val="22"/>
                <w:szCs w:val="22"/>
              </w:rPr>
              <w:t xml:space="preserve">.gada </w:t>
            </w:r>
            <w:r w:rsidR="002D487E" w:rsidRPr="00E62CB7">
              <w:rPr>
                <w:sz w:val="22"/>
                <w:szCs w:val="22"/>
              </w:rPr>
              <w:t>2</w:t>
            </w:r>
            <w:r w:rsidR="006F4E04" w:rsidRPr="00E62CB7">
              <w:rPr>
                <w:sz w:val="22"/>
                <w:szCs w:val="22"/>
              </w:rPr>
              <w:t>9</w:t>
            </w:r>
            <w:r w:rsidRPr="00E62CB7">
              <w:rPr>
                <w:sz w:val="22"/>
                <w:szCs w:val="22"/>
              </w:rPr>
              <w:t>.</w:t>
            </w:r>
            <w:r w:rsidR="002D487E" w:rsidRPr="00E62CB7">
              <w:rPr>
                <w:sz w:val="22"/>
                <w:szCs w:val="22"/>
              </w:rPr>
              <w:t>maijā</w:t>
            </w:r>
            <w:r w:rsidRPr="00E62CB7">
              <w:rPr>
                <w:sz w:val="22"/>
                <w:szCs w:val="22"/>
              </w:rPr>
              <w:t xml:space="preserve"> </w:t>
            </w:r>
          </w:p>
        </w:tc>
      </w:tr>
      <w:tr w:rsidR="003C27A2" w:rsidRPr="00E62CB7" w14:paraId="3639AF45" w14:textId="77777777" w:rsidTr="00631E75">
        <w:tc>
          <w:tcPr>
            <w:tcW w:w="5919" w:type="dxa"/>
          </w:tcPr>
          <w:p w14:paraId="7F0C2944" w14:textId="77777777" w:rsidR="003C27A2" w:rsidRPr="00E62CB7" w:rsidRDefault="003C27A2" w:rsidP="007B4C0F">
            <w:pPr>
              <w:pStyle w:val="naisf"/>
              <w:spacing w:before="0" w:after="0"/>
              <w:ind w:firstLine="0"/>
              <w:rPr>
                <w:sz w:val="22"/>
                <w:szCs w:val="22"/>
              </w:rPr>
            </w:pPr>
          </w:p>
        </w:tc>
        <w:tc>
          <w:tcPr>
            <w:tcW w:w="6237" w:type="dxa"/>
            <w:tcBorders>
              <w:top w:val="single" w:sz="4" w:space="0" w:color="auto"/>
            </w:tcBorders>
          </w:tcPr>
          <w:p w14:paraId="10981A68" w14:textId="77777777" w:rsidR="003C27A2" w:rsidRPr="00E62CB7" w:rsidRDefault="003C27A2" w:rsidP="0036160E">
            <w:pPr>
              <w:pStyle w:val="NormalWeb"/>
              <w:spacing w:before="0" w:beforeAutospacing="0" w:after="0" w:afterAutospacing="0"/>
              <w:ind w:firstLine="720"/>
              <w:rPr>
                <w:sz w:val="22"/>
                <w:szCs w:val="22"/>
              </w:rPr>
            </w:pPr>
          </w:p>
        </w:tc>
      </w:tr>
      <w:tr w:rsidR="007B4C0F" w:rsidRPr="00E62CB7" w14:paraId="5F4D5372" w14:textId="77777777" w:rsidTr="00631E75">
        <w:tc>
          <w:tcPr>
            <w:tcW w:w="5919" w:type="dxa"/>
          </w:tcPr>
          <w:p w14:paraId="5E05B957" w14:textId="77777777" w:rsidR="007B4C0F" w:rsidRPr="00E62CB7" w:rsidRDefault="00365CC0" w:rsidP="003C27A2">
            <w:pPr>
              <w:pStyle w:val="naiskr"/>
              <w:spacing w:before="0" w:after="0"/>
              <w:rPr>
                <w:sz w:val="22"/>
                <w:szCs w:val="22"/>
              </w:rPr>
            </w:pPr>
            <w:r w:rsidRPr="00E62CB7">
              <w:rPr>
                <w:sz w:val="22"/>
                <w:szCs w:val="22"/>
              </w:rPr>
              <w:t>Saskaņošanas dalībnieki</w:t>
            </w:r>
          </w:p>
        </w:tc>
        <w:tc>
          <w:tcPr>
            <w:tcW w:w="6237" w:type="dxa"/>
          </w:tcPr>
          <w:p w14:paraId="1CA41F31" w14:textId="2E702E5C" w:rsidR="007B4C0F" w:rsidRPr="00E62CB7" w:rsidRDefault="00FF3FEA" w:rsidP="00411CCD">
            <w:pPr>
              <w:pStyle w:val="NormalWeb"/>
              <w:spacing w:before="0" w:beforeAutospacing="0" w:after="0" w:afterAutospacing="0"/>
              <w:ind w:firstLine="720"/>
              <w:jc w:val="both"/>
              <w:rPr>
                <w:sz w:val="22"/>
                <w:szCs w:val="22"/>
              </w:rPr>
            </w:pPr>
            <w:r w:rsidRPr="00E62CB7">
              <w:rPr>
                <w:sz w:val="22"/>
                <w:szCs w:val="22"/>
              </w:rPr>
              <w:t>Tieslietu ministrija</w:t>
            </w:r>
            <w:r w:rsidR="00FA5D6D" w:rsidRPr="00E62CB7">
              <w:rPr>
                <w:sz w:val="22"/>
                <w:szCs w:val="22"/>
              </w:rPr>
              <w:t>, Vides aizsardzības un reģionālās attīstības ministrija, Zemkopības ministrija</w:t>
            </w:r>
            <w:r w:rsidR="00411CCD" w:rsidRPr="00E62CB7">
              <w:rPr>
                <w:sz w:val="22"/>
                <w:szCs w:val="22"/>
              </w:rPr>
              <w:t>, Latvijas Darba devēju konfederācija</w:t>
            </w:r>
          </w:p>
        </w:tc>
      </w:tr>
      <w:tr w:rsidR="00F014D1" w:rsidRPr="00E62CB7" w14:paraId="53EDD8FA" w14:textId="77777777" w:rsidTr="00631E75">
        <w:tc>
          <w:tcPr>
            <w:tcW w:w="5919" w:type="dxa"/>
          </w:tcPr>
          <w:p w14:paraId="3487228B" w14:textId="77777777" w:rsidR="00F014D1" w:rsidRPr="00E62CB7" w:rsidRDefault="00F014D1" w:rsidP="003C27A2">
            <w:pPr>
              <w:pStyle w:val="naiskr"/>
              <w:spacing w:before="0" w:after="0"/>
              <w:rPr>
                <w:sz w:val="22"/>
                <w:szCs w:val="22"/>
              </w:rPr>
            </w:pPr>
          </w:p>
        </w:tc>
        <w:tc>
          <w:tcPr>
            <w:tcW w:w="6237" w:type="dxa"/>
          </w:tcPr>
          <w:p w14:paraId="3F44F813" w14:textId="4A83FB7C" w:rsidR="00F014D1" w:rsidRPr="00E62CB7" w:rsidRDefault="00F014D1" w:rsidP="002D487E">
            <w:pPr>
              <w:pStyle w:val="NormalWeb"/>
              <w:spacing w:before="0" w:beforeAutospacing="0" w:after="0" w:afterAutospacing="0"/>
              <w:rPr>
                <w:sz w:val="22"/>
                <w:szCs w:val="22"/>
              </w:rPr>
            </w:pPr>
          </w:p>
        </w:tc>
      </w:tr>
    </w:tbl>
    <w:p w14:paraId="66A9D41F" w14:textId="77777777" w:rsidR="008A36C9" w:rsidRPr="00E62CB7" w:rsidRDefault="008A36C9">
      <w:pPr>
        <w:rPr>
          <w:sz w:val="22"/>
          <w:szCs w:val="22"/>
        </w:rPr>
      </w:pPr>
    </w:p>
    <w:tbl>
      <w:tblPr>
        <w:tblW w:w="12582" w:type="dxa"/>
        <w:tblLook w:val="00A0" w:firstRow="1" w:lastRow="0" w:firstColumn="1" w:lastColumn="0" w:noHBand="0" w:noVBand="0"/>
      </w:tblPr>
      <w:tblGrid>
        <w:gridCol w:w="6708"/>
        <w:gridCol w:w="840"/>
        <w:gridCol w:w="5034"/>
      </w:tblGrid>
      <w:tr w:rsidR="007B4C0F" w:rsidRPr="00E62CB7" w14:paraId="28E2D226" w14:textId="77777777">
        <w:trPr>
          <w:trHeight w:val="285"/>
        </w:trPr>
        <w:tc>
          <w:tcPr>
            <w:tcW w:w="6708" w:type="dxa"/>
          </w:tcPr>
          <w:p w14:paraId="1C3B9948" w14:textId="77777777" w:rsidR="007B4C0F" w:rsidRPr="00E62CB7" w:rsidRDefault="00365CC0" w:rsidP="000D0AED">
            <w:pPr>
              <w:pStyle w:val="naiskr"/>
              <w:spacing w:before="0" w:after="0"/>
              <w:rPr>
                <w:sz w:val="22"/>
                <w:szCs w:val="22"/>
              </w:rPr>
            </w:pPr>
            <w:r w:rsidRPr="00E62CB7">
              <w:rPr>
                <w:sz w:val="22"/>
                <w:szCs w:val="22"/>
              </w:rPr>
              <w:t xml:space="preserve">Saskaņošanas dalībnieki </w:t>
            </w:r>
            <w:r w:rsidR="007B4C0F" w:rsidRPr="00E62CB7">
              <w:rPr>
                <w:sz w:val="22"/>
                <w:szCs w:val="22"/>
              </w:rPr>
              <w:t>izskatīja</w:t>
            </w:r>
            <w:r w:rsidR="005D67F7" w:rsidRPr="00E62CB7">
              <w:rPr>
                <w:sz w:val="22"/>
                <w:szCs w:val="22"/>
              </w:rPr>
              <w:t xml:space="preserve"> šādu ministriju </w:t>
            </w:r>
            <w:r w:rsidR="003E4C3F" w:rsidRPr="00E62CB7">
              <w:rPr>
                <w:sz w:val="22"/>
                <w:szCs w:val="22"/>
              </w:rPr>
              <w:t>(c</w:t>
            </w:r>
            <w:r w:rsidR="005D67F7" w:rsidRPr="00E62CB7">
              <w:rPr>
                <w:sz w:val="22"/>
                <w:szCs w:val="22"/>
              </w:rPr>
              <w:t>itu institūciju</w:t>
            </w:r>
            <w:r w:rsidR="003E4C3F" w:rsidRPr="00E62CB7">
              <w:rPr>
                <w:sz w:val="22"/>
                <w:szCs w:val="22"/>
              </w:rPr>
              <w:t>)</w:t>
            </w:r>
            <w:r w:rsidR="005D67F7" w:rsidRPr="00E62CB7">
              <w:rPr>
                <w:sz w:val="22"/>
                <w:szCs w:val="22"/>
              </w:rPr>
              <w:t xml:space="preserve"> iebildumus</w:t>
            </w:r>
          </w:p>
          <w:p w14:paraId="357427D6" w14:textId="77777777" w:rsidR="00E80986" w:rsidRPr="00E62CB7" w:rsidRDefault="00E80986" w:rsidP="000D0AED">
            <w:pPr>
              <w:pStyle w:val="naiskr"/>
              <w:spacing w:before="0" w:after="0"/>
              <w:rPr>
                <w:sz w:val="22"/>
                <w:szCs w:val="22"/>
              </w:rPr>
            </w:pPr>
          </w:p>
        </w:tc>
        <w:tc>
          <w:tcPr>
            <w:tcW w:w="840" w:type="dxa"/>
          </w:tcPr>
          <w:p w14:paraId="44291DED" w14:textId="77777777" w:rsidR="007B4C0F" w:rsidRPr="00E62CB7" w:rsidRDefault="007B4C0F" w:rsidP="0036160E">
            <w:pPr>
              <w:pStyle w:val="naiskr"/>
              <w:spacing w:before="0" w:after="0"/>
              <w:ind w:firstLine="720"/>
              <w:rPr>
                <w:sz w:val="22"/>
                <w:szCs w:val="22"/>
                <w:highlight w:val="yellow"/>
              </w:rPr>
            </w:pPr>
          </w:p>
        </w:tc>
        <w:tc>
          <w:tcPr>
            <w:tcW w:w="5034" w:type="dxa"/>
          </w:tcPr>
          <w:p w14:paraId="786DD720" w14:textId="7014C1B6" w:rsidR="007B4C0F" w:rsidRPr="00E62CB7" w:rsidRDefault="0052490D" w:rsidP="00411CCD">
            <w:pPr>
              <w:pStyle w:val="naiskr"/>
              <w:spacing w:before="0" w:after="0"/>
              <w:jc w:val="both"/>
              <w:rPr>
                <w:sz w:val="22"/>
                <w:szCs w:val="22"/>
              </w:rPr>
            </w:pPr>
            <w:r w:rsidRPr="00E62CB7">
              <w:rPr>
                <w:sz w:val="22"/>
                <w:szCs w:val="22"/>
              </w:rPr>
              <w:t>Tieslietu ministrija</w:t>
            </w:r>
            <w:r w:rsidR="00FA5D6D" w:rsidRPr="00E62CB7">
              <w:rPr>
                <w:sz w:val="22"/>
                <w:szCs w:val="22"/>
              </w:rPr>
              <w:t>s, Vides aizsardzības un reģionālās attīstības ministrijas, Zemkopības ministrijas</w:t>
            </w:r>
          </w:p>
        </w:tc>
      </w:tr>
      <w:tr w:rsidR="007B4C0F" w:rsidRPr="00E62CB7" w14:paraId="77AD4FAA" w14:textId="77777777">
        <w:tc>
          <w:tcPr>
            <w:tcW w:w="6708" w:type="dxa"/>
          </w:tcPr>
          <w:p w14:paraId="20A4C875" w14:textId="77777777" w:rsidR="007B4C0F" w:rsidRPr="00E62CB7" w:rsidRDefault="007B4C0F" w:rsidP="0036160E">
            <w:pPr>
              <w:pStyle w:val="naiskr"/>
              <w:spacing w:before="0" w:after="0"/>
              <w:rPr>
                <w:sz w:val="22"/>
                <w:szCs w:val="22"/>
              </w:rPr>
            </w:pPr>
            <w:r w:rsidRPr="00E62CB7">
              <w:rPr>
                <w:sz w:val="22"/>
                <w:szCs w:val="22"/>
              </w:rPr>
              <w:t>Ministrijas (citas institūcijas), kuras nav ieradušās uz sanāksmi vai kuras nav atbildējušas uz uzaicinājumu piedalīties elektroniskajā saskaņošanā</w:t>
            </w:r>
          </w:p>
        </w:tc>
        <w:tc>
          <w:tcPr>
            <w:tcW w:w="5874" w:type="dxa"/>
            <w:gridSpan w:val="2"/>
          </w:tcPr>
          <w:p w14:paraId="6CAB035F" w14:textId="2B1C8612" w:rsidR="007B4C0F" w:rsidRPr="00E62CB7" w:rsidRDefault="00E62CB7" w:rsidP="0036160E">
            <w:pPr>
              <w:pStyle w:val="naiskr"/>
              <w:spacing w:before="0" w:after="0"/>
              <w:ind w:firstLine="720"/>
              <w:rPr>
                <w:sz w:val="22"/>
                <w:szCs w:val="22"/>
                <w:highlight w:val="yellow"/>
              </w:rPr>
            </w:pPr>
            <w:r w:rsidRPr="00E62CB7">
              <w:rPr>
                <w:sz w:val="22"/>
                <w:szCs w:val="22"/>
              </w:rPr>
              <w:t>Latvijas Tirdzniecības un rūpniecības kamera</w:t>
            </w:r>
          </w:p>
        </w:tc>
      </w:tr>
    </w:tbl>
    <w:p w14:paraId="4ED62C36" w14:textId="77777777" w:rsidR="00683081" w:rsidRPr="00E62CB7" w:rsidRDefault="00683081" w:rsidP="00683081">
      <w:pPr>
        <w:pStyle w:val="naisf"/>
        <w:spacing w:before="0" w:after="0"/>
        <w:ind w:firstLine="720"/>
        <w:rPr>
          <w:sz w:val="22"/>
          <w:szCs w:val="22"/>
        </w:rPr>
      </w:pPr>
    </w:p>
    <w:p w14:paraId="096AEC69" w14:textId="77777777" w:rsidR="00631E75" w:rsidRPr="00E62CB7" w:rsidRDefault="00631E75" w:rsidP="00683081">
      <w:pPr>
        <w:pStyle w:val="naisf"/>
        <w:spacing w:before="0" w:after="0"/>
        <w:ind w:firstLine="720"/>
        <w:rPr>
          <w:sz w:val="22"/>
          <w:szCs w:val="22"/>
        </w:rPr>
      </w:pPr>
    </w:p>
    <w:p w14:paraId="65FC34FC" w14:textId="77777777" w:rsidR="00631E75" w:rsidRPr="00E62CB7" w:rsidRDefault="00631E75" w:rsidP="00683081">
      <w:pPr>
        <w:pStyle w:val="naisf"/>
        <w:spacing w:before="0" w:after="0"/>
        <w:ind w:firstLine="720"/>
        <w:rPr>
          <w:sz w:val="22"/>
          <w:szCs w:val="22"/>
        </w:rPr>
      </w:pPr>
    </w:p>
    <w:p w14:paraId="17899445" w14:textId="77777777" w:rsidR="007B4C0F" w:rsidRPr="00E62CB7" w:rsidRDefault="007B4C0F" w:rsidP="00184479">
      <w:pPr>
        <w:pStyle w:val="naisf"/>
        <w:spacing w:before="0" w:after="0"/>
        <w:ind w:firstLine="0"/>
        <w:jc w:val="center"/>
        <w:rPr>
          <w:b/>
          <w:sz w:val="22"/>
          <w:szCs w:val="22"/>
        </w:rPr>
      </w:pPr>
      <w:r w:rsidRPr="00E62CB7">
        <w:rPr>
          <w:b/>
          <w:sz w:val="22"/>
          <w:szCs w:val="22"/>
        </w:rPr>
        <w:t>II. </w:t>
      </w:r>
      <w:r w:rsidR="00134188" w:rsidRPr="00E62CB7">
        <w:rPr>
          <w:b/>
          <w:sz w:val="22"/>
          <w:szCs w:val="22"/>
        </w:rPr>
        <w:t>Jautājumi, par kuriem saskaņošanā vienošan</w:t>
      </w:r>
      <w:r w:rsidR="00144622" w:rsidRPr="00E62CB7">
        <w:rPr>
          <w:b/>
          <w:sz w:val="22"/>
          <w:szCs w:val="22"/>
        </w:rPr>
        <w:t>ā</w:t>
      </w:r>
      <w:r w:rsidR="00134188" w:rsidRPr="00E62CB7">
        <w:rPr>
          <w:b/>
          <w:sz w:val="22"/>
          <w:szCs w:val="22"/>
        </w:rPr>
        <w:t>s ir panākta</w:t>
      </w:r>
    </w:p>
    <w:p w14:paraId="1409E40D" w14:textId="77777777" w:rsidR="007B4C0F" w:rsidRPr="00E62CB7" w:rsidRDefault="007B4C0F" w:rsidP="00DB7395">
      <w:pPr>
        <w:pStyle w:val="naisf"/>
        <w:spacing w:before="0" w:after="0"/>
        <w:ind w:firstLine="720"/>
        <w:rPr>
          <w:sz w:val="22"/>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04"/>
        <w:gridCol w:w="2890"/>
        <w:gridCol w:w="4253"/>
        <w:gridCol w:w="3260"/>
        <w:gridCol w:w="3083"/>
      </w:tblGrid>
      <w:tr w:rsidR="00C807EF" w:rsidRPr="00E62CB7" w14:paraId="2713903A" w14:textId="77777777" w:rsidTr="00E62CB7">
        <w:tc>
          <w:tcPr>
            <w:tcW w:w="0" w:type="auto"/>
            <w:tcBorders>
              <w:top w:val="single" w:sz="6" w:space="0" w:color="000000"/>
              <w:left w:val="single" w:sz="6" w:space="0" w:color="000000"/>
              <w:bottom w:val="single" w:sz="6" w:space="0" w:color="000000"/>
              <w:right w:val="single" w:sz="6" w:space="0" w:color="000000"/>
            </w:tcBorders>
            <w:vAlign w:val="center"/>
          </w:tcPr>
          <w:p w14:paraId="5A7E770D" w14:textId="77777777" w:rsidR="00134188" w:rsidRPr="00E62CB7" w:rsidRDefault="00257BCC" w:rsidP="006A0BFD">
            <w:pPr>
              <w:pStyle w:val="naisc"/>
              <w:spacing w:before="0" w:after="0"/>
              <w:rPr>
                <w:sz w:val="22"/>
                <w:szCs w:val="22"/>
              </w:rPr>
            </w:pPr>
            <w:r w:rsidRPr="00E62CB7">
              <w:rPr>
                <w:sz w:val="22"/>
                <w:szCs w:val="22"/>
              </w:rPr>
              <w:lastRenderedPageBreak/>
              <w:t>Nr.</w:t>
            </w:r>
          </w:p>
        </w:tc>
        <w:tc>
          <w:tcPr>
            <w:tcW w:w="2890" w:type="dxa"/>
            <w:tcBorders>
              <w:top w:val="single" w:sz="6" w:space="0" w:color="000000"/>
              <w:left w:val="single" w:sz="6" w:space="0" w:color="000000"/>
              <w:bottom w:val="single" w:sz="6" w:space="0" w:color="000000"/>
              <w:right w:val="single" w:sz="6" w:space="0" w:color="000000"/>
            </w:tcBorders>
            <w:vAlign w:val="center"/>
          </w:tcPr>
          <w:p w14:paraId="40AA0DA2" w14:textId="77777777" w:rsidR="00134188" w:rsidRPr="00E62CB7" w:rsidRDefault="00134188" w:rsidP="00CE1174">
            <w:pPr>
              <w:pStyle w:val="naisc"/>
              <w:spacing w:before="0" w:after="0"/>
              <w:rPr>
                <w:sz w:val="22"/>
                <w:szCs w:val="22"/>
              </w:rPr>
            </w:pPr>
            <w:r w:rsidRPr="00E62CB7">
              <w:rPr>
                <w:sz w:val="22"/>
                <w:szCs w:val="22"/>
              </w:rPr>
              <w:t>Saskaņošanai nosūtītā projekta redakcija (konkrēta punkta (panta) redakcija)</w:t>
            </w:r>
          </w:p>
        </w:tc>
        <w:tc>
          <w:tcPr>
            <w:tcW w:w="4253" w:type="dxa"/>
            <w:tcBorders>
              <w:top w:val="single" w:sz="6" w:space="0" w:color="000000"/>
              <w:left w:val="single" w:sz="6" w:space="0" w:color="000000"/>
              <w:bottom w:val="single" w:sz="6" w:space="0" w:color="000000"/>
              <w:right w:val="single" w:sz="6" w:space="0" w:color="000000"/>
            </w:tcBorders>
            <w:vAlign w:val="center"/>
          </w:tcPr>
          <w:p w14:paraId="56D9C682" w14:textId="77777777" w:rsidR="00134188" w:rsidRPr="00E62CB7" w:rsidRDefault="00134188" w:rsidP="003306C7">
            <w:pPr>
              <w:pStyle w:val="naisc"/>
              <w:spacing w:before="0" w:after="0"/>
              <w:ind w:right="3"/>
              <w:rPr>
                <w:sz w:val="22"/>
                <w:szCs w:val="22"/>
              </w:rPr>
            </w:pPr>
            <w:r w:rsidRPr="00E62CB7">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vAlign w:val="center"/>
          </w:tcPr>
          <w:p w14:paraId="7BA14E14" w14:textId="77777777" w:rsidR="00134188" w:rsidRPr="00E62CB7" w:rsidRDefault="00134188" w:rsidP="009623BC">
            <w:pPr>
              <w:pStyle w:val="naisc"/>
              <w:spacing w:before="0" w:after="0"/>
              <w:ind w:firstLine="21"/>
              <w:rPr>
                <w:sz w:val="22"/>
                <w:szCs w:val="22"/>
              </w:rPr>
            </w:pPr>
            <w:r w:rsidRPr="00E62CB7">
              <w:rPr>
                <w:sz w:val="22"/>
                <w:szCs w:val="22"/>
              </w:rPr>
              <w:t>Atbildīgās ministrijas norāde</w:t>
            </w:r>
            <w:r w:rsidR="006C1C48" w:rsidRPr="00E62CB7">
              <w:rPr>
                <w:sz w:val="22"/>
                <w:szCs w:val="22"/>
              </w:rPr>
              <w:t xml:space="preserve"> par to, ka </w:t>
            </w:r>
            <w:r w:rsidRPr="00E62CB7">
              <w:rPr>
                <w:sz w:val="22"/>
                <w:szCs w:val="22"/>
              </w:rPr>
              <w:t>iebildums ir ņemts vērā</w:t>
            </w:r>
            <w:r w:rsidR="006455E7" w:rsidRPr="00E62CB7">
              <w:rPr>
                <w:sz w:val="22"/>
                <w:szCs w:val="22"/>
              </w:rPr>
              <w:t>,</w:t>
            </w:r>
            <w:r w:rsidRPr="00E62CB7">
              <w:rPr>
                <w:sz w:val="22"/>
                <w:szCs w:val="22"/>
              </w:rPr>
              <w:t xml:space="preserve"> vai </w:t>
            </w:r>
            <w:r w:rsidR="006C1C48" w:rsidRPr="00E62CB7">
              <w:rPr>
                <w:sz w:val="22"/>
                <w:szCs w:val="22"/>
              </w:rPr>
              <w:t xml:space="preserve">informācija par saskaņošanā </w:t>
            </w:r>
            <w:r w:rsidR="00022B0F" w:rsidRPr="00E62CB7">
              <w:rPr>
                <w:sz w:val="22"/>
                <w:szCs w:val="22"/>
              </w:rPr>
              <w:t>panākto alternatīvo risinājumu</w:t>
            </w:r>
          </w:p>
        </w:tc>
        <w:tc>
          <w:tcPr>
            <w:tcW w:w="3083" w:type="dxa"/>
            <w:tcBorders>
              <w:top w:val="single" w:sz="4" w:space="0" w:color="auto"/>
              <w:left w:val="single" w:sz="4" w:space="0" w:color="auto"/>
              <w:bottom w:val="single" w:sz="4" w:space="0" w:color="auto"/>
            </w:tcBorders>
            <w:vAlign w:val="center"/>
          </w:tcPr>
          <w:p w14:paraId="763D41D5" w14:textId="77777777" w:rsidR="00134188" w:rsidRPr="00E62CB7" w:rsidRDefault="00134188" w:rsidP="009623BC">
            <w:pPr>
              <w:jc w:val="center"/>
              <w:rPr>
                <w:sz w:val="22"/>
                <w:szCs w:val="22"/>
              </w:rPr>
            </w:pPr>
            <w:r w:rsidRPr="00E62CB7">
              <w:rPr>
                <w:sz w:val="22"/>
                <w:szCs w:val="22"/>
              </w:rPr>
              <w:t>Projekta attiecīgā punkta (panta) galīgā redakcija</w:t>
            </w:r>
          </w:p>
        </w:tc>
      </w:tr>
      <w:tr w:rsidR="00C807EF" w:rsidRPr="00E62CB7" w14:paraId="5FC84175" w14:textId="77777777" w:rsidTr="00E62CB7">
        <w:tc>
          <w:tcPr>
            <w:tcW w:w="0" w:type="auto"/>
            <w:tcBorders>
              <w:top w:val="single" w:sz="6" w:space="0" w:color="000000"/>
              <w:left w:val="single" w:sz="6" w:space="0" w:color="000000"/>
              <w:bottom w:val="single" w:sz="6" w:space="0" w:color="000000"/>
              <w:right w:val="single" w:sz="6" w:space="0" w:color="000000"/>
            </w:tcBorders>
            <w:vAlign w:val="center"/>
          </w:tcPr>
          <w:p w14:paraId="3490C0AF" w14:textId="77777777" w:rsidR="00134188" w:rsidRPr="00E62CB7" w:rsidRDefault="003B71E0" w:rsidP="006A0BFD">
            <w:pPr>
              <w:pStyle w:val="naisc"/>
              <w:spacing w:before="0" w:after="0"/>
              <w:rPr>
                <w:sz w:val="22"/>
                <w:szCs w:val="22"/>
              </w:rPr>
            </w:pPr>
            <w:r w:rsidRPr="00E62CB7">
              <w:rPr>
                <w:sz w:val="22"/>
                <w:szCs w:val="22"/>
              </w:rPr>
              <w:t>1</w:t>
            </w:r>
          </w:p>
        </w:tc>
        <w:tc>
          <w:tcPr>
            <w:tcW w:w="2890" w:type="dxa"/>
            <w:tcBorders>
              <w:top w:val="single" w:sz="6" w:space="0" w:color="000000"/>
              <w:left w:val="single" w:sz="6" w:space="0" w:color="000000"/>
              <w:bottom w:val="single" w:sz="6" w:space="0" w:color="000000"/>
              <w:right w:val="single" w:sz="6" w:space="0" w:color="000000"/>
            </w:tcBorders>
          </w:tcPr>
          <w:p w14:paraId="303CDB95" w14:textId="77777777" w:rsidR="00134188" w:rsidRPr="00E62CB7" w:rsidRDefault="00F34AAB" w:rsidP="00CE1174">
            <w:pPr>
              <w:pStyle w:val="naisc"/>
              <w:spacing w:before="0" w:after="0"/>
              <w:rPr>
                <w:sz w:val="22"/>
                <w:szCs w:val="22"/>
              </w:rPr>
            </w:pPr>
            <w:r w:rsidRPr="00E62CB7">
              <w:rPr>
                <w:sz w:val="22"/>
                <w:szCs w:val="22"/>
              </w:rPr>
              <w:t>2</w:t>
            </w:r>
          </w:p>
        </w:tc>
        <w:tc>
          <w:tcPr>
            <w:tcW w:w="4253" w:type="dxa"/>
            <w:tcBorders>
              <w:top w:val="single" w:sz="6" w:space="0" w:color="000000"/>
              <w:left w:val="single" w:sz="6" w:space="0" w:color="000000"/>
              <w:bottom w:val="single" w:sz="6" w:space="0" w:color="000000"/>
              <w:right w:val="single" w:sz="6" w:space="0" w:color="000000"/>
            </w:tcBorders>
          </w:tcPr>
          <w:p w14:paraId="29C0AD16" w14:textId="77777777" w:rsidR="00134188" w:rsidRPr="00E62CB7" w:rsidRDefault="003B71E0" w:rsidP="003306C7">
            <w:pPr>
              <w:pStyle w:val="naisc"/>
              <w:spacing w:before="0" w:after="0"/>
              <w:rPr>
                <w:sz w:val="22"/>
                <w:szCs w:val="22"/>
              </w:rPr>
            </w:pPr>
            <w:r w:rsidRPr="00E62CB7">
              <w:rPr>
                <w:sz w:val="22"/>
                <w:szCs w:val="22"/>
              </w:rPr>
              <w:t>3</w:t>
            </w:r>
          </w:p>
        </w:tc>
        <w:tc>
          <w:tcPr>
            <w:tcW w:w="3260" w:type="dxa"/>
            <w:tcBorders>
              <w:top w:val="single" w:sz="6" w:space="0" w:color="000000"/>
              <w:left w:val="single" w:sz="6" w:space="0" w:color="000000"/>
              <w:bottom w:val="single" w:sz="6" w:space="0" w:color="000000"/>
              <w:right w:val="single" w:sz="6" w:space="0" w:color="000000"/>
            </w:tcBorders>
          </w:tcPr>
          <w:p w14:paraId="5FBCE32E" w14:textId="77777777" w:rsidR="00134188" w:rsidRPr="00E62CB7" w:rsidRDefault="003B71E0" w:rsidP="003B71E0">
            <w:pPr>
              <w:pStyle w:val="naisc"/>
              <w:spacing w:before="0" w:after="0"/>
              <w:ind w:firstLine="720"/>
              <w:rPr>
                <w:sz w:val="22"/>
                <w:szCs w:val="22"/>
              </w:rPr>
            </w:pPr>
            <w:r w:rsidRPr="00E62CB7">
              <w:rPr>
                <w:sz w:val="22"/>
                <w:szCs w:val="22"/>
              </w:rPr>
              <w:t>4</w:t>
            </w:r>
          </w:p>
        </w:tc>
        <w:tc>
          <w:tcPr>
            <w:tcW w:w="3083" w:type="dxa"/>
            <w:tcBorders>
              <w:top w:val="single" w:sz="4" w:space="0" w:color="auto"/>
              <w:left w:val="single" w:sz="4" w:space="0" w:color="auto"/>
              <w:bottom w:val="single" w:sz="4" w:space="0" w:color="auto"/>
            </w:tcBorders>
          </w:tcPr>
          <w:p w14:paraId="6C6452C5" w14:textId="77777777" w:rsidR="00134188" w:rsidRPr="00E62CB7" w:rsidRDefault="003B71E0" w:rsidP="003B71E0">
            <w:pPr>
              <w:jc w:val="center"/>
              <w:rPr>
                <w:sz w:val="22"/>
                <w:szCs w:val="22"/>
              </w:rPr>
            </w:pPr>
            <w:r w:rsidRPr="00E62CB7">
              <w:rPr>
                <w:sz w:val="22"/>
                <w:szCs w:val="22"/>
              </w:rPr>
              <w:t>5</w:t>
            </w:r>
          </w:p>
        </w:tc>
      </w:tr>
      <w:tr w:rsidR="00C807EF" w:rsidRPr="00E62CB7" w14:paraId="34A0BF84" w14:textId="77777777" w:rsidTr="00E62CB7">
        <w:tc>
          <w:tcPr>
            <w:tcW w:w="0" w:type="auto"/>
            <w:tcBorders>
              <w:left w:val="single" w:sz="6" w:space="0" w:color="000000"/>
              <w:bottom w:val="single" w:sz="4" w:space="0" w:color="auto"/>
              <w:right w:val="single" w:sz="6" w:space="0" w:color="000000"/>
            </w:tcBorders>
          </w:tcPr>
          <w:p w14:paraId="208402F1" w14:textId="1381F203" w:rsidR="0017565B" w:rsidRPr="00E62CB7" w:rsidRDefault="0084451D" w:rsidP="00CE1174">
            <w:pPr>
              <w:pStyle w:val="naisc"/>
              <w:spacing w:before="0" w:after="0"/>
              <w:jc w:val="right"/>
              <w:rPr>
                <w:sz w:val="22"/>
                <w:szCs w:val="22"/>
              </w:rPr>
            </w:pPr>
            <w:r w:rsidRPr="00E62CB7">
              <w:rPr>
                <w:sz w:val="22"/>
                <w:szCs w:val="22"/>
              </w:rPr>
              <w:t>1</w:t>
            </w:r>
            <w:r w:rsidR="00FA5D6D" w:rsidRPr="00E62CB7">
              <w:rPr>
                <w:sz w:val="22"/>
                <w:szCs w:val="22"/>
              </w:rPr>
              <w:t>.</w:t>
            </w:r>
          </w:p>
        </w:tc>
        <w:tc>
          <w:tcPr>
            <w:tcW w:w="2890" w:type="dxa"/>
            <w:tcBorders>
              <w:left w:val="single" w:sz="6" w:space="0" w:color="000000"/>
              <w:bottom w:val="single" w:sz="4" w:space="0" w:color="auto"/>
              <w:right w:val="single" w:sz="6" w:space="0" w:color="000000"/>
            </w:tcBorders>
          </w:tcPr>
          <w:p w14:paraId="03719E70" w14:textId="3920CC43" w:rsidR="0017565B" w:rsidRPr="00E62CB7" w:rsidRDefault="0017565B" w:rsidP="00C8683C">
            <w:pPr>
              <w:pStyle w:val="NoSpacing"/>
              <w:jc w:val="both"/>
              <w:rPr>
                <w:rFonts w:ascii="Times New Roman" w:eastAsia="Times New Roman" w:hAnsi="Times New Roman"/>
                <w:lang w:eastAsia="lv-LV"/>
              </w:rPr>
            </w:pPr>
          </w:p>
        </w:tc>
        <w:tc>
          <w:tcPr>
            <w:tcW w:w="4253" w:type="dxa"/>
            <w:tcBorders>
              <w:left w:val="single" w:sz="6" w:space="0" w:color="000000"/>
              <w:bottom w:val="single" w:sz="4" w:space="0" w:color="auto"/>
              <w:right w:val="single" w:sz="6" w:space="0" w:color="000000"/>
            </w:tcBorders>
          </w:tcPr>
          <w:p w14:paraId="799AB333" w14:textId="77777777" w:rsidR="00272F79" w:rsidRPr="00E62CB7" w:rsidRDefault="00367CB5" w:rsidP="003306C7">
            <w:pPr>
              <w:jc w:val="both"/>
              <w:rPr>
                <w:b/>
                <w:sz w:val="22"/>
                <w:szCs w:val="22"/>
              </w:rPr>
            </w:pPr>
            <w:r w:rsidRPr="00E62CB7">
              <w:rPr>
                <w:b/>
                <w:sz w:val="22"/>
                <w:szCs w:val="22"/>
              </w:rPr>
              <w:t>TM</w:t>
            </w:r>
          </w:p>
          <w:p w14:paraId="601084FB" w14:textId="4590473F" w:rsidR="00367CB5" w:rsidRPr="00E62CB7" w:rsidRDefault="00367CB5" w:rsidP="003306C7">
            <w:pPr>
              <w:jc w:val="both"/>
              <w:rPr>
                <w:sz w:val="22"/>
                <w:szCs w:val="22"/>
              </w:rPr>
            </w:pPr>
            <w:r w:rsidRPr="00E62CB7">
              <w:rPr>
                <w:sz w:val="22"/>
                <w:szCs w:val="22"/>
              </w:rPr>
              <w:t>1. Projekta 2. punktā tiek lietots termins "nodokļu maksātājs", kas tiek lietots arī Ministru kabineta 2017. gada 14. novembra noteikumos Nr. 677 "Uzņēmumu ienākuma nodokļa likuma normu piemērošanas noteikumi" (turpmāk – piemērošanas noteikumi) un Uzņēmumu ienākuma nodokļa likumā. Vienlaikus projekta 2. punktā tiek lietoti termini "pakalpojuma sniedzējs" un "pakalpojumu saņēmējs", runājot par nodokļu maksātājiem, kas sniedz vai saņem pakalpojumus, bet pārējos projekta punktos šādi termini netiek lietoti. Lai novērstu nevienveidīgu terminu lietojumu projektā un piemērošanas noteikumos, lūdzam precizēt projekta 2. punktu.</w:t>
            </w:r>
          </w:p>
        </w:tc>
        <w:tc>
          <w:tcPr>
            <w:tcW w:w="3260" w:type="dxa"/>
            <w:tcBorders>
              <w:left w:val="single" w:sz="6" w:space="0" w:color="000000"/>
              <w:bottom w:val="single" w:sz="4" w:space="0" w:color="auto"/>
              <w:right w:val="single" w:sz="6" w:space="0" w:color="000000"/>
            </w:tcBorders>
          </w:tcPr>
          <w:p w14:paraId="583EEFA5" w14:textId="77777777" w:rsidR="00D969AC" w:rsidRPr="00E62CB7" w:rsidRDefault="00DA1437" w:rsidP="00DA1437">
            <w:pPr>
              <w:jc w:val="both"/>
              <w:rPr>
                <w:b/>
                <w:sz w:val="22"/>
                <w:szCs w:val="22"/>
              </w:rPr>
            </w:pPr>
            <w:r w:rsidRPr="00E62CB7">
              <w:rPr>
                <w:b/>
                <w:sz w:val="22"/>
                <w:szCs w:val="22"/>
              </w:rPr>
              <w:t>Ņemts vērā</w:t>
            </w:r>
          </w:p>
          <w:p w14:paraId="14F7C1F5" w14:textId="247DF979" w:rsidR="00FE7178" w:rsidRPr="00E62CB7" w:rsidRDefault="00FE7178" w:rsidP="00411CCD">
            <w:pPr>
              <w:jc w:val="both"/>
              <w:rPr>
                <w:sz w:val="22"/>
                <w:szCs w:val="22"/>
              </w:rPr>
            </w:pPr>
            <w:r w:rsidRPr="00E62CB7">
              <w:rPr>
                <w:sz w:val="22"/>
                <w:szCs w:val="22"/>
              </w:rPr>
              <w:t xml:space="preserve">Precizēta </w:t>
            </w:r>
            <w:r w:rsidR="00FA5D6D" w:rsidRPr="00E62CB7">
              <w:rPr>
                <w:sz w:val="22"/>
                <w:szCs w:val="22"/>
              </w:rPr>
              <w:t xml:space="preserve">noteikumu projekta </w:t>
            </w:r>
            <w:r w:rsidR="00DD2D86" w:rsidRPr="00E62CB7">
              <w:rPr>
                <w:sz w:val="22"/>
                <w:szCs w:val="22"/>
              </w:rPr>
              <w:t>redakcija</w:t>
            </w:r>
            <w:r w:rsidRPr="00E62CB7">
              <w:rPr>
                <w:sz w:val="22"/>
                <w:szCs w:val="22"/>
              </w:rPr>
              <w:t xml:space="preserve">, aizstājot </w:t>
            </w:r>
            <w:r w:rsidR="00DD2D86" w:rsidRPr="00E62CB7">
              <w:rPr>
                <w:sz w:val="22"/>
                <w:szCs w:val="22"/>
              </w:rPr>
              <w:t>terminus</w:t>
            </w:r>
            <w:r w:rsidRPr="00E62CB7">
              <w:rPr>
                <w:sz w:val="22"/>
                <w:szCs w:val="22"/>
              </w:rPr>
              <w:t xml:space="preserve"> “zemas pievienotās vērtības pakalpojumu </w:t>
            </w:r>
            <w:r w:rsidRPr="00E62CB7">
              <w:rPr>
                <w:sz w:val="22"/>
                <w:szCs w:val="22"/>
                <w:u w:val="single"/>
              </w:rPr>
              <w:t>sniedzējs</w:t>
            </w:r>
            <w:r w:rsidRPr="00E62CB7">
              <w:rPr>
                <w:sz w:val="22"/>
                <w:szCs w:val="22"/>
              </w:rPr>
              <w:t xml:space="preserve">” un “zemas pievienotās vērtības pakalpojumu </w:t>
            </w:r>
            <w:r w:rsidRPr="00E62CB7">
              <w:rPr>
                <w:sz w:val="22"/>
                <w:szCs w:val="22"/>
                <w:u w:val="single"/>
              </w:rPr>
              <w:t>saņēmējs</w:t>
            </w:r>
            <w:r w:rsidRPr="00E62CB7">
              <w:rPr>
                <w:sz w:val="22"/>
                <w:szCs w:val="22"/>
              </w:rPr>
              <w:t xml:space="preserve">” </w:t>
            </w:r>
            <w:r w:rsidR="00DD2D86" w:rsidRPr="00E62CB7">
              <w:rPr>
                <w:sz w:val="22"/>
                <w:szCs w:val="22"/>
              </w:rPr>
              <w:t xml:space="preserve">attiecīgi </w:t>
            </w:r>
            <w:r w:rsidR="00411CCD" w:rsidRPr="00E62CB7">
              <w:rPr>
                <w:sz w:val="22"/>
                <w:szCs w:val="22"/>
              </w:rPr>
              <w:t xml:space="preserve">ar </w:t>
            </w:r>
            <w:r w:rsidRPr="00E62CB7">
              <w:rPr>
                <w:sz w:val="22"/>
                <w:szCs w:val="22"/>
              </w:rPr>
              <w:t xml:space="preserve">šādiem terminiem “nodokļu maksātājs, kurš </w:t>
            </w:r>
            <w:r w:rsidRPr="00E62CB7">
              <w:rPr>
                <w:sz w:val="22"/>
                <w:szCs w:val="22"/>
                <w:u w:val="single"/>
              </w:rPr>
              <w:t>saņem</w:t>
            </w:r>
            <w:r w:rsidRPr="00E62CB7">
              <w:rPr>
                <w:sz w:val="22"/>
                <w:szCs w:val="22"/>
              </w:rPr>
              <w:t xml:space="preserve"> zemas pievienotās vērtības pakalpojumus” un “nodokļu maksātājs, kurš </w:t>
            </w:r>
            <w:r w:rsidRPr="00E62CB7">
              <w:rPr>
                <w:sz w:val="22"/>
                <w:szCs w:val="22"/>
                <w:u w:val="single"/>
              </w:rPr>
              <w:t>sniedz</w:t>
            </w:r>
            <w:r w:rsidRPr="00E62CB7">
              <w:rPr>
                <w:sz w:val="22"/>
                <w:szCs w:val="22"/>
              </w:rPr>
              <w:t xml:space="preserve"> zemas pievienotās vērtības pakalpojumus”. Precizējumi tika veikti </w:t>
            </w:r>
            <w:r w:rsidR="00FA5D6D" w:rsidRPr="00E62CB7">
              <w:rPr>
                <w:sz w:val="22"/>
                <w:szCs w:val="22"/>
              </w:rPr>
              <w:t>noteikumu projektā ietvertajos</w:t>
            </w:r>
            <w:r w:rsidRPr="00E62CB7">
              <w:rPr>
                <w:sz w:val="22"/>
                <w:szCs w:val="22"/>
              </w:rPr>
              <w:t xml:space="preserve"> šādos (apakš)punktos</w:t>
            </w:r>
            <w:r w:rsidR="00DA1437" w:rsidRPr="00E62CB7">
              <w:rPr>
                <w:sz w:val="22"/>
                <w:szCs w:val="22"/>
              </w:rPr>
              <w:t>:</w:t>
            </w:r>
            <w:r w:rsidRPr="00E62CB7">
              <w:rPr>
                <w:sz w:val="22"/>
                <w:szCs w:val="22"/>
              </w:rPr>
              <w:t xml:space="preserve"> </w:t>
            </w:r>
            <w:r w:rsidR="00DA1437" w:rsidRPr="00E62CB7">
              <w:rPr>
                <w:sz w:val="22"/>
                <w:szCs w:val="22"/>
              </w:rPr>
              <w:t>18.</w:t>
            </w:r>
            <w:r w:rsidR="00DA1437" w:rsidRPr="00E62CB7">
              <w:rPr>
                <w:sz w:val="22"/>
                <w:szCs w:val="22"/>
                <w:vertAlign w:val="superscript"/>
              </w:rPr>
              <w:t>2</w:t>
            </w:r>
            <w:r w:rsidR="00DA1437" w:rsidRPr="00E62CB7">
              <w:rPr>
                <w:sz w:val="22"/>
                <w:szCs w:val="22"/>
              </w:rPr>
              <w:t>4.</w:t>
            </w:r>
            <w:r w:rsidRPr="00E62CB7">
              <w:rPr>
                <w:sz w:val="22"/>
                <w:szCs w:val="22"/>
              </w:rPr>
              <w:t xml:space="preserve">; </w:t>
            </w:r>
            <w:r w:rsidR="008F4E49" w:rsidRPr="00E62CB7">
              <w:rPr>
                <w:sz w:val="22"/>
                <w:szCs w:val="22"/>
              </w:rPr>
              <w:t>18.</w:t>
            </w:r>
            <w:r w:rsidR="008F4E49" w:rsidRPr="00E62CB7">
              <w:rPr>
                <w:sz w:val="22"/>
                <w:szCs w:val="22"/>
                <w:vertAlign w:val="superscript"/>
              </w:rPr>
              <w:t>6</w:t>
            </w:r>
            <w:r w:rsidR="008F4E49" w:rsidRPr="00E62CB7">
              <w:rPr>
                <w:sz w:val="22"/>
                <w:szCs w:val="22"/>
              </w:rPr>
              <w:t>3.1.</w:t>
            </w:r>
            <w:r w:rsidRPr="00E62CB7">
              <w:rPr>
                <w:sz w:val="22"/>
                <w:szCs w:val="22"/>
              </w:rPr>
              <w:t xml:space="preserve">; </w:t>
            </w:r>
            <w:r w:rsidR="008F4E49" w:rsidRPr="00E62CB7">
              <w:rPr>
                <w:sz w:val="22"/>
                <w:szCs w:val="22"/>
              </w:rPr>
              <w:t>18.</w:t>
            </w:r>
            <w:r w:rsidR="008F4E49" w:rsidRPr="00E62CB7">
              <w:rPr>
                <w:sz w:val="22"/>
                <w:szCs w:val="22"/>
                <w:vertAlign w:val="superscript"/>
              </w:rPr>
              <w:t>7</w:t>
            </w:r>
            <w:r w:rsidR="008F4E49" w:rsidRPr="00E62CB7">
              <w:rPr>
                <w:sz w:val="22"/>
                <w:szCs w:val="22"/>
              </w:rPr>
              <w:t>3.</w:t>
            </w:r>
            <w:r w:rsidRPr="00E62CB7">
              <w:rPr>
                <w:sz w:val="22"/>
                <w:szCs w:val="22"/>
              </w:rPr>
              <w:t xml:space="preserve">; </w:t>
            </w:r>
            <w:r w:rsidR="008F4E49" w:rsidRPr="00E62CB7">
              <w:rPr>
                <w:sz w:val="22"/>
                <w:szCs w:val="22"/>
              </w:rPr>
              <w:t>18.</w:t>
            </w:r>
            <w:r w:rsidR="008F4E49" w:rsidRPr="00E62CB7">
              <w:rPr>
                <w:sz w:val="22"/>
                <w:szCs w:val="22"/>
                <w:vertAlign w:val="superscript"/>
              </w:rPr>
              <w:t>8</w:t>
            </w:r>
            <w:r w:rsidR="008F4E49" w:rsidRPr="00E62CB7">
              <w:rPr>
                <w:sz w:val="22"/>
                <w:szCs w:val="22"/>
              </w:rPr>
              <w:t xml:space="preserve"> </w:t>
            </w:r>
            <w:r w:rsidRPr="00E62CB7">
              <w:rPr>
                <w:sz w:val="22"/>
                <w:szCs w:val="22"/>
              </w:rPr>
              <w:t>(</w:t>
            </w:r>
            <w:proofErr w:type="spellStart"/>
            <w:r w:rsidR="008F4E49" w:rsidRPr="00E62CB7">
              <w:rPr>
                <w:sz w:val="22"/>
                <w:szCs w:val="22"/>
              </w:rPr>
              <w:t>ievadteikums</w:t>
            </w:r>
            <w:proofErr w:type="spellEnd"/>
            <w:r w:rsidRPr="00E62CB7">
              <w:rPr>
                <w:sz w:val="22"/>
                <w:szCs w:val="22"/>
              </w:rPr>
              <w:t xml:space="preserve">); </w:t>
            </w:r>
            <w:r w:rsidR="008F4E49" w:rsidRPr="00E62CB7">
              <w:rPr>
                <w:sz w:val="22"/>
                <w:szCs w:val="22"/>
              </w:rPr>
              <w:t>18.</w:t>
            </w:r>
            <w:r w:rsidR="008F4E49" w:rsidRPr="00E62CB7">
              <w:rPr>
                <w:sz w:val="22"/>
                <w:szCs w:val="22"/>
                <w:vertAlign w:val="superscript"/>
              </w:rPr>
              <w:t>8</w:t>
            </w:r>
            <w:r w:rsidR="008F4E49" w:rsidRPr="00E62CB7">
              <w:rPr>
                <w:sz w:val="22"/>
                <w:szCs w:val="22"/>
              </w:rPr>
              <w:t>2.</w:t>
            </w:r>
            <w:r w:rsidRPr="00E62CB7">
              <w:rPr>
                <w:sz w:val="22"/>
                <w:szCs w:val="22"/>
              </w:rPr>
              <w:t>; 18.</w:t>
            </w:r>
            <w:r w:rsidRPr="00E62CB7">
              <w:rPr>
                <w:sz w:val="22"/>
                <w:szCs w:val="22"/>
                <w:vertAlign w:val="superscript"/>
              </w:rPr>
              <w:t>9</w:t>
            </w:r>
            <w:r w:rsidR="00FA5D6D" w:rsidRPr="00E62CB7">
              <w:rPr>
                <w:sz w:val="22"/>
                <w:szCs w:val="22"/>
              </w:rPr>
              <w:t>.</w:t>
            </w:r>
          </w:p>
        </w:tc>
        <w:tc>
          <w:tcPr>
            <w:tcW w:w="3083" w:type="dxa"/>
            <w:tcBorders>
              <w:top w:val="single" w:sz="4" w:space="0" w:color="auto"/>
              <w:left w:val="single" w:sz="4" w:space="0" w:color="auto"/>
              <w:bottom w:val="single" w:sz="4" w:space="0" w:color="auto"/>
            </w:tcBorders>
          </w:tcPr>
          <w:p w14:paraId="7FD8A0E0" w14:textId="77777777" w:rsidR="0017565B" w:rsidRPr="00E62CB7" w:rsidRDefault="0017565B" w:rsidP="00977E6B">
            <w:pPr>
              <w:jc w:val="both"/>
              <w:rPr>
                <w:sz w:val="22"/>
                <w:szCs w:val="22"/>
              </w:rPr>
            </w:pPr>
          </w:p>
        </w:tc>
      </w:tr>
      <w:tr w:rsidR="00C807EF" w:rsidRPr="00E62CB7" w14:paraId="1FBFEEBA" w14:textId="77777777" w:rsidTr="00E62CB7">
        <w:tc>
          <w:tcPr>
            <w:tcW w:w="0" w:type="auto"/>
            <w:tcBorders>
              <w:top w:val="single" w:sz="4" w:space="0" w:color="auto"/>
              <w:left w:val="single" w:sz="4" w:space="0" w:color="auto"/>
              <w:bottom w:val="single" w:sz="4" w:space="0" w:color="auto"/>
              <w:right w:val="single" w:sz="4" w:space="0" w:color="auto"/>
            </w:tcBorders>
          </w:tcPr>
          <w:p w14:paraId="15DFF476" w14:textId="2DC426DD" w:rsidR="00E276C1" w:rsidRPr="00E62CB7" w:rsidRDefault="00604148" w:rsidP="00CE1174">
            <w:pPr>
              <w:pStyle w:val="naisc"/>
              <w:spacing w:before="0" w:after="0"/>
              <w:jc w:val="right"/>
              <w:rPr>
                <w:sz w:val="22"/>
                <w:szCs w:val="22"/>
              </w:rPr>
            </w:pPr>
            <w:r w:rsidRPr="00E62CB7">
              <w:rPr>
                <w:sz w:val="22"/>
                <w:szCs w:val="22"/>
              </w:rPr>
              <w:t>2</w:t>
            </w:r>
            <w:r w:rsidR="00FA5D6D" w:rsidRPr="00E62CB7">
              <w:rPr>
                <w:sz w:val="22"/>
                <w:szCs w:val="22"/>
              </w:rPr>
              <w:t>.</w:t>
            </w:r>
          </w:p>
        </w:tc>
        <w:tc>
          <w:tcPr>
            <w:tcW w:w="2890" w:type="dxa"/>
            <w:tcBorders>
              <w:top w:val="single" w:sz="4" w:space="0" w:color="auto"/>
              <w:left w:val="single" w:sz="4" w:space="0" w:color="auto"/>
              <w:bottom w:val="single" w:sz="4" w:space="0" w:color="auto"/>
              <w:right w:val="single" w:sz="4" w:space="0" w:color="auto"/>
            </w:tcBorders>
          </w:tcPr>
          <w:p w14:paraId="6F713410"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 xml:space="preserve"> Šo noteikumu izpratnē par zemas pievienotās vērtības pakalpojumiem netiek uzskatīti:</w:t>
            </w:r>
          </w:p>
          <w:p w14:paraId="64E74152" w14:textId="77777777" w:rsidR="001B090E" w:rsidRPr="00E62CB7" w:rsidRDefault="001B090E" w:rsidP="001B090E">
            <w:pPr>
              <w:ind w:firstLine="720"/>
              <w:jc w:val="both"/>
              <w:rPr>
                <w:sz w:val="22"/>
                <w:szCs w:val="22"/>
                <w:u w:val="single"/>
              </w:rPr>
            </w:pPr>
            <w:r w:rsidRPr="00E62CB7">
              <w:rPr>
                <w:sz w:val="22"/>
                <w:szCs w:val="22"/>
                <w:u w:val="single"/>
              </w:rPr>
              <w:t>18.</w:t>
            </w:r>
            <w:r w:rsidRPr="00E62CB7">
              <w:rPr>
                <w:sz w:val="22"/>
                <w:szCs w:val="22"/>
                <w:u w:val="single"/>
                <w:vertAlign w:val="superscript"/>
              </w:rPr>
              <w:t>3</w:t>
            </w:r>
            <w:r w:rsidRPr="00E62CB7">
              <w:rPr>
                <w:sz w:val="22"/>
                <w:szCs w:val="22"/>
                <w:u w:val="single"/>
              </w:rPr>
              <w:t>1. pakalpojumi, kuri veido daļu no starptautiskās uzņēmumu grupas pamatdarbības;</w:t>
            </w:r>
          </w:p>
          <w:p w14:paraId="16C1DC34"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2. pētniecības un attīstības pakalpojumi;</w:t>
            </w:r>
          </w:p>
          <w:p w14:paraId="26298292"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3. ražošanas pakalpojumi;</w:t>
            </w:r>
          </w:p>
          <w:p w14:paraId="2182E00D"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 xml:space="preserve">4. iepirkuma pakalpojumi attiecībā uz izejvielām vai citiem </w:t>
            </w:r>
            <w:r w:rsidRPr="00E62CB7">
              <w:rPr>
                <w:sz w:val="22"/>
                <w:szCs w:val="22"/>
              </w:rPr>
              <w:lastRenderedPageBreak/>
              <w:t>materiāliem, kuri tiek izmantoti ražošanas procesā;</w:t>
            </w:r>
          </w:p>
          <w:p w14:paraId="34DA115D"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5. pārdošanas, mārketinga vai preces izplatīšanas pakalpojumi;</w:t>
            </w:r>
          </w:p>
          <w:p w14:paraId="2CD8F0EE"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6. finanšu pakalpojumi;</w:t>
            </w:r>
          </w:p>
          <w:p w14:paraId="199FB3A1"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7. dabas resursu ieguve, izpēte vai pārstrāde;</w:t>
            </w:r>
          </w:p>
          <w:p w14:paraId="1EBAE0D0"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8. apdrošināšanas un pārapdrošināšanas pakalpojumi;</w:t>
            </w:r>
          </w:p>
          <w:p w14:paraId="024F3D52" w14:textId="77777777" w:rsidR="001B090E" w:rsidRPr="00E62CB7" w:rsidRDefault="001B090E" w:rsidP="001B090E">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9. augstākās korporatīvās vadības pakalpojumi (izņemot pakalpojumus, kuri attiecas uz šajos noteikumos minēto zemas pievienotās vērtības pakalpojumu vadību un pārraudzību).</w:t>
            </w:r>
          </w:p>
          <w:p w14:paraId="32386D5A" w14:textId="41D7CC84" w:rsidR="001B090E" w:rsidRPr="00E62CB7" w:rsidRDefault="001B090E" w:rsidP="00846F3F">
            <w:pPr>
              <w:ind w:firstLine="709"/>
              <w:jc w:val="both"/>
              <w:rPr>
                <w:rFonts w:eastAsiaTheme="minorHAnsi"/>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3ED9551" w14:textId="0DB0F4A6" w:rsidR="00E9064F" w:rsidRPr="00E62CB7" w:rsidRDefault="00E9064F" w:rsidP="003306C7">
            <w:pPr>
              <w:jc w:val="both"/>
              <w:rPr>
                <w:rFonts w:eastAsiaTheme="minorHAnsi"/>
                <w:b/>
                <w:sz w:val="22"/>
                <w:szCs w:val="22"/>
                <w:lang w:eastAsia="en-US"/>
              </w:rPr>
            </w:pPr>
            <w:r w:rsidRPr="00E62CB7">
              <w:rPr>
                <w:rFonts w:eastAsiaTheme="minorHAnsi"/>
                <w:b/>
                <w:sz w:val="22"/>
                <w:szCs w:val="22"/>
                <w:lang w:eastAsia="en-US"/>
              </w:rPr>
              <w:lastRenderedPageBreak/>
              <w:t>TM</w:t>
            </w:r>
          </w:p>
          <w:p w14:paraId="1CD003D7" w14:textId="69AAAE4C" w:rsidR="0002611B" w:rsidRPr="00E62CB7" w:rsidRDefault="00E9064F" w:rsidP="003306C7">
            <w:pPr>
              <w:jc w:val="both"/>
              <w:rPr>
                <w:rFonts w:eastAsiaTheme="minorHAnsi"/>
                <w:sz w:val="22"/>
                <w:szCs w:val="22"/>
                <w:lang w:eastAsia="en-US"/>
              </w:rPr>
            </w:pPr>
            <w:r w:rsidRPr="00E62CB7">
              <w:rPr>
                <w:rFonts w:eastAsiaTheme="minorHAnsi"/>
                <w:sz w:val="22"/>
                <w:szCs w:val="22"/>
                <w:lang w:eastAsia="en-US"/>
              </w:rPr>
              <w:t>2. Projekta 2. punktā ietvertajā piemērošanas noteikumu 18.</w:t>
            </w:r>
            <w:r w:rsidRPr="00E62CB7">
              <w:rPr>
                <w:rFonts w:eastAsiaTheme="minorHAnsi"/>
                <w:sz w:val="22"/>
                <w:szCs w:val="22"/>
                <w:vertAlign w:val="superscript"/>
                <w:lang w:eastAsia="en-US"/>
              </w:rPr>
              <w:t>2</w:t>
            </w:r>
            <w:r w:rsidRPr="00E62CB7">
              <w:rPr>
                <w:rFonts w:eastAsiaTheme="minorHAnsi"/>
                <w:sz w:val="22"/>
                <w:szCs w:val="22"/>
                <w:lang w:eastAsia="en-US"/>
              </w:rPr>
              <w:t xml:space="preserve">2. apakšpunktā paredzēts, ka piemērošanas noteikumu izpratnē ar zemas pievienotās vērtības pakalpojumiem saprot kontrolēta darījuma ietvaros sniegtus pakalpojumus, kas </w:t>
            </w:r>
            <w:r w:rsidRPr="00E62CB7">
              <w:rPr>
                <w:rFonts w:eastAsiaTheme="minorHAnsi"/>
                <w:sz w:val="22"/>
                <w:szCs w:val="22"/>
                <w:u w:val="single"/>
                <w:lang w:eastAsia="en-US"/>
              </w:rPr>
              <w:t>neveido daļu no starptautiskās uzņēmumu grupas pamatdarbības</w:t>
            </w:r>
            <w:r w:rsidRPr="00E62CB7">
              <w:rPr>
                <w:rFonts w:eastAsiaTheme="minorHAnsi"/>
                <w:sz w:val="22"/>
                <w:szCs w:val="22"/>
                <w:lang w:eastAsia="en-US"/>
              </w:rPr>
              <w:t>. Savukārt projekta 2. punktā ietvertajā piemērošanas noteikumu 18.</w:t>
            </w:r>
            <w:r w:rsidRPr="00E62CB7">
              <w:rPr>
                <w:rFonts w:eastAsiaTheme="minorHAnsi"/>
                <w:sz w:val="22"/>
                <w:szCs w:val="22"/>
                <w:vertAlign w:val="superscript"/>
                <w:lang w:eastAsia="en-US"/>
              </w:rPr>
              <w:t>3</w:t>
            </w:r>
            <w:r w:rsidRPr="00E62CB7">
              <w:rPr>
                <w:rFonts w:eastAsiaTheme="minorHAnsi"/>
                <w:sz w:val="22"/>
                <w:szCs w:val="22"/>
                <w:lang w:eastAsia="en-US"/>
              </w:rPr>
              <w:t xml:space="preserve">1. apakšpunktā paredzēts, ka piemērošanas noteikumu izpratnē par zemas pievienotās vērtības pakalpojumiem netiek uzskatīti pakalpojumi, kuri </w:t>
            </w:r>
            <w:r w:rsidRPr="00E62CB7">
              <w:rPr>
                <w:rFonts w:eastAsiaTheme="minorHAnsi"/>
                <w:sz w:val="22"/>
                <w:szCs w:val="22"/>
                <w:u w:val="single"/>
                <w:lang w:eastAsia="en-US"/>
              </w:rPr>
              <w:t xml:space="preserve">veido daļu no starptautiskās uzņēmumu grupas </w:t>
            </w:r>
            <w:r w:rsidRPr="00E62CB7">
              <w:rPr>
                <w:rFonts w:eastAsiaTheme="minorHAnsi"/>
                <w:sz w:val="22"/>
                <w:szCs w:val="22"/>
                <w:u w:val="single"/>
                <w:lang w:eastAsia="en-US"/>
              </w:rPr>
              <w:lastRenderedPageBreak/>
              <w:t>pamatdarbības</w:t>
            </w:r>
            <w:r w:rsidRPr="00E62CB7">
              <w:rPr>
                <w:rFonts w:eastAsiaTheme="minorHAnsi"/>
                <w:sz w:val="22"/>
                <w:szCs w:val="22"/>
                <w:lang w:eastAsia="en-US"/>
              </w:rPr>
              <w:t>. No projekta 2. punktā ietvertā piemērošanas noteikumu 18.</w:t>
            </w:r>
            <w:r w:rsidRPr="00E62CB7">
              <w:rPr>
                <w:rFonts w:eastAsiaTheme="minorHAnsi"/>
                <w:sz w:val="22"/>
                <w:szCs w:val="22"/>
                <w:vertAlign w:val="superscript"/>
                <w:lang w:eastAsia="en-US"/>
              </w:rPr>
              <w:t>2</w:t>
            </w:r>
            <w:r w:rsidRPr="00E62CB7">
              <w:rPr>
                <w:rFonts w:eastAsiaTheme="minorHAnsi"/>
                <w:sz w:val="22"/>
                <w:szCs w:val="22"/>
                <w:lang w:eastAsia="en-US"/>
              </w:rPr>
              <w:t> punkta ievaddaļas izriet, ka zemas pievienotās vērtības pakalpojumam jāatbilst visiem punktā minētajiem kritērijiem. Līdz ar to pakalpojums netiks uzskatīts par zemas pievienotās vērtības pakalpojumu, ja tas neatbildīs kādam no projekta 2. punktā ietvertā piemērošanas noteikumu 18.</w:t>
            </w:r>
            <w:r w:rsidRPr="00E62CB7">
              <w:rPr>
                <w:rFonts w:eastAsiaTheme="minorHAnsi"/>
                <w:sz w:val="22"/>
                <w:szCs w:val="22"/>
                <w:vertAlign w:val="superscript"/>
                <w:lang w:eastAsia="en-US"/>
              </w:rPr>
              <w:t>2</w:t>
            </w:r>
            <w:r w:rsidRPr="00E62CB7">
              <w:rPr>
                <w:rFonts w:eastAsiaTheme="minorHAnsi"/>
                <w:sz w:val="22"/>
                <w:szCs w:val="22"/>
                <w:lang w:eastAsia="en-US"/>
              </w:rPr>
              <w:t xml:space="preserve"> punktā minētajiem kritērijiem, tai skaitā tam, kas paredz, ka </w:t>
            </w:r>
            <w:r w:rsidRPr="00E62CB7">
              <w:rPr>
                <w:rFonts w:eastAsiaTheme="minorHAnsi"/>
                <w:sz w:val="22"/>
                <w:szCs w:val="22"/>
                <w:u w:val="single"/>
                <w:lang w:eastAsia="en-US"/>
              </w:rPr>
              <w:t>pakalpojums neveido daļu no starptautiskās uzņēmumu grupas pamatdarbības</w:t>
            </w:r>
            <w:r w:rsidRPr="00E62CB7">
              <w:rPr>
                <w:rFonts w:eastAsiaTheme="minorHAnsi"/>
                <w:sz w:val="22"/>
                <w:szCs w:val="22"/>
                <w:lang w:eastAsia="en-US"/>
              </w:rPr>
              <w:t>. Ņemot vērā minēto, uzskatām, ka projekta 2. punktā ietvertais 18.</w:t>
            </w:r>
            <w:r w:rsidRPr="00E62CB7">
              <w:rPr>
                <w:rFonts w:eastAsiaTheme="minorHAnsi"/>
                <w:sz w:val="22"/>
                <w:szCs w:val="22"/>
                <w:vertAlign w:val="superscript"/>
                <w:lang w:eastAsia="en-US"/>
              </w:rPr>
              <w:t>3</w:t>
            </w:r>
            <w:r w:rsidRPr="00E62CB7">
              <w:rPr>
                <w:rFonts w:eastAsiaTheme="minorHAnsi"/>
                <w:sz w:val="22"/>
                <w:szCs w:val="22"/>
                <w:lang w:eastAsia="en-US"/>
              </w:rPr>
              <w:t>1. apakšpunkts ir lieks. Ņemot vērā minēto, lūdzam svītrot projekta 2. punktā ietverto piemērošanas noteikumu 18.</w:t>
            </w:r>
            <w:r w:rsidRPr="00E62CB7">
              <w:rPr>
                <w:rFonts w:eastAsiaTheme="minorHAnsi"/>
                <w:sz w:val="22"/>
                <w:szCs w:val="22"/>
                <w:vertAlign w:val="superscript"/>
                <w:lang w:eastAsia="en-US"/>
              </w:rPr>
              <w:t>3</w:t>
            </w:r>
            <w:r w:rsidRPr="00E62CB7">
              <w:rPr>
                <w:rFonts w:eastAsiaTheme="minorHAnsi"/>
                <w:sz w:val="22"/>
                <w:szCs w:val="22"/>
                <w:lang w:eastAsia="en-US"/>
              </w:rPr>
              <w:t>1. apakšpunktu vai precizēt to, nosakot, ka par zemas pievienotās vērtības pakalpojumu netiek uzskatīti pakalpojumi, kuri neatbilst kādam no piemērošanas noteikumu 18.</w:t>
            </w:r>
            <w:r w:rsidRPr="00E62CB7">
              <w:rPr>
                <w:rFonts w:eastAsiaTheme="minorHAnsi"/>
                <w:sz w:val="22"/>
                <w:szCs w:val="22"/>
                <w:vertAlign w:val="superscript"/>
                <w:lang w:eastAsia="en-US"/>
              </w:rPr>
              <w:t>2</w:t>
            </w:r>
            <w:r w:rsidRPr="00E62CB7">
              <w:rPr>
                <w:rFonts w:eastAsiaTheme="minorHAnsi"/>
                <w:sz w:val="22"/>
                <w:szCs w:val="22"/>
                <w:lang w:eastAsia="en-US"/>
              </w:rPr>
              <w:t> punktā minētajiem kritērijiem.</w:t>
            </w:r>
          </w:p>
        </w:tc>
        <w:tc>
          <w:tcPr>
            <w:tcW w:w="3260" w:type="dxa"/>
            <w:tcBorders>
              <w:top w:val="single" w:sz="4" w:space="0" w:color="auto"/>
              <w:left w:val="single" w:sz="4" w:space="0" w:color="auto"/>
              <w:bottom w:val="single" w:sz="4" w:space="0" w:color="auto"/>
              <w:right w:val="single" w:sz="4" w:space="0" w:color="auto"/>
            </w:tcBorders>
          </w:tcPr>
          <w:p w14:paraId="3361174A" w14:textId="77777777" w:rsidR="00DD2D86" w:rsidRPr="00E62CB7" w:rsidRDefault="00DD2D86" w:rsidP="00DD2D86">
            <w:pPr>
              <w:jc w:val="both"/>
              <w:rPr>
                <w:rFonts w:eastAsiaTheme="minorHAnsi"/>
                <w:b/>
                <w:sz w:val="22"/>
                <w:szCs w:val="22"/>
              </w:rPr>
            </w:pPr>
            <w:r w:rsidRPr="00E62CB7">
              <w:rPr>
                <w:rFonts w:eastAsiaTheme="minorHAnsi"/>
                <w:b/>
                <w:sz w:val="22"/>
                <w:szCs w:val="22"/>
              </w:rPr>
              <w:lastRenderedPageBreak/>
              <w:t>Ņemts vērā</w:t>
            </w:r>
          </w:p>
          <w:p w14:paraId="28374ED1" w14:textId="4857E87B" w:rsidR="00DD2D86" w:rsidRPr="00E62CB7" w:rsidRDefault="00DD2D86" w:rsidP="00DD2D86">
            <w:pPr>
              <w:jc w:val="both"/>
              <w:rPr>
                <w:rFonts w:eastAsiaTheme="minorHAnsi"/>
                <w:sz w:val="22"/>
                <w:szCs w:val="22"/>
              </w:rPr>
            </w:pPr>
            <w:r w:rsidRPr="00E62CB7">
              <w:rPr>
                <w:rFonts w:eastAsiaTheme="minorHAnsi"/>
                <w:sz w:val="22"/>
                <w:szCs w:val="22"/>
              </w:rPr>
              <w:t xml:space="preserve">Precizēts noteikumu projektā ietvertais noteikumu </w:t>
            </w:r>
            <w:r w:rsidRPr="00E62CB7">
              <w:rPr>
                <w:rFonts w:eastAsiaTheme="minorHAnsi"/>
                <w:sz w:val="22"/>
                <w:szCs w:val="22"/>
                <w:u w:val="single"/>
              </w:rPr>
              <w:t>18.</w:t>
            </w:r>
            <w:r w:rsidRPr="00E62CB7">
              <w:rPr>
                <w:rFonts w:eastAsiaTheme="minorHAnsi"/>
                <w:sz w:val="22"/>
                <w:szCs w:val="22"/>
                <w:u w:val="single"/>
                <w:vertAlign w:val="superscript"/>
              </w:rPr>
              <w:t>3</w:t>
            </w:r>
            <w:r w:rsidRPr="00E62CB7">
              <w:rPr>
                <w:rFonts w:eastAsiaTheme="minorHAnsi"/>
                <w:sz w:val="22"/>
                <w:szCs w:val="22"/>
                <w:u w:val="single"/>
              </w:rPr>
              <w:t>1. apakšpunkts</w:t>
            </w:r>
            <w:r w:rsidR="00FA5D6D" w:rsidRPr="00E62CB7">
              <w:rPr>
                <w:rFonts w:eastAsiaTheme="minorHAnsi"/>
                <w:sz w:val="22"/>
                <w:szCs w:val="22"/>
                <w:u w:val="single"/>
              </w:rPr>
              <w:t>.</w:t>
            </w:r>
          </w:p>
        </w:tc>
        <w:tc>
          <w:tcPr>
            <w:tcW w:w="3083" w:type="dxa"/>
            <w:tcBorders>
              <w:top w:val="single" w:sz="4" w:space="0" w:color="auto"/>
              <w:left w:val="single" w:sz="4" w:space="0" w:color="auto"/>
              <w:bottom w:val="single" w:sz="4" w:space="0" w:color="auto"/>
            </w:tcBorders>
          </w:tcPr>
          <w:p w14:paraId="1E72C760"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 xml:space="preserve"> Šo noteikumu izpratnē par zemas pievienotās vērtības pakalpojumiem netiek uzskatīti:</w:t>
            </w:r>
          </w:p>
          <w:p w14:paraId="3457737C" w14:textId="77777777" w:rsidR="00DD2D86" w:rsidRPr="00E62CB7" w:rsidRDefault="00DD2D86" w:rsidP="00DD2D86">
            <w:pPr>
              <w:ind w:firstLine="720"/>
              <w:jc w:val="both"/>
              <w:rPr>
                <w:sz w:val="22"/>
                <w:szCs w:val="22"/>
                <w:u w:val="single"/>
              </w:rPr>
            </w:pPr>
            <w:r w:rsidRPr="00E62CB7">
              <w:rPr>
                <w:sz w:val="22"/>
                <w:szCs w:val="22"/>
                <w:u w:val="single"/>
              </w:rPr>
              <w:t>18.</w:t>
            </w:r>
            <w:r w:rsidRPr="00E62CB7">
              <w:rPr>
                <w:sz w:val="22"/>
                <w:szCs w:val="22"/>
                <w:u w:val="single"/>
                <w:vertAlign w:val="superscript"/>
              </w:rPr>
              <w:t>3</w:t>
            </w:r>
            <w:r w:rsidRPr="00E62CB7">
              <w:rPr>
                <w:sz w:val="22"/>
                <w:szCs w:val="22"/>
                <w:u w:val="single"/>
              </w:rPr>
              <w:t>1. pakalpojumi, kuri neatbilst kādam no šo noteikumu 18.</w:t>
            </w:r>
            <w:r w:rsidRPr="00E62CB7">
              <w:rPr>
                <w:sz w:val="22"/>
                <w:szCs w:val="22"/>
                <w:u w:val="single"/>
                <w:vertAlign w:val="superscript"/>
              </w:rPr>
              <w:t xml:space="preserve">2 </w:t>
            </w:r>
            <w:r w:rsidRPr="00E62CB7">
              <w:rPr>
                <w:sz w:val="22"/>
                <w:szCs w:val="22"/>
                <w:u w:val="single"/>
              </w:rPr>
              <w:t>punktā minētajiem kritērijiem;</w:t>
            </w:r>
          </w:p>
          <w:p w14:paraId="19F62C13"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2. pētniecības un attīstības pakalpojumi;</w:t>
            </w:r>
          </w:p>
          <w:p w14:paraId="14058815"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3. ražošanas pakalpojumi;</w:t>
            </w:r>
          </w:p>
          <w:p w14:paraId="3342436E"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 xml:space="preserve">4. iepirkuma pakalpojumi attiecībā uz izejvielām vai citiem </w:t>
            </w:r>
            <w:r w:rsidRPr="00E62CB7">
              <w:rPr>
                <w:sz w:val="22"/>
                <w:szCs w:val="22"/>
              </w:rPr>
              <w:lastRenderedPageBreak/>
              <w:t>materiāliem, kuri tiek izmantoti ražošanas procesā;</w:t>
            </w:r>
          </w:p>
          <w:p w14:paraId="10219679"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5. pārdošanas, mārketinga vai preces izplatīšanas pakalpojumi;</w:t>
            </w:r>
          </w:p>
          <w:p w14:paraId="73966CAE"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6. finanšu pakalpojumi;</w:t>
            </w:r>
          </w:p>
          <w:p w14:paraId="6CD44F69"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7. dabas resursu ieguve, izpēte vai pārstrāde;</w:t>
            </w:r>
          </w:p>
          <w:p w14:paraId="27F76742"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8. apdrošināšanas un pārapdrošināšanas pakalpojumi;</w:t>
            </w:r>
          </w:p>
          <w:p w14:paraId="5941090B" w14:textId="77777777" w:rsidR="00DD2D86" w:rsidRPr="00E62CB7" w:rsidRDefault="00DD2D86" w:rsidP="00DD2D86">
            <w:pPr>
              <w:ind w:firstLine="720"/>
              <w:jc w:val="both"/>
              <w:rPr>
                <w:sz w:val="22"/>
                <w:szCs w:val="22"/>
              </w:rPr>
            </w:pPr>
            <w:r w:rsidRPr="00E62CB7">
              <w:rPr>
                <w:sz w:val="22"/>
                <w:szCs w:val="22"/>
              </w:rPr>
              <w:t>18.</w:t>
            </w:r>
            <w:r w:rsidRPr="00E62CB7">
              <w:rPr>
                <w:sz w:val="22"/>
                <w:szCs w:val="22"/>
                <w:vertAlign w:val="superscript"/>
              </w:rPr>
              <w:t>3</w:t>
            </w:r>
            <w:r w:rsidRPr="00E62CB7">
              <w:rPr>
                <w:sz w:val="22"/>
                <w:szCs w:val="22"/>
              </w:rPr>
              <w:t>9. augstākās korporatīvās vadības pakalpojumi (izņemot pakalpojumus, kuri attiecas uz šajos noteikumos minēto zemas pievienotās vērtības pakalpojumu vadību un pārraudzību).</w:t>
            </w:r>
          </w:p>
          <w:p w14:paraId="6CD76EBB" w14:textId="77777777" w:rsidR="00E276C1" w:rsidRPr="00E62CB7" w:rsidRDefault="00E276C1" w:rsidP="007942CF">
            <w:pPr>
              <w:jc w:val="both"/>
              <w:rPr>
                <w:sz w:val="22"/>
                <w:szCs w:val="22"/>
              </w:rPr>
            </w:pPr>
          </w:p>
        </w:tc>
      </w:tr>
      <w:tr w:rsidR="00C807EF" w:rsidRPr="00E62CB7" w14:paraId="3705D917" w14:textId="77777777" w:rsidTr="00E62CB7">
        <w:tc>
          <w:tcPr>
            <w:tcW w:w="0" w:type="auto"/>
            <w:tcBorders>
              <w:top w:val="single" w:sz="4" w:space="0" w:color="auto"/>
              <w:left w:val="single" w:sz="4" w:space="0" w:color="auto"/>
              <w:bottom w:val="single" w:sz="4" w:space="0" w:color="auto"/>
              <w:right w:val="single" w:sz="4" w:space="0" w:color="auto"/>
            </w:tcBorders>
          </w:tcPr>
          <w:p w14:paraId="7F8D8FE8" w14:textId="6ACAB5B5" w:rsidR="00367CB5" w:rsidRPr="00E62CB7" w:rsidRDefault="00C807EF" w:rsidP="00CE1174">
            <w:pPr>
              <w:pStyle w:val="naisc"/>
              <w:spacing w:before="0" w:after="0"/>
              <w:jc w:val="right"/>
              <w:rPr>
                <w:sz w:val="22"/>
                <w:szCs w:val="22"/>
              </w:rPr>
            </w:pPr>
            <w:r w:rsidRPr="00E62CB7">
              <w:rPr>
                <w:sz w:val="22"/>
                <w:szCs w:val="22"/>
              </w:rPr>
              <w:lastRenderedPageBreak/>
              <w:t>3.</w:t>
            </w:r>
          </w:p>
        </w:tc>
        <w:tc>
          <w:tcPr>
            <w:tcW w:w="2890" w:type="dxa"/>
            <w:tcBorders>
              <w:top w:val="single" w:sz="4" w:space="0" w:color="auto"/>
              <w:left w:val="single" w:sz="4" w:space="0" w:color="auto"/>
              <w:bottom w:val="single" w:sz="4" w:space="0" w:color="auto"/>
              <w:right w:val="single" w:sz="4" w:space="0" w:color="auto"/>
            </w:tcBorders>
          </w:tcPr>
          <w:p w14:paraId="6C2280FA" w14:textId="77777777" w:rsidR="00714820" w:rsidRPr="00E62CB7" w:rsidRDefault="00714820" w:rsidP="00714820">
            <w:pPr>
              <w:ind w:firstLine="720"/>
              <w:jc w:val="both"/>
              <w:rPr>
                <w:sz w:val="22"/>
                <w:szCs w:val="22"/>
              </w:rPr>
            </w:pPr>
            <w:r w:rsidRPr="00E62CB7">
              <w:rPr>
                <w:sz w:val="22"/>
                <w:szCs w:val="22"/>
              </w:rPr>
              <w:t>18.</w:t>
            </w:r>
            <w:r w:rsidRPr="00E62CB7">
              <w:rPr>
                <w:sz w:val="22"/>
                <w:szCs w:val="22"/>
                <w:vertAlign w:val="superscript"/>
              </w:rPr>
              <w:t>4</w:t>
            </w:r>
            <w:r w:rsidRPr="00E62CB7">
              <w:rPr>
                <w:sz w:val="22"/>
                <w:szCs w:val="22"/>
              </w:rPr>
              <w:t xml:space="preserve"> Neierobežojot ar šajā punktā ietverto uzskaitījumu, ievērojot katra atsevišķa gadījuma atbilstību šajos noteikumos ietvertajiem kritērijiem un zemas pievienotās vērtības pakalpojumu būtībai, par zemas pievienotās vērtības pakalpojumiem, kuriem var noteikt tirgus vērtībai atbilstošu transfertcenu vienkāršotā kārtībā, parasti būtu uzskatāmi šādi pakalpojumi:</w:t>
            </w:r>
          </w:p>
          <w:p w14:paraId="74D6AC17" w14:textId="77777777" w:rsidR="00367CB5" w:rsidRPr="00E62CB7" w:rsidRDefault="00367CB5" w:rsidP="00846F3F">
            <w:pPr>
              <w:ind w:firstLine="709"/>
              <w:jc w:val="both"/>
              <w:rPr>
                <w:rFonts w:eastAsiaTheme="minorHAnsi"/>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31AB56F" w14:textId="77777777" w:rsidR="00367CB5" w:rsidRPr="00E62CB7" w:rsidRDefault="00E9064F" w:rsidP="003306C7">
            <w:pPr>
              <w:jc w:val="both"/>
              <w:rPr>
                <w:rFonts w:eastAsiaTheme="minorHAnsi"/>
                <w:b/>
                <w:sz w:val="22"/>
                <w:szCs w:val="22"/>
                <w:lang w:eastAsia="en-US"/>
              </w:rPr>
            </w:pPr>
            <w:r w:rsidRPr="00E62CB7">
              <w:rPr>
                <w:rFonts w:eastAsiaTheme="minorHAnsi"/>
                <w:b/>
                <w:sz w:val="22"/>
                <w:szCs w:val="22"/>
                <w:lang w:eastAsia="en-US"/>
              </w:rPr>
              <w:lastRenderedPageBreak/>
              <w:t>TM</w:t>
            </w:r>
          </w:p>
          <w:p w14:paraId="6A94F573" w14:textId="34AFA779" w:rsidR="00E9064F" w:rsidRPr="00E62CB7" w:rsidRDefault="00E9064F" w:rsidP="003306C7">
            <w:pPr>
              <w:jc w:val="both"/>
              <w:rPr>
                <w:rFonts w:eastAsiaTheme="minorHAnsi"/>
                <w:sz w:val="22"/>
                <w:szCs w:val="22"/>
                <w:lang w:eastAsia="en-US"/>
              </w:rPr>
            </w:pPr>
            <w:r w:rsidRPr="00E62CB7">
              <w:rPr>
                <w:rFonts w:eastAsiaTheme="minorHAnsi"/>
                <w:sz w:val="22"/>
                <w:szCs w:val="22"/>
                <w:lang w:eastAsia="en-US"/>
              </w:rPr>
              <w:t>3. Projekta 2. punktā ietvertajā piemērošanas noteikumu 18.</w:t>
            </w:r>
            <w:r w:rsidRPr="00E62CB7">
              <w:rPr>
                <w:rFonts w:eastAsiaTheme="minorHAnsi"/>
                <w:sz w:val="22"/>
                <w:szCs w:val="22"/>
                <w:vertAlign w:val="superscript"/>
                <w:lang w:eastAsia="en-US"/>
              </w:rPr>
              <w:t>4</w:t>
            </w:r>
            <w:r w:rsidRPr="00E62CB7">
              <w:rPr>
                <w:rFonts w:eastAsiaTheme="minorHAnsi"/>
                <w:sz w:val="22"/>
                <w:szCs w:val="22"/>
                <w:lang w:eastAsia="en-US"/>
              </w:rPr>
              <w:t xml:space="preserve"> punkta ievaddaļā ir minēts, ka par zemas pievienotās vērtības pakalpojumiem </w:t>
            </w:r>
            <w:r w:rsidRPr="00E62CB7">
              <w:rPr>
                <w:rFonts w:eastAsiaTheme="minorHAnsi"/>
                <w:sz w:val="22"/>
                <w:szCs w:val="22"/>
                <w:u w:val="single"/>
                <w:lang w:eastAsia="en-US"/>
              </w:rPr>
              <w:t>parasti</w:t>
            </w:r>
            <w:r w:rsidRPr="00E62CB7">
              <w:rPr>
                <w:rFonts w:eastAsiaTheme="minorHAnsi"/>
                <w:sz w:val="22"/>
                <w:szCs w:val="22"/>
                <w:lang w:eastAsia="en-US"/>
              </w:rPr>
              <w:t xml:space="preserve"> būtu uzskatāmi punktā minētie pakalpojumi. Lūdzam precizēt projekta 2. punktā ietvertā piemērošanas noteikumu 18.</w:t>
            </w:r>
            <w:r w:rsidRPr="00E62CB7">
              <w:rPr>
                <w:rFonts w:eastAsiaTheme="minorHAnsi"/>
                <w:sz w:val="22"/>
                <w:szCs w:val="22"/>
                <w:vertAlign w:val="superscript"/>
                <w:lang w:eastAsia="en-US"/>
              </w:rPr>
              <w:t>4</w:t>
            </w:r>
            <w:r w:rsidRPr="00E62CB7">
              <w:rPr>
                <w:rFonts w:eastAsiaTheme="minorHAnsi"/>
                <w:sz w:val="22"/>
                <w:szCs w:val="22"/>
                <w:lang w:eastAsia="en-US"/>
              </w:rPr>
              <w:t> punkta ievaddaļu, nelietojot vārdu "parasti", kas rada neskaidrības par to, kādi pakalpojumi var tikt uzskatīti par zemas pievienotās vērtības pakalpojumiem.</w:t>
            </w:r>
          </w:p>
        </w:tc>
        <w:tc>
          <w:tcPr>
            <w:tcW w:w="3260" w:type="dxa"/>
            <w:tcBorders>
              <w:top w:val="single" w:sz="4" w:space="0" w:color="auto"/>
              <w:left w:val="single" w:sz="4" w:space="0" w:color="auto"/>
              <w:bottom w:val="single" w:sz="4" w:space="0" w:color="auto"/>
              <w:right w:val="single" w:sz="4" w:space="0" w:color="auto"/>
            </w:tcBorders>
          </w:tcPr>
          <w:p w14:paraId="6A75FC67" w14:textId="77777777" w:rsidR="00367CB5" w:rsidRPr="00E62CB7" w:rsidRDefault="003A4E30" w:rsidP="00EE7DC1">
            <w:pPr>
              <w:pStyle w:val="NoSpacing"/>
              <w:jc w:val="both"/>
              <w:rPr>
                <w:rFonts w:ascii="Times New Roman" w:eastAsiaTheme="minorHAnsi" w:hAnsi="Times New Roman"/>
                <w:b/>
              </w:rPr>
            </w:pPr>
            <w:r w:rsidRPr="00E62CB7">
              <w:rPr>
                <w:rFonts w:ascii="Times New Roman" w:eastAsiaTheme="minorHAnsi" w:hAnsi="Times New Roman"/>
                <w:b/>
              </w:rPr>
              <w:t>Ņemts vērā</w:t>
            </w:r>
          </w:p>
          <w:p w14:paraId="6F9929CC" w14:textId="40BEADC1" w:rsidR="003A4E30" w:rsidRPr="00E62CB7" w:rsidRDefault="003A4E30" w:rsidP="00EE7DC1">
            <w:pPr>
              <w:pStyle w:val="NoSpacing"/>
              <w:jc w:val="both"/>
              <w:rPr>
                <w:rFonts w:ascii="Times New Roman" w:eastAsiaTheme="minorHAnsi" w:hAnsi="Times New Roman"/>
              </w:rPr>
            </w:pPr>
            <w:r w:rsidRPr="00E62CB7">
              <w:rPr>
                <w:rFonts w:ascii="Times New Roman" w:eastAsiaTheme="minorHAnsi" w:hAnsi="Times New Roman"/>
              </w:rPr>
              <w:t>Normas redakcija precizēta</w:t>
            </w:r>
            <w:r w:rsidR="002C2ED1" w:rsidRPr="00E62CB7">
              <w:rPr>
                <w:rFonts w:ascii="Times New Roman" w:eastAsiaTheme="minorHAnsi" w:hAnsi="Times New Roman"/>
              </w:rPr>
              <w:t>. Vienlaikus saglabāts princips, ka nodokļu maksātājs uz normā uzskaitītajiem pakalpojumu veidiem raugās kā uz piemēriem, bet tas, vai</w:t>
            </w:r>
            <w:r w:rsidR="00C807EF" w:rsidRPr="00E62CB7">
              <w:rPr>
                <w:rFonts w:ascii="Times New Roman" w:eastAsiaTheme="minorHAnsi" w:hAnsi="Times New Roman"/>
              </w:rPr>
              <w:t xml:space="preserve"> konkrētajā gadījumā pakalpojum</w:t>
            </w:r>
            <w:r w:rsidR="002C2ED1" w:rsidRPr="00E62CB7">
              <w:rPr>
                <w:rFonts w:ascii="Times New Roman" w:eastAsiaTheme="minorHAnsi" w:hAnsi="Times New Roman"/>
              </w:rPr>
              <w:t>s ir uzskatāms par zemas pievienotās vērtības pakalpojumu vai nē, tiek noteikts, izvērtējot minētā pakalpojuma atbilstību noteikumu projektā ietvertajiem kritērijiem.</w:t>
            </w:r>
          </w:p>
        </w:tc>
        <w:tc>
          <w:tcPr>
            <w:tcW w:w="3083" w:type="dxa"/>
            <w:tcBorders>
              <w:top w:val="single" w:sz="4" w:space="0" w:color="auto"/>
              <w:left w:val="single" w:sz="4" w:space="0" w:color="auto"/>
              <w:bottom w:val="single" w:sz="4" w:space="0" w:color="auto"/>
            </w:tcBorders>
          </w:tcPr>
          <w:p w14:paraId="61E55BF6" w14:textId="174CF8E3" w:rsidR="00367CB5" w:rsidRPr="00E62CB7" w:rsidRDefault="002C2ED1" w:rsidP="007942CF">
            <w:pPr>
              <w:jc w:val="both"/>
              <w:rPr>
                <w:sz w:val="22"/>
                <w:szCs w:val="22"/>
              </w:rPr>
            </w:pPr>
            <w:r w:rsidRPr="00E62CB7">
              <w:rPr>
                <w:sz w:val="22"/>
                <w:szCs w:val="22"/>
              </w:rPr>
              <w:t>18.</w:t>
            </w:r>
            <w:r w:rsidRPr="00E62CB7">
              <w:rPr>
                <w:sz w:val="22"/>
                <w:szCs w:val="22"/>
                <w:vertAlign w:val="superscript"/>
              </w:rPr>
              <w:t>4</w:t>
            </w:r>
            <w:r w:rsidRPr="00E62CB7">
              <w:rPr>
                <w:sz w:val="22"/>
                <w:szCs w:val="22"/>
              </w:rPr>
              <w:t xml:space="preserve"> Neierobežojot ar šajā punktā ietverto uzskaitījumu, ievērojot katra atsevišķa gadījuma atbilstību šajos noteikumos ietvertajiem kritērijiem un zemas pievienotās vērtības pakalpojumu būtībai, par zemas pievienotās vērtības pakalpojumiem, kuriem var noteikt tirgus vērtībai atbilstošu transfertcenu vienkāršotā kārtībā, var būt šādi pakalpojumi:</w:t>
            </w:r>
          </w:p>
        </w:tc>
      </w:tr>
      <w:tr w:rsidR="00C807EF" w:rsidRPr="00E62CB7" w14:paraId="4C47C0E6" w14:textId="77777777" w:rsidTr="00E62CB7">
        <w:tc>
          <w:tcPr>
            <w:tcW w:w="0" w:type="auto"/>
            <w:tcBorders>
              <w:top w:val="single" w:sz="4" w:space="0" w:color="auto"/>
              <w:left w:val="single" w:sz="4" w:space="0" w:color="auto"/>
              <w:bottom w:val="single" w:sz="4" w:space="0" w:color="auto"/>
              <w:right w:val="single" w:sz="4" w:space="0" w:color="auto"/>
            </w:tcBorders>
          </w:tcPr>
          <w:p w14:paraId="2626E94B" w14:textId="24F4BAEF" w:rsidR="00367CB5" w:rsidRPr="00E62CB7" w:rsidRDefault="00C807EF" w:rsidP="00CE1174">
            <w:pPr>
              <w:pStyle w:val="naisc"/>
              <w:spacing w:before="0" w:after="0"/>
              <w:jc w:val="right"/>
              <w:rPr>
                <w:sz w:val="22"/>
                <w:szCs w:val="22"/>
              </w:rPr>
            </w:pPr>
            <w:r w:rsidRPr="00E62CB7">
              <w:rPr>
                <w:sz w:val="22"/>
                <w:szCs w:val="22"/>
              </w:rPr>
              <w:t>4.</w:t>
            </w:r>
          </w:p>
        </w:tc>
        <w:tc>
          <w:tcPr>
            <w:tcW w:w="2890" w:type="dxa"/>
            <w:tcBorders>
              <w:top w:val="single" w:sz="4" w:space="0" w:color="auto"/>
              <w:left w:val="single" w:sz="4" w:space="0" w:color="auto"/>
              <w:bottom w:val="single" w:sz="4" w:space="0" w:color="auto"/>
              <w:right w:val="single" w:sz="4" w:space="0" w:color="auto"/>
            </w:tcBorders>
          </w:tcPr>
          <w:p w14:paraId="3DD096C5" w14:textId="77777777" w:rsidR="00367CB5" w:rsidRPr="00E62CB7" w:rsidRDefault="00367CB5" w:rsidP="00846F3F">
            <w:pPr>
              <w:ind w:firstLine="709"/>
              <w:jc w:val="both"/>
              <w:rPr>
                <w:rFonts w:eastAsiaTheme="minorHAnsi"/>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062D05DA" w14:textId="77777777" w:rsidR="00367CB5" w:rsidRPr="00E62CB7" w:rsidRDefault="00AB1F3E" w:rsidP="003306C7">
            <w:pPr>
              <w:jc w:val="both"/>
              <w:rPr>
                <w:rFonts w:eastAsiaTheme="minorHAnsi"/>
                <w:b/>
                <w:sz w:val="22"/>
                <w:szCs w:val="22"/>
                <w:lang w:eastAsia="en-US"/>
              </w:rPr>
            </w:pPr>
            <w:r w:rsidRPr="00E62CB7">
              <w:rPr>
                <w:rFonts w:eastAsiaTheme="minorHAnsi"/>
                <w:b/>
                <w:sz w:val="22"/>
                <w:szCs w:val="22"/>
                <w:lang w:eastAsia="en-US"/>
              </w:rPr>
              <w:t>VARAM</w:t>
            </w:r>
          </w:p>
          <w:p w14:paraId="0634EA12" w14:textId="25DB66AC" w:rsidR="00AB1F3E" w:rsidRPr="00E62CB7" w:rsidRDefault="00AB1F3E" w:rsidP="003306C7">
            <w:pPr>
              <w:jc w:val="both"/>
              <w:rPr>
                <w:rFonts w:eastAsiaTheme="minorHAnsi"/>
                <w:sz w:val="22"/>
                <w:szCs w:val="22"/>
                <w:lang w:eastAsia="en-US"/>
              </w:rPr>
            </w:pPr>
            <w:r w:rsidRPr="00E62CB7">
              <w:rPr>
                <w:rFonts w:eastAsiaTheme="minorHAnsi"/>
                <w:sz w:val="22"/>
                <w:szCs w:val="22"/>
                <w:lang w:eastAsia="en-US"/>
              </w:rPr>
              <w:t>1. Atbilstoši Ministru kabineta 2009. gada 15. decembra instrukcijai Nr. 19 “Tiesību akta projekta sākotnējās ietekmes izvērtēšanas kārtība” 14.4. apakšpunktam lūdzam precizēt anotācijas I sadaļas 2. punktu, norādot nosaukumus un sniegšanas kanālus valsts pārvaldes pakalpojumiem, uz kuriem attiecas noteikumu projekts.</w:t>
            </w:r>
          </w:p>
        </w:tc>
        <w:tc>
          <w:tcPr>
            <w:tcW w:w="3260" w:type="dxa"/>
            <w:tcBorders>
              <w:top w:val="single" w:sz="4" w:space="0" w:color="auto"/>
              <w:left w:val="single" w:sz="4" w:space="0" w:color="auto"/>
              <w:bottom w:val="single" w:sz="4" w:space="0" w:color="auto"/>
              <w:right w:val="single" w:sz="4" w:space="0" w:color="auto"/>
            </w:tcBorders>
          </w:tcPr>
          <w:p w14:paraId="2C45FF63" w14:textId="77777777" w:rsidR="00367CB5" w:rsidRPr="00E62CB7" w:rsidRDefault="008F4DC9" w:rsidP="00EE7DC1">
            <w:pPr>
              <w:pStyle w:val="NoSpacing"/>
              <w:jc w:val="both"/>
              <w:rPr>
                <w:rFonts w:ascii="Times New Roman" w:eastAsiaTheme="minorHAnsi" w:hAnsi="Times New Roman"/>
                <w:b/>
              </w:rPr>
            </w:pPr>
            <w:r w:rsidRPr="00E62CB7">
              <w:rPr>
                <w:rFonts w:ascii="Times New Roman" w:eastAsiaTheme="minorHAnsi" w:hAnsi="Times New Roman"/>
                <w:b/>
              </w:rPr>
              <w:t>Ņemts vērā</w:t>
            </w:r>
          </w:p>
          <w:p w14:paraId="37047A99" w14:textId="449F0F8E" w:rsidR="008F4DC9" w:rsidRPr="00E62CB7" w:rsidRDefault="008F4DC9" w:rsidP="008F4DC9">
            <w:pPr>
              <w:pStyle w:val="NoSpacing"/>
              <w:jc w:val="both"/>
              <w:rPr>
                <w:rFonts w:ascii="Times New Roman" w:eastAsiaTheme="minorHAnsi" w:hAnsi="Times New Roman"/>
              </w:rPr>
            </w:pPr>
            <w:r w:rsidRPr="00E62CB7">
              <w:rPr>
                <w:rFonts w:ascii="Times New Roman" w:eastAsiaTheme="minorHAnsi" w:hAnsi="Times New Roman"/>
              </w:rPr>
              <w:t>Papildināts anotācijas I sadaļas 2.punkts, norādot, ka noteikumu projekts skar Valsts ieņēmumu dienesta sniegto pakalpojumu “Uzņēmumu ienākuma nodokļa deklarācija”, kas tiek sniegts Valsts ieņēmumu dienesta Elektroniskajā deklarēšanas sistēmā.</w:t>
            </w:r>
          </w:p>
        </w:tc>
        <w:tc>
          <w:tcPr>
            <w:tcW w:w="3083" w:type="dxa"/>
            <w:tcBorders>
              <w:top w:val="single" w:sz="4" w:space="0" w:color="auto"/>
              <w:left w:val="single" w:sz="4" w:space="0" w:color="auto"/>
              <w:bottom w:val="single" w:sz="4" w:space="0" w:color="auto"/>
            </w:tcBorders>
          </w:tcPr>
          <w:p w14:paraId="41E0130D" w14:textId="77777777" w:rsidR="00367CB5" w:rsidRPr="00E62CB7" w:rsidRDefault="00367CB5" w:rsidP="007942CF">
            <w:pPr>
              <w:jc w:val="both"/>
              <w:rPr>
                <w:sz w:val="22"/>
                <w:szCs w:val="22"/>
              </w:rPr>
            </w:pPr>
          </w:p>
        </w:tc>
      </w:tr>
      <w:tr w:rsidR="00C807EF" w:rsidRPr="00E62CB7" w14:paraId="705FF828" w14:textId="77777777" w:rsidTr="00E62CB7">
        <w:tc>
          <w:tcPr>
            <w:tcW w:w="0" w:type="auto"/>
            <w:tcBorders>
              <w:top w:val="single" w:sz="4" w:space="0" w:color="auto"/>
              <w:left w:val="single" w:sz="4" w:space="0" w:color="auto"/>
              <w:bottom w:val="single" w:sz="4" w:space="0" w:color="auto"/>
              <w:right w:val="single" w:sz="4" w:space="0" w:color="auto"/>
            </w:tcBorders>
          </w:tcPr>
          <w:p w14:paraId="5333A936" w14:textId="12F9B3E8" w:rsidR="00367CB5" w:rsidRPr="00E62CB7" w:rsidRDefault="00C807EF" w:rsidP="00CE1174">
            <w:pPr>
              <w:pStyle w:val="naisc"/>
              <w:spacing w:before="0" w:after="0"/>
              <w:jc w:val="right"/>
              <w:rPr>
                <w:sz w:val="22"/>
                <w:szCs w:val="22"/>
              </w:rPr>
            </w:pPr>
            <w:r w:rsidRPr="00E62CB7">
              <w:rPr>
                <w:sz w:val="22"/>
                <w:szCs w:val="22"/>
              </w:rPr>
              <w:t>5.</w:t>
            </w:r>
          </w:p>
        </w:tc>
        <w:tc>
          <w:tcPr>
            <w:tcW w:w="2890" w:type="dxa"/>
            <w:tcBorders>
              <w:top w:val="single" w:sz="4" w:space="0" w:color="auto"/>
              <w:left w:val="single" w:sz="4" w:space="0" w:color="auto"/>
              <w:bottom w:val="single" w:sz="4" w:space="0" w:color="auto"/>
              <w:right w:val="single" w:sz="4" w:space="0" w:color="auto"/>
            </w:tcBorders>
          </w:tcPr>
          <w:p w14:paraId="7FEF63DD" w14:textId="77777777" w:rsidR="00367CB5" w:rsidRPr="00E62CB7" w:rsidRDefault="00367CB5" w:rsidP="00846F3F">
            <w:pPr>
              <w:ind w:firstLine="709"/>
              <w:jc w:val="both"/>
              <w:rPr>
                <w:rFonts w:eastAsiaTheme="minorHAnsi"/>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534B014B" w14:textId="77777777" w:rsidR="00C807EF" w:rsidRPr="00E62CB7" w:rsidRDefault="00AB1F3E" w:rsidP="00C807EF">
            <w:pPr>
              <w:jc w:val="both"/>
              <w:rPr>
                <w:rFonts w:eastAsiaTheme="minorHAnsi"/>
                <w:b/>
                <w:sz w:val="22"/>
                <w:szCs w:val="22"/>
                <w:lang w:eastAsia="en-US"/>
              </w:rPr>
            </w:pPr>
            <w:r w:rsidRPr="00E62CB7">
              <w:rPr>
                <w:rFonts w:eastAsiaTheme="minorHAnsi"/>
                <w:b/>
                <w:sz w:val="22"/>
                <w:szCs w:val="22"/>
                <w:lang w:eastAsia="en-US"/>
              </w:rPr>
              <w:t>ZM</w:t>
            </w:r>
          </w:p>
          <w:p w14:paraId="291F3999" w14:textId="67917BE5" w:rsidR="00AB1F3E" w:rsidRPr="00E62CB7" w:rsidRDefault="00AB1F3E" w:rsidP="00C807EF">
            <w:pPr>
              <w:jc w:val="both"/>
              <w:rPr>
                <w:rFonts w:eastAsiaTheme="minorHAnsi"/>
                <w:b/>
                <w:sz w:val="22"/>
                <w:szCs w:val="22"/>
                <w:lang w:eastAsia="en-US"/>
              </w:rPr>
            </w:pPr>
            <w:r w:rsidRPr="00E62CB7">
              <w:rPr>
                <w:rFonts w:eastAsiaTheme="minorHAnsi"/>
                <w:sz w:val="22"/>
                <w:szCs w:val="22"/>
                <w:lang w:eastAsia="en-US"/>
              </w:rPr>
              <w:t>Lūdzam noteikumu projekta 100.punktu izteikt šādā redakcijā:</w:t>
            </w:r>
          </w:p>
          <w:p w14:paraId="2DF17109" w14:textId="77777777" w:rsidR="00AB1F3E" w:rsidRPr="00E62CB7" w:rsidRDefault="00AB1F3E" w:rsidP="00AB1F3E">
            <w:pPr>
              <w:jc w:val="both"/>
              <w:rPr>
                <w:rFonts w:eastAsiaTheme="minorHAnsi"/>
                <w:sz w:val="22"/>
                <w:szCs w:val="22"/>
                <w:lang w:eastAsia="en-US"/>
              </w:rPr>
            </w:pPr>
            <w:r w:rsidRPr="00E62CB7">
              <w:rPr>
                <w:rFonts w:eastAsiaTheme="minorHAnsi"/>
                <w:sz w:val="22"/>
                <w:szCs w:val="22"/>
                <w:lang w:eastAsia="en-US"/>
              </w:rPr>
              <w:t xml:space="preserve">“100. Piemērojot likuma 14.pantu, ar uzņēmumu ienākuma nodokli apliekamo bāzi samazina tajā pārskata gadā, kurā saņemts valsts atbalsts lauksaimniecībai vai Eiropas Savienības atbalsts lauksaimniecībai un lauku attīstībai, neatkarīgi no grāmatvedības uzskaitē veiktā grāmatojuma (atvieglojuma par saņemto valsts atbalstu lauksaimniecībai piemērošanas piemērs – šo noteikumu 5.pielikuma 6.punktā).” </w:t>
            </w:r>
          </w:p>
          <w:p w14:paraId="228A2091" w14:textId="77777777" w:rsidR="00AB1F3E" w:rsidRPr="00E62CB7" w:rsidRDefault="00AB1F3E" w:rsidP="00AB1F3E">
            <w:pPr>
              <w:jc w:val="both"/>
              <w:rPr>
                <w:rFonts w:eastAsiaTheme="minorHAnsi"/>
                <w:sz w:val="22"/>
                <w:szCs w:val="22"/>
                <w:lang w:eastAsia="en-US"/>
              </w:rPr>
            </w:pPr>
            <w:r w:rsidRPr="00E62CB7">
              <w:rPr>
                <w:rFonts w:eastAsiaTheme="minorHAnsi"/>
                <w:sz w:val="22"/>
                <w:szCs w:val="22"/>
                <w:lang w:eastAsia="en-US"/>
              </w:rPr>
              <w:t xml:space="preserve">Saskaņā ar Uzņēmumu ienākuma nodokļa likuma (turpmāk - likums) 14.pantu nodokļa maksātājs ir tiesīgs samazināt pārskata gada ar nodokli apliekamo bāzi apjomā, kas atbilst 50 procentiem no summas, kas </w:t>
            </w:r>
            <w:r w:rsidRPr="00E62CB7">
              <w:rPr>
                <w:rFonts w:eastAsiaTheme="minorHAnsi"/>
                <w:sz w:val="22"/>
                <w:szCs w:val="22"/>
                <w:u w:val="single"/>
                <w:lang w:eastAsia="en-US"/>
              </w:rPr>
              <w:t>saņemta</w:t>
            </w:r>
            <w:r w:rsidRPr="00E62CB7">
              <w:rPr>
                <w:rFonts w:eastAsiaTheme="minorHAnsi"/>
                <w:sz w:val="22"/>
                <w:szCs w:val="22"/>
                <w:lang w:eastAsia="en-US"/>
              </w:rPr>
              <w:t xml:space="preserve"> kā valsts atbalsts lauksaimniecībai vai Eiropas Savienības atbalsts lauksaimniecībai un lauku attīstībai. Savukārt saskaņā ar noteikumu projektā noteikto redakciju nodokļa maksātāji, piemērojot likuma 14.pantā noteikto atvieglojumu, ar uzņēmumu ienākuma nodokli apliekamo bāzi samazina tajā pārskata gadā, kurā </w:t>
            </w:r>
            <w:r w:rsidRPr="00E62CB7">
              <w:rPr>
                <w:rFonts w:eastAsiaTheme="minorHAnsi"/>
                <w:sz w:val="22"/>
                <w:szCs w:val="22"/>
                <w:u w:val="single"/>
                <w:lang w:eastAsia="en-US"/>
              </w:rPr>
              <w:t>pieņemts lēmums</w:t>
            </w:r>
            <w:r w:rsidRPr="00E62CB7">
              <w:rPr>
                <w:rFonts w:eastAsiaTheme="minorHAnsi"/>
                <w:sz w:val="22"/>
                <w:szCs w:val="22"/>
                <w:lang w:eastAsia="en-US"/>
              </w:rPr>
              <w:t xml:space="preserve"> par līdzekļu </w:t>
            </w:r>
            <w:r w:rsidRPr="00E62CB7">
              <w:rPr>
                <w:rFonts w:eastAsiaTheme="minorHAnsi"/>
                <w:sz w:val="22"/>
                <w:szCs w:val="22"/>
                <w:lang w:eastAsia="en-US"/>
              </w:rPr>
              <w:lastRenderedPageBreak/>
              <w:t xml:space="preserve">piešķiršanu, tai skaitā pieņemts lēmums par avansa piešķiršanu. Informējam, ka ne vienmēr atbalsta saņēmējam ir pieejami Lauku atbalsta dienesta pieņemtie lēmumi. Līdz ar to bieži vien paši lauksaimnieki nav informēti, kurā pārskata periodā Lauku atbalsta dienests ir pieņēmis šo lēmumu. Arī līdz 2017.gadam saskaņā ar likuma “Par uzņēmumu ienākuma nodokli” 6.panta ceturto daļu nodokļa maksātāji, nosakot apliekamo ienākumu, peļņu samazināja par summām, kas </w:t>
            </w:r>
            <w:r w:rsidRPr="00E62CB7">
              <w:rPr>
                <w:rFonts w:eastAsiaTheme="minorHAnsi"/>
                <w:sz w:val="22"/>
                <w:szCs w:val="22"/>
                <w:u w:val="single"/>
                <w:lang w:eastAsia="en-US"/>
              </w:rPr>
              <w:t>izmaksātas</w:t>
            </w:r>
            <w:r w:rsidRPr="00E62CB7">
              <w:rPr>
                <w:rFonts w:eastAsiaTheme="minorHAnsi"/>
                <w:sz w:val="22"/>
                <w:szCs w:val="22"/>
                <w:lang w:eastAsia="en-US"/>
              </w:rPr>
              <w:t xml:space="preserve"> subsīdiju veidā kā valsts atbalsts lauksaimniecībai vai Eiropas Savienības atbalsts lauksaimniecībai un lauku attīstībai. Līdz ar to nodokļa maksātāji peļņu samazināja tajā pārskata periodā, kurā tās bija saņemtas. Paskaidrojam, ka šādā gadījumā Uzņēmumu ienākuma nodokļa likuma 14.pantā noteiktais atvieglojums tiktu piemērots tajā pārskata gadā, kurā nodokļa maksātājs būtu faktiski </w:t>
            </w:r>
            <w:r w:rsidRPr="00E62CB7">
              <w:rPr>
                <w:rFonts w:eastAsiaTheme="minorHAnsi"/>
                <w:sz w:val="22"/>
                <w:szCs w:val="22"/>
                <w:u w:val="single"/>
                <w:lang w:eastAsia="en-US"/>
              </w:rPr>
              <w:t>saņēmis</w:t>
            </w:r>
            <w:r w:rsidRPr="00E62CB7">
              <w:rPr>
                <w:rFonts w:eastAsiaTheme="minorHAnsi"/>
                <w:sz w:val="22"/>
                <w:szCs w:val="22"/>
                <w:lang w:eastAsia="en-US"/>
              </w:rPr>
              <w:t xml:space="preserve"> valsts atbalstu lauksaimniecībai vai Eiropas Savienības atbalstu lauksaimniecībai un lauku attīstībai. Līdz ar to nodokļu maksātājiem būtu nepārprotami skaidrs, kā arī būtu vieglāk kontrolēt, kurā pārskata gadā valsts atbalsts un Eiropas Savienības atbalsts lauksaimniecībai un lauku attīstībai tiešām ir izmaksāts un kurā pārskata gadā nodokļa maksātājs to ir saņēmis.</w:t>
            </w:r>
          </w:p>
          <w:p w14:paraId="1DD72107" w14:textId="77777777" w:rsidR="00367CB5" w:rsidRPr="00E62CB7" w:rsidRDefault="00367CB5" w:rsidP="003306C7">
            <w:pPr>
              <w:jc w:val="both"/>
              <w:rPr>
                <w:rFonts w:eastAsiaTheme="minorHAns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4875AE23" w14:textId="29B80877" w:rsidR="00007763" w:rsidRPr="00E62CB7" w:rsidRDefault="0076216E" w:rsidP="00EE7DC1">
            <w:pPr>
              <w:pStyle w:val="NoSpacing"/>
              <w:jc w:val="both"/>
              <w:rPr>
                <w:rFonts w:ascii="Times New Roman" w:eastAsiaTheme="minorHAnsi" w:hAnsi="Times New Roman"/>
                <w:b/>
              </w:rPr>
            </w:pPr>
            <w:r w:rsidRPr="00E62CB7">
              <w:rPr>
                <w:rFonts w:ascii="Times New Roman" w:eastAsiaTheme="minorHAnsi" w:hAnsi="Times New Roman"/>
                <w:b/>
              </w:rPr>
              <w:lastRenderedPageBreak/>
              <w:t>Panākta vienošanās</w:t>
            </w:r>
          </w:p>
          <w:p w14:paraId="0941745C" w14:textId="77777777" w:rsidR="00007763" w:rsidRPr="00E62CB7" w:rsidRDefault="008F4DC9" w:rsidP="00EE7DC1">
            <w:pPr>
              <w:pStyle w:val="NoSpacing"/>
              <w:jc w:val="both"/>
              <w:rPr>
                <w:rFonts w:ascii="Times New Roman" w:eastAsiaTheme="minorHAnsi" w:hAnsi="Times New Roman"/>
              </w:rPr>
            </w:pPr>
            <w:r w:rsidRPr="00E62CB7">
              <w:rPr>
                <w:rFonts w:ascii="Times New Roman" w:eastAsiaTheme="minorHAnsi" w:hAnsi="Times New Roman"/>
              </w:rPr>
              <w:t>Ņemot vērā, ka no noteikumu projekta tika izņemts regulējums, uz kuru attiecas šis iebildums, iebildums palika neizskatīts.</w:t>
            </w:r>
          </w:p>
          <w:p w14:paraId="7DC86C5A" w14:textId="4884BDF1" w:rsidR="008F4DC9" w:rsidRPr="00E62CB7" w:rsidRDefault="008F4DC9" w:rsidP="008F4DC9">
            <w:pPr>
              <w:pStyle w:val="NoSpacing"/>
              <w:jc w:val="both"/>
              <w:rPr>
                <w:rFonts w:ascii="Times New Roman" w:eastAsiaTheme="minorHAnsi" w:hAnsi="Times New Roman"/>
              </w:rPr>
            </w:pPr>
            <w:r w:rsidRPr="00E62CB7">
              <w:rPr>
                <w:rFonts w:ascii="Times New Roman" w:eastAsiaTheme="minorHAnsi" w:hAnsi="Times New Roman"/>
              </w:rPr>
              <w:t xml:space="preserve">Esošajā projektā saglabātas </w:t>
            </w:r>
            <w:r w:rsidR="00C807EF" w:rsidRPr="00E62CB7">
              <w:rPr>
                <w:rFonts w:ascii="Times New Roman" w:eastAsiaTheme="minorHAnsi" w:hAnsi="Times New Roman"/>
              </w:rPr>
              <w:t>vienīgi</w:t>
            </w:r>
            <w:r w:rsidRPr="00E62CB7">
              <w:rPr>
                <w:rFonts w:ascii="Times New Roman" w:eastAsiaTheme="minorHAnsi" w:hAnsi="Times New Roman"/>
              </w:rPr>
              <w:t xml:space="preserve"> normas, kas skar zemas pievienotās vērtības pakalpojumus, ņemot vērā nepieciešamību tās pieņemt pēc iespējas ātrāk, tādējādi nodrošinot nodokļu maksātājiem iespēju piemērot vienkāršotu transfertcenu noteikšanas kārtību.</w:t>
            </w:r>
          </w:p>
          <w:p w14:paraId="611ADA3D" w14:textId="3005395D" w:rsidR="008F4DC9" w:rsidRPr="00E62CB7" w:rsidRDefault="008F4DC9" w:rsidP="008F4DC9">
            <w:pPr>
              <w:pStyle w:val="NoSpacing"/>
              <w:jc w:val="both"/>
              <w:rPr>
                <w:rFonts w:ascii="Times New Roman" w:eastAsiaTheme="minorHAnsi" w:hAnsi="Times New Roman"/>
              </w:rPr>
            </w:pPr>
            <w:r w:rsidRPr="00E62CB7">
              <w:rPr>
                <w:rFonts w:ascii="Times New Roman" w:eastAsiaTheme="minorHAnsi" w:hAnsi="Times New Roman"/>
              </w:rPr>
              <w:t xml:space="preserve">Tuvākajā laikā paredzēts sagatavot plašākus grozījumus Ministru kabineta 2017.gada 14.novembra noteikumos Nr.677 “Uzņēmumu ienākuma nodokļa likuma normu piemērošanas noteikumi”, kuru ietvaros </w:t>
            </w:r>
            <w:r w:rsidR="00C4103D" w:rsidRPr="00E62CB7">
              <w:rPr>
                <w:rFonts w:ascii="Times New Roman" w:eastAsiaTheme="minorHAnsi" w:hAnsi="Times New Roman"/>
              </w:rPr>
              <w:t>tiks izskatīts šis iebildums</w:t>
            </w:r>
            <w:r w:rsidRPr="00E62CB7">
              <w:rPr>
                <w:rFonts w:ascii="Times New Roman" w:eastAsiaTheme="minorHAnsi" w:hAnsi="Times New Roman"/>
              </w:rPr>
              <w:t>.</w:t>
            </w:r>
          </w:p>
        </w:tc>
        <w:tc>
          <w:tcPr>
            <w:tcW w:w="3083" w:type="dxa"/>
            <w:tcBorders>
              <w:top w:val="single" w:sz="4" w:space="0" w:color="auto"/>
              <w:left w:val="single" w:sz="4" w:space="0" w:color="auto"/>
              <w:bottom w:val="single" w:sz="4" w:space="0" w:color="auto"/>
            </w:tcBorders>
          </w:tcPr>
          <w:p w14:paraId="5E33480D" w14:textId="77777777" w:rsidR="00367CB5" w:rsidRPr="00E62CB7" w:rsidRDefault="00367CB5" w:rsidP="007942CF">
            <w:pPr>
              <w:jc w:val="both"/>
              <w:rPr>
                <w:sz w:val="22"/>
                <w:szCs w:val="22"/>
              </w:rPr>
            </w:pPr>
          </w:p>
        </w:tc>
      </w:tr>
      <w:tr w:rsidR="00C807EF" w:rsidRPr="00E62CB7" w14:paraId="51BE0CD2" w14:textId="77777777" w:rsidTr="00E62CB7">
        <w:tc>
          <w:tcPr>
            <w:tcW w:w="0" w:type="auto"/>
            <w:tcBorders>
              <w:top w:val="single" w:sz="4" w:space="0" w:color="auto"/>
              <w:left w:val="single" w:sz="4" w:space="0" w:color="auto"/>
              <w:bottom w:val="single" w:sz="4" w:space="0" w:color="auto"/>
              <w:right w:val="single" w:sz="4" w:space="0" w:color="auto"/>
            </w:tcBorders>
          </w:tcPr>
          <w:p w14:paraId="0804E038" w14:textId="73E1A449" w:rsidR="00367CB5" w:rsidRPr="00E62CB7" w:rsidRDefault="00C807EF" w:rsidP="00CE1174">
            <w:pPr>
              <w:pStyle w:val="naisc"/>
              <w:spacing w:before="0" w:after="0"/>
              <w:jc w:val="right"/>
              <w:rPr>
                <w:sz w:val="22"/>
                <w:szCs w:val="22"/>
              </w:rPr>
            </w:pPr>
            <w:r w:rsidRPr="00E62CB7">
              <w:rPr>
                <w:sz w:val="22"/>
                <w:szCs w:val="22"/>
              </w:rPr>
              <w:t>6.</w:t>
            </w:r>
          </w:p>
        </w:tc>
        <w:tc>
          <w:tcPr>
            <w:tcW w:w="2890" w:type="dxa"/>
            <w:tcBorders>
              <w:top w:val="single" w:sz="4" w:space="0" w:color="auto"/>
              <w:left w:val="single" w:sz="4" w:space="0" w:color="auto"/>
              <w:bottom w:val="single" w:sz="4" w:space="0" w:color="auto"/>
              <w:right w:val="single" w:sz="4" w:space="0" w:color="auto"/>
            </w:tcBorders>
          </w:tcPr>
          <w:p w14:paraId="3E1A7725" w14:textId="77777777" w:rsidR="00367CB5" w:rsidRPr="00E62CB7" w:rsidRDefault="00367CB5" w:rsidP="00846F3F">
            <w:pPr>
              <w:ind w:firstLine="709"/>
              <w:jc w:val="both"/>
              <w:rPr>
                <w:rFonts w:eastAsiaTheme="minorHAnsi"/>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012AE8A3" w14:textId="77777777" w:rsidR="00AB1F3E" w:rsidRPr="00E62CB7" w:rsidRDefault="00AB1F3E" w:rsidP="00AB1F3E">
            <w:pPr>
              <w:jc w:val="both"/>
              <w:rPr>
                <w:rFonts w:eastAsiaTheme="minorHAnsi"/>
                <w:b/>
                <w:sz w:val="22"/>
                <w:szCs w:val="22"/>
                <w:lang w:eastAsia="en-US"/>
              </w:rPr>
            </w:pPr>
            <w:r w:rsidRPr="00E62CB7">
              <w:rPr>
                <w:rFonts w:eastAsiaTheme="minorHAnsi"/>
                <w:b/>
                <w:sz w:val="22"/>
                <w:szCs w:val="22"/>
                <w:lang w:eastAsia="en-US"/>
              </w:rPr>
              <w:t>ZM</w:t>
            </w:r>
          </w:p>
          <w:p w14:paraId="70920186" w14:textId="77777777" w:rsidR="00AB1F3E" w:rsidRPr="00E62CB7" w:rsidRDefault="00AB1F3E" w:rsidP="00C807EF">
            <w:pPr>
              <w:jc w:val="both"/>
              <w:rPr>
                <w:rFonts w:eastAsiaTheme="minorHAnsi"/>
                <w:sz w:val="22"/>
                <w:szCs w:val="22"/>
                <w:lang w:eastAsia="en-US"/>
              </w:rPr>
            </w:pPr>
            <w:r w:rsidRPr="00E62CB7">
              <w:rPr>
                <w:rFonts w:eastAsiaTheme="minorHAnsi"/>
                <w:sz w:val="22"/>
                <w:szCs w:val="22"/>
                <w:lang w:eastAsia="en-US"/>
              </w:rPr>
              <w:t>Lūdzam noteikumu projekta 5 pielikuma 6.punktu izteikt šādā redakcijā:</w:t>
            </w:r>
          </w:p>
          <w:p w14:paraId="2C516C1D" w14:textId="77777777" w:rsidR="00AB1F3E" w:rsidRPr="00E62CB7" w:rsidRDefault="00AB1F3E" w:rsidP="00AB1F3E">
            <w:pPr>
              <w:jc w:val="both"/>
              <w:rPr>
                <w:rFonts w:eastAsiaTheme="minorHAnsi"/>
                <w:sz w:val="22"/>
                <w:szCs w:val="22"/>
                <w:lang w:eastAsia="en-US"/>
              </w:rPr>
            </w:pPr>
            <w:r w:rsidRPr="00E62CB7">
              <w:rPr>
                <w:rFonts w:eastAsiaTheme="minorHAnsi"/>
                <w:sz w:val="22"/>
                <w:szCs w:val="22"/>
                <w:lang w:eastAsia="en-US"/>
              </w:rPr>
              <w:t>“6. Atvieglojuma piemērošana par saņemto valsts atbalstu lauksaimniecībai</w:t>
            </w:r>
          </w:p>
          <w:p w14:paraId="4AAD66E2" w14:textId="77777777" w:rsidR="00AB1F3E" w:rsidRPr="00E62CB7" w:rsidRDefault="00AB1F3E" w:rsidP="00AB1F3E">
            <w:pPr>
              <w:jc w:val="both"/>
              <w:rPr>
                <w:rFonts w:eastAsiaTheme="minorHAnsi"/>
                <w:sz w:val="22"/>
                <w:szCs w:val="22"/>
                <w:lang w:eastAsia="en-US"/>
              </w:rPr>
            </w:pPr>
            <w:r w:rsidRPr="00E62CB7">
              <w:rPr>
                <w:rFonts w:eastAsiaTheme="minorHAnsi"/>
                <w:sz w:val="22"/>
                <w:szCs w:val="22"/>
                <w:lang w:eastAsia="en-US"/>
              </w:rPr>
              <w:t xml:space="preserve">SIA "A" 2020. gadu beidz ar peļņu 5000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apmērā un 2021. gadā lemj par dividenžu </w:t>
            </w:r>
            <w:r w:rsidRPr="00E62CB7">
              <w:rPr>
                <w:rFonts w:eastAsiaTheme="minorHAnsi"/>
                <w:sz w:val="22"/>
                <w:szCs w:val="22"/>
                <w:lang w:eastAsia="en-US"/>
              </w:rPr>
              <w:lastRenderedPageBreak/>
              <w:t xml:space="preserve">izmaksu 2000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apmērā. 2021.gada novembrī saņemts atbalsts 6000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apmērā, savukārt grāmatvedībā 2021. gadā ieņēmumu postenī ir iegrāmatoti 1000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bet 5000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ir iegrāmatoti kā nākamo gadu ieņēmumi. Neatkarīgi no veiktā grāmatojuma saskaņā ar likuma </w:t>
            </w:r>
            <w:hyperlink r:id="rId8" w:anchor="p14" w:history="1">
              <w:r w:rsidRPr="00E62CB7">
                <w:rPr>
                  <w:rStyle w:val="Hyperlink"/>
                  <w:rFonts w:eastAsiaTheme="minorHAnsi"/>
                  <w:sz w:val="22"/>
                  <w:szCs w:val="22"/>
                  <w:lang w:eastAsia="en-US"/>
                </w:rPr>
                <w:t>14.</w:t>
              </w:r>
            </w:hyperlink>
            <w:r w:rsidRPr="00E62CB7">
              <w:rPr>
                <w:rFonts w:eastAsiaTheme="minorHAnsi"/>
                <w:sz w:val="22"/>
                <w:szCs w:val="22"/>
                <w:lang w:eastAsia="en-US"/>
              </w:rPr>
              <w:t xml:space="preserve"> pantu 2021. pārskata gadā ir iespēja saņemt uzņēmumu ienākuma nodokļa atvieglojumu par 3000 </w:t>
            </w:r>
            <w:proofErr w:type="spellStart"/>
            <w:r w:rsidRPr="00E62CB7">
              <w:rPr>
                <w:rFonts w:eastAsiaTheme="minorHAnsi"/>
                <w:i/>
                <w:sz w:val="22"/>
                <w:szCs w:val="22"/>
                <w:lang w:eastAsia="en-US"/>
              </w:rPr>
              <w:t>euro</w:t>
            </w:r>
            <w:proofErr w:type="spellEnd"/>
            <w:r w:rsidRPr="00E62CB7">
              <w:rPr>
                <w:rFonts w:eastAsiaTheme="minorHAnsi"/>
                <w:sz w:val="22"/>
                <w:szCs w:val="22"/>
                <w:lang w:eastAsia="en-US"/>
              </w:rPr>
              <w:t xml:space="preserve"> (t. i., 50 % apmērā no lēmumā noteiktās valsts atbalsta summas), bet 2022. pārskata gadā atvieglojumu par neizlietoto valsts atbalsta daļu nav tiesību piemērot.</w:t>
            </w:r>
          </w:p>
          <w:p w14:paraId="1859A621" w14:textId="77777777" w:rsidR="00367CB5" w:rsidRPr="00E62CB7" w:rsidRDefault="00367CB5" w:rsidP="003306C7">
            <w:pPr>
              <w:jc w:val="both"/>
              <w:rPr>
                <w:rFonts w:eastAsiaTheme="minorHAnsi"/>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14:paraId="2E3A560D" w14:textId="77777777" w:rsidR="008F4DC9" w:rsidRPr="00E62CB7" w:rsidRDefault="008F4DC9" w:rsidP="008F4DC9">
            <w:pPr>
              <w:pStyle w:val="NoSpacing"/>
              <w:jc w:val="both"/>
              <w:rPr>
                <w:rFonts w:ascii="Times New Roman" w:eastAsiaTheme="minorHAnsi" w:hAnsi="Times New Roman"/>
                <w:b/>
              </w:rPr>
            </w:pPr>
            <w:r w:rsidRPr="00E62CB7">
              <w:rPr>
                <w:rFonts w:ascii="Times New Roman" w:eastAsiaTheme="minorHAnsi" w:hAnsi="Times New Roman"/>
                <w:b/>
              </w:rPr>
              <w:lastRenderedPageBreak/>
              <w:t>Panākta vienošanās</w:t>
            </w:r>
          </w:p>
          <w:p w14:paraId="687BA4B1" w14:textId="77777777" w:rsidR="00C4103D" w:rsidRPr="00E62CB7" w:rsidRDefault="00C4103D" w:rsidP="00C4103D">
            <w:pPr>
              <w:pStyle w:val="NoSpacing"/>
              <w:jc w:val="both"/>
              <w:rPr>
                <w:rFonts w:ascii="Times New Roman" w:eastAsiaTheme="minorHAnsi" w:hAnsi="Times New Roman"/>
              </w:rPr>
            </w:pPr>
            <w:r w:rsidRPr="00E62CB7">
              <w:rPr>
                <w:rFonts w:ascii="Times New Roman" w:eastAsiaTheme="minorHAnsi" w:hAnsi="Times New Roman"/>
              </w:rPr>
              <w:t>Ņemot vērā, ka no noteikumu projekta tika izņemts regulējums, uz kuru attiecas šis iebildums, iebildums palika neizskatīts.</w:t>
            </w:r>
          </w:p>
          <w:p w14:paraId="6A6A17F4" w14:textId="77777777" w:rsidR="00C4103D" w:rsidRPr="00E62CB7" w:rsidRDefault="00C4103D" w:rsidP="00C4103D">
            <w:pPr>
              <w:pStyle w:val="NoSpacing"/>
              <w:jc w:val="both"/>
              <w:rPr>
                <w:rFonts w:ascii="Times New Roman" w:eastAsiaTheme="minorHAnsi" w:hAnsi="Times New Roman"/>
              </w:rPr>
            </w:pPr>
            <w:r w:rsidRPr="00E62CB7">
              <w:rPr>
                <w:rFonts w:ascii="Times New Roman" w:eastAsiaTheme="minorHAnsi" w:hAnsi="Times New Roman"/>
              </w:rPr>
              <w:t xml:space="preserve">Esošajā projektā saglabātas vienīgi normas, kas skar zemas </w:t>
            </w:r>
            <w:r w:rsidRPr="00E62CB7">
              <w:rPr>
                <w:rFonts w:ascii="Times New Roman" w:eastAsiaTheme="minorHAnsi" w:hAnsi="Times New Roman"/>
              </w:rPr>
              <w:lastRenderedPageBreak/>
              <w:t>pievienotās vērtības pakalpojumus, ņemot vērā nepieciešamību tās pieņemt pēc iespējas ātrāk, tādējādi nodrošinot nodokļu maksātājiem iespēju piemērot vienkāršotu transfertcenu noteikšanas kārtību.</w:t>
            </w:r>
          </w:p>
          <w:p w14:paraId="4246F1BE" w14:textId="0325DCF0" w:rsidR="00367CB5" w:rsidRPr="00E62CB7" w:rsidRDefault="00C4103D" w:rsidP="00C4103D">
            <w:pPr>
              <w:pStyle w:val="NoSpacing"/>
              <w:jc w:val="both"/>
              <w:rPr>
                <w:rFonts w:ascii="Times New Roman" w:eastAsiaTheme="minorHAnsi" w:hAnsi="Times New Roman"/>
              </w:rPr>
            </w:pPr>
            <w:r w:rsidRPr="00E62CB7">
              <w:rPr>
                <w:rFonts w:ascii="Times New Roman" w:eastAsiaTheme="minorHAnsi" w:hAnsi="Times New Roman"/>
              </w:rPr>
              <w:t>Tuvākajā laikā paredzēts sagatavot plašākus grozījumus Ministru kabineta 2017.gada 14.novembra noteikumos Nr.677 “Uzņēmumu ienākuma nodokļa likuma normu piemērošanas noteikumi”, kuru ietvaros tiks izskatīts šis iebildums.</w:t>
            </w:r>
          </w:p>
        </w:tc>
        <w:tc>
          <w:tcPr>
            <w:tcW w:w="3083" w:type="dxa"/>
            <w:tcBorders>
              <w:top w:val="single" w:sz="4" w:space="0" w:color="auto"/>
              <w:left w:val="single" w:sz="4" w:space="0" w:color="auto"/>
              <w:bottom w:val="single" w:sz="4" w:space="0" w:color="auto"/>
            </w:tcBorders>
          </w:tcPr>
          <w:p w14:paraId="36B4D0E1" w14:textId="77777777" w:rsidR="00367CB5" w:rsidRPr="00E62CB7" w:rsidRDefault="00367CB5" w:rsidP="007942CF">
            <w:pPr>
              <w:jc w:val="both"/>
              <w:rPr>
                <w:sz w:val="22"/>
                <w:szCs w:val="22"/>
              </w:rPr>
            </w:pPr>
          </w:p>
        </w:tc>
      </w:tr>
    </w:tbl>
    <w:p w14:paraId="4E78A9BD" w14:textId="1245018C" w:rsidR="00367CB5" w:rsidRPr="00E62CB7" w:rsidRDefault="00367CB5">
      <w:pPr>
        <w:rPr>
          <w:sz w:val="22"/>
          <w:szCs w:val="22"/>
        </w:rPr>
      </w:pPr>
    </w:p>
    <w:p w14:paraId="7C591A3E" w14:textId="77777777" w:rsidR="0046053F" w:rsidRPr="00E62CB7" w:rsidRDefault="0046053F">
      <w:pPr>
        <w:rPr>
          <w:sz w:val="22"/>
          <w:szCs w:val="22"/>
        </w:rPr>
      </w:pPr>
    </w:p>
    <w:tbl>
      <w:tblPr>
        <w:tblW w:w="0" w:type="auto"/>
        <w:tblInd w:w="8" w:type="dxa"/>
        <w:tblLook w:val="00A0" w:firstRow="1" w:lastRow="0" w:firstColumn="1" w:lastColumn="0" w:noHBand="0" w:noVBand="0"/>
      </w:tblPr>
      <w:tblGrid>
        <w:gridCol w:w="2214"/>
        <w:gridCol w:w="1914"/>
      </w:tblGrid>
      <w:tr w:rsidR="006A0BFD" w:rsidRPr="00E62CB7" w14:paraId="4C432D90" w14:textId="77777777" w:rsidTr="00367CB5">
        <w:trPr>
          <w:gridAfter w:val="1"/>
        </w:trPr>
        <w:tc>
          <w:tcPr>
            <w:tcW w:w="0" w:type="auto"/>
          </w:tcPr>
          <w:p w14:paraId="617E7B0B" w14:textId="77777777" w:rsidR="006A0BFD" w:rsidRPr="00E62CB7" w:rsidRDefault="006A0BFD" w:rsidP="006A0BFD">
            <w:pPr>
              <w:pStyle w:val="naiskr"/>
              <w:spacing w:before="0" w:after="0"/>
              <w:jc w:val="right"/>
              <w:rPr>
                <w:sz w:val="22"/>
                <w:szCs w:val="22"/>
              </w:rPr>
            </w:pPr>
            <w:r w:rsidRPr="00E62CB7">
              <w:rPr>
                <w:sz w:val="22"/>
                <w:szCs w:val="22"/>
              </w:rPr>
              <w:t>Atbildīgā amatpersona</w:t>
            </w:r>
          </w:p>
        </w:tc>
      </w:tr>
      <w:tr w:rsidR="00820AE3" w:rsidRPr="00E62CB7" w14:paraId="3A650255" w14:textId="77777777" w:rsidTr="00367CB5">
        <w:tc>
          <w:tcPr>
            <w:tcW w:w="0" w:type="auto"/>
          </w:tcPr>
          <w:p w14:paraId="4837BB9D" w14:textId="77777777" w:rsidR="00A32628" w:rsidRPr="00E62CB7" w:rsidRDefault="00A32628" w:rsidP="00CE1174">
            <w:pPr>
              <w:pStyle w:val="naiskr"/>
              <w:spacing w:before="0" w:after="0"/>
              <w:jc w:val="right"/>
              <w:rPr>
                <w:sz w:val="22"/>
                <w:szCs w:val="22"/>
              </w:rPr>
            </w:pPr>
          </w:p>
        </w:tc>
        <w:tc>
          <w:tcPr>
            <w:tcW w:w="0" w:type="auto"/>
            <w:tcBorders>
              <w:top w:val="single" w:sz="6" w:space="0" w:color="000000"/>
              <w:bottom w:val="single" w:sz="6" w:space="0" w:color="000000"/>
            </w:tcBorders>
          </w:tcPr>
          <w:p w14:paraId="1D2548C2" w14:textId="77777777" w:rsidR="00A32628" w:rsidRPr="00E62CB7" w:rsidRDefault="00A32628" w:rsidP="00A32628">
            <w:pPr>
              <w:pStyle w:val="naisc"/>
              <w:spacing w:before="0" w:after="0"/>
              <w:ind w:firstLine="720"/>
              <w:rPr>
                <w:sz w:val="22"/>
                <w:szCs w:val="22"/>
              </w:rPr>
            </w:pPr>
            <w:r w:rsidRPr="00E62CB7">
              <w:rPr>
                <w:sz w:val="22"/>
                <w:szCs w:val="22"/>
              </w:rPr>
              <w:t>(paraksts*)</w:t>
            </w:r>
          </w:p>
        </w:tc>
      </w:tr>
    </w:tbl>
    <w:p w14:paraId="50175823" w14:textId="77777777" w:rsidR="00317DC7" w:rsidRPr="00E62CB7" w:rsidRDefault="00184479" w:rsidP="00DB7395">
      <w:pPr>
        <w:pStyle w:val="naisf"/>
        <w:spacing w:before="0" w:after="0"/>
        <w:ind w:firstLine="720"/>
        <w:rPr>
          <w:sz w:val="22"/>
          <w:szCs w:val="22"/>
        </w:rPr>
      </w:pPr>
      <w:r w:rsidRPr="00E62CB7">
        <w:rPr>
          <w:sz w:val="22"/>
          <w:szCs w:val="22"/>
        </w:rPr>
        <w:t>Piezīme.</w:t>
      </w:r>
      <w:r w:rsidR="00767BF3" w:rsidRPr="00E62CB7">
        <w:rPr>
          <w:sz w:val="22"/>
          <w:szCs w:val="22"/>
        </w:rPr>
        <w:t> </w:t>
      </w:r>
      <w:r w:rsidR="00FB6C91" w:rsidRPr="00E62CB7">
        <w:rPr>
          <w:sz w:val="22"/>
          <w:szCs w:val="22"/>
        </w:rPr>
        <w:t>*</w:t>
      </w:r>
      <w:r w:rsidR="00767BF3" w:rsidRPr="00E62CB7">
        <w:rPr>
          <w:sz w:val="22"/>
          <w:szCs w:val="22"/>
        </w:rPr>
        <w:t> </w:t>
      </w:r>
      <w:r w:rsidR="00317DC7" w:rsidRPr="00E62CB7">
        <w:rPr>
          <w:sz w:val="22"/>
          <w:szCs w:val="22"/>
        </w:rPr>
        <w:t xml:space="preserve">Dokumenta rekvizītu </w:t>
      </w:r>
      <w:r w:rsidR="00364BB6" w:rsidRPr="00E62CB7">
        <w:rPr>
          <w:sz w:val="22"/>
          <w:szCs w:val="22"/>
        </w:rPr>
        <w:t>"</w:t>
      </w:r>
      <w:r w:rsidR="0018210A" w:rsidRPr="00E62CB7">
        <w:rPr>
          <w:sz w:val="22"/>
          <w:szCs w:val="22"/>
        </w:rPr>
        <w:t>p</w:t>
      </w:r>
      <w:r w:rsidR="00317DC7" w:rsidRPr="00E62CB7">
        <w:rPr>
          <w:sz w:val="22"/>
          <w:szCs w:val="22"/>
        </w:rPr>
        <w:t>araksts</w:t>
      </w:r>
      <w:r w:rsidR="00364BB6" w:rsidRPr="00E62CB7">
        <w:rPr>
          <w:sz w:val="22"/>
          <w:szCs w:val="22"/>
        </w:rPr>
        <w:t>"</w:t>
      </w:r>
      <w:r w:rsidR="00317DC7" w:rsidRPr="00E62CB7">
        <w:rPr>
          <w:sz w:val="22"/>
          <w:szCs w:val="22"/>
        </w:rPr>
        <w:t xml:space="preserve"> neaizpilda, ja elektroniskais dokuments ir </w:t>
      </w:r>
      <w:r w:rsidRPr="00E62CB7">
        <w:rPr>
          <w:sz w:val="22"/>
          <w:szCs w:val="22"/>
        </w:rPr>
        <w:t>sagatavots</w:t>
      </w:r>
      <w:r w:rsidR="00317DC7" w:rsidRPr="00E62CB7">
        <w:rPr>
          <w:sz w:val="22"/>
          <w:szCs w:val="22"/>
        </w:rPr>
        <w:t xml:space="preserve"> atbilstoši </w:t>
      </w:r>
      <w:r w:rsidRPr="00E62CB7">
        <w:rPr>
          <w:sz w:val="22"/>
          <w:szCs w:val="22"/>
        </w:rPr>
        <w:t xml:space="preserve">normatīvajiem aktiem par </w:t>
      </w:r>
      <w:r w:rsidR="00317DC7" w:rsidRPr="00E62CB7">
        <w:rPr>
          <w:sz w:val="22"/>
          <w:szCs w:val="22"/>
        </w:rPr>
        <w:t>elektronisko dokumentu noformēšan</w:t>
      </w:r>
      <w:r w:rsidRPr="00E62CB7">
        <w:rPr>
          <w:sz w:val="22"/>
          <w:szCs w:val="22"/>
        </w:rPr>
        <w:t>u.</w:t>
      </w:r>
    </w:p>
    <w:p w14:paraId="04EBEDF7" w14:textId="77777777" w:rsidR="00F850C7" w:rsidRPr="00E62CB7" w:rsidRDefault="00F850C7" w:rsidP="00E80986">
      <w:pPr>
        <w:pStyle w:val="naisf"/>
        <w:spacing w:before="0" w:after="0"/>
        <w:ind w:firstLine="0"/>
        <w:rPr>
          <w:sz w:val="22"/>
          <w:szCs w:val="22"/>
        </w:rPr>
      </w:pPr>
    </w:p>
    <w:p w14:paraId="653DB884" w14:textId="77777777" w:rsidR="00E80986" w:rsidRPr="00E62CB7" w:rsidRDefault="00ED225D" w:rsidP="00E80986">
      <w:pPr>
        <w:pStyle w:val="naisf"/>
        <w:spacing w:before="0" w:after="0"/>
        <w:ind w:firstLine="0"/>
        <w:rPr>
          <w:sz w:val="22"/>
          <w:szCs w:val="22"/>
        </w:rPr>
      </w:pPr>
      <w:r w:rsidRPr="00E62CB7">
        <w:rPr>
          <w:sz w:val="22"/>
          <w:szCs w:val="22"/>
        </w:rPr>
        <w:t>Roberts Auziņš</w:t>
      </w:r>
    </w:p>
    <w:p w14:paraId="0BDC9345" w14:textId="77777777" w:rsidR="003408DB" w:rsidRPr="00E62CB7" w:rsidRDefault="003408DB" w:rsidP="00015C84">
      <w:pPr>
        <w:pStyle w:val="naisf"/>
        <w:spacing w:before="0" w:after="0"/>
        <w:ind w:firstLine="0"/>
        <w:jc w:val="left"/>
        <w:rPr>
          <w:sz w:val="22"/>
          <w:szCs w:val="22"/>
        </w:rPr>
      </w:pPr>
      <w:r w:rsidRPr="00E62CB7">
        <w:rPr>
          <w:sz w:val="22"/>
          <w:szCs w:val="22"/>
        </w:rPr>
        <w:t>Nodokļu administrēšanas, grāmatvedības un revīzijas politikas departamenta</w:t>
      </w:r>
    </w:p>
    <w:p w14:paraId="280A8673" w14:textId="77777777" w:rsidR="007116C7" w:rsidRPr="00E62CB7" w:rsidRDefault="00ED225D" w:rsidP="00015C84">
      <w:pPr>
        <w:pStyle w:val="naisf"/>
        <w:spacing w:before="0" w:after="0"/>
        <w:ind w:firstLine="0"/>
        <w:jc w:val="left"/>
        <w:rPr>
          <w:sz w:val="22"/>
          <w:szCs w:val="22"/>
        </w:rPr>
      </w:pPr>
      <w:r w:rsidRPr="00E62CB7">
        <w:rPr>
          <w:sz w:val="22"/>
          <w:szCs w:val="22"/>
        </w:rPr>
        <w:t>Nodokļu administrēšanas politikas nodaļas vadītāja vietnieks</w:t>
      </w:r>
    </w:p>
    <w:p w14:paraId="36D4AF16" w14:textId="77777777" w:rsidR="00ED225D" w:rsidRPr="00E62CB7" w:rsidRDefault="00ED225D" w:rsidP="00ED225D">
      <w:pPr>
        <w:rPr>
          <w:sz w:val="22"/>
          <w:szCs w:val="22"/>
        </w:rPr>
      </w:pPr>
      <w:r w:rsidRPr="00E62CB7">
        <w:rPr>
          <w:sz w:val="22"/>
          <w:szCs w:val="22"/>
        </w:rPr>
        <w:t>67083919</w:t>
      </w:r>
    </w:p>
    <w:p w14:paraId="78D273E2" w14:textId="2179406F" w:rsidR="00A20F55" w:rsidRPr="00E62CB7" w:rsidRDefault="00EF6A0E" w:rsidP="00ED225D">
      <w:pPr>
        <w:rPr>
          <w:rStyle w:val="Hyperlink"/>
          <w:sz w:val="22"/>
          <w:szCs w:val="22"/>
        </w:rPr>
      </w:pPr>
      <w:hyperlink r:id="rId9" w:history="1">
        <w:r w:rsidR="00D56AF9" w:rsidRPr="00E62CB7">
          <w:rPr>
            <w:rStyle w:val="Hyperlink"/>
            <w:sz w:val="22"/>
            <w:szCs w:val="22"/>
          </w:rPr>
          <w:t>roberts.auzins@fm.gov.lv</w:t>
        </w:r>
      </w:hyperlink>
    </w:p>
    <w:sectPr w:rsidR="00A20F55" w:rsidRPr="00E62CB7" w:rsidSect="00411CCD">
      <w:headerReference w:type="even" r:id="rId10"/>
      <w:headerReference w:type="default" r:id="rId11"/>
      <w:footerReference w:type="default" r:id="rId12"/>
      <w:footerReference w:type="first" r:id="rId13"/>
      <w:pgSz w:w="16838" w:h="11906" w:orient="landscape"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A905F" w14:textId="77777777" w:rsidR="00EF6A0E" w:rsidRDefault="00EF6A0E">
      <w:r>
        <w:separator/>
      </w:r>
    </w:p>
  </w:endnote>
  <w:endnote w:type="continuationSeparator" w:id="0">
    <w:p w14:paraId="07AD10AD" w14:textId="77777777" w:rsidR="00EF6A0E" w:rsidRDefault="00EF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FBA00" w14:textId="4CB32168" w:rsidR="00F15832" w:rsidRDefault="00F15832">
    <w:pPr>
      <w:pStyle w:val="Footer"/>
    </w:pPr>
    <w:r>
      <w:rPr>
        <w:sz w:val="20"/>
        <w:szCs w:val="20"/>
      </w:rPr>
      <w:fldChar w:fldCharType="begin"/>
    </w:r>
    <w:r>
      <w:rPr>
        <w:sz w:val="20"/>
        <w:szCs w:val="20"/>
      </w:rPr>
      <w:instrText xml:space="preserve"> FILENAME   \* MERGEFORMAT </w:instrText>
    </w:r>
    <w:r>
      <w:rPr>
        <w:sz w:val="20"/>
        <w:szCs w:val="20"/>
      </w:rPr>
      <w:fldChar w:fldCharType="separate"/>
    </w:r>
    <w:r w:rsidR="001C0A09">
      <w:rPr>
        <w:noProof/>
        <w:sz w:val="20"/>
        <w:szCs w:val="20"/>
      </w:rPr>
      <w:t>FMIzz_030619_UIN.docx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E6834" w14:textId="41CCFA44" w:rsidR="00F15832" w:rsidRPr="00015C84" w:rsidRDefault="00F15832" w:rsidP="00364BB6">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1C0A09">
      <w:rPr>
        <w:noProof/>
        <w:sz w:val="20"/>
        <w:szCs w:val="20"/>
      </w:rPr>
      <w:t>FMIzz_030619_UIN.docx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C2C5C" w14:textId="77777777" w:rsidR="00EF6A0E" w:rsidRDefault="00EF6A0E">
      <w:r>
        <w:separator/>
      </w:r>
    </w:p>
  </w:footnote>
  <w:footnote w:type="continuationSeparator" w:id="0">
    <w:p w14:paraId="3B7FA01A" w14:textId="77777777" w:rsidR="00EF6A0E" w:rsidRDefault="00EF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4F766" w14:textId="77777777" w:rsidR="00F15832" w:rsidRDefault="00F15832"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3E17D" w14:textId="77777777" w:rsidR="00F15832" w:rsidRDefault="00F15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50918"/>
      <w:docPartObj>
        <w:docPartGallery w:val="Page Numbers (Top of Page)"/>
        <w:docPartUnique/>
      </w:docPartObj>
    </w:sdtPr>
    <w:sdtEndPr>
      <w:rPr>
        <w:noProof/>
      </w:rPr>
    </w:sdtEndPr>
    <w:sdtContent>
      <w:p w14:paraId="1C273C82" w14:textId="3AAE35A3" w:rsidR="00411CCD" w:rsidRDefault="00411CCD">
        <w:pPr>
          <w:pStyle w:val="Header"/>
          <w:jc w:val="center"/>
        </w:pPr>
        <w:r>
          <w:fldChar w:fldCharType="begin"/>
        </w:r>
        <w:r>
          <w:instrText xml:space="preserve"> PAGE   \* MERGEFORMAT </w:instrText>
        </w:r>
        <w:r>
          <w:fldChar w:fldCharType="separate"/>
        </w:r>
        <w:r w:rsidR="004509EC">
          <w:rPr>
            <w:noProof/>
          </w:rPr>
          <w:t>6</w:t>
        </w:r>
        <w:r>
          <w:rPr>
            <w:noProof/>
          </w:rPr>
          <w:fldChar w:fldCharType="end"/>
        </w:r>
      </w:p>
    </w:sdtContent>
  </w:sdt>
  <w:p w14:paraId="792F428B" w14:textId="77777777" w:rsidR="00F15832" w:rsidRDefault="00F158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B636F"/>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E324817"/>
    <w:multiLevelType w:val="hybridMultilevel"/>
    <w:tmpl w:val="A07C6254"/>
    <w:lvl w:ilvl="0" w:tplc="39B4263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4F81EB0"/>
    <w:multiLevelType w:val="hybridMultilevel"/>
    <w:tmpl w:val="2B0493EE"/>
    <w:lvl w:ilvl="0" w:tplc="CCAC7EE2">
      <w:numFmt w:val="bullet"/>
      <w:lvlText w:val=""/>
      <w:lvlJc w:val="left"/>
      <w:pPr>
        <w:ind w:left="1080" w:hanging="360"/>
      </w:pPr>
      <w:rPr>
        <w:rFonts w:ascii="Symbol" w:eastAsia="Calibri" w:hAnsi="Symbol"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 w15:restartNumberingAfterBreak="0">
    <w:nsid w:val="17706C0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CC73E99"/>
    <w:multiLevelType w:val="hybridMultilevel"/>
    <w:tmpl w:val="A87ACA0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227719A"/>
    <w:multiLevelType w:val="hybridMultilevel"/>
    <w:tmpl w:val="DE84F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1">
    <w:nsid w:val="22735EA6"/>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7" w15:restartNumberingAfterBreak="0">
    <w:nsid w:val="26CE766D"/>
    <w:multiLevelType w:val="hybridMultilevel"/>
    <w:tmpl w:val="B552B890"/>
    <w:lvl w:ilvl="0" w:tplc="A92467C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ED17DF"/>
    <w:multiLevelType w:val="hybridMultilevel"/>
    <w:tmpl w:val="2DB6FC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620A4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336200DE"/>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5250967"/>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369659B9"/>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9331825"/>
    <w:multiLevelType w:val="hybridMultilevel"/>
    <w:tmpl w:val="A04C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6160F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3C5F5199"/>
    <w:multiLevelType w:val="hybridMultilevel"/>
    <w:tmpl w:val="65F02B0E"/>
    <w:lvl w:ilvl="0" w:tplc="BAA25474">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2D7502"/>
    <w:multiLevelType w:val="hybridMultilevel"/>
    <w:tmpl w:val="62C227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6B2D06"/>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579E08A5"/>
    <w:multiLevelType w:val="hybridMultilevel"/>
    <w:tmpl w:val="FB302C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86B519C"/>
    <w:multiLevelType w:val="hybridMultilevel"/>
    <w:tmpl w:val="CC043F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58782F4C"/>
    <w:multiLevelType w:val="hybridMultilevel"/>
    <w:tmpl w:val="4510FD6A"/>
    <w:lvl w:ilvl="0" w:tplc="376EDA82">
      <w:start w:val="1"/>
      <w:numFmt w:val="decimal"/>
      <w:lvlText w:val="%1."/>
      <w:lvlJc w:val="left"/>
      <w:pPr>
        <w:ind w:left="1080" w:hanging="360"/>
      </w:pPr>
      <w:rPr>
        <w:rFonts w:hint="default"/>
        <w:color w:val="000000"/>
        <w:sz w:val="25"/>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DD4471"/>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EBC168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63F91923"/>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644922E0"/>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EC02ED"/>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A313202"/>
    <w:multiLevelType w:val="hybridMultilevel"/>
    <w:tmpl w:val="65F27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216196C"/>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743A1CE8"/>
    <w:multiLevelType w:val="hybridMultilevel"/>
    <w:tmpl w:val="F414458C"/>
    <w:lvl w:ilvl="0" w:tplc="25849F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1">
    <w:nsid w:val="794F289B"/>
    <w:multiLevelType w:val="hybridMultilevel"/>
    <w:tmpl w:val="B54A8FBE"/>
    <w:lvl w:ilvl="0" w:tplc="99B8A53C">
      <w:start w:val="1"/>
      <w:numFmt w:val="decimal"/>
      <w:lvlText w:val="%1."/>
      <w:lvlJc w:val="left"/>
      <w:pPr>
        <w:ind w:left="1440" w:hanging="360"/>
      </w:pPr>
    </w:lvl>
    <w:lvl w:ilvl="1" w:tplc="9BD6CED8" w:tentative="1">
      <w:start w:val="1"/>
      <w:numFmt w:val="lowerLetter"/>
      <w:lvlText w:val="%2."/>
      <w:lvlJc w:val="left"/>
      <w:pPr>
        <w:ind w:left="2160" w:hanging="360"/>
      </w:pPr>
    </w:lvl>
    <w:lvl w:ilvl="2" w:tplc="B18E30D6" w:tentative="1">
      <w:start w:val="1"/>
      <w:numFmt w:val="lowerRoman"/>
      <w:lvlText w:val="%3."/>
      <w:lvlJc w:val="right"/>
      <w:pPr>
        <w:ind w:left="2880" w:hanging="180"/>
      </w:pPr>
    </w:lvl>
    <w:lvl w:ilvl="3" w:tplc="F4F05F30" w:tentative="1">
      <w:start w:val="1"/>
      <w:numFmt w:val="decimal"/>
      <w:lvlText w:val="%4."/>
      <w:lvlJc w:val="left"/>
      <w:pPr>
        <w:ind w:left="3600" w:hanging="360"/>
      </w:pPr>
    </w:lvl>
    <w:lvl w:ilvl="4" w:tplc="2506CA3A" w:tentative="1">
      <w:start w:val="1"/>
      <w:numFmt w:val="lowerLetter"/>
      <w:lvlText w:val="%5."/>
      <w:lvlJc w:val="left"/>
      <w:pPr>
        <w:ind w:left="4320" w:hanging="360"/>
      </w:pPr>
    </w:lvl>
    <w:lvl w:ilvl="5" w:tplc="CAE2C916" w:tentative="1">
      <w:start w:val="1"/>
      <w:numFmt w:val="lowerRoman"/>
      <w:lvlText w:val="%6."/>
      <w:lvlJc w:val="right"/>
      <w:pPr>
        <w:ind w:left="5040" w:hanging="180"/>
      </w:pPr>
    </w:lvl>
    <w:lvl w:ilvl="6" w:tplc="D77E9A0C" w:tentative="1">
      <w:start w:val="1"/>
      <w:numFmt w:val="decimal"/>
      <w:lvlText w:val="%7."/>
      <w:lvlJc w:val="left"/>
      <w:pPr>
        <w:ind w:left="5760" w:hanging="360"/>
      </w:pPr>
    </w:lvl>
    <w:lvl w:ilvl="7" w:tplc="33AE2284" w:tentative="1">
      <w:start w:val="1"/>
      <w:numFmt w:val="lowerLetter"/>
      <w:lvlText w:val="%8."/>
      <w:lvlJc w:val="left"/>
      <w:pPr>
        <w:ind w:left="6480" w:hanging="360"/>
      </w:pPr>
    </w:lvl>
    <w:lvl w:ilvl="8" w:tplc="7F2405FA" w:tentative="1">
      <w:start w:val="1"/>
      <w:numFmt w:val="lowerRoman"/>
      <w:lvlText w:val="%9."/>
      <w:lvlJc w:val="right"/>
      <w:pPr>
        <w:ind w:left="7200" w:hanging="180"/>
      </w:pPr>
    </w:lvl>
  </w:abstractNum>
  <w:abstractNum w:abstractNumId="33" w15:restartNumberingAfterBreak="0">
    <w:nsid w:val="7BDE3908"/>
    <w:multiLevelType w:val="hybridMultilevel"/>
    <w:tmpl w:val="D1EA7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5"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4"/>
  </w:num>
  <w:num w:numId="3">
    <w:abstractNumId w:val="27"/>
  </w:num>
  <w:num w:numId="4">
    <w:abstractNumId w:val="22"/>
  </w:num>
  <w:num w:numId="5">
    <w:abstractNumId w:val="17"/>
  </w:num>
  <w:num w:numId="6">
    <w:abstractNumId w:val="2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3"/>
  </w:num>
  <w:num w:numId="12">
    <w:abstractNumId w:val="3"/>
  </w:num>
  <w:num w:numId="13">
    <w:abstractNumId w:val="4"/>
  </w:num>
  <w:num w:numId="14">
    <w:abstractNumId w:val="11"/>
  </w:num>
  <w:num w:numId="15">
    <w:abstractNumId w:val="9"/>
  </w:num>
  <w:num w:numId="16">
    <w:abstractNumId w:val="24"/>
  </w:num>
  <w:num w:numId="17">
    <w:abstractNumId w:val="25"/>
  </w:num>
  <w:num w:numId="18">
    <w:abstractNumId w:val="14"/>
  </w:num>
  <w:num w:numId="19">
    <w:abstractNumId w:val="26"/>
  </w:num>
  <w:num w:numId="20">
    <w:abstractNumId w:val="31"/>
  </w:num>
  <w:num w:numId="21">
    <w:abstractNumId w:val="12"/>
  </w:num>
  <w:num w:numId="22">
    <w:abstractNumId w:val="10"/>
  </w:num>
  <w:num w:numId="23">
    <w:abstractNumId w:val="28"/>
  </w:num>
  <w:num w:numId="24">
    <w:abstractNumId w:val="18"/>
  </w:num>
  <w:num w:numId="25">
    <w:abstractNumId w:val="0"/>
  </w:num>
  <w:num w:numId="26">
    <w:abstractNumId w:val="30"/>
  </w:num>
  <w:num w:numId="27">
    <w:abstractNumId w:val="1"/>
  </w:num>
  <w:num w:numId="28">
    <w:abstractNumId w:val="29"/>
  </w:num>
  <w:num w:numId="29">
    <w:abstractNumId w:val="7"/>
  </w:num>
  <w:num w:numId="30">
    <w:abstractNumId w:val="33"/>
  </w:num>
  <w:num w:numId="31">
    <w:abstractNumId w:val="16"/>
  </w:num>
  <w:num w:numId="32">
    <w:abstractNumId w:val="13"/>
  </w:num>
  <w:num w:numId="33">
    <w:abstractNumId w:val="8"/>
  </w:num>
  <w:num w:numId="34">
    <w:abstractNumId w:val="15"/>
  </w:num>
  <w:num w:numId="35">
    <w:abstractNumId w:val="19"/>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3C53"/>
    <w:rsid w:val="0000456E"/>
    <w:rsid w:val="000055EA"/>
    <w:rsid w:val="00006BF1"/>
    <w:rsid w:val="00007763"/>
    <w:rsid w:val="0001118D"/>
    <w:rsid w:val="0001131F"/>
    <w:rsid w:val="00011663"/>
    <w:rsid w:val="0001249F"/>
    <w:rsid w:val="000125C0"/>
    <w:rsid w:val="0001270C"/>
    <w:rsid w:val="000133AF"/>
    <w:rsid w:val="000136AA"/>
    <w:rsid w:val="00013B4C"/>
    <w:rsid w:val="00013BF6"/>
    <w:rsid w:val="00013D5E"/>
    <w:rsid w:val="0001554C"/>
    <w:rsid w:val="00015B94"/>
    <w:rsid w:val="00015C84"/>
    <w:rsid w:val="00015DE5"/>
    <w:rsid w:val="00017018"/>
    <w:rsid w:val="000172E2"/>
    <w:rsid w:val="00017449"/>
    <w:rsid w:val="00017983"/>
    <w:rsid w:val="00020249"/>
    <w:rsid w:val="00022338"/>
    <w:rsid w:val="0002296A"/>
    <w:rsid w:val="00022B0F"/>
    <w:rsid w:val="00022B9A"/>
    <w:rsid w:val="00023FD6"/>
    <w:rsid w:val="0002416A"/>
    <w:rsid w:val="00024CCD"/>
    <w:rsid w:val="00024D20"/>
    <w:rsid w:val="000253DB"/>
    <w:rsid w:val="0002611B"/>
    <w:rsid w:val="0002661D"/>
    <w:rsid w:val="00026B6B"/>
    <w:rsid w:val="000278E7"/>
    <w:rsid w:val="00027A63"/>
    <w:rsid w:val="00027F9D"/>
    <w:rsid w:val="000307B5"/>
    <w:rsid w:val="00032457"/>
    <w:rsid w:val="0003315D"/>
    <w:rsid w:val="000338D6"/>
    <w:rsid w:val="0003413A"/>
    <w:rsid w:val="000349CA"/>
    <w:rsid w:val="0003557A"/>
    <w:rsid w:val="00035B2F"/>
    <w:rsid w:val="00035C06"/>
    <w:rsid w:val="00035F8E"/>
    <w:rsid w:val="000366DF"/>
    <w:rsid w:val="000376CD"/>
    <w:rsid w:val="00037F4F"/>
    <w:rsid w:val="00040A5C"/>
    <w:rsid w:val="00041596"/>
    <w:rsid w:val="00043005"/>
    <w:rsid w:val="0004345F"/>
    <w:rsid w:val="00043943"/>
    <w:rsid w:val="00043CF3"/>
    <w:rsid w:val="00044026"/>
    <w:rsid w:val="00045C4D"/>
    <w:rsid w:val="00046075"/>
    <w:rsid w:val="000468B4"/>
    <w:rsid w:val="00046CAD"/>
    <w:rsid w:val="00046F5C"/>
    <w:rsid w:val="00047385"/>
    <w:rsid w:val="00050554"/>
    <w:rsid w:val="00053706"/>
    <w:rsid w:val="00053E04"/>
    <w:rsid w:val="00054585"/>
    <w:rsid w:val="000579E6"/>
    <w:rsid w:val="00060E03"/>
    <w:rsid w:val="00062E5C"/>
    <w:rsid w:val="000641CE"/>
    <w:rsid w:val="00065271"/>
    <w:rsid w:val="00066176"/>
    <w:rsid w:val="0006618D"/>
    <w:rsid w:val="00066885"/>
    <w:rsid w:val="0006694E"/>
    <w:rsid w:val="00066A37"/>
    <w:rsid w:val="00066F05"/>
    <w:rsid w:val="00072628"/>
    <w:rsid w:val="000728ED"/>
    <w:rsid w:val="000733F5"/>
    <w:rsid w:val="000733FF"/>
    <w:rsid w:val="0007577A"/>
    <w:rsid w:val="00076C40"/>
    <w:rsid w:val="000775D0"/>
    <w:rsid w:val="00081B0F"/>
    <w:rsid w:val="0008283D"/>
    <w:rsid w:val="00083090"/>
    <w:rsid w:val="00083214"/>
    <w:rsid w:val="000834AC"/>
    <w:rsid w:val="00083B8F"/>
    <w:rsid w:val="00084B11"/>
    <w:rsid w:val="00084D85"/>
    <w:rsid w:val="00085322"/>
    <w:rsid w:val="00085D5B"/>
    <w:rsid w:val="0008656F"/>
    <w:rsid w:val="00086AB9"/>
    <w:rsid w:val="00086BCE"/>
    <w:rsid w:val="00086F36"/>
    <w:rsid w:val="00090168"/>
    <w:rsid w:val="00090BBC"/>
    <w:rsid w:val="00090C76"/>
    <w:rsid w:val="00090E39"/>
    <w:rsid w:val="00091033"/>
    <w:rsid w:val="00091F10"/>
    <w:rsid w:val="0009302B"/>
    <w:rsid w:val="00093EC2"/>
    <w:rsid w:val="000958A2"/>
    <w:rsid w:val="000965E7"/>
    <w:rsid w:val="000A0041"/>
    <w:rsid w:val="000A06FC"/>
    <w:rsid w:val="000A0788"/>
    <w:rsid w:val="000A1A02"/>
    <w:rsid w:val="000A4035"/>
    <w:rsid w:val="000A44BF"/>
    <w:rsid w:val="000A483A"/>
    <w:rsid w:val="000A55D2"/>
    <w:rsid w:val="000A64D3"/>
    <w:rsid w:val="000A77B9"/>
    <w:rsid w:val="000A7EA7"/>
    <w:rsid w:val="000B0403"/>
    <w:rsid w:val="000B057B"/>
    <w:rsid w:val="000B06E7"/>
    <w:rsid w:val="000B0C94"/>
    <w:rsid w:val="000B1224"/>
    <w:rsid w:val="000B15E5"/>
    <w:rsid w:val="000B20E4"/>
    <w:rsid w:val="000B2382"/>
    <w:rsid w:val="000B3171"/>
    <w:rsid w:val="000B34A5"/>
    <w:rsid w:val="000B4746"/>
    <w:rsid w:val="000B48D3"/>
    <w:rsid w:val="000B4D52"/>
    <w:rsid w:val="000B7966"/>
    <w:rsid w:val="000B7CB1"/>
    <w:rsid w:val="000C0AE6"/>
    <w:rsid w:val="000C0D0D"/>
    <w:rsid w:val="000C2555"/>
    <w:rsid w:val="000C3545"/>
    <w:rsid w:val="000C498A"/>
    <w:rsid w:val="000C4C16"/>
    <w:rsid w:val="000C56FC"/>
    <w:rsid w:val="000C74B9"/>
    <w:rsid w:val="000C7907"/>
    <w:rsid w:val="000C7A11"/>
    <w:rsid w:val="000C7F5E"/>
    <w:rsid w:val="000D00AC"/>
    <w:rsid w:val="000D0AED"/>
    <w:rsid w:val="000D1122"/>
    <w:rsid w:val="000D1992"/>
    <w:rsid w:val="000D27D8"/>
    <w:rsid w:val="000D3602"/>
    <w:rsid w:val="000D4D89"/>
    <w:rsid w:val="000D6BBD"/>
    <w:rsid w:val="000D6CF1"/>
    <w:rsid w:val="000D7751"/>
    <w:rsid w:val="000D7C23"/>
    <w:rsid w:val="000E0A16"/>
    <w:rsid w:val="000E1BFA"/>
    <w:rsid w:val="000E2142"/>
    <w:rsid w:val="000E21D0"/>
    <w:rsid w:val="000E2A38"/>
    <w:rsid w:val="000E2ACC"/>
    <w:rsid w:val="000E2DA1"/>
    <w:rsid w:val="000E3013"/>
    <w:rsid w:val="000E31BE"/>
    <w:rsid w:val="000E4A61"/>
    <w:rsid w:val="000E5509"/>
    <w:rsid w:val="000E585F"/>
    <w:rsid w:val="000E5D89"/>
    <w:rsid w:val="000E66F8"/>
    <w:rsid w:val="000E77AA"/>
    <w:rsid w:val="000F054F"/>
    <w:rsid w:val="000F079D"/>
    <w:rsid w:val="000F0D9D"/>
    <w:rsid w:val="000F1635"/>
    <w:rsid w:val="000F1D56"/>
    <w:rsid w:val="000F2534"/>
    <w:rsid w:val="000F28D9"/>
    <w:rsid w:val="000F2D43"/>
    <w:rsid w:val="000F2F9A"/>
    <w:rsid w:val="000F3AA0"/>
    <w:rsid w:val="000F4AEB"/>
    <w:rsid w:val="000F4B40"/>
    <w:rsid w:val="000F4C3B"/>
    <w:rsid w:val="000F4E7B"/>
    <w:rsid w:val="000F528C"/>
    <w:rsid w:val="000F57C3"/>
    <w:rsid w:val="000F5C37"/>
    <w:rsid w:val="000F5DF0"/>
    <w:rsid w:val="000F6A0B"/>
    <w:rsid w:val="000F7695"/>
    <w:rsid w:val="000F7AF9"/>
    <w:rsid w:val="00100EF0"/>
    <w:rsid w:val="001012E3"/>
    <w:rsid w:val="00101EEB"/>
    <w:rsid w:val="0010375A"/>
    <w:rsid w:val="00103881"/>
    <w:rsid w:val="001038ED"/>
    <w:rsid w:val="001042B0"/>
    <w:rsid w:val="00106DE4"/>
    <w:rsid w:val="00106F4F"/>
    <w:rsid w:val="001071D3"/>
    <w:rsid w:val="001075A8"/>
    <w:rsid w:val="00110259"/>
    <w:rsid w:val="00110AA9"/>
    <w:rsid w:val="0011103F"/>
    <w:rsid w:val="0011254D"/>
    <w:rsid w:val="00113632"/>
    <w:rsid w:val="001139C2"/>
    <w:rsid w:val="00114559"/>
    <w:rsid w:val="00114EA9"/>
    <w:rsid w:val="00115ED0"/>
    <w:rsid w:val="0011683C"/>
    <w:rsid w:val="001179E8"/>
    <w:rsid w:val="0012021B"/>
    <w:rsid w:val="001207CA"/>
    <w:rsid w:val="00121F02"/>
    <w:rsid w:val="0012222D"/>
    <w:rsid w:val="001236DC"/>
    <w:rsid w:val="00124CD1"/>
    <w:rsid w:val="001255E6"/>
    <w:rsid w:val="00130408"/>
    <w:rsid w:val="0013053A"/>
    <w:rsid w:val="0013066A"/>
    <w:rsid w:val="001315EF"/>
    <w:rsid w:val="00131F39"/>
    <w:rsid w:val="00131F8F"/>
    <w:rsid w:val="00131F9D"/>
    <w:rsid w:val="00132375"/>
    <w:rsid w:val="00132E73"/>
    <w:rsid w:val="00133505"/>
    <w:rsid w:val="00134188"/>
    <w:rsid w:val="00137403"/>
    <w:rsid w:val="00140706"/>
    <w:rsid w:val="0014122A"/>
    <w:rsid w:val="00141E85"/>
    <w:rsid w:val="0014319C"/>
    <w:rsid w:val="001436B3"/>
    <w:rsid w:val="00143976"/>
    <w:rsid w:val="00143DAC"/>
    <w:rsid w:val="00144622"/>
    <w:rsid w:val="00144781"/>
    <w:rsid w:val="00144917"/>
    <w:rsid w:val="001457E2"/>
    <w:rsid w:val="0014702D"/>
    <w:rsid w:val="001474A5"/>
    <w:rsid w:val="00147596"/>
    <w:rsid w:val="00147943"/>
    <w:rsid w:val="00150764"/>
    <w:rsid w:val="0015131D"/>
    <w:rsid w:val="00151370"/>
    <w:rsid w:val="00152626"/>
    <w:rsid w:val="00152718"/>
    <w:rsid w:val="001530CF"/>
    <w:rsid w:val="00153540"/>
    <w:rsid w:val="00153F12"/>
    <w:rsid w:val="001543DB"/>
    <w:rsid w:val="00155473"/>
    <w:rsid w:val="00155DC2"/>
    <w:rsid w:val="00156D90"/>
    <w:rsid w:val="00156E9F"/>
    <w:rsid w:val="00157A57"/>
    <w:rsid w:val="00157DB6"/>
    <w:rsid w:val="00157EC2"/>
    <w:rsid w:val="00160260"/>
    <w:rsid w:val="0016112E"/>
    <w:rsid w:val="00162A68"/>
    <w:rsid w:val="00162E08"/>
    <w:rsid w:val="001633F1"/>
    <w:rsid w:val="001650A8"/>
    <w:rsid w:val="0016531E"/>
    <w:rsid w:val="0016565C"/>
    <w:rsid w:val="00166314"/>
    <w:rsid w:val="00166746"/>
    <w:rsid w:val="00167590"/>
    <w:rsid w:val="00167918"/>
    <w:rsid w:val="00167C1E"/>
    <w:rsid w:val="0017043B"/>
    <w:rsid w:val="001706A1"/>
    <w:rsid w:val="00170914"/>
    <w:rsid w:val="00170DF2"/>
    <w:rsid w:val="00174841"/>
    <w:rsid w:val="001755A9"/>
    <w:rsid w:val="0017565B"/>
    <w:rsid w:val="001761FD"/>
    <w:rsid w:val="00177C13"/>
    <w:rsid w:val="00177D61"/>
    <w:rsid w:val="00180125"/>
    <w:rsid w:val="001801CB"/>
    <w:rsid w:val="001808CA"/>
    <w:rsid w:val="00180923"/>
    <w:rsid w:val="00180CE5"/>
    <w:rsid w:val="0018173C"/>
    <w:rsid w:val="00181BAA"/>
    <w:rsid w:val="00181D2D"/>
    <w:rsid w:val="0018210A"/>
    <w:rsid w:val="00182130"/>
    <w:rsid w:val="00182DE0"/>
    <w:rsid w:val="0018386C"/>
    <w:rsid w:val="00183E99"/>
    <w:rsid w:val="00184479"/>
    <w:rsid w:val="0018472C"/>
    <w:rsid w:val="00184838"/>
    <w:rsid w:val="00185755"/>
    <w:rsid w:val="001868B3"/>
    <w:rsid w:val="00187398"/>
    <w:rsid w:val="0018748C"/>
    <w:rsid w:val="00187F73"/>
    <w:rsid w:val="00187FB0"/>
    <w:rsid w:val="001902E9"/>
    <w:rsid w:val="00190327"/>
    <w:rsid w:val="001905AD"/>
    <w:rsid w:val="00190A0A"/>
    <w:rsid w:val="001926F2"/>
    <w:rsid w:val="00193BCE"/>
    <w:rsid w:val="001945AE"/>
    <w:rsid w:val="00194B02"/>
    <w:rsid w:val="00194B87"/>
    <w:rsid w:val="001955DA"/>
    <w:rsid w:val="0019569A"/>
    <w:rsid w:val="00195962"/>
    <w:rsid w:val="00197533"/>
    <w:rsid w:val="001977E7"/>
    <w:rsid w:val="00197CCA"/>
    <w:rsid w:val="00197F31"/>
    <w:rsid w:val="001A0D8A"/>
    <w:rsid w:val="001A1133"/>
    <w:rsid w:val="001A192D"/>
    <w:rsid w:val="001A381B"/>
    <w:rsid w:val="001A4C3E"/>
    <w:rsid w:val="001A6791"/>
    <w:rsid w:val="001A7C72"/>
    <w:rsid w:val="001B084B"/>
    <w:rsid w:val="001B090E"/>
    <w:rsid w:val="001B0CEC"/>
    <w:rsid w:val="001B0FFC"/>
    <w:rsid w:val="001B1CF2"/>
    <w:rsid w:val="001B319C"/>
    <w:rsid w:val="001B4388"/>
    <w:rsid w:val="001B463E"/>
    <w:rsid w:val="001B49E0"/>
    <w:rsid w:val="001B5377"/>
    <w:rsid w:val="001B6553"/>
    <w:rsid w:val="001B6647"/>
    <w:rsid w:val="001B6A47"/>
    <w:rsid w:val="001B6B0A"/>
    <w:rsid w:val="001B6C3C"/>
    <w:rsid w:val="001C0824"/>
    <w:rsid w:val="001C0A09"/>
    <w:rsid w:val="001C0AD8"/>
    <w:rsid w:val="001C0B83"/>
    <w:rsid w:val="001C1510"/>
    <w:rsid w:val="001C1989"/>
    <w:rsid w:val="001C27CA"/>
    <w:rsid w:val="001C28FD"/>
    <w:rsid w:val="001C2952"/>
    <w:rsid w:val="001C3349"/>
    <w:rsid w:val="001C4ABA"/>
    <w:rsid w:val="001C546B"/>
    <w:rsid w:val="001C5EA2"/>
    <w:rsid w:val="001C6608"/>
    <w:rsid w:val="001C6C57"/>
    <w:rsid w:val="001C6C7D"/>
    <w:rsid w:val="001C6FC5"/>
    <w:rsid w:val="001D1CB1"/>
    <w:rsid w:val="001D2AC0"/>
    <w:rsid w:val="001D2DBA"/>
    <w:rsid w:val="001D2FD0"/>
    <w:rsid w:val="001D3830"/>
    <w:rsid w:val="001D3BA6"/>
    <w:rsid w:val="001D5564"/>
    <w:rsid w:val="001D6B08"/>
    <w:rsid w:val="001D6FAA"/>
    <w:rsid w:val="001D70FA"/>
    <w:rsid w:val="001D7BA9"/>
    <w:rsid w:val="001D7E3F"/>
    <w:rsid w:val="001E039D"/>
    <w:rsid w:val="001E22E7"/>
    <w:rsid w:val="001E2714"/>
    <w:rsid w:val="001E398C"/>
    <w:rsid w:val="001E4456"/>
    <w:rsid w:val="001E4DDC"/>
    <w:rsid w:val="001E774F"/>
    <w:rsid w:val="001E7C1D"/>
    <w:rsid w:val="001E7DB6"/>
    <w:rsid w:val="001F073F"/>
    <w:rsid w:val="001F1B6E"/>
    <w:rsid w:val="001F3009"/>
    <w:rsid w:val="001F3358"/>
    <w:rsid w:val="001F35CB"/>
    <w:rsid w:val="001F390F"/>
    <w:rsid w:val="001F5CD1"/>
    <w:rsid w:val="001F6C5F"/>
    <w:rsid w:val="001F7257"/>
    <w:rsid w:val="001F7739"/>
    <w:rsid w:val="002000D3"/>
    <w:rsid w:val="0020011B"/>
    <w:rsid w:val="0020187E"/>
    <w:rsid w:val="00201950"/>
    <w:rsid w:val="00201DC6"/>
    <w:rsid w:val="00202375"/>
    <w:rsid w:val="002025EA"/>
    <w:rsid w:val="00202884"/>
    <w:rsid w:val="00202D57"/>
    <w:rsid w:val="00202E44"/>
    <w:rsid w:val="00203556"/>
    <w:rsid w:val="00203BEE"/>
    <w:rsid w:val="002049AD"/>
    <w:rsid w:val="00204D0F"/>
    <w:rsid w:val="00204DB6"/>
    <w:rsid w:val="002056ED"/>
    <w:rsid w:val="00205C3A"/>
    <w:rsid w:val="002101C3"/>
    <w:rsid w:val="00211793"/>
    <w:rsid w:val="00211C11"/>
    <w:rsid w:val="00212345"/>
    <w:rsid w:val="00214809"/>
    <w:rsid w:val="002149A1"/>
    <w:rsid w:val="00214E7A"/>
    <w:rsid w:val="00215BFE"/>
    <w:rsid w:val="00215C44"/>
    <w:rsid w:val="00215D31"/>
    <w:rsid w:val="00215E14"/>
    <w:rsid w:val="00216CB7"/>
    <w:rsid w:val="00216E73"/>
    <w:rsid w:val="0021774C"/>
    <w:rsid w:val="00217FF6"/>
    <w:rsid w:val="00222386"/>
    <w:rsid w:val="00222F51"/>
    <w:rsid w:val="002230E1"/>
    <w:rsid w:val="00223361"/>
    <w:rsid w:val="002244BA"/>
    <w:rsid w:val="002247AA"/>
    <w:rsid w:val="00224C60"/>
    <w:rsid w:val="00224DA7"/>
    <w:rsid w:val="002261CB"/>
    <w:rsid w:val="002268BF"/>
    <w:rsid w:val="00227BDE"/>
    <w:rsid w:val="00230045"/>
    <w:rsid w:val="0023014E"/>
    <w:rsid w:val="002301B4"/>
    <w:rsid w:val="002308FA"/>
    <w:rsid w:val="0023132F"/>
    <w:rsid w:val="00231AA5"/>
    <w:rsid w:val="0023215B"/>
    <w:rsid w:val="00232F90"/>
    <w:rsid w:val="0023339B"/>
    <w:rsid w:val="0023469C"/>
    <w:rsid w:val="00234C71"/>
    <w:rsid w:val="00235511"/>
    <w:rsid w:val="002366E0"/>
    <w:rsid w:val="002369E5"/>
    <w:rsid w:val="00236DE1"/>
    <w:rsid w:val="002372EE"/>
    <w:rsid w:val="002372FD"/>
    <w:rsid w:val="0023764D"/>
    <w:rsid w:val="002415BC"/>
    <w:rsid w:val="002434B2"/>
    <w:rsid w:val="00243CA9"/>
    <w:rsid w:val="002442F4"/>
    <w:rsid w:val="002445EA"/>
    <w:rsid w:val="00244ECE"/>
    <w:rsid w:val="00244FC5"/>
    <w:rsid w:val="00245D1D"/>
    <w:rsid w:val="00246253"/>
    <w:rsid w:val="00246897"/>
    <w:rsid w:val="00246951"/>
    <w:rsid w:val="00250EDA"/>
    <w:rsid w:val="00251502"/>
    <w:rsid w:val="002518E8"/>
    <w:rsid w:val="00251C10"/>
    <w:rsid w:val="00252E1E"/>
    <w:rsid w:val="002538BA"/>
    <w:rsid w:val="0025469D"/>
    <w:rsid w:val="002552B1"/>
    <w:rsid w:val="00255D01"/>
    <w:rsid w:val="00256E55"/>
    <w:rsid w:val="00257BCC"/>
    <w:rsid w:val="00257E0E"/>
    <w:rsid w:val="00257FF4"/>
    <w:rsid w:val="00260FCB"/>
    <w:rsid w:val="002615F5"/>
    <w:rsid w:val="002616B9"/>
    <w:rsid w:val="0026217B"/>
    <w:rsid w:val="002629E4"/>
    <w:rsid w:val="00263FE3"/>
    <w:rsid w:val="00265593"/>
    <w:rsid w:val="002675EA"/>
    <w:rsid w:val="00267BC5"/>
    <w:rsid w:val="00267CBE"/>
    <w:rsid w:val="00267E0B"/>
    <w:rsid w:val="002701D0"/>
    <w:rsid w:val="00270680"/>
    <w:rsid w:val="0027072B"/>
    <w:rsid w:val="00271103"/>
    <w:rsid w:val="002721FA"/>
    <w:rsid w:val="0027230C"/>
    <w:rsid w:val="00272984"/>
    <w:rsid w:val="00272B99"/>
    <w:rsid w:val="00272F79"/>
    <w:rsid w:val="0027380D"/>
    <w:rsid w:val="0027468E"/>
    <w:rsid w:val="002746CC"/>
    <w:rsid w:val="00274826"/>
    <w:rsid w:val="00275005"/>
    <w:rsid w:val="002752AB"/>
    <w:rsid w:val="002756D6"/>
    <w:rsid w:val="0027573C"/>
    <w:rsid w:val="00281067"/>
    <w:rsid w:val="002812BA"/>
    <w:rsid w:val="002815D0"/>
    <w:rsid w:val="002820A7"/>
    <w:rsid w:val="00283B82"/>
    <w:rsid w:val="00283E13"/>
    <w:rsid w:val="00285506"/>
    <w:rsid w:val="00286478"/>
    <w:rsid w:val="00287EDD"/>
    <w:rsid w:val="0029141B"/>
    <w:rsid w:val="002927D3"/>
    <w:rsid w:val="00294BDE"/>
    <w:rsid w:val="00295DB6"/>
    <w:rsid w:val="0029788B"/>
    <w:rsid w:val="00297D1B"/>
    <w:rsid w:val="00297F4D"/>
    <w:rsid w:val="002A0226"/>
    <w:rsid w:val="002A0661"/>
    <w:rsid w:val="002A1CF2"/>
    <w:rsid w:val="002A2ED0"/>
    <w:rsid w:val="002A3A84"/>
    <w:rsid w:val="002A3AE8"/>
    <w:rsid w:val="002A4C3E"/>
    <w:rsid w:val="002A56BC"/>
    <w:rsid w:val="002A5C53"/>
    <w:rsid w:val="002A668F"/>
    <w:rsid w:val="002A6AD6"/>
    <w:rsid w:val="002A72CC"/>
    <w:rsid w:val="002A76AB"/>
    <w:rsid w:val="002A777E"/>
    <w:rsid w:val="002A7A4F"/>
    <w:rsid w:val="002A7AFE"/>
    <w:rsid w:val="002A7B83"/>
    <w:rsid w:val="002B01DB"/>
    <w:rsid w:val="002B09C0"/>
    <w:rsid w:val="002B13B3"/>
    <w:rsid w:val="002B183D"/>
    <w:rsid w:val="002B1DBF"/>
    <w:rsid w:val="002B207F"/>
    <w:rsid w:val="002B2A48"/>
    <w:rsid w:val="002B2BEE"/>
    <w:rsid w:val="002B31AD"/>
    <w:rsid w:val="002B3EA7"/>
    <w:rsid w:val="002B4BAE"/>
    <w:rsid w:val="002B538B"/>
    <w:rsid w:val="002B581B"/>
    <w:rsid w:val="002C2892"/>
    <w:rsid w:val="002C2ED1"/>
    <w:rsid w:val="002C386A"/>
    <w:rsid w:val="002C5058"/>
    <w:rsid w:val="002C539E"/>
    <w:rsid w:val="002C58AB"/>
    <w:rsid w:val="002C6D84"/>
    <w:rsid w:val="002C7D21"/>
    <w:rsid w:val="002D1564"/>
    <w:rsid w:val="002D1CA4"/>
    <w:rsid w:val="002D2C09"/>
    <w:rsid w:val="002D2C45"/>
    <w:rsid w:val="002D3208"/>
    <w:rsid w:val="002D487E"/>
    <w:rsid w:val="002D4969"/>
    <w:rsid w:val="002D4BDF"/>
    <w:rsid w:val="002D4EE1"/>
    <w:rsid w:val="002D4F49"/>
    <w:rsid w:val="002D7468"/>
    <w:rsid w:val="002D778E"/>
    <w:rsid w:val="002E04D7"/>
    <w:rsid w:val="002E06DD"/>
    <w:rsid w:val="002E171A"/>
    <w:rsid w:val="002E1E1E"/>
    <w:rsid w:val="002E29D3"/>
    <w:rsid w:val="002E2A24"/>
    <w:rsid w:val="002E3535"/>
    <w:rsid w:val="002E3D4C"/>
    <w:rsid w:val="002E3D66"/>
    <w:rsid w:val="002E3F11"/>
    <w:rsid w:val="002E4B11"/>
    <w:rsid w:val="002E4F70"/>
    <w:rsid w:val="002E53B4"/>
    <w:rsid w:val="002E5886"/>
    <w:rsid w:val="002E5AD3"/>
    <w:rsid w:val="002E635D"/>
    <w:rsid w:val="002E7562"/>
    <w:rsid w:val="002F071F"/>
    <w:rsid w:val="002F12F8"/>
    <w:rsid w:val="002F16D5"/>
    <w:rsid w:val="002F1A90"/>
    <w:rsid w:val="002F1C2F"/>
    <w:rsid w:val="002F23AD"/>
    <w:rsid w:val="002F3D1C"/>
    <w:rsid w:val="002F421E"/>
    <w:rsid w:val="002F4EA1"/>
    <w:rsid w:val="002F52DE"/>
    <w:rsid w:val="002F55C1"/>
    <w:rsid w:val="002F797A"/>
    <w:rsid w:val="002F7A05"/>
    <w:rsid w:val="00300483"/>
    <w:rsid w:val="00301C91"/>
    <w:rsid w:val="00303F2B"/>
    <w:rsid w:val="00304607"/>
    <w:rsid w:val="0030467A"/>
    <w:rsid w:val="00304D4E"/>
    <w:rsid w:val="00304FFD"/>
    <w:rsid w:val="00305608"/>
    <w:rsid w:val="00305B72"/>
    <w:rsid w:val="00305DCF"/>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9AF"/>
    <w:rsid w:val="00314A2E"/>
    <w:rsid w:val="00315266"/>
    <w:rsid w:val="003156F5"/>
    <w:rsid w:val="00315EC3"/>
    <w:rsid w:val="0031693B"/>
    <w:rsid w:val="003169CE"/>
    <w:rsid w:val="00316F0A"/>
    <w:rsid w:val="00316F4D"/>
    <w:rsid w:val="00317DC7"/>
    <w:rsid w:val="003200F9"/>
    <w:rsid w:val="00320F38"/>
    <w:rsid w:val="00321183"/>
    <w:rsid w:val="00321694"/>
    <w:rsid w:val="00321F0A"/>
    <w:rsid w:val="003223CE"/>
    <w:rsid w:val="00322A2D"/>
    <w:rsid w:val="00322E80"/>
    <w:rsid w:val="00324D5B"/>
    <w:rsid w:val="00324FED"/>
    <w:rsid w:val="00325045"/>
    <w:rsid w:val="00325D91"/>
    <w:rsid w:val="003267B4"/>
    <w:rsid w:val="003306C7"/>
    <w:rsid w:val="00330C84"/>
    <w:rsid w:val="00331193"/>
    <w:rsid w:val="00332F50"/>
    <w:rsid w:val="003333D4"/>
    <w:rsid w:val="00334951"/>
    <w:rsid w:val="00336411"/>
    <w:rsid w:val="0033678D"/>
    <w:rsid w:val="0033720D"/>
    <w:rsid w:val="003373E8"/>
    <w:rsid w:val="003408DB"/>
    <w:rsid w:val="003443DD"/>
    <w:rsid w:val="00344D5A"/>
    <w:rsid w:val="00345307"/>
    <w:rsid w:val="003456FD"/>
    <w:rsid w:val="00346EB6"/>
    <w:rsid w:val="00347EDB"/>
    <w:rsid w:val="00350797"/>
    <w:rsid w:val="00351238"/>
    <w:rsid w:val="00351A85"/>
    <w:rsid w:val="003522E8"/>
    <w:rsid w:val="003527A4"/>
    <w:rsid w:val="00353989"/>
    <w:rsid w:val="003540FF"/>
    <w:rsid w:val="00355B7A"/>
    <w:rsid w:val="00355DAA"/>
    <w:rsid w:val="0035617C"/>
    <w:rsid w:val="00356E7E"/>
    <w:rsid w:val="00356EB8"/>
    <w:rsid w:val="00357B83"/>
    <w:rsid w:val="00360A05"/>
    <w:rsid w:val="003614A8"/>
    <w:rsid w:val="0036160E"/>
    <w:rsid w:val="00362217"/>
    <w:rsid w:val="00362610"/>
    <w:rsid w:val="00363830"/>
    <w:rsid w:val="00363D2D"/>
    <w:rsid w:val="00364BB6"/>
    <w:rsid w:val="00364D6B"/>
    <w:rsid w:val="00365408"/>
    <w:rsid w:val="00365CC0"/>
    <w:rsid w:val="003668DF"/>
    <w:rsid w:val="00366B23"/>
    <w:rsid w:val="00367688"/>
    <w:rsid w:val="00367CB5"/>
    <w:rsid w:val="00372221"/>
    <w:rsid w:val="00372CF2"/>
    <w:rsid w:val="00374B12"/>
    <w:rsid w:val="00374C7E"/>
    <w:rsid w:val="003753FB"/>
    <w:rsid w:val="00377353"/>
    <w:rsid w:val="0037736B"/>
    <w:rsid w:val="00377DA4"/>
    <w:rsid w:val="00381F57"/>
    <w:rsid w:val="0038216E"/>
    <w:rsid w:val="003822E5"/>
    <w:rsid w:val="003830B8"/>
    <w:rsid w:val="00383262"/>
    <w:rsid w:val="003877C9"/>
    <w:rsid w:val="003978FF"/>
    <w:rsid w:val="003A135E"/>
    <w:rsid w:val="003A157A"/>
    <w:rsid w:val="003A283F"/>
    <w:rsid w:val="003A2A16"/>
    <w:rsid w:val="003A2FDD"/>
    <w:rsid w:val="003A3C43"/>
    <w:rsid w:val="003A3D6E"/>
    <w:rsid w:val="003A4E30"/>
    <w:rsid w:val="003A5240"/>
    <w:rsid w:val="003A5CCC"/>
    <w:rsid w:val="003A70FF"/>
    <w:rsid w:val="003A74D2"/>
    <w:rsid w:val="003A756B"/>
    <w:rsid w:val="003A7902"/>
    <w:rsid w:val="003B23D7"/>
    <w:rsid w:val="003B34CB"/>
    <w:rsid w:val="003B3AB4"/>
    <w:rsid w:val="003B3CA8"/>
    <w:rsid w:val="003B45D5"/>
    <w:rsid w:val="003B52FE"/>
    <w:rsid w:val="003B572A"/>
    <w:rsid w:val="003B6325"/>
    <w:rsid w:val="003B71E0"/>
    <w:rsid w:val="003B78A4"/>
    <w:rsid w:val="003C144E"/>
    <w:rsid w:val="003C1A07"/>
    <w:rsid w:val="003C1E74"/>
    <w:rsid w:val="003C20A2"/>
    <w:rsid w:val="003C2673"/>
    <w:rsid w:val="003C27A2"/>
    <w:rsid w:val="003C567C"/>
    <w:rsid w:val="003C59B8"/>
    <w:rsid w:val="003C6809"/>
    <w:rsid w:val="003C7897"/>
    <w:rsid w:val="003D0937"/>
    <w:rsid w:val="003D0E78"/>
    <w:rsid w:val="003D17E6"/>
    <w:rsid w:val="003D1A20"/>
    <w:rsid w:val="003D1AC9"/>
    <w:rsid w:val="003D2AC9"/>
    <w:rsid w:val="003D2CD8"/>
    <w:rsid w:val="003D325C"/>
    <w:rsid w:val="003D3724"/>
    <w:rsid w:val="003D46A7"/>
    <w:rsid w:val="003D4730"/>
    <w:rsid w:val="003D6376"/>
    <w:rsid w:val="003D7367"/>
    <w:rsid w:val="003D739C"/>
    <w:rsid w:val="003E1235"/>
    <w:rsid w:val="003E12EE"/>
    <w:rsid w:val="003E14F8"/>
    <w:rsid w:val="003E2A35"/>
    <w:rsid w:val="003E2B56"/>
    <w:rsid w:val="003E2CE1"/>
    <w:rsid w:val="003E2DCB"/>
    <w:rsid w:val="003E4C3F"/>
    <w:rsid w:val="003E4D7C"/>
    <w:rsid w:val="003E573E"/>
    <w:rsid w:val="003E5FA8"/>
    <w:rsid w:val="003E6252"/>
    <w:rsid w:val="003F01CB"/>
    <w:rsid w:val="003F1200"/>
    <w:rsid w:val="003F1421"/>
    <w:rsid w:val="003F1844"/>
    <w:rsid w:val="003F241E"/>
    <w:rsid w:val="003F28C0"/>
    <w:rsid w:val="003F3ACD"/>
    <w:rsid w:val="003F52B2"/>
    <w:rsid w:val="003F716E"/>
    <w:rsid w:val="00400061"/>
    <w:rsid w:val="004005FC"/>
    <w:rsid w:val="0040068A"/>
    <w:rsid w:val="00400813"/>
    <w:rsid w:val="004013AD"/>
    <w:rsid w:val="00402215"/>
    <w:rsid w:val="00402C35"/>
    <w:rsid w:val="00402F57"/>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A59"/>
    <w:rsid w:val="00410C48"/>
    <w:rsid w:val="00411CCD"/>
    <w:rsid w:val="00413627"/>
    <w:rsid w:val="00416277"/>
    <w:rsid w:val="00416E24"/>
    <w:rsid w:val="004175C4"/>
    <w:rsid w:val="0042063D"/>
    <w:rsid w:val="00422B23"/>
    <w:rsid w:val="00423A60"/>
    <w:rsid w:val="0042651C"/>
    <w:rsid w:val="00426E9B"/>
    <w:rsid w:val="00427D55"/>
    <w:rsid w:val="0043233C"/>
    <w:rsid w:val="004345A6"/>
    <w:rsid w:val="004358F5"/>
    <w:rsid w:val="00435B2F"/>
    <w:rsid w:val="00435E03"/>
    <w:rsid w:val="004373E1"/>
    <w:rsid w:val="004374A3"/>
    <w:rsid w:val="00437A7E"/>
    <w:rsid w:val="00437B6C"/>
    <w:rsid w:val="00440144"/>
    <w:rsid w:val="0044064E"/>
    <w:rsid w:val="00440805"/>
    <w:rsid w:val="00440FD4"/>
    <w:rsid w:val="004412E1"/>
    <w:rsid w:val="00441554"/>
    <w:rsid w:val="0044250F"/>
    <w:rsid w:val="00442E48"/>
    <w:rsid w:val="004430D6"/>
    <w:rsid w:val="00443DCD"/>
    <w:rsid w:val="00443E7E"/>
    <w:rsid w:val="00444C06"/>
    <w:rsid w:val="004454DF"/>
    <w:rsid w:val="00446804"/>
    <w:rsid w:val="004478D4"/>
    <w:rsid w:val="00450380"/>
    <w:rsid w:val="004505C6"/>
    <w:rsid w:val="004509EC"/>
    <w:rsid w:val="004520CD"/>
    <w:rsid w:val="0045239A"/>
    <w:rsid w:val="00452DF3"/>
    <w:rsid w:val="004534F5"/>
    <w:rsid w:val="00453765"/>
    <w:rsid w:val="00453F1E"/>
    <w:rsid w:val="00454EC3"/>
    <w:rsid w:val="0045530A"/>
    <w:rsid w:val="004554AE"/>
    <w:rsid w:val="004554C3"/>
    <w:rsid w:val="00455FB6"/>
    <w:rsid w:val="00457197"/>
    <w:rsid w:val="00457555"/>
    <w:rsid w:val="00457971"/>
    <w:rsid w:val="00457DD8"/>
    <w:rsid w:val="004603D0"/>
    <w:rsid w:val="0046053F"/>
    <w:rsid w:val="004624AE"/>
    <w:rsid w:val="0046250E"/>
    <w:rsid w:val="00462E9C"/>
    <w:rsid w:val="00464B48"/>
    <w:rsid w:val="00465231"/>
    <w:rsid w:val="004662AD"/>
    <w:rsid w:val="00466516"/>
    <w:rsid w:val="00467B65"/>
    <w:rsid w:val="00470F59"/>
    <w:rsid w:val="00471EA5"/>
    <w:rsid w:val="004720C9"/>
    <w:rsid w:val="00472257"/>
    <w:rsid w:val="00472E49"/>
    <w:rsid w:val="004732BB"/>
    <w:rsid w:val="00474C60"/>
    <w:rsid w:val="00475944"/>
    <w:rsid w:val="00475DF0"/>
    <w:rsid w:val="00476525"/>
    <w:rsid w:val="004772E2"/>
    <w:rsid w:val="0047739F"/>
    <w:rsid w:val="004773D1"/>
    <w:rsid w:val="00477F97"/>
    <w:rsid w:val="00480A2D"/>
    <w:rsid w:val="00480AFB"/>
    <w:rsid w:val="00481247"/>
    <w:rsid w:val="004828DC"/>
    <w:rsid w:val="00482FF7"/>
    <w:rsid w:val="00483098"/>
    <w:rsid w:val="00483AFB"/>
    <w:rsid w:val="0048402B"/>
    <w:rsid w:val="0048414A"/>
    <w:rsid w:val="00485C56"/>
    <w:rsid w:val="00486B79"/>
    <w:rsid w:val="00486CA2"/>
    <w:rsid w:val="00490B25"/>
    <w:rsid w:val="00490FD6"/>
    <w:rsid w:val="004911C4"/>
    <w:rsid w:val="00491830"/>
    <w:rsid w:val="00494CC8"/>
    <w:rsid w:val="004955E7"/>
    <w:rsid w:val="0049589C"/>
    <w:rsid w:val="00495EF1"/>
    <w:rsid w:val="00496ED4"/>
    <w:rsid w:val="00497D4A"/>
    <w:rsid w:val="004A0441"/>
    <w:rsid w:val="004A084C"/>
    <w:rsid w:val="004A0FF1"/>
    <w:rsid w:val="004A15B3"/>
    <w:rsid w:val="004A1D01"/>
    <w:rsid w:val="004A1ED9"/>
    <w:rsid w:val="004A2A54"/>
    <w:rsid w:val="004A2EF3"/>
    <w:rsid w:val="004A3B0D"/>
    <w:rsid w:val="004A5157"/>
    <w:rsid w:val="004A52F5"/>
    <w:rsid w:val="004A5D3A"/>
    <w:rsid w:val="004A6897"/>
    <w:rsid w:val="004A692B"/>
    <w:rsid w:val="004A6EB6"/>
    <w:rsid w:val="004A70F3"/>
    <w:rsid w:val="004A794C"/>
    <w:rsid w:val="004B3EC7"/>
    <w:rsid w:val="004B413A"/>
    <w:rsid w:val="004B5664"/>
    <w:rsid w:val="004B570B"/>
    <w:rsid w:val="004C2107"/>
    <w:rsid w:val="004C3BE2"/>
    <w:rsid w:val="004C3DF6"/>
    <w:rsid w:val="004C5FC6"/>
    <w:rsid w:val="004C6435"/>
    <w:rsid w:val="004C649B"/>
    <w:rsid w:val="004C7B9C"/>
    <w:rsid w:val="004C7D55"/>
    <w:rsid w:val="004D0055"/>
    <w:rsid w:val="004D089A"/>
    <w:rsid w:val="004D09ED"/>
    <w:rsid w:val="004D3184"/>
    <w:rsid w:val="004D4E30"/>
    <w:rsid w:val="004D5030"/>
    <w:rsid w:val="004D6045"/>
    <w:rsid w:val="004D7546"/>
    <w:rsid w:val="004D7EC5"/>
    <w:rsid w:val="004D7F07"/>
    <w:rsid w:val="004E02B0"/>
    <w:rsid w:val="004E0B29"/>
    <w:rsid w:val="004E0E11"/>
    <w:rsid w:val="004E0F08"/>
    <w:rsid w:val="004E1546"/>
    <w:rsid w:val="004E19DC"/>
    <w:rsid w:val="004E35E8"/>
    <w:rsid w:val="004E50F0"/>
    <w:rsid w:val="004E6A03"/>
    <w:rsid w:val="004E7A59"/>
    <w:rsid w:val="004F0070"/>
    <w:rsid w:val="004F0468"/>
    <w:rsid w:val="004F0C51"/>
    <w:rsid w:val="004F263C"/>
    <w:rsid w:val="004F2BB1"/>
    <w:rsid w:val="004F2EC7"/>
    <w:rsid w:val="004F3CE8"/>
    <w:rsid w:val="004F45BB"/>
    <w:rsid w:val="004F6BFB"/>
    <w:rsid w:val="004F7E4A"/>
    <w:rsid w:val="00500D8A"/>
    <w:rsid w:val="0050146B"/>
    <w:rsid w:val="0050147C"/>
    <w:rsid w:val="0050182B"/>
    <w:rsid w:val="00502579"/>
    <w:rsid w:val="005029F7"/>
    <w:rsid w:val="00503D4C"/>
    <w:rsid w:val="00504C0C"/>
    <w:rsid w:val="00504DD0"/>
    <w:rsid w:val="00504E48"/>
    <w:rsid w:val="00504F54"/>
    <w:rsid w:val="00506782"/>
    <w:rsid w:val="005070FF"/>
    <w:rsid w:val="005111A7"/>
    <w:rsid w:val="00512BBC"/>
    <w:rsid w:val="005134FB"/>
    <w:rsid w:val="005135FD"/>
    <w:rsid w:val="0051366C"/>
    <w:rsid w:val="0051684F"/>
    <w:rsid w:val="00516A72"/>
    <w:rsid w:val="00516A92"/>
    <w:rsid w:val="00516B9F"/>
    <w:rsid w:val="00517693"/>
    <w:rsid w:val="005205AB"/>
    <w:rsid w:val="00523378"/>
    <w:rsid w:val="0052490D"/>
    <w:rsid w:val="0052550F"/>
    <w:rsid w:val="00526C0F"/>
    <w:rsid w:val="0052702A"/>
    <w:rsid w:val="00530397"/>
    <w:rsid w:val="00530F73"/>
    <w:rsid w:val="00530FA2"/>
    <w:rsid w:val="00531352"/>
    <w:rsid w:val="00533B8E"/>
    <w:rsid w:val="00535417"/>
    <w:rsid w:val="00535833"/>
    <w:rsid w:val="00536D28"/>
    <w:rsid w:val="00536E29"/>
    <w:rsid w:val="005372C5"/>
    <w:rsid w:val="00537A26"/>
    <w:rsid w:val="00540E47"/>
    <w:rsid w:val="0054183D"/>
    <w:rsid w:val="00543283"/>
    <w:rsid w:val="005434AA"/>
    <w:rsid w:val="0054364C"/>
    <w:rsid w:val="00546747"/>
    <w:rsid w:val="005467EA"/>
    <w:rsid w:val="00547510"/>
    <w:rsid w:val="00547ECC"/>
    <w:rsid w:val="00550118"/>
    <w:rsid w:val="00551D5A"/>
    <w:rsid w:val="00551EC3"/>
    <w:rsid w:val="00554A44"/>
    <w:rsid w:val="00554C53"/>
    <w:rsid w:val="00554F18"/>
    <w:rsid w:val="00555220"/>
    <w:rsid w:val="005555F0"/>
    <w:rsid w:val="00555643"/>
    <w:rsid w:val="00555739"/>
    <w:rsid w:val="005567C3"/>
    <w:rsid w:val="00556E75"/>
    <w:rsid w:val="00556F2D"/>
    <w:rsid w:val="00557350"/>
    <w:rsid w:val="0056069A"/>
    <w:rsid w:val="00560C3B"/>
    <w:rsid w:val="00561D3C"/>
    <w:rsid w:val="00561EA1"/>
    <w:rsid w:val="00562799"/>
    <w:rsid w:val="00564804"/>
    <w:rsid w:val="00565598"/>
    <w:rsid w:val="0056590C"/>
    <w:rsid w:val="00565B5A"/>
    <w:rsid w:val="00567E8F"/>
    <w:rsid w:val="005702D6"/>
    <w:rsid w:val="00572588"/>
    <w:rsid w:val="00573A50"/>
    <w:rsid w:val="005746D2"/>
    <w:rsid w:val="00574E8A"/>
    <w:rsid w:val="00577775"/>
    <w:rsid w:val="00577EB8"/>
    <w:rsid w:val="0058121A"/>
    <w:rsid w:val="00581863"/>
    <w:rsid w:val="00581EA3"/>
    <w:rsid w:val="0058205A"/>
    <w:rsid w:val="0058260B"/>
    <w:rsid w:val="00584D1E"/>
    <w:rsid w:val="00586795"/>
    <w:rsid w:val="00586B82"/>
    <w:rsid w:val="00587E13"/>
    <w:rsid w:val="005933AA"/>
    <w:rsid w:val="005940AA"/>
    <w:rsid w:val="00594614"/>
    <w:rsid w:val="00594A41"/>
    <w:rsid w:val="00594E10"/>
    <w:rsid w:val="00596115"/>
    <w:rsid w:val="00596306"/>
    <w:rsid w:val="00596487"/>
    <w:rsid w:val="005A0809"/>
    <w:rsid w:val="005A0B91"/>
    <w:rsid w:val="005A1494"/>
    <w:rsid w:val="005A3590"/>
    <w:rsid w:val="005A4A1C"/>
    <w:rsid w:val="005A56AF"/>
    <w:rsid w:val="005A5BD8"/>
    <w:rsid w:val="005A692A"/>
    <w:rsid w:val="005A6AB8"/>
    <w:rsid w:val="005A73B7"/>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A68"/>
    <w:rsid w:val="005D0DFB"/>
    <w:rsid w:val="005D1112"/>
    <w:rsid w:val="005D1F32"/>
    <w:rsid w:val="005D237C"/>
    <w:rsid w:val="005D259A"/>
    <w:rsid w:val="005D25E2"/>
    <w:rsid w:val="005D25FF"/>
    <w:rsid w:val="005D2632"/>
    <w:rsid w:val="005D32A9"/>
    <w:rsid w:val="005D38E0"/>
    <w:rsid w:val="005D3F32"/>
    <w:rsid w:val="005D4E3E"/>
    <w:rsid w:val="005D666C"/>
    <w:rsid w:val="005D67F7"/>
    <w:rsid w:val="005D7B50"/>
    <w:rsid w:val="005D7D7E"/>
    <w:rsid w:val="005E0B59"/>
    <w:rsid w:val="005E1105"/>
    <w:rsid w:val="005E162F"/>
    <w:rsid w:val="005E2C60"/>
    <w:rsid w:val="005E31F6"/>
    <w:rsid w:val="005E3622"/>
    <w:rsid w:val="005E60B3"/>
    <w:rsid w:val="005E60EF"/>
    <w:rsid w:val="005E676C"/>
    <w:rsid w:val="005E6CB9"/>
    <w:rsid w:val="005E7F14"/>
    <w:rsid w:val="005F0154"/>
    <w:rsid w:val="005F0176"/>
    <w:rsid w:val="005F021D"/>
    <w:rsid w:val="005F1072"/>
    <w:rsid w:val="005F1EAC"/>
    <w:rsid w:val="005F308F"/>
    <w:rsid w:val="005F4869"/>
    <w:rsid w:val="005F4BFD"/>
    <w:rsid w:val="005F5748"/>
    <w:rsid w:val="005F5834"/>
    <w:rsid w:val="005F5E11"/>
    <w:rsid w:val="006003E5"/>
    <w:rsid w:val="00600E63"/>
    <w:rsid w:val="00601561"/>
    <w:rsid w:val="00601D49"/>
    <w:rsid w:val="00601E55"/>
    <w:rsid w:val="00602037"/>
    <w:rsid w:val="006029DD"/>
    <w:rsid w:val="00602C6A"/>
    <w:rsid w:val="006037A1"/>
    <w:rsid w:val="00603AF5"/>
    <w:rsid w:val="00604148"/>
    <w:rsid w:val="00606C66"/>
    <w:rsid w:val="00607634"/>
    <w:rsid w:val="00610145"/>
    <w:rsid w:val="00610285"/>
    <w:rsid w:val="00610D1F"/>
    <w:rsid w:val="006118C7"/>
    <w:rsid w:val="006122FC"/>
    <w:rsid w:val="006123C6"/>
    <w:rsid w:val="00612C02"/>
    <w:rsid w:val="00612CDD"/>
    <w:rsid w:val="0061562E"/>
    <w:rsid w:val="00616B5B"/>
    <w:rsid w:val="00616D41"/>
    <w:rsid w:val="00617292"/>
    <w:rsid w:val="006200A9"/>
    <w:rsid w:val="00622225"/>
    <w:rsid w:val="00622D03"/>
    <w:rsid w:val="00622DCD"/>
    <w:rsid w:val="00622F57"/>
    <w:rsid w:val="00623DD5"/>
    <w:rsid w:val="00623DFD"/>
    <w:rsid w:val="00624269"/>
    <w:rsid w:val="00624A34"/>
    <w:rsid w:val="0062568D"/>
    <w:rsid w:val="006256D3"/>
    <w:rsid w:val="00626502"/>
    <w:rsid w:val="006267F5"/>
    <w:rsid w:val="00627337"/>
    <w:rsid w:val="00630069"/>
    <w:rsid w:val="00630583"/>
    <w:rsid w:val="00630D2E"/>
    <w:rsid w:val="00630D39"/>
    <w:rsid w:val="00631A06"/>
    <w:rsid w:val="00631E19"/>
    <w:rsid w:val="00631E75"/>
    <w:rsid w:val="00633E76"/>
    <w:rsid w:val="00633EC9"/>
    <w:rsid w:val="006340F5"/>
    <w:rsid w:val="00634542"/>
    <w:rsid w:val="00635AB6"/>
    <w:rsid w:val="00635E4D"/>
    <w:rsid w:val="0063620C"/>
    <w:rsid w:val="0063650C"/>
    <w:rsid w:val="00637E18"/>
    <w:rsid w:val="0064032E"/>
    <w:rsid w:val="0064038D"/>
    <w:rsid w:val="00641A0B"/>
    <w:rsid w:val="00641D5A"/>
    <w:rsid w:val="00641E06"/>
    <w:rsid w:val="00642DA4"/>
    <w:rsid w:val="00643007"/>
    <w:rsid w:val="006431D0"/>
    <w:rsid w:val="006432C5"/>
    <w:rsid w:val="006436FA"/>
    <w:rsid w:val="00643852"/>
    <w:rsid w:val="00643C27"/>
    <w:rsid w:val="006454BF"/>
    <w:rsid w:val="006455E7"/>
    <w:rsid w:val="00645758"/>
    <w:rsid w:val="006461A1"/>
    <w:rsid w:val="00647422"/>
    <w:rsid w:val="00647E6B"/>
    <w:rsid w:val="00650E84"/>
    <w:rsid w:val="0065198B"/>
    <w:rsid w:val="006525AF"/>
    <w:rsid w:val="0065266A"/>
    <w:rsid w:val="00653F9C"/>
    <w:rsid w:val="0065406C"/>
    <w:rsid w:val="00655470"/>
    <w:rsid w:val="006564E9"/>
    <w:rsid w:val="00656A3F"/>
    <w:rsid w:val="00656FEE"/>
    <w:rsid w:val="0065758F"/>
    <w:rsid w:val="00660897"/>
    <w:rsid w:val="00661028"/>
    <w:rsid w:val="006617BD"/>
    <w:rsid w:val="0066194D"/>
    <w:rsid w:val="00664695"/>
    <w:rsid w:val="00664840"/>
    <w:rsid w:val="00664B44"/>
    <w:rsid w:val="006652BF"/>
    <w:rsid w:val="0066630C"/>
    <w:rsid w:val="00667390"/>
    <w:rsid w:val="00667BBD"/>
    <w:rsid w:val="00671149"/>
    <w:rsid w:val="00671615"/>
    <w:rsid w:val="00671741"/>
    <w:rsid w:val="00671766"/>
    <w:rsid w:val="00672914"/>
    <w:rsid w:val="006744C3"/>
    <w:rsid w:val="00674695"/>
    <w:rsid w:val="0067537F"/>
    <w:rsid w:val="00676410"/>
    <w:rsid w:val="006801DE"/>
    <w:rsid w:val="00680509"/>
    <w:rsid w:val="006805CB"/>
    <w:rsid w:val="00681963"/>
    <w:rsid w:val="00681CC1"/>
    <w:rsid w:val="0068233B"/>
    <w:rsid w:val="00682E11"/>
    <w:rsid w:val="00683081"/>
    <w:rsid w:val="00684C95"/>
    <w:rsid w:val="00685081"/>
    <w:rsid w:val="006850D3"/>
    <w:rsid w:val="00685249"/>
    <w:rsid w:val="006856B9"/>
    <w:rsid w:val="00685BDE"/>
    <w:rsid w:val="00686085"/>
    <w:rsid w:val="00687C0D"/>
    <w:rsid w:val="00691237"/>
    <w:rsid w:val="006920E6"/>
    <w:rsid w:val="00692555"/>
    <w:rsid w:val="00694B89"/>
    <w:rsid w:val="00695899"/>
    <w:rsid w:val="00695C23"/>
    <w:rsid w:val="00696566"/>
    <w:rsid w:val="006966BA"/>
    <w:rsid w:val="00696A13"/>
    <w:rsid w:val="0069722D"/>
    <w:rsid w:val="006A0052"/>
    <w:rsid w:val="006A0A9E"/>
    <w:rsid w:val="006A0BFD"/>
    <w:rsid w:val="006A1F1C"/>
    <w:rsid w:val="006A20BA"/>
    <w:rsid w:val="006A3836"/>
    <w:rsid w:val="006A3AE1"/>
    <w:rsid w:val="006A3DD3"/>
    <w:rsid w:val="006A4625"/>
    <w:rsid w:val="006A47AE"/>
    <w:rsid w:val="006A5B5E"/>
    <w:rsid w:val="006A67CB"/>
    <w:rsid w:val="006B0368"/>
    <w:rsid w:val="006B0F6E"/>
    <w:rsid w:val="006B1877"/>
    <w:rsid w:val="006B1D7B"/>
    <w:rsid w:val="006B1F9C"/>
    <w:rsid w:val="006B27D4"/>
    <w:rsid w:val="006B2C9C"/>
    <w:rsid w:val="006B34D8"/>
    <w:rsid w:val="006B48EB"/>
    <w:rsid w:val="006B4C00"/>
    <w:rsid w:val="006B56FC"/>
    <w:rsid w:val="006B5901"/>
    <w:rsid w:val="006B6DDA"/>
    <w:rsid w:val="006B73D9"/>
    <w:rsid w:val="006B7DF0"/>
    <w:rsid w:val="006B7E74"/>
    <w:rsid w:val="006C0D75"/>
    <w:rsid w:val="006C1C48"/>
    <w:rsid w:val="006C3C1D"/>
    <w:rsid w:val="006C41FF"/>
    <w:rsid w:val="006C5145"/>
    <w:rsid w:val="006C5CD7"/>
    <w:rsid w:val="006C630B"/>
    <w:rsid w:val="006C65A8"/>
    <w:rsid w:val="006D014E"/>
    <w:rsid w:val="006D05AD"/>
    <w:rsid w:val="006D0EC1"/>
    <w:rsid w:val="006D0FE4"/>
    <w:rsid w:val="006D16F8"/>
    <w:rsid w:val="006D1813"/>
    <w:rsid w:val="006D24A9"/>
    <w:rsid w:val="006D2AF3"/>
    <w:rsid w:val="006D3874"/>
    <w:rsid w:val="006D4D79"/>
    <w:rsid w:val="006D4FBD"/>
    <w:rsid w:val="006D56FF"/>
    <w:rsid w:val="006D5879"/>
    <w:rsid w:val="006D5B6F"/>
    <w:rsid w:val="006D5C6B"/>
    <w:rsid w:val="006D63FD"/>
    <w:rsid w:val="006D65B4"/>
    <w:rsid w:val="006D691E"/>
    <w:rsid w:val="006D754A"/>
    <w:rsid w:val="006D7B9C"/>
    <w:rsid w:val="006E04C6"/>
    <w:rsid w:val="006E0A65"/>
    <w:rsid w:val="006E1B01"/>
    <w:rsid w:val="006E3E3D"/>
    <w:rsid w:val="006E42CE"/>
    <w:rsid w:val="006E4836"/>
    <w:rsid w:val="006E5C15"/>
    <w:rsid w:val="006E5DDD"/>
    <w:rsid w:val="006E7811"/>
    <w:rsid w:val="006F04DA"/>
    <w:rsid w:val="006F0557"/>
    <w:rsid w:val="006F0EA3"/>
    <w:rsid w:val="006F1B5D"/>
    <w:rsid w:val="006F212B"/>
    <w:rsid w:val="006F37F7"/>
    <w:rsid w:val="006F3893"/>
    <w:rsid w:val="006F3D29"/>
    <w:rsid w:val="006F4A61"/>
    <w:rsid w:val="006F4ADC"/>
    <w:rsid w:val="006F4E04"/>
    <w:rsid w:val="006F643D"/>
    <w:rsid w:val="006F675C"/>
    <w:rsid w:val="006F6D13"/>
    <w:rsid w:val="006F7759"/>
    <w:rsid w:val="006F7D95"/>
    <w:rsid w:val="00700A3D"/>
    <w:rsid w:val="00700D41"/>
    <w:rsid w:val="00701B21"/>
    <w:rsid w:val="00702384"/>
    <w:rsid w:val="0070369A"/>
    <w:rsid w:val="00703CD3"/>
    <w:rsid w:val="00704BAE"/>
    <w:rsid w:val="00705120"/>
    <w:rsid w:val="00705807"/>
    <w:rsid w:val="00705C50"/>
    <w:rsid w:val="00705C74"/>
    <w:rsid w:val="00705C78"/>
    <w:rsid w:val="007060BF"/>
    <w:rsid w:val="007060E1"/>
    <w:rsid w:val="0070653C"/>
    <w:rsid w:val="00706824"/>
    <w:rsid w:val="00706B85"/>
    <w:rsid w:val="007071FC"/>
    <w:rsid w:val="00707C84"/>
    <w:rsid w:val="007104FA"/>
    <w:rsid w:val="00710A59"/>
    <w:rsid w:val="00710FDE"/>
    <w:rsid w:val="007116C7"/>
    <w:rsid w:val="00711A1D"/>
    <w:rsid w:val="00711C5A"/>
    <w:rsid w:val="00712B66"/>
    <w:rsid w:val="00713C31"/>
    <w:rsid w:val="0071428D"/>
    <w:rsid w:val="007144C9"/>
    <w:rsid w:val="00714820"/>
    <w:rsid w:val="00716B3C"/>
    <w:rsid w:val="007170C2"/>
    <w:rsid w:val="00717EE4"/>
    <w:rsid w:val="00717F2D"/>
    <w:rsid w:val="00720453"/>
    <w:rsid w:val="00720853"/>
    <w:rsid w:val="00722129"/>
    <w:rsid w:val="007222A3"/>
    <w:rsid w:val="00724173"/>
    <w:rsid w:val="00726730"/>
    <w:rsid w:val="00730038"/>
    <w:rsid w:val="00730598"/>
    <w:rsid w:val="00731C24"/>
    <w:rsid w:val="0073257E"/>
    <w:rsid w:val="00732A32"/>
    <w:rsid w:val="00733066"/>
    <w:rsid w:val="00733469"/>
    <w:rsid w:val="00733539"/>
    <w:rsid w:val="0073458A"/>
    <w:rsid w:val="00735557"/>
    <w:rsid w:val="0073692E"/>
    <w:rsid w:val="00736B0A"/>
    <w:rsid w:val="00737108"/>
    <w:rsid w:val="007379CE"/>
    <w:rsid w:val="007419A7"/>
    <w:rsid w:val="00741B21"/>
    <w:rsid w:val="00741DD8"/>
    <w:rsid w:val="00741E49"/>
    <w:rsid w:val="0074250D"/>
    <w:rsid w:val="007445E2"/>
    <w:rsid w:val="00745496"/>
    <w:rsid w:val="007460DA"/>
    <w:rsid w:val="0074705B"/>
    <w:rsid w:val="007470EC"/>
    <w:rsid w:val="0075020B"/>
    <w:rsid w:val="007507D1"/>
    <w:rsid w:val="00751017"/>
    <w:rsid w:val="00751960"/>
    <w:rsid w:val="007535C7"/>
    <w:rsid w:val="007546C9"/>
    <w:rsid w:val="00756551"/>
    <w:rsid w:val="00757769"/>
    <w:rsid w:val="0076067E"/>
    <w:rsid w:val="00761BFD"/>
    <w:rsid w:val="00761D5C"/>
    <w:rsid w:val="00761FE5"/>
    <w:rsid w:val="0076216E"/>
    <w:rsid w:val="00762476"/>
    <w:rsid w:val="00762A18"/>
    <w:rsid w:val="007632F3"/>
    <w:rsid w:val="00763AE2"/>
    <w:rsid w:val="0076467D"/>
    <w:rsid w:val="00765ABD"/>
    <w:rsid w:val="00765E7C"/>
    <w:rsid w:val="00766D90"/>
    <w:rsid w:val="00767BF3"/>
    <w:rsid w:val="00767C19"/>
    <w:rsid w:val="00767D4E"/>
    <w:rsid w:val="00770943"/>
    <w:rsid w:val="00771067"/>
    <w:rsid w:val="00772067"/>
    <w:rsid w:val="007722ED"/>
    <w:rsid w:val="0077408B"/>
    <w:rsid w:val="0077462F"/>
    <w:rsid w:val="00774AF6"/>
    <w:rsid w:val="00774EC8"/>
    <w:rsid w:val="007757D1"/>
    <w:rsid w:val="00776781"/>
    <w:rsid w:val="007776CC"/>
    <w:rsid w:val="00777CE9"/>
    <w:rsid w:val="00780D05"/>
    <w:rsid w:val="00783C7B"/>
    <w:rsid w:val="007850F7"/>
    <w:rsid w:val="0078556C"/>
    <w:rsid w:val="007855C5"/>
    <w:rsid w:val="007856D3"/>
    <w:rsid w:val="00785ABD"/>
    <w:rsid w:val="007860C6"/>
    <w:rsid w:val="00786254"/>
    <w:rsid w:val="0078660E"/>
    <w:rsid w:val="00786DB0"/>
    <w:rsid w:val="00787D47"/>
    <w:rsid w:val="0079014E"/>
    <w:rsid w:val="0079148B"/>
    <w:rsid w:val="00791FF4"/>
    <w:rsid w:val="00792971"/>
    <w:rsid w:val="007935C6"/>
    <w:rsid w:val="00794129"/>
    <w:rsid w:val="007942CF"/>
    <w:rsid w:val="00794516"/>
    <w:rsid w:val="0079469B"/>
    <w:rsid w:val="00794878"/>
    <w:rsid w:val="00795512"/>
    <w:rsid w:val="00795AB7"/>
    <w:rsid w:val="00795E37"/>
    <w:rsid w:val="0079694C"/>
    <w:rsid w:val="00796D89"/>
    <w:rsid w:val="00796DA2"/>
    <w:rsid w:val="007A0415"/>
    <w:rsid w:val="007A06BA"/>
    <w:rsid w:val="007A1D21"/>
    <w:rsid w:val="007A27BD"/>
    <w:rsid w:val="007A294A"/>
    <w:rsid w:val="007A2CEF"/>
    <w:rsid w:val="007A4C96"/>
    <w:rsid w:val="007A51A6"/>
    <w:rsid w:val="007A523D"/>
    <w:rsid w:val="007A5629"/>
    <w:rsid w:val="007A56E5"/>
    <w:rsid w:val="007A60CA"/>
    <w:rsid w:val="007A6B62"/>
    <w:rsid w:val="007A6F0F"/>
    <w:rsid w:val="007A708C"/>
    <w:rsid w:val="007A75B5"/>
    <w:rsid w:val="007A7985"/>
    <w:rsid w:val="007A7ABE"/>
    <w:rsid w:val="007B03C5"/>
    <w:rsid w:val="007B26E1"/>
    <w:rsid w:val="007B3045"/>
    <w:rsid w:val="007B3471"/>
    <w:rsid w:val="007B40F2"/>
    <w:rsid w:val="007B4C0F"/>
    <w:rsid w:val="007B5E25"/>
    <w:rsid w:val="007B6104"/>
    <w:rsid w:val="007B62C9"/>
    <w:rsid w:val="007B6E0E"/>
    <w:rsid w:val="007C23C4"/>
    <w:rsid w:val="007C27FB"/>
    <w:rsid w:val="007C2CBB"/>
    <w:rsid w:val="007C309C"/>
    <w:rsid w:val="007C4209"/>
    <w:rsid w:val="007C5EB9"/>
    <w:rsid w:val="007C7449"/>
    <w:rsid w:val="007C7EA5"/>
    <w:rsid w:val="007D137E"/>
    <w:rsid w:val="007D1A95"/>
    <w:rsid w:val="007D245E"/>
    <w:rsid w:val="007D3764"/>
    <w:rsid w:val="007D485A"/>
    <w:rsid w:val="007D54FF"/>
    <w:rsid w:val="007D57D4"/>
    <w:rsid w:val="007D6315"/>
    <w:rsid w:val="007D724A"/>
    <w:rsid w:val="007D75A3"/>
    <w:rsid w:val="007E0103"/>
    <w:rsid w:val="007E16E2"/>
    <w:rsid w:val="007E19FE"/>
    <w:rsid w:val="007E1AAC"/>
    <w:rsid w:val="007E35A0"/>
    <w:rsid w:val="007E3B9C"/>
    <w:rsid w:val="007E4A2F"/>
    <w:rsid w:val="007E5294"/>
    <w:rsid w:val="007E5C4A"/>
    <w:rsid w:val="007E6915"/>
    <w:rsid w:val="007E74CA"/>
    <w:rsid w:val="007E7AD3"/>
    <w:rsid w:val="007F0070"/>
    <w:rsid w:val="007F0441"/>
    <w:rsid w:val="007F0E99"/>
    <w:rsid w:val="007F20F1"/>
    <w:rsid w:val="007F280B"/>
    <w:rsid w:val="007F4224"/>
    <w:rsid w:val="007F4DD2"/>
    <w:rsid w:val="007F4FB9"/>
    <w:rsid w:val="007F7022"/>
    <w:rsid w:val="007F7690"/>
    <w:rsid w:val="008011CC"/>
    <w:rsid w:val="00801404"/>
    <w:rsid w:val="008017AA"/>
    <w:rsid w:val="00801CBA"/>
    <w:rsid w:val="00801D92"/>
    <w:rsid w:val="00804BCF"/>
    <w:rsid w:val="00804FA4"/>
    <w:rsid w:val="00805275"/>
    <w:rsid w:val="00806A62"/>
    <w:rsid w:val="00806E55"/>
    <w:rsid w:val="008075CE"/>
    <w:rsid w:val="008101DB"/>
    <w:rsid w:val="00810E9F"/>
    <w:rsid w:val="00812179"/>
    <w:rsid w:val="008124E2"/>
    <w:rsid w:val="00813928"/>
    <w:rsid w:val="00814F4D"/>
    <w:rsid w:val="00815321"/>
    <w:rsid w:val="008157A2"/>
    <w:rsid w:val="008166DB"/>
    <w:rsid w:val="008173E0"/>
    <w:rsid w:val="008175C1"/>
    <w:rsid w:val="008200D4"/>
    <w:rsid w:val="00820370"/>
    <w:rsid w:val="00820AE3"/>
    <w:rsid w:val="00820CC6"/>
    <w:rsid w:val="00822C41"/>
    <w:rsid w:val="00825043"/>
    <w:rsid w:val="00825267"/>
    <w:rsid w:val="0082607A"/>
    <w:rsid w:val="008264EC"/>
    <w:rsid w:val="00827C0D"/>
    <w:rsid w:val="00830642"/>
    <w:rsid w:val="00831250"/>
    <w:rsid w:val="00831D8D"/>
    <w:rsid w:val="008333B7"/>
    <w:rsid w:val="008336EC"/>
    <w:rsid w:val="008337B9"/>
    <w:rsid w:val="00834FD2"/>
    <w:rsid w:val="00835084"/>
    <w:rsid w:val="00835184"/>
    <w:rsid w:val="00835569"/>
    <w:rsid w:val="00835802"/>
    <w:rsid w:val="00836295"/>
    <w:rsid w:val="008370EE"/>
    <w:rsid w:val="008400BA"/>
    <w:rsid w:val="0084093F"/>
    <w:rsid w:val="0084098A"/>
    <w:rsid w:val="00840DB0"/>
    <w:rsid w:val="00840EDE"/>
    <w:rsid w:val="008418A5"/>
    <w:rsid w:val="00841C9E"/>
    <w:rsid w:val="00843548"/>
    <w:rsid w:val="0084383C"/>
    <w:rsid w:val="00843CC0"/>
    <w:rsid w:val="0084451D"/>
    <w:rsid w:val="00844ADD"/>
    <w:rsid w:val="00844B47"/>
    <w:rsid w:val="0084534E"/>
    <w:rsid w:val="00846062"/>
    <w:rsid w:val="00846F3F"/>
    <w:rsid w:val="008474C1"/>
    <w:rsid w:val="00847C1C"/>
    <w:rsid w:val="0085055E"/>
    <w:rsid w:val="00850C3B"/>
    <w:rsid w:val="00851485"/>
    <w:rsid w:val="00851605"/>
    <w:rsid w:val="00851EDC"/>
    <w:rsid w:val="00852CA0"/>
    <w:rsid w:val="00852D85"/>
    <w:rsid w:val="00852F6C"/>
    <w:rsid w:val="0085465C"/>
    <w:rsid w:val="00854967"/>
    <w:rsid w:val="00855313"/>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2D6C"/>
    <w:rsid w:val="00863C9F"/>
    <w:rsid w:val="008645D6"/>
    <w:rsid w:val="0086552B"/>
    <w:rsid w:val="008655A2"/>
    <w:rsid w:val="0086584F"/>
    <w:rsid w:val="008671C7"/>
    <w:rsid w:val="00867EB8"/>
    <w:rsid w:val="00870335"/>
    <w:rsid w:val="00870AA2"/>
    <w:rsid w:val="008717FA"/>
    <w:rsid w:val="008728C9"/>
    <w:rsid w:val="00873D88"/>
    <w:rsid w:val="0087433B"/>
    <w:rsid w:val="00874CF2"/>
    <w:rsid w:val="0087621E"/>
    <w:rsid w:val="008767B2"/>
    <w:rsid w:val="00877328"/>
    <w:rsid w:val="0087787A"/>
    <w:rsid w:val="008802F0"/>
    <w:rsid w:val="008805D4"/>
    <w:rsid w:val="00880992"/>
    <w:rsid w:val="008814F7"/>
    <w:rsid w:val="00881692"/>
    <w:rsid w:val="00883143"/>
    <w:rsid w:val="00884EC8"/>
    <w:rsid w:val="008851EA"/>
    <w:rsid w:val="00886154"/>
    <w:rsid w:val="008865F3"/>
    <w:rsid w:val="00886C80"/>
    <w:rsid w:val="00890277"/>
    <w:rsid w:val="0089061A"/>
    <w:rsid w:val="00890B61"/>
    <w:rsid w:val="008915C6"/>
    <w:rsid w:val="00891677"/>
    <w:rsid w:val="00892DB5"/>
    <w:rsid w:val="00893376"/>
    <w:rsid w:val="00894AE1"/>
    <w:rsid w:val="00894B61"/>
    <w:rsid w:val="00894E24"/>
    <w:rsid w:val="00895255"/>
    <w:rsid w:val="00895DF1"/>
    <w:rsid w:val="00896645"/>
    <w:rsid w:val="008975D2"/>
    <w:rsid w:val="008A035B"/>
    <w:rsid w:val="008A0459"/>
    <w:rsid w:val="008A1218"/>
    <w:rsid w:val="008A15B6"/>
    <w:rsid w:val="008A1A6E"/>
    <w:rsid w:val="008A202A"/>
    <w:rsid w:val="008A36C9"/>
    <w:rsid w:val="008A51F7"/>
    <w:rsid w:val="008A546E"/>
    <w:rsid w:val="008A5AF9"/>
    <w:rsid w:val="008B16DE"/>
    <w:rsid w:val="008B251F"/>
    <w:rsid w:val="008B2602"/>
    <w:rsid w:val="008B2727"/>
    <w:rsid w:val="008B2BAF"/>
    <w:rsid w:val="008B316B"/>
    <w:rsid w:val="008B5059"/>
    <w:rsid w:val="008B5BF2"/>
    <w:rsid w:val="008B686A"/>
    <w:rsid w:val="008B6934"/>
    <w:rsid w:val="008B6CF8"/>
    <w:rsid w:val="008B72F6"/>
    <w:rsid w:val="008C119E"/>
    <w:rsid w:val="008C1E24"/>
    <w:rsid w:val="008C296B"/>
    <w:rsid w:val="008C2A46"/>
    <w:rsid w:val="008C2B46"/>
    <w:rsid w:val="008C4278"/>
    <w:rsid w:val="008C43FB"/>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60C3"/>
    <w:rsid w:val="008D636F"/>
    <w:rsid w:val="008D718E"/>
    <w:rsid w:val="008E0068"/>
    <w:rsid w:val="008E0765"/>
    <w:rsid w:val="008E09C5"/>
    <w:rsid w:val="008E0AA7"/>
    <w:rsid w:val="008E1582"/>
    <w:rsid w:val="008E2355"/>
    <w:rsid w:val="008E2CCE"/>
    <w:rsid w:val="008E3151"/>
    <w:rsid w:val="008E3386"/>
    <w:rsid w:val="008E5410"/>
    <w:rsid w:val="008E5A3F"/>
    <w:rsid w:val="008E7209"/>
    <w:rsid w:val="008E7448"/>
    <w:rsid w:val="008F0B54"/>
    <w:rsid w:val="008F11BB"/>
    <w:rsid w:val="008F16FF"/>
    <w:rsid w:val="008F182F"/>
    <w:rsid w:val="008F1E95"/>
    <w:rsid w:val="008F2304"/>
    <w:rsid w:val="008F3037"/>
    <w:rsid w:val="008F3248"/>
    <w:rsid w:val="008F4DC9"/>
    <w:rsid w:val="008F4E49"/>
    <w:rsid w:val="008F57DD"/>
    <w:rsid w:val="008F5AEE"/>
    <w:rsid w:val="008F6EAA"/>
    <w:rsid w:val="008F7800"/>
    <w:rsid w:val="008F7BCA"/>
    <w:rsid w:val="00900F4D"/>
    <w:rsid w:val="0090167B"/>
    <w:rsid w:val="00902DEC"/>
    <w:rsid w:val="0090342E"/>
    <w:rsid w:val="0090395A"/>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A1C"/>
    <w:rsid w:val="00917FEE"/>
    <w:rsid w:val="0092023D"/>
    <w:rsid w:val="00920472"/>
    <w:rsid w:val="00921251"/>
    <w:rsid w:val="00921861"/>
    <w:rsid w:val="0092189E"/>
    <w:rsid w:val="009219FD"/>
    <w:rsid w:val="00921DF7"/>
    <w:rsid w:val="00923529"/>
    <w:rsid w:val="009257B0"/>
    <w:rsid w:val="009258BD"/>
    <w:rsid w:val="00925DEB"/>
    <w:rsid w:val="009263C0"/>
    <w:rsid w:val="009302D4"/>
    <w:rsid w:val="009307F2"/>
    <w:rsid w:val="00930CEC"/>
    <w:rsid w:val="00930F4A"/>
    <w:rsid w:val="0093375E"/>
    <w:rsid w:val="00933BEF"/>
    <w:rsid w:val="0093787E"/>
    <w:rsid w:val="009412CC"/>
    <w:rsid w:val="009419D1"/>
    <w:rsid w:val="0094388B"/>
    <w:rsid w:val="00943D09"/>
    <w:rsid w:val="00943ED1"/>
    <w:rsid w:val="00944826"/>
    <w:rsid w:val="00944C69"/>
    <w:rsid w:val="00944F00"/>
    <w:rsid w:val="009457A1"/>
    <w:rsid w:val="00947C5D"/>
    <w:rsid w:val="00947CA9"/>
    <w:rsid w:val="00950478"/>
    <w:rsid w:val="00950888"/>
    <w:rsid w:val="00950AF9"/>
    <w:rsid w:val="00950B5F"/>
    <w:rsid w:val="00950D35"/>
    <w:rsid w:val="0095144C"/>
    <w:rsid w:val="0095165B"/>
    <w:rsid w:val="00951B17"/>
    <w:rsid w:val="00951B8D"/>
    <w:rsid w:val="009535F2"/>
    <w:rsid w:val="009536A8"/>
    <w:rsid w:val="00954596"/>
    <w:rsid w:val="00955851"/>
    <w:rsid w:val="00955C63"/>
    <w:rsid w:val="00957E23"/>
    <w:rsid w:val="00961487"/>
    <w:rsid w:val="00961BA7"/>
    <w:rsid w:val="00961F01"/>
    <w:rsid w:val="00962162"/>
    <w:rsid w:val="009623BC"/>
    <w:rsid w:val="009628BE"/>
    <w:rsid w:val="009631C8"/>
    <w:rsid w:val="00963AE4"/>
    <w:rsid w:val="00963C14"/>
    <w:rsid w:val="009645CD"/>
    <w:rsid w:val="00964BFE"/>
    <w:rsid w:val="00965754"/>
    <w:rsid w:val="00965940"/>
    <w:rsid w:val="00965A4E"/>
    <w:rsid w:val="00966AB8"/>
    <w:rsid w:val="00966BE5"/>
    <w:rsid w:val="00966EB0"/>
    <w:rsid w:val="00971116"/>
    <w:rsid w:val="009726AE"/>
    <w:rsid w:val="00972E28"/>
    <w:rsid w:val="00973030"/>
    <w:rsid w:val="00973280"/>
    <w:rsid w:val="009733F3"/>
    <w:rsid w:val="009745BC"/>
    <w:rsid w:val="009748E4"/>
    <w:rsid w:val="00975EC7"/>
    <w:rsid w:val="00976D65"/>
    <w:rsid w:val="00977CE6"/>
    <w:rsid w:val="00977E6B"/>
    <w:rsid w:val="009807AC"/>
    <w:rsid w:val="00980C18"/>
    <w:rsid w:val="009810E9"/>
    <w:rsid w:val="0098141C"/>
    <w:rsid w:val="0098151D"/>
    <w:rsid w:val="00981AA9"/>
    <w:rsid w:val="00981C91"/>
    <w:rsid w:val="00982ADE"/>
    <w:rsid w:val="00983132"/>
    <w:rsid w:val="00983314"/>
    <w:rsid w:val="00983DF2"/>
    <w:rsid w:val="0098433A"/>
    <w:rsid w:val="00985675"/>
    <w:rsid w:val="00985786"/>
    <w:rsid w:val="00985939"/>
    <w:rsid w:val="0098637F"/>
    <w:rsid w:val="00986A9B"/>
    <w:rsid w:val="00986B9C"/>
    <w:rsid w:val="00987BAB"/>
    <w:rsid w:val="009906BF"/>
    <w:rsid w:val="009913F3"/>
    <w:rsid w:val="00991DA1"/>
    <w:rsid w:val="00992150"/>
    <w:rsid w:val="009927F1"/>
    <w:rsid w:val="009935A9"/>
    <w:rsid w:val="009936C4"/>
    <w:rsid w:val="009939A4"/>
    <w:rsid w:val="009948ED"/>
    <w:rsid w:val="00995ADA"/>
    <w:rsid w:val="0099643A"/>
    <w:rsid w:val="00997959"/>
    <w:rsid w:val="009A0BAF"/>
    <w:rsid w:val="009A1431"/>
    <w:rsid w:val="009A153D"/>
    <w:rsid w:val="009A1634"/>
    <w:rsid w:val="009A3A34"/>
    <w:rsid w:val="009A3FE2"/>
    <w:rsid w:val="009A400C"/>
    <w:rsid w:val="009A4B2C"/>
    <w:rsid w:val="009A4E7C"/>
    <w:rsid w:val="009A5592"/>
    <w:rsid w:val="009A59BA"/>
    <w:rsid w:val="009A6417"/>
    <w:rsid w:val="009A6C00"/>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78FF"/>
    <w:rsid w:val="009C058F"/>
    <w:rsid w:val="009C2B3E"/>
    <w:rsid w:val="009C2EA2"/>
    <w:rsid w:val="009C3721"/>
    <w:rsid w:val="009C4141"/>
    <w:rsid w:val="009C4B55"/>
    <w:rsid w:val="009C5FCC"/>
    <w:rsid w:val="009C61A2"/>
    <w:rsid w:val="009C652D"/>
    <w:rsid w:val="009C6DF6"/>
    <w:rsid w:val="009C6E92"/>
    <w:rsid w:val="009C74BC"/>
    <w:rsid w:val="009D04F7"/>
    <w:rsid w:val="009D1589"/>
    <w:rsid w:val="009D2003"/>
    <w:rsid w:val="009D3004"/>
    <w:rsid w:val="009D38C2"/>
    <w:rsid w:val="009D417F"/>
    <w:rsid w:val="009D45E5"/>
    <w:rsid w:val="009D4B85"/>
    <w:rsid w:val="009D535B"/>
    <w:rsid w:val="009D630B"/>
    <w:rsid w:val="009D6CAA"/>
    <w:rsid w:val="009D6CF6"/>
    <w:rsid w:val="009D6E69"/>
    <w:rsid w:val="009D73BD"/>
    <w:rsid w:val="009E02DC"/>
    <w:rsid w:val="009E1783"/>
    <w:rsid w:val="009E2040"/>
    <w:rsid w:val="009E49AE"/>
    <w:rsid w:val="009E4DC7"/>
    <w:rsid w:val="009E660A"/>
    <w:rsid w:val="009E6B64"/>
    <w:rsid w:val="009E72E5"/>
    <w:rsid w:val="009F031F"/>
    <w:rsid w:val="009F1170"/>
    <w:rsid w:val="009F46C8"/>
    <w:rsid w:val="009F4F2A"/>
    <w:rsid w:val="009F5DE3"/>
    <w:rsid w:val="009F660B"/>
    <w:rsid w:val="009F671E"/>
    <w:rsid w:val="009F7ED1"/>
    <w:rsid w:val="00A0149B"/>
    <w:rsid w:val="00A01607"/>
    <w:rsid w:val="00A018D4"/>
    <w:rsid w:val="00A0259E"/>
    <w:rsid w:val="00A02D2D"/>
    <w:rsid w:val="00A02F9D"/>
    <w:rsid w:val="00A03767"/>
    <w:rsid w:val="00A04834"/>
    <w:rsid w:val="00A05628"/>
    <w:rsid w:val="00A07DCF"/>
    <w:rsid w:val="00A12979"/>
    <w:rsid w:val="00A131A9"/>
    <w:rsid w:val="00A1496E"/>
    <w:rsid w:val="00A14A85"/>
    <w:rsid w:val="00A14F84"/>
    <w:rsid w:val="00A16D6D"/>
    <w:rsid w:val="00A17C75"/>
    <w:rsid w:val="00A20F55"/>
    <w:rsid w:val="00A211C8"/>
    <w:rsid w:val="00A2121E"/>
    <w:rsid w:val="00A21EAC"/>
    <w:rsid w:val="00A221DE"/>
    <w:rsid w:val="00A22CB2"/>
    <w:rsid w:val="00A22EFD"/>
    <w:rsid w:val="00A23138"/>
    <w:rsid w:val="00A23940"/>
    <w:rsid w:val="00A23ECC"/>
    <w:rsid w:val="00A24CD3"/>
    <w:rsid w:val="00A25461"/>
    <w:rsid w:val="00A26367"/>
    <w:rsid w:val="00A2678A"/>
    <w:rsid w:val="00A269E1"/>
    <w:rsid w:val="00A27C1C"/>
    <w:rsid w:val="00A30F6A"/>
    <w:rsid w:val="00A32628"/>
    <w:rsid w:val="00A3283A"/>
    <w:rsid w:val="00A32AEA"/>
    <w:rsid w:val="00A32F32"/>
    <w:rsid w:val="00A33358"/>
    <w:rsid w:val="00A33E80"/>
    <w:rsid w:val="00A33EFE"/>
    <w:rsid w:val="00A35213"/>
    <w:rsid w:val="00A4148D"/>
    <w:rsid w:val="00A44937"/>
    <w:rsid w:val="00A44D0E"/>
    <w:rsid w:val="00A45912"/>
    <w:rsid w:val="00A4621D"/>
    <w:rsid w:val="00A509FB"/>
    <w:rsid w:val="00A51C19"/>
    <w:rsid w:val="00A51E04"/>
    <w:rsid w:val="00A522B5"/>
    <w:rsid w:val="00A52C31"/>
    <w:rsid w:val="00A52F37"/>
    <w:rsid w:val="00A533C5"/>
    <w:rsid w:val="00A5388C"/>
    <w:rsid w:val="00A5397B"/>
    <w:rsid w:val="00A53BE1"/>
    <w:rsid w:val="00A53EC6"/>
    <w:rsid w:val="00A54644"/>
    <w:rsid w:val="00A55921"/>
    <w:rsid w:val="00A560E3"/>
    <w:rsid w:val="00A5628F"/>
    <w:rsid w:val="00A564AF"/>
    <w:rsid w:val="00A566A8"/>
    <w:rsid w:val="00A56D0B"/>
    <w:rsid w:val="00A5775C"/>
    <w:rsid w:val="00A60E72"/>
    <w:rsid w:val="00A61F0C"/>
    <w:rsid w:val="00A61FF0"/>
    <w:rsid w:val="00A62580"/>
    <w:rsid w:val="00A63A02"/>
    <w:rsid w:val="00A63AC9"/>
    <w:rsid w:val="00A643CD"/>
    <w:rsid w:val="00A64502"/>
    <w:rsid w:val="00A64B5F"/>
    <w:rsid w:val="00A65EA0"/>
    <w:rsid w:val="00A66517"/>
    <w:rsid w:val="00A66D8D"/>
    <w:rsid w:val="00A67B0E"/>
    <w:rsid w:val="00A70112"/>
    <w:rsid w:val="00A718EF"/>
    <w:rsid w:val="00A71AA4"/>
    <w:rsid w:val="00A72134"/>
    <w:rsid w:val="00A726A8"/>
    <w:rsid w:val="00A72951"/>
    <w:rsid w:val="00A72D60"/>
    <w:rsid w:val="00A73505"/>
    <w:rsid w:val="00A75E02"/>
    <w:rsid w:val="00A76E79"/>
    <w:rsid w:val="00A7771B"/>
    <w:rsid w:val="00A77B53"/>
    <w:rsid w:val="00A77E43"/>
    <w:rsid w:val="00A811F1"/>
    <w:rsid w:val="00A82887"/>
    <w:rsid w:val="00A83010"/>
    <w:rsid w:val="00A838C5"/>
    <w:rsid w:val="00A83BF5"/>
    <w:rsid w:val="00A84CD1"/>
    <w:rsid w:val="00A85074"/>
    <w:rsid w:val="00A85E2E"/>
    <w:rsid w:val="00A861F3"/>
    <w:rsid w:val="00A86DBC"/>
    <w:rsid w:val="00A8728F"/>
    <w:rsid w:val="00A8756A"/>
    <w:rsid w:val="00A87F7D"/>
    <w:rsid w:val="00A906B7"/>
    <w:rsid w:val="00A9070E"/>
    <w:rsid w:val="00A92DD4"/>
    <w:rsid w:val="00A94902"/>
    <w:rsid w:val="00A94D0F"/>
    <w:rsid w:val="00A94F13"/>
    <w:rsid w:val="00A9568C"/>
    <w:rsid w:val="00A95BED"/>
    <w:rsid w:val="00A95EA2"/>
    <w:rsid w:val="00A9787E"/>
    <w:rsid w:val="00A97AF9"/>
    <w:rsid w:val="00AA08E8"/>
    <w:rsid w:val="00AA0DB4"/>
    <w:rsid w:val="00AA11C5"/>
    <w:rsid w:val="00AA17E2"/>
    <w:rsid w:val="00AA1F82"/>
    <w:rsid w:val="00AA21B7"/>
    <w:rsid w:val="00AA3827"/>
    <w:rsid w:val="00AA382D"/>
    <w:rsid w:val="00AA42BE"/>
    <w:rsid w:val="00AA4A2C"/>
    <w:rsid w:val="00AA59A6"/>
    <w:rsid w:val="00AA6299"/>
    <w:rsid w:val="00AA6E05"/>
    <w:rsid w:val="00AB0262"/>
    <w:rsid w:val="00AB14A1"/>
    <w:rsid w:val="00AB17BF"/>
    <w:rsid w:val="00AB1F3E"/>
    <w:rsid w:val="00AB202A"/>
    <w:rsid w:val="00AB5555"/>
    <w:rsid w:val="00AB55AD"/>
    <w:rsid w:val="00AB5D1B"/>
    <w:rsid w:val="00AB6918"/>
    <w:rsid w:val="00AB6B40"/>
    <w:rsid w:val="00AB740A"/>
    <w:rsid w:val="00AC0995"/>
    <w:rsid w:val="00AC1DA5"/>
    <w:rsid w:val="00AC216B"/>
    <w:rsid w:val="00AC26B1"/>
    <w:rsid w:val="00AC3A93"/>
    <w:rsid w:val="00AC42B8"/>
    <w:rsid w:val="00AC45C5"/>
    <w:rsid w:val="00AC4791"/>
    <w:rsid w:val="00AC4FB6"/>
    <w:rsid w:val="00AC4FD1"/>
    <w:rsid w:val="00AC5FEF"/>
    <w:rsid w:val="00AC6036"/>
    <w:rsid w:val="00AC635B"/>
    <w:rsid w:val="00AC68DE"/>
    <w:rsid w:val="00AD0328"/>
    <w:rsid w:val="00AD07B6"/>
    <w:rsid w:val="00AD11DC"/>
    <w:rsid w:val="00AD17E9"/>
    <w:rsid w:val="00AD1966"/>
    <w:rsid w:val="00AD19E8"/>
    <w:rsid w:val="00AD213B"/>
    <w:rsid w:val="00AD2A11"/>
    <w:rsid w:val="00AD2B03"/>
    <w:rsid w:val="00AD2E07"/>
    <w:rsid w:val="00AD2E37"/>
    <w:rsid w:val="00AD38A9"/>
    <w:rsid w:val="00AD4071"/>
    <w:rsid w:val="00AD44EA"/>
    <w:rsid w:val="00AD4782"/>
    <w:rsid w:val="00AD4DAA"/>
    <w:rsid w:val="00AD5236"/>
    <w:rsid w:val="00AD527D"/>
    <w:rsid w:val="00AD54E0"/>
    <w:rsid w:val="00AD758E"/>
    <w:rsid w:val="00AD7AB5"/>
    <w:rsid w:val="00AE08B7"/>
    <w:rsid w:val="00AE0DBA"/>
    <w:rsid w:val="00AE1247"/>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1E5A"/>
    <w:rsid w:val="00AF2EC7"/>
    <w:rsid w:val="00AF315A"/>
    <w:rsid w:val="00AF3AC0"/>
    <w:rsid w:val="00AF4F4A"/>
    <w:rsid w:val="00AF7F96"/>
    <w:rsid w:val="00B00C24"/>
    <w:rsid w:val="00B00F93"/>
    <w:rsid w:val="00B01BBE"/>
    <w:rsid w:val="00B01D09"/>
    <w:rsid w:val="00B03F92"/>
    <w:rsid w:val="00B055D8"/>
    <w:rsid w:val="00B06191"/>
    <w:rsid w:val="00B06CD6"/>
    <w:rsid w:val="00B06EBC"/>
    <w:rsid w:val="00B07ACB"/>
    <w:rsid w:val="00B11D2D"/>
    <w:rsid w:val="00B123F0"/>
    <w:rsid w:val="00B12891"/>
    <w:rsid w:val="00B146C1"/>
    <w:rsid w:val="00B146E7"/>
    <w:rsid w:val="00B156DF"/>
    <w:rsid w:val="00B15ABB"/>
    <w:rsid w:val="00B16973"/>
    <w:rsid w:val="00B2036A"/>
    <w:rsid w:val="00B21057"/>
    <w:rsid w:val="00B2202B"/>
    <w:rsid w:val="00B23422"/>
    <w:rsid w:val="00B23943"/>
    <w:rsid w:val="00B24715"/>
    <w:rsid w:val="00B24948"/>
    <w:rsid w:val="00B24CBD"/>
    <w:rsid w:val="00B25CA3"/>
    <w:rsid w:val="00B30028"/>
    <w:rsid w:val="00B31E8D"/>
    <w:rsid w:val="00B321B5"/>
    <w:rsid w:val="00B322A8"/>
    <w:rsid w:val="00B3313B"/>
    <w:rsid w:val="00B331E8"/>
    <w:rsid w:val="00B331EA"/>
    <w:rsid w:val="00B34732"/>
    <w:rsid w:val="00B353B8"/>
    <w:rsid w:val="00B35C56"/>
    <w:rsid w:val="00B36F17"/>
    <w:rsid w:val="00B372ED"/>
    <w:rsid w:val="00B40603"/>
    <w:rsid w:val="00B40AF6"/>
    <w:rsid w:val="00B41071"/>
    <w:rsid w:val="00B425C0"/>
    <w:rsid w:val="00B42DB6"/>
    <w:rsid w:val="00B437D3"/>
    <w:rsid w:val="00B44FA5"/>
    <w:rsid w:val="00B4637A"/>
    <w:rsid w:val="00B46957"/>
    <w:rsid w:val="00B46F94"/>
    <w:rsid w:val="00B47B54"/>
    <w:rsid w:val="00B50E99"/>
    <w:rsid w:val="00B50FBC"/>
    <w:rsid w:val="00B5160C"/>
    <w:rsid w:val="00B51926"/>
    <w:rsid w:val="00B51F9A"/>
    <w:rsid w:val="00B548DA"/>
    <w:rsid w:val="00B54DA7"/>
    <w:rsid w:val="00B57433"/>
    <w:rsid w:val="00B576B2"/>
    <w:rsid w:val="00B60064"/>
    <w:rsid w:val="00B600C6"/>
    <w:rsid w:val="00B60167"/>
    <w:rsid w:val="00B60FC0"/>
    <w:rsid w:val="00B61665"/>
    <w:rsid w:val="00B61A8C"/>
    <w:rsid w:val="00B63528"/>
    <w:rsid w:val="00B639CB"/>
    <w:rsid w:val="00B63DAF"/>
    <w:rsid w:val="00B63E98"/>
    <w:rsid w:val="00B65754"/>
    <w:rsid w:val="00B661AA"/>
    <w:rsid w:val="00B66242"/>
    <w:rsid w:val="00B670D3"/>
    <w:rsid w:val="00B67958"/>
    <w:rsid w:val="00B701D1"/>
    <w:rsid w:val="00B716BB"/>
    <w:rsid w:val="00B716FD"/>
    <w:rsid w:val="00B720D3"/>
    <w:rsid w:val="00B72948"/>
    <w:rsid w:val="00B734C2"/>
    <w:rsid w:val="00B73BDA"/>
    <w:rsid w:val="00B74053"/>
    <w:rsid w:val="00B765A0"/>
    <w:rsid w:val="00B76C02"/>
    <w:rsid w:val="00B77BD2"/>
    <w:rsid w:val="00B814CB"/>
    <w:rsid w:val="00B8177C"/>
    <w:rsid w:val="00B81B6A"/>
    <w:rsid w:val="00B820F4"/>
    <w:rsid w:val="00B834CF"/>
    <w:rsid w:val="00B835E0"/>
    <w:rsid w:val="00B8396D"/>
    <w:rsid w:val="00B84EE4"/>
    <w:rsid w:val="00B90331"/>
    <w:rsid w:val="00B903ED"/>
    <w:rsid w:val="00B90845"/>
    <w:rsid w:val="00B90B2D"/>
    <w:rsid w:val="00B9114F"/>
    <w:rsid w:val="00B9150C"/>
    <w:rsid w:val="00B91A31"/>
    <w:rsid w:val="00B935A1"/>
    <w:rsid w:val="00B95DAD"/>
    <w:rsid w:val="00B96BC8"/>
    <w:rsid w:val="00B96C0C"/>
    <w:rsid w:val="00B9734D"/>
    <w:rsid w:val="00B97732"/>
    <w:rsid w:val="00BA2782"/>
    <w:rsid w:val="00BA27F4"/>
    <w:rsid w:val="00BA2E40"/>
    <w:rsid w:val="00BA3CB7"/>
    <w:rsid w:val="00BA4037"/>
    <w:rsid w:val="00BA41DE"/>
    <w:rsid w:val="00BA4B16"/>
    <w:rsid w:val="00BA556C"/>
    <w:rsid w:val="00BA6B49"/>
    <w:rsid w:val="00BA6C11"/>
    <w:rsid w:val="00BB0F31"/>
    <w:rsid w:val="00BB15AB"/>
    <w:rsid w:val="00BB189B"/>
    <w:rsid w:val="00BB1938"/>
    <w:rsid w:val="00BB1D21"/>
    <w:rsid w:val="00BB2BE9"/>
    <w:rsid w:val="00BB2E51"/>
    <w:rsid w:val="00BB4BEA"/>
    <w:rsid w:val="00BB4C1A"/>
    <w:rsid w:val="00BB50AB"/>
    <w:rsid w:val="00BB6664"/>
    <w:rsid w:val="00BC01FC"/>
    <w:rsid w:val="00BC1E0C"/>
    <w:rsid w:val="00BC1F79"/>
    <w:rsid w:val="00BC2201"/>
    <w:rsid w:val="00BC33E5"/>
    <w:rsid w:val="00BC3C7A"/>
    <w:rsid w:val="00BC7DC6"/>
    <w:rsid w:val="00BD1039"/>
    <w:rsid w:val="00BD13B5"/>
    <w:rsid w:val="00BD2EFC"/>
    <w:rsid w:val="00BD340E"/>
    <w:rsid w:val="00BD3D2B"/>
    <w:rsid w:val="00BD3FAA"/>
    <w:rsid w:val="00BD4DDF"/>
    <w:rsid w:val="00BD58B3"/>
    <w:rsid w:val="00BD60AD"/>
    <w:rsid w:val="00BD6C02"/>
    <w:rsid w:val="00BE1244"/>
    <w:rsid w:val="00BE165D"/>
    <w:rsid w:val="00BE228D"/>
    <w:rsid w:val="00BE2394"/>
    <w:rsid w:val="00BE2702"/>
    <w:rsid w:val="00BE4326"/>
    <w:rsid w:val="00BE5F4F"/>
    <w:rsid w:val="00BE60DB"/>
    <w:rsid w:val="00BF0191"/>
    <w:rsid w:val="00BF13EC"/>
    <w:rsid w:val="00BF1C07"/>
    <w:rsid w:val="00BF3DEE"/>
    <w:rsid w:val="00BF434F"/>
    <w:rsid w:val="00BF54AC"/>
    <w:rsid w:val="00BF54BD"/>
    <w:rsid w:val="00BF6817"/>
    <w:rsid w:val="00BF6B8E"/>
    <w:rsid w:val="00BF795C"/>
    <w:rsid w:val="00C025A5"/>
    <w:rsid w:val="00C03C78"/>
    <w:rsid w:val="00C048F6"/>
    <w:rsid w:val="00C04FD3"/>
    <w:rsid w:val="00C063C2"/>
    <w:rsid w:val="00C065A2"/>
    <w:rsid w:val="00C076B5"/>
    <w:rsid w:val="00C07919"/>
    <w:rsid w:val="00C103F9"/>
    <w:rsid w:val="00C104AC"/>
    <w:rsid w:val="00C110E1"/>
    <w:rsid w:val="00C1198F"/>
    <w:rsid w:val="00C11FA1"/>
    <w:rsid w:val="00C12125"/>
    <w:rsid w:val="00C12E21"/>
    <w:rsid w:val="00C12E65"/>
    <w:rsid w:val="00C13C20"/>
    <w:rsid w:val="00C13F74"/>
    <w:rsid w:val="00C140BD"/>
    <w:rsid w:val="00C146D3"/>
    <w:rsid w:val="00C16BE0"/>
    <w:rsid w:val="00C170D0"/>
    <w:rsid w:val="00C21C39"/>
    <w:rsid w:val="00C2325C"/>
    <w:rsid w:val="00C239ED"/>
    <w:rsid w:val="00C24D9D"/>
    <w:rsid w:val="00C25CF3"/>
    <w:rsid w:val="00C263E9"/>
    <w:rsid w:val="00C26E58"/>
    <w:rsid w:val="00C2775A"/>
    <w:rsid w:val="00C3063A"/>
    <w:rsid w:val="00C30BAD"/>
    <w:rsid w:val="00C31E8F"/>
    <w:rsid w:val="00C335DA"/>
    <w:rsid w:val="00C33D3E"/>
    <w:rsid w:val="00C362E0"/>
    <w:rsid w:val="00C36ED4"/>
    <w:rsid w:val="00C376CC"/>
    <w:rsid w:val="00C37874"/>
    <w:rsid w:val="00C37BD2"/>
    <w:rsid w:val="00C400F7"/>
    <w:rsid w:val="00C40EC6"/>
    <w:rsid w:val="00C4103D"/>
    <w:rsid w:val="00C419AD"/>
    <w:rsid w:val="00C41B5F"/>
    <w:rsid w:val="00C43339"/>
    <w:rsid w:val="00C437BA"/>
    <w:rsid w:val="00C44395"/>
    <w:rsid w:val="00C443B3"/>
    <w:rsid w:val="00C45CE8"/>
    <w:rsid w:val="00C468A5"/>
    <w:rsid w:val="00C46F06"/>
    <w:rsid w:val="00C472EA"/>
    <w:rsid w:val="00C47DA6"/>
    <w:rsid w:val="00C50986"/>
    <w:rsid w:val="00C50ABF"/>
    <w:rsid w:val="00C50EF2"/>
    <w:rsid w:val="00C51256"/>
    <w:rsid w:val="00C51566"/>
    <w:rsid w:val="00C516B7"/>
    <w:rsid w:val="00C516C4"/>
    <w:rsid w:val="00C51C1F"/>
    <w:rsid w:val="00C52433"/>
    <w:rsid w:val="00C52D62"/>
    <w:rsid w:val="00C52EF3"/>
    <w:rsid w:val="00C533D4"/>
    <w:rsid w:val="00C53469"/>
    <w:rsid w:val="00C53524"/>
    <w:rsid w:val="00C53A4C"/>
    <w:rsid w:val="00C53DF0"/>
    <w:rsid w:val="00C5448D"/>
    <w:rsid w:val="00C5477F"/>
    <w:rsid w:val="00C547B7"/>
    <w:rsid w:val="00C5503B"/>
    <w:rsid w:val="00C55A32"/>
    <w:rsid w:val="00C564F2"/>
    <w:rsid w:val="00C56F11"/>
    <w:rsid w:val="00C61B41"/>
    <w:rsid w:val="00C61F3A"/>
    <w:rsid w:val="00C629CB"/>
    <w:rsid w:val="00C62B75"/>
    <w:rsid w:val="00C62DD0"/>
    <w:rsid w:val="00C65719"/>
    <w:rsid w:val="00C657B5"/>
    <w:rsid w:val="00C661E1"/>
    <w:rsid w:val="00C66686"/>
    <w:rsid w:val="00C678C4"/>
    <w:rsid w:val="00C71215"/>
    <w:rsid w:val="00C71DB0"/>
    <w:rsid w:val="00C7216B"/>
    <w:rsid w:val="00C727BE"/>
    <w:rsid w:val="00C732A9"/>
    <w:rsid w:val="00C73448"/>
    <w:rsid w:val="00C73E2E"/>
    <w:rsid w:val="00C74546"/>
    <w:rsid w:val="00C748E2"/>
    <w:rsid w:val="00C74929"/>
    <w:rsid w:val="00C7776C"/>
    <w:rsid w:val="00C807EF"/>
    <w:rsid w:val="00C8398D"/>
    <w:rsid w:val="00C84BC2"/>
    <w:rsid w:val="00C85139"/>
    <w:rsid w:val="00C85657"/>
    <w:rsid w:val="00C8683C"/>
    <w:rsid w:val="00C91C88"/>
    <w:rsid w:val="00C9372C"/>
    <w:rsid w:val="00C939C3"/>
    <w:rsid w:val="00C94228"/>
    <w:rsid w:val="00C96D56"/>
    <w:rsid w:val="00C977E6"/>
    <w:rsid w:val="00C97C69"/>
    <w:rsid w:val="00CA0020"/>
    <w:rsid w:val="00CA0B2E"/>
    <w:rsid w:val="00CA18CA"/>
    <w:rsid w:val="00CA2557"/>
    <w:rsid w:val="00CA5413"/>
    <w:rsid w:val="00CA5674"/>
    <w:rsid w:val="00CA5BDA"/>
    <w:rsid w:val="00CA5C1A"/>
    <w:rsid w:val="00CA61D8"/>
    <w:rsid w:val="00CA633F"/>
    <w:rsid w:val="00CA641E"/>
    <w:rsid w:val="00CA7558"/>
    <w:rsid w:val="00CA785F"/>
    <w:rsid w:val="00CA792A"/>
    <w:rsid w:val="00CA7949"/>
    <w:rsid w:val="00CB0400"/>
    <w:rsid w:val="00CB0C6E"/>
    <w:rsid w:val="00CB0C89"/>
    <w:rsid w:val="00CB1FC5"/>
    <w:rsid w:val="00CB226B"/>
    <w:rsid w:val="00CB229B"/>
    <w:rsid w:val="00CB33B4"/>
    <w:rsid w:val="00CB3D93"/>
    <w:rsid w:val="00CB4441"/>
    <w:rsid w:val="00CB4B1A"/>
    <w:rsid w:val="00CB4E1F"/>
    <w:rsid w:val="00CB6AE7"/>
    <w:rsid w:val="00CC1063"/>
    <w:rsid w:val="00CC152E"/>
    <w:rsid w:val="00CC2493"/>
    <w:rsid w:val="00CC2C81"/>
    <w:rsid w:val="00CC3222"/>
    <w:rsid w:val="00CC355B"/>
    <w:rsid w:val="00CC35F1"/>
    <w:rsid w:val="00CC35FF"/>
    <w:rsid w:val="00CC5C35"/>
    <w:rsid w:val="00CD0E6E"/>
    <w:rsid w:val="00CD23AE"/>
    <w:rsid w:val="00CD27DF"/>
    <w:rsid w:val="00CD2D8A"/>
    <w:rsid w:val="00CD3BAC"/>
    <w:rsid w:val="00CD3CE1"/>
    <w:rsid w:val="00CD3FF2"/>
    <w:rsid w:val="00CD4A65"/>
    <w:rsid w:val="00CD531F"/>
    <w:rsid w:val="00CD5878"/>
    <w:rsid w:val="00CD6FA3"/>
    <w:rsid w:val="00CE1174"/>
    <w:rsid w:val="00CE2184"/>
    <w:rsid w:val="00CE2D87"/>
    <w:rsid w:val="00CE3B7F"/>
    <w:rsid w:val="00CE3FA2"/>
    <w:rsid w:val="00CE41A0"/>
    <w:rsid w:val="00CE4958"/>
    <w:rsid w:val="00CE68E2"/>
    <w:rsid w:val="00CE706E"/>
    <w:rsid w:val="00CE70B1"/>
    <w:rsid w:val="00CE7AE4"/>
    <w:rsid w:val="00CE7BF9"/>
    <w:rsid w:val="00CF0A4C"/>
    <w:rsid w:val="00CF0AFE"/>
    <w:rsid w:val="00CF150A"/>
    <w:rsid w:val="00CF2225"/>
    <w:rsid w:val="00CF25E7"/>
    <w:rsid w:val="00CF26FE"/>
    <w:rsid w:val="00CF3C77"/>
    <w:rsid w:val="00CF45A2"/>
    <w:rsid w:val="00CF52E7"/>
    <w:rsid w:val="00CF64B5"/>
    <w:rsid w:val="00CF6764"/>
    <w:rsid w:val="00CF7853"/>
    <w:rsid w:val="00D004ED"/>
    <w:rsid w:val="00D0128E"/>
    <w:rsid w:val="00D01AA3"/>
    <w:rsid w:val="00D0260F"/>
    <w:rsid w:val="00D03708"/>
    <w:rsid w:val="00D06776"/>
    <w:rsid w:val="00D06E46"/>
    <w:rsid w:val="00D06F95"/>
    <w:rsid w:val="00D07CA5"/>
    <w:rsid w:val="00D1158C"/>
    <w:rsid w:val="00D11600"/>
    <w:rsid w:val="00D119A2"/>
    <w:rsid w:val="00D124B0"/>
    <w:rsid w:val="00D12E31"/>
    <w:rsid w:val="00D137F9"/>
    <w:rsid w:val="00D13F08"/>
    <w:rsid w:val="00D1458C"/>
    <w:rsid w:val="00D14F3C"/>
    <w:rsid w:val="00D1620E"/>
    <w:rsid w:val="00D16867"/>
    <w:rsid w:val="00D16EEC"/>
    <w:rsid w:val="00D177F5"/>
    <w:rsid w:val="00D2047A"/>
    <w:rsid w:val="00D20631"/>
    <w:rsid w:val="00D207FC"/>
    <w:rsid w:val="00D2260B"/>
    <w:rsid w:val="00D22D49"/>
    <w:rsid w:val="00D236FB"/>
    <w:rsid w:val="00D23930"/>
    <w:rsid w:val="00D23A23"/>
    <w:rsid w:val="00D23DD2"/>
    <w:rsid w:val="00D24D8A"/>
    <w:rsid w:val="00D24DA4"/>
    <w:rsid w:val="00D25235"/>
    <w:rsid w:val="00D25383"/>
    <w:rsid w:val="00D25670"/>
    <w:rsid w:val="00D301FF"/>
    <w:rsid w:val="00D317D0"/>
    <w:rsid w:val="00D3257F"/>
    <w:rsid w:val="00D3304D"/>
    <w:rsid w:val="00D3351F"/>
    <w:rsid w:val="00D340E2"/>
    <w:rsid w:val="00D343BB"/>
    <w:rsid w:val="00D348DC"/>
    <w:rsid w:val="00D358AC"/>
    <w:rsid w:val="00D36887"/>
    <w:rsid w:val="00D37563"/>
    <w:rsid w:val="00D379EB"/>
    <w:rsid w:val="00D400B8"/>
    <w:rsid w:val="00D4022C"/>
    <w:rsid w:val="00D40B89"/>
    <w:rsid w:val="00D41023"/>
    <w:rsid w:val="00D41C6C"/>
    <w:rsid w:val="00D42465"/>
    <w:rsid w:val="00D42928"/>
    <w:rsid w:val="00D42E5B"/>
    <w:rsid w:val="00D439D1"/>
    <w:rsid w:val="00D43C68"/>
    <w:rsid w:val="00D444B2"/>
    <w:rsid w:val="00D453E4"/>
    <w:rsid w:val="00D46B5B"/>
    <w:rsid w:val="00D47226"/>
    <w:rsid w:val="00D50B21"/>
    <w:rsid w:val="00D51349"/>
    <w:rsid w:val="00D527AF"/>
    <w:rsid w:val="00D529E1"/>
    <w:rsid w:val="00D534C2"/>
    <w:rsid w:val="00D53687"/>
    <w:rsid w:val="00D5410F"/>
    <w:rsid w:val="00D564DF"/>
    <w:rsid w:val="00D568E4"/>
    <w:rsid w:val="00D56AF9"/>
    <w:rsid w:val="00D576DD"/>
    <w:rsid w:val="00D57CB4"/>
    <w:rsid w:val="00D61477"/>
    <w:rsid w:val="00D619E2"/>
    <w:rsid w:val="00D62036"/>
    <w:rsid w:val="00D620CC"/>
    <w:rsid w:val="00D634B8"/>
    <w:rsid w:val="00D63ABE"/>
    <w:rsid w:val="00D63EF3"/>
    <w:rsid w:val="00D64441"/>
    <w:rsid w:val="00D64D59"/>
    <w:rsid w:val="00D64F47"/>
    <w:rsid w:val="00D64FB0"/>
    <w:rsid w:val="00D65497"/>
    <w:rsid w:val="00D654DA"/>
    <w:rsid w:val="00D6609E"/>
    <w:rsid w:val="00D67A9F"/>
    <w:rsid w:val="00D67C20"/>
    <w:rsid w:val="00D7075E"/>
    <w:rsid w:val="00D70A29"/>
    <w:rsid w:val="00D70C1B"/>
    <w:rsid w:val="00D70E5C"/>
    <w:rsid w:val="00D7146C"/>
    <w:rsid w:val="00D718CD"/>
    <w:rsid w:val="00D72A3F"/>
    <w:rsid w:val="00D73A60"/>
    <w:rsid w:val="00D7416F"/>
    <w:rsid w:val="00D75196"/>
    <w:rsid w:val="00D755F2"/>
    <w:rsid w:val="00D75CC1"/>
    <w:rsid w:val="00D762AC"/>
    <w:rsid w:val="00D76720"/>
    <w:rsid w:val="00D775E7"/>
    <w:rsid w:val="00D77B9E"/>
    <w:rsid w:val="00D81CA9"/>
    <w:rsid w:val="00D82E91"/>
    <w:rsid w:val="00D839D8"/>
    <w:rsid w:val="00D83F9E"/>
    <w:rsid w:val="00D840C2"/>
    <w:rsid w:val="00D84562"/>
    <w:rsid w:val="00D85C16"/>
    <w:rsid w:val="00D860F6"/>
    <w:rsid w:val="00D86169"/>
    <w:rsid w:val="00D86CB3"/>
    <w:rsid w:val="00D8732E"/>
    <w:rsid w:val="00D87F85"/>
    <w:rsid w:val="00D911C6"/>
    <w:rsid w:val="00D91294"/>
    <w:rsid w:val="00D9186A"/>
    <w:rsid w:val="00D92D47"/>
    <w:rsid w:val="00D94213"/>
    <w:rsid w:val="00D94BEB"/>
    <w:rsid w:val="00D94EA5"/>
    <w:rsid w:val="00D95DA7"/>
    <w:rsid w:val="00D95F32"/>
    <w:rsid w:val="00D969AC"/>
    <w:rsid w:val="00DA024A"/>
    <w:rsid w:val="00DA07EE"/>
    <w:rsid w:val="00DA0A58"/>
    <w:rsid w:val="00DA1437"/>
    <w:rsid w:val="00DA1C85"/>
    <w:rsid w:val="00DA1CC9"/>
    <w:rsid w:val="00DA2E58"/>
    <w:rsid w:val="00DA328E"/>
    <w:rsid w:val="00DA3AA6"/>
    <w:rsid w:val="00DA46C1"/>
    <w:rsid w:val="00DA70DD"/>
    <w:rsid w:val="00DB088F"/>
    <w:rsid w:val="00DB0B4A"/>
    <w:rsid w:val="00DB1487"/>
    <w:rsid w:val="00DB19B4"/>
    <w:rsid w:val="00DB19F1"/>
    <w:rsid w:val="00DB26AE"/>
    <w:rsid w:val="00DB2F72"/>
    <w:rsid w:val="00DB4411"/>
    <w:rsid w:val="00DB466D"/>
    <w:rsid w:val="00DB5FD0"/>
    <w:rsid w:val="00DB6D52"/>
    <w:rsid w:val="00DB7395"/>
    <w:rsid w:val="00DB75C2"/>
    <w:rsid w:val="00DB7E2C"/>
    <w:rsid w:val="00DC027B"/>
    <w:rsid w:val="00DC0A64"/>
    <w:rsid w:val="00DC0FC4"/>
    <w:rsid w:val="00DC1B9A"/>
    <w:rsid w:val="00DC2344"/>
    <w:rsid w:val="00DC2E4F"/>
    <w:rsid w:val="00DC384C"/>
    <w:rsid w:val="00DC40C4"/>
    <w:rsid w:val="00DC4AFD"/>
    <w:rsid w:val="00DC4D87"/>
    <w:rsid w:val="00DC4D8A"/>
    <w:rsid w:val="00DC582F"/>
    <w:rsid w:val="00DC6DF6"/>
    <w:rsid w:val="00DC7BFE"/>
    <w:rsid w:val="00DD08C7"/>
    <w:rsid w:val="00DD1A10"/>
    <w:rsid w:val="00DD200D"/>
    <w:rsid w:val="00DD2990"/>
    <w:rsid w:val="00DD2D86"/>
    <w:rsid w:val="00DD2FE9"/>
    <w:rsid w:val="00DD3A7E"/>
    <w:rsid w:val="00DD434E"/>
    <w:rsid w:val="00DD4402"/>
    <w:rsid w:val="00DD60D0"/>
    <w:rsid w:val="00DD6200"/>
    <w:rsid w:val="00DD686C"/>
    <w:rsid w:val="00DD6A1C"/>
    <w:rsid w:val="00DD6E86"/>
    <w:rsid w:val="00DE0E5D"/>
    <w:rsid w:val="00DE20E7"/>
    <w:rsid w:val="00DE447F"/>
    <w:rsid w:val="00DE48F0"/>
    <w:rsid w:val="00DE4A77"/>
    <w:rsid w:val="00DE5AD6"/>
    <w:rsid w:val="00DE5F02"/>
    <w:rsid w:val="00DE68EE"/>
    <w:rsid w:val="00DE6D24"/>
    <w:rsid w:val="00DE7285"/>
    <w:rsid w:val="00DE7C40"/>
    <w:rsid w:val="00DF0EA5"/>
    <w:rsid w:val="00DF1F1D"/>
    <w:rsid w:val="00DF23A5"/>
    <w:rsid w:val="00DF4C6E"/>
    <w:rsid w:val="00DF6666"/>
    <w:rsid w:val="00DF745E"/>
    <w:rsid w:val="00DF762E"/>
    <w:rsid w:val="00E0044E"/>
    <w:rsid w:val="00E00816"/>
    <w:rsid w:val="00E00922"/>
    <w:rsid w:val="00E0107D"/>
    <w:rsid w:val="00E0239F"/>
    <w:rsid w:val="00E0267B"/>
    <w:rsid w:val="00E04441"/>
    <w:rsid w:val="00E05F03"/>
    <w:rsid w:val="00E06370"/>
    <w:rsid w:val="00E06B7B"/>
    <w:rsid w:val="00E06E20"/>
    <w:rsid w:val="00E07DD9"/>
    <w:rsid w:val="00E102F8"/>
    <w:rsid w:val="00E12EA5"/>
    <w:rsid w:val="00E12FCF"/>
    <w:rsid w:val="00E13273"/>
    <w:rsid w:val="00E13379"/>
    <w:rsid w:val="00E139EE"/>
    <w:rsid w:val="00E14D83"/>
    <w:rsid w:val="00E14FA6"/>
    <w:rsid w:val="00E15A0D"/>
    <w:rsid w:val="00E16640"/>
    <w:rsid w:val="00E1740F"/>
    <w:rsid w:val="00E17973"/>
    <w:rsid w:val="00E200CF"/>
    <w:rsid w:val="00E2047D"/>
    <w:rsid w:val="00E24287"/>
    <w:rsid w:val="00E276C1"/>
    <w:rsid w:val="00E31367"/>
    <w:rsid w:val="00E3181C"/>
    <w:rsid w:val="00E32EF3"/>
    <w:rsid w:val="00E33E21"/>
    <w:rsid w:val="00E349BE"/>
    <w:rsid w:val="00E34BC4"/>
    <w:rsid w:val="00E350BA"/>
    <w:rsid w:val="00E3540C"/>
    <w:rsid w:val="00E35AA6"/>
    <w:rsid w:val="00E36187"/>
    <w:rsid w:val="00E36332"/>
    <w:rsid w:val="00E36AF1"/>
    <w:rsid w:val="00E36C9B"/>
    <w:rsid w:val="00E37474"/>
    <w:rsid w:val="00E37638"/>
    <w:rsid w:val="00E37E9D"/>
    <w:rsid w:val="00E41B71"/>
    <w:rsid w:val="00E41EFC"/>
    <w:rsid w:val="00E42569"/>
    <w:rsid w:val="00E434A0"/>
    <w:rsid w:val="00E44D30"/>
    <w:rsid w:val="00E4597F"/>
    <w:rsid w:val="00E46CB7"/>
    <w:rsid w:val="00E46EE3"/>
    <w:rsid w:val="00E4723D"/>
    <w:rsid w:val="00E5077C"/>
    <w:rsid w:val="00E50EC8"/>
    <w:rsid w:val="00E5159B"/>
    <w:rsid w:val="00E515C6"/>
    <w:rsid w:val="00E52E0D"/>
    <w:rsid w:val="00E52FE2"/>
    <w:rsid w:val="00E5306F"/>
    <w:rsid w:val="00E54629"/>
    <w:rsid w:val="00E54715"/>
    <w:rsid w:val="00E54D6B"/>
    <w:rsid w:val="00E54E6F"/>
    <w:rsid w:val="00E55338"/>
    <w:rsid w:val="00E569AF"/>
    <w:rsid w:val="00E5774E"/>
    <w:rsid w:val="00E57EEB"/>
    <w:rsid w:val="00E60318"/>
    <w:rsid w:val="00E60BA8"/>
    <w:rsid w:val="00E6112F"/>
    <w:rsid w:val="00E61E25"/>
    <w:rsid w:val="00E61E28"/>
    <w:rsid w:val="00E628E4"/>
    <w:rsid w:val="00E62CB7"/>
    <w:rsid w:val="00E647F7"/>
    <w:rsid w:val="00E65FF5"/>
    <w:rsid w:val="00E66857"/>
    <w:rsid w:val="00E67556"/>
    <w:rsid w:val="00E67AA6"/>
    <w:rsid w:val="00E70282"/>
    <w:rsid w:val="00E7077B"/>
    <w:rsid w:val="00E709B9"/>
    <w:rsid w:val="00E70EE3"/>
    <w:rsid w:val="00E7252F"/>
    <w:rsid w:val="00E73FC2"/>
    <w:rsid w:val="00E74481"/>
    <w:rsid w:val="00E74517"/>
    <w:rsid w:val="00E755D7"/>
    <w:rsid w:val="00E7566D"/>
    <w:rsid w:val="00E76E91"/>
    <w:rsid w:val="00E774B4"/>
    <w:rsid w:val="00E778F5"/>
    <w:rsid w:val="00E80277"/>
    <w:rsid w:val="00E80986"/>
    <w:rsid w:val="00E80E7C"/>
    <w:rsid w:val="00E80F51"/>
    <w:rsid w:val="00E8167A"/>
    <w:rsid w:val="00E81779"/>
    <w:rsid w:val="00E8205B"/>
    <w:rsid w:val="00E82444"/>
    <w:rsid w:val="00E83030"/>
    <w:rsid w:val="00E8341C"/>
    <w:rsid w:val="00E8602B"/>
    <w:rsid w:val="00E86B5F"/>
    <w:rsid w:val="00E87D05"/>
    <w:rsid w:val="00E9064F"/>
    <w:rsid w:val="00E90E68"/>
    <w:rsid w:val="00E91F96"/>
    <w:rsid w:val="00E92E99"/>
    <w:rsid w:val="00E93800"/>
    <w:rsid w:val="00E93FF7"/>
    <w:rsid w:val="00E95241"/>
    <w:rsid w:val="00E968FD"/>
    <w:rsid w:val="00E96D55"/>
    <w:rsid w:val="00E97993"/>
    <w:rsid w:val="00EA07F0"/>
    <w:rsid w:val="00EA0D5D"/>
    <w:rsid w:val="00EA10DB"/>
    <w:rsid w:val="00EA1192"/>
    <w:rsid w:val="00EA153F"/>
    <w:rsid w:val="00EA2788"/>
    <w:rsid w:val="00EA2C6E"/>
    <w:rsid w:val="00EA4964"/>
    <w:rsid w:val="00EA4CA8"/>
    <w:rsid w:val="00EA4F1A"/>
    <w:rsid w:val="00EB02DE"/>
    <w:rsid w:val="00EB0A07"/>
    <w:rsid w:val="00EB1B69"/>
    <w:rsid w:val="00EB1C78"/>
    <w:rsid w:val="00EB3B46"/>
    <w:rsid w:val="00EB4F08"/>
    <w:rsid w:val="00EC2E07"/>
    <w:rsid w:val="00EC3367"/>
    <w:rsid w:val="00EC43C7"/>
    <w:rsid w:val="00EC465D"/>
    <w:rsid w:val="00EC586B"/>
    <w:rsid w:val="00EC5C89"/>
    <w:rsid w:val="00EC6040"/>
    <w:rsid w:val="00EC66D2"/>
    <w:rsid w:val="00EC67E7"/>
    <w:rsid w:val="00EC707C"/>
    <w:rsid w:val="00ED0A1B"/>
    <w:rsid w:val="00ED21BC"/>
    <w:rsid w:val="00ED225D"/>
    <w:rsid w:val="00ED2FEC"/>
    <w:rsid w:val="00ED3F67"/>
    <w:rsid w:val="00ED440A"/>
    <w:rsid w:val="00ED56FA"/>
    <w:rsid w:val="00ED7971"/>
    <w:rsid w:val="00ED79B0"/>
    <w:rsid w:val="00EE0748"/>
    <w:rsid w:val="00EE29A0"/>
    <w:rsid w:val="00EE2CEA"/>
    <w:rsid w:val="00EE2FFB"/>
    <w:rsid w:val="00EE3365"/>
    <w:rsid w:val="00EE48DF"/>
    <w:rsid w:val="00EE4AB3"/>
    <w:rsid w:val="00EE7405"/>
    <w:rsid w:val="00EE7A92"/>
    <w:rsid w:val="00EE7DC1"/>
    <w:rsid w:val="00EF033E"/>
    <w:rsid w:val="00EF06EC"/>
    <w:rsid w:val="00EF09C3"/>
    <w:rsid w:val="00EF14FF"/>
    <w:rsid w:val="00EF2BFE"/>
    <w:rsid w:val="00EF2D85"/>
    <w:rsid w:val="00EF33A9"/>
    <w:rsid w:val="00EF402C"/>
    <w:rsid w:val="00EF45E0"/>
    <w:rsid w:val="00EF4E6F"/>
    <w:rsid w:val="00EF5C82"/>
    <w:rsid w:val="00EF6A0E"/>
    <w:rsid w:val="00EF7A15"/>
    <w:rsid w:val="00F014D1"/>
    <w:rsid w:val="00F01F8C"/>
    <w:rsid w:val="00F035A6"/>
    <w:rsid w:val="00F04AD0"/>
    <w:rsid w:val="00F0646E"/>
    <w:rsid w:val="00F10033"/>
    <w:rsid w:val="00F10848"/>
    <w:rsid w:val="00F10B68"/>
    <w:rsid w:val="00F11F55"/>
    <w:rsid w:val="00F122EE"/>
    <w:rsid w:val="00F12DEC"/>
    <w:rsid w:val="00F13151"/>
    <w:rsid w:val="00F13AC7"/>
    <w:rsid w:val="00F15523"/>
    <w:rsid w:val="00F15832"/>
    <w:rsid w:val="00F16391"/>
    <w:rsid w:val="00F16723"/>
    <w:rsid w:val="00F2062B"/>
    <w:rsid w:val="00F21A18"/>
    <w:rsid w:val="00F21A1A"/>
    <w:rsid w:val="00F21E61"/>
    <w:rsid w:val="00F220EA"/>
    <w:rsid w:val="00F222CD"/>
    <w:rsid w:val="00F24EA4"/>
    <w:rsid w:val="00F2625A"/>
    <w:rsid w:val="00F27C2E"/>
    <w:rsid w:val="00F31A03"/>
    <w:rsid w:val="00F3283C"/>
    <w:rsid w:val="00F32D0F"/>
    <w:rsid w:val="00F343F0"/>
    <w:rsid w:val="00F34620"/>
    <w:rsid w:val="00F34AAB"/>
    <w:rsid w:val="00F34C4D"/>
    <w:rsid w:val="00F350CF"/>
    <w:rsid w:val="00F35582"/>
    <w:rsid w:val="00F37004"/>
    <w:rsid w:val="00F376A1"/>
    <w:rsid w:val="00F3780C"/>
    <w:rsid w:val="00F37B8E"/>
    <w:rsid w:val="00F41746"/>
    <w:rsid w:val="00F41B15"/>
    <w:rsid w:val="00F41E79"/>
    <w:rsid w:val="00F4315F"/>
    <w:rsid w:val="00F445F6"/>
    <w:rsid w:val="00F4512F"/>
    <w:rsid w:val="00F45763"/>
    <w:rsid w:val="00F45BCF"/>
    <w:rsid w:val="00F45BEA"/>
    <w:rsid w:val="00F45CFE"/>
    <w:rsid w:val="00F46877"/>
    <w:rsid w:val="00F47F3E"/>
    <w:rsid w:val="00F523D7"/>
    <w:rsid w:val="00F530E6"/>
    <w:rsid w:val="00F532C7"/>
    <w:rsid w:val="00F53621"/>
    <w:rsid w:val="00F54EE5"/>
    <w:rsid w:val="00F551AD"/>
    <w:rsid w:val="00F55358"/>
    <w:rsid w:val="00F5603C"/>
    <w:rsid w:val="00F5605C"/>
    <w:rsid w:val="00F564B9"/>
    <w:rsid w:val="00F57909"/>
    <w:rsid w:val="00F57E4F"/>
    <w:rsid w:val="00F60006"/>
    <w:rsid w:val="00F612D6"/>
    <w:rsid w:val="00F6241D"/>
    <w:rsid w:val="00F63400"/>
    <w:rsid w:val="00F636C6"/>
    <w:rsid w:val="00F63A4C"/>
    <w:rsid w:val="00F6433D"/>
    <w:rsid w:val="00F64DD2"/>
    <w:rsid w:val="00F654ED"/>
    <w:rsid w:val="00F6573E"/>
    <w:rsid w:val="00F662EB"/>
    <w:rsid w:val="00F665F1"/>
    <w:rsid w:val="00F67332"/>
    <w:rsid w:val="00F67606"/>
    <w:rsid w:val="00F700E1"/>
    <w:rsid w:val="00F70327"/>
    <w:rsid w:val="00F705A3"/>
    <w:rsid w:val="00F70FEF"/>
    <w:rsid w:val="00F72FA8"/>
    <w:rsid w:val="00F75415"/>
    <w:rsid w:val="00F757A1"/>
    <w:rsid w:val="00F773F9"/>
    <w:rsid w:val="00F8101C"/>
    <w:rsid w:val="00F817B9"/>
    <w:rsid w:val="00F81CB7"/>
    <w:rsid w:val="00F82280"/>
    <w:rsid w:val="00F8235F"/>
    <w:rsid w:val="00F82514"/>
    <w:rsid w:val="00F8312F"/>
    <w:rsid w:val="00F83A22"/>
    <w:rsid w:val="00F83A95"/>
    <w:rsid w:val="00F83A97"/>
    <w:rsid w:val="00F844F0"/>
    <w:rsid w:val="00F84895"/>
    <w:rsid w:val="00F84E9D"/>
    <w:rsid w:val="00F850C7"/>
    <w:rsid w:val="00F86519"/>
    <w:rsid w:val="00F8659E"/>
    <w:rsid w:val="00F86CE4"/>
    <w:rsid w:val="00F86F42"/>
    <w:rsid w:val="00F874BB"/>
    <w:rsid w:val="00F903D0"/>
    <w:rsid w:val="00F909CA"/>
    <w:rsid w:val="00F91941"/>
    <w:rsid w:val="00F91D6F"/>
    <w:rsid w:val="00F92BF3"/>
    <w:rsid w:val="00F92E3F"/>
    <w:rsid w:val="00F938D2"/>
    <w:rsid w:val="00F93CFE"/>
    <w:rsid w:val="00F94291"/>
    <w:rsid w:val="00F94E76"/>
    <w:rsid w:val="00F96389"/>
    <w:rsid w:val="00F9650E"/>
    <w:rsid w:val="00F96B73"/>
    <w:rsid w:val="00F97430"/>
    <w:rsid w:val="00F977C7"/>
    <w:rsid w:val="00F97B3F"/>
    <w:rsid w:val="00FA0890"/>
    <w:rsid w:val="00FA164A"/>
    <w:rsid w:val="00FA1AE0"/>
    <w:rsid w:val="00FA2282"/>
    <w:rsid w:val="00FA3F3E"/>
    <w:rsid w:val="00FA4272"/>
    <w:rsid w:val="00FA4855"/>
    <w:rsid w:val="00FA4ACD"/>
    <w:rsid w:val="00FA53C2"/>
    <w:rsid w:val="00FA5D6D"/>
    <w:rsid w:val="00FA5EF0"/>
    <w:rsid w:val="00FA6428"/>
    <w:rsid w:val="00FA7144"/>
    <w:rsid w:val="00FA7184"/>
    <w:rsid w:val="00FA7A30"/>
    <w:rsid w:val="00FA7FA8"/>
    <w:rsid w:val="00FB158E"/>
    <w:rsid w:val="00FB1D9D"/>
    <w:rsid w:val="00FB2B8A"/>
    <w:rsid w:val="00FB2E48"/>
    <w:rsid w:val="00FB3304"/>
    <w:rsid w:val="00FB46B8"/>
    <w:rsid w:val="00FB4743"/>
    <w:rsid w:val="00FB4B38"/>
    <w:rsid w:val="00FB54BB"/>
    <w:rsid w:val="00FB5AC0"/>
    <w:rsid w:val="00FB6C91"/>
    <w:rsid w:val="00FB74E8"/>
    <w:rsid w:val="00FC0263"/>
    <w:rsid w:val="00FC0348"/>
    <w:rsid w:val="00FC0FB5"/>
    <w:rsid w:val="00FC102A"/>
    <w:rsid w:val="00FC154C"/>
    <w:rsid w:val="00FC1DBC"/>
    <w:rsid w:val="00FC2637"/>
    <w:rsid w:val="00FC2A27"/>
    <w:rsid w:val="00FC393B"/>
    <w:rsid w:val="00FC4052"/>
    <w:rsid w:val="00FC437F"/>
    <w:rsid w:val="00FC5252"/>
    <w:rsid w:val="00FC5E3E"/>
    <w:rsid w:val="00FC6356"/>
    <w:rsid w:val="00FC6ACD"/>
    <w:rsid w:val="00FC7D01"/>
    <w:rsid w:val="00FD0130"/>
    <w:rsid w:val="00FD0373"/>
    <w:rsid w:val="00FD0582"/>
    <w:rsid w:val="00FD0C93"/>
    <w:rsid w:val="00FD1062"/>
    <w:rsid w:val="00FD14F9"/>
    <w:rsid w:val="00FD2589"/>
    <w:rsid w:val="00FD3317"/>
    <w:rsid w:val="00FD39ED"/>
    <w:rsid w:val="00FD4876"/>
    <w:rsid w:val="00FD52A3"/>
    <w:rsid w:val="00FD68D4"/>
    <w:rsid w:val="00FE00D9"/>
    <w:rsid w:val="00FE069C"/>
    <w:rsid w:val="00FE1186"/>
    <w:rsid w:val="00FE177A"/>
    <w:rsid w:val="00FE240A"/>
    <w:rsid w:val="00FE2F04"/>
    <w:rsid w:val="00FE3E3C"/>
    <w:rsid w:val="00FE43E7"/>
    <w:rsid w:val="00FE4B1E"/>
    <w:rsid w:val="00FE4B66"/>
    <w:rsid w:val="00FE4F6E"/>
    <w:rsid w:val="00FE583F"/>
    <w:rsid w:val="00FE5CC4"/>
    <w:rsid w:val="00FE6B13"/>
    <w:rsid w:val="00FE7178"/>
    <w:rsid w:val="00FE7575"/>
    <w:rsid w:val="00FF1070"/>
    <w:rsid w:val="00FF13E2"/>
    <w:rsid w:val="00FF2237"/>
    <w:rsid w:val="00FF26F3"/>
    <w:rsid w:val="00FF3FEA"/>
    <w:rsid w:val="00FF4953"/>
    <w:rsid w:val="00FF5FA3"/>
    <w:rsid w:val="00FF5FCE"/>
    <w:rsid w:val="00FF6177"/>
    <w:rsid w:val="00FF6AD9"/>
    <w:rsid w:val="00FF7066"/>
    <w:rsid w:val="00FF7ED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B2CCA"/>
  <w15:chartTrackingRefBased/>
  <w15:docId w15:val="{BF594D75-29E9-4911-B220-1D4D4A12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B4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character" w:customStyle="1" w:styleId="apple-converted-space">
    <w:name w:val="apple-converted-space"/>
    <w:rsid w:val="00FF3FEA"/>
  </w:style>
  <w:style w:type="paragraph" w:styleId="NoSpacing">
    <w:name w:val="No Spacing"/>
    <w:uiPriority w:val="1"/>
    <w:qFormat/>
    <w:rsid w:val="00623DFD"/>
    <w:rPr>
      <w:rFonts w:ascii="Calibri" w:eastAsia="Calibri" w:hAnsi="Calibri"/>
      <w:sz w:val="22"/>
      <w:szCs w:val="22"/>
      <w:lang w:eastAsia="en-US"/>
    </w:rPr>
  </w:style>
  <w:style w:type="paragraph" w:styleId="FootnoteText">
    <w:name w:val="footnote text"/>
    <w:basedOn w:val="Normal"/>
    <w:link w:val="FootnoteTextChar"/>
    <w:unhideWhenUsed/>
    <w:rsid w:val="008C43FB"/>
    <w:rPr>
      <w:sz w:val="20"/>
      <w:szCs w:val="20"/>
    </w:rPr>
  </w:style>
  <w:style w:type="character" w:customStyle="1" w:styleId="FootnoteTextChar">
    <w:name w:val="Footnote Text Char"/>
    <w:basedOn w:val="DefaultParagraphFont"/>
    <w:link w:val="FootnoteText"/>
    <w:rsid w:val="008C43FB"/>
  </w:style>
  <w:style w:type="character" w:styleId="FootnoteReference">
    <w:name w:val="footnote reference"/>
    <w:basedOn w:val="DefaultParagraphFont"/>
    <w:uiPriority w:val="99"/>
    <w:unhideWhenUsed/>
    <w:rsid w:val="008C43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68649">
      <w:bodyDiv w:val="1"/>
      <w:marLeft w:val="0"/>
      <w:marRight w:val="0"/>
      <w:marTop w:val="0"/>
      <w:marBottom w:val="0"/>
      <w:divBdr>
        <w:top w:val="none" w:sz="0" w:space="0" w:color="auto"/>
        <w:left w:val="none" w:sz="0" w:space="0" w:color="auto"/>
        <w:bottom w:val="none" w:sz="0" w:space="0" w:color="auto"/>
        <w:right w:val="none" w:sz="0" w:space="0" w:color="auto"/>
      </w:divBdr>
      <w:divsChild>
        <w:div w:id="278492052">
          <w:marLeft w:val="0"/>
          <w:marRight w:val="0"/>
          <w:marTop w:val="0"/>
          <w:marBottom w:val="0"/>
          <w:divBdr>
            <w:top w:val="none" w:sz="0" w:space="0" w:color="auto"/>
            <w:left w:val="none" w:sz="0" w:space="0" w:color="auto"/>
            <w:bottom w:val="none" w:sz="0" w:space="0" w:color="auto"/>
            <w:right w:val="none" w:sz="0" w:space="0" w:color="auto"/>
          </w:divBdr>
          <w:divsChild>
            <w:div w:id="295456660">
              <w:marLeft w:val="0"/>
              <w:marRight w:val="0"/>
              <w:marTop w:val="0"/>
              <w:marBottom w:val="0"/>
              <w:divBdr>
                <w:top w:val="none" w:sz="0" w:space="0" w:color="auto"/>
                <w:left w:val="none" w:sz="0" w:space="0" w:color="auto"/>
                <w:bottom w:val="none" w:sz="0" w:space="0" w:color="auto"/>
                <w:right w:val="none" w:sz="0" w:space="0" w:color="auto"/>
              </w:divBdr>
              <w:divsChild>
                <w:div w:id="384724923">
                  <w:marLeft w:val="0"/>
                  <w:marRight w:val="0"/>
                  <w:marTop w:val="0"/>
                  <w:marBottom w:val="0"/>
                  <w:divBdr>
                    <w:top w:val="none" w:sz="0" w:space="0" w:color="auto"/>
                    <w:left w:val="none" w:sz="0" w:space="0" w:color="auto"/>
                    <w:bottom w:val="none" w:sz="0" w:space="0" w:color="auto"/>
                    <w:right w:val="none" w:sz="0" w:space="0" w:color="auto"/>
                  </w:divBdr>
                  <w:divsChild>
                    <w:div w:id="1378123282">
                      <w:marLeft w:val="0"/>
                      <w:marRight w:val="0"/>
                      <w:marTop w:val="0"/>
                      <w:marBottom w:val="0"/>
                      <w:divBdr>
                        <w:top w:val="none" w:sz="0" w:space="0" w:color="auto"/>
                        <w:left w:val="none" w:sz="0" w:space="0" w:color="auto"/>
                        <w:bottom w:val="none" w:sz="0" w:space="0" w:color="auto"/>
                        <w:right w:val="none" w:sz="0" w:space="0" w:color="auto"/>
                      </w:divBdr>
                      <w:divsChild>
                        <w:div w:id="1289434680">
                          <w:marLeft w:val="0"/>
                          <w:marRight w:val="0"/>
                          <w:marTop w:val="0"/>
                          <w:marBottom w:val="0"/>
                          <w:divBdr>
                            <w:top w:val="none" w:sz="0" w:space="0" w:color="auto"/>
                            <w:left w:val="none" w:sz="0" w:space="0" w:color="auto"/>
                            <w:bottom w:val="none" w:sz="0" w:space="0" w:color="auto"/>
                            <w:right w:val="none" w:sz="0" w:space="0" w:color="auto"/>
                          </w:divBdr>
                          <w:divsChild>
                            <w:div w:id="1259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54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s.auzins@f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5DE9-B3BA-4FFA-8995-374E299B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6</Pages>
  <Words>8205</Words>
  <Characters>4677</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Grozījumi Ministru kabineta 2017.gada 14.novembra noteikumos Nr.677 "Uzņēmumu ienākuma nodokļa likuma normu piemērošanas noteikumi"" </vt:lpstr>
    </vt:vector>
  </TitlesOfParts>
  <Company>Finanšu ministrija</Company>
  <LinksUpToDate>false</LinksUpToDate>
  <CharactersWithSpaces>12857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2017.gada 14.novembra noteikumos Nr.677 "Uzņēmumu ienākuma nodokļa likuma normu piemērošanas noteikumi"" </dc:title>
  <dc:subject>Izziņa par atzinumos sniegtajiem iebildumiem</dc:subject>
  <dc:creator>roberts.auzins@fm.gov.lv</dc:creator>
  <cp:keywords/>
  <dc:description>67083919, Roberts.Auzins@mk.gov.lv</dc:description>
  <cp:lastModifiedBy>Ingūna Runča</cp:lastModifiedBy>
  <cp:revision>6</cp:revision>
  <cp:lastPrinted>2019-06-06T06:15:00Z</cp:lastPrinted>
  <dcterms:created xsi:type="dcterms:W3CDTF">2019-06-05T08:51:00Z</dcterms:created>
  <dcterms:modified xsi:type="dcterms:W3CDTF">2019-06-12T07:44:00Z</dcterms:modified>
</cp:coreProperties>
</file>