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jc w:val="center"/>
        <w:tblCellSpacing w:w="0" w:type="dxa"/>
        <w:tblCellMar>
          <w:left w:w="0" w:type="dxa"/>
          <w:right w:w="0" w:type="dxa"/>
        </w:tblCellMar>
        <w:tblLook w:val="04A0" w:firstRow="1" w:lastRow="0" w:firstColumn="1" w:lastColumn="0" w:noHBand="0" w:noVBand="1"/>
      </w:tblPr>
      <w:tblGrid>
        <w:gridCol w:w="15309"/>
      </w:tblGrid>
      <w:tr w:rsidR="00021D5B" w:rsidRPr="008367AD" w:rsidTr="00AD0309">
        <w:trPr>
          <w:tblCellSpacing w:w="0" w:type="dxa"/>
          <w:jc w:val="center"/>
        </w:trPr>
        <w:tc>
          <w:tcPr>
            <w:tcW w:w="15309" w:type="dxa"/>
            <w:tcBorders>
              <w:top w:val="nil"/>
              <w:left w:val="nil"/>
              <w:bottom w:val="single" w:sz="8" w:space="0" w:color="000000"/>
              <w:right w:val="nil"/>
            </w:tcBorders>
            <w:hideMark/>
          </w:tcPr>
          <w:p w:rsidR="00F31F58" w:rsidRPr="008367AD" w:rsidRDefault="00BD52D8" w:rsidP="00421CB1">
            <w:pPr>
              <w:pStyle w:val="naislab"/>
              <w:spacing w:before="0" w:beforeAutospacing="0" w:after="0" w:afterAutospacing="0"/>
              <w:jc w:val="center"/>
              <w:rPr>
                <w:b/>
                <w:sz w:val="28"/>
                <w:szCs w:val="28"/>
              </w:rPr>
            </w:pPr>
            <w:r w:rsidRPr="008367AD">
              <w:rPr>
                <w:b/>
                <w:sz w:val="28"/>
                <w:szCs w:val="28"/>
              </w:rPr>
              <w:t>Izziņa par atzinumos sniegtajiem iebildumiem </w:t>
            </w:r>
            <w:r w:rsidR="00DB607B" w:rsidRPr="008367AD">
              <w:rPr>
                <w:b/>
                <w:sz w:val="28"/>
                <w:szCs w:val="28"/>
              </w:rPr>
              <w:t xml:space="preserve">par </w:t>
            </w:r>
            <w:r w:rsidR="00CE1B51" w:rsidRPr="008367AD">
              <w:rPr>
                <w:b/>
                <w:sz w:val="28"/>
                <w:szCs w:val="28"/>
              </w:rPr>
              <w:t>noteikumu projektu</w:t>
            </w:r>
          </w:p>
          <w:p w:rsidR="00421CB1" w:rsidRPr="008367AD" w:rsidRDefault="00711879" w:rsidP="00421CB1">
            <w:pPr>
              <w:pStyle w:val="naislab"/>
              <w:spacing w:before="0" w:beforeAutospacing="0" w:after="0" w:afterAutospacing="0"/>
              <w:jc w:val="center"/>
              <w:rPr>
                <w:b/>
                <w:sz w:val="28"/>
                <w:szCs w:val="28"/>
              </w:rPr>
            </w:pPr>
            <w:r w:rsidRPr="008367AD">
              <w:rPr>
                <w:b/>
                <w:sz w:val="28"/>
                <w:szCs w:val="28"/>
              </w:rPr>
              <w:t>“</w:t>
            </w:r>
            <w:r w:rsidR="00421CB1" w:rsidRPr="008367AD">
              <w:rPr>
                <w:b/>
                <w:sz w:val="28"/>
                <w:szCs w:val="28"/>
              </w:rPr>
              <w:t>Grozījumi Ministru kabineta 2009.</w:t>
            </w:r>
            <w:r w:rsidR="00021D5B" w:rsidRPr="008367AD">
              <w:rPr>
                <w:b/>
                <w:sz w:val="28"/>
                <w:szCs w:val="28"/>
              </w:rPr>
              <w:t xml:space="preserve"> </w:t>
            </w:r>
            <w:r w:rsidR="00421CB1" w:rsidRPr="008367AD">
              <w:rPr>
                <w:b/>
                <w:sz w:val="28"/>
                <w:szCs w:val="28"/>
              </w:rPr>
              <w:t>gada 22.</w:t>
            </w:r>
            <w:r w:rsidR="00021D5B" w:rsidRPr="008367AD">
              <w:rPr>
                <w:b/>
                <w:sz w:val="28"/>
                <w:szCs w:val="28"/>
              </w:rPr>
              <w:t xml:space="preserve"> </w:t>
            </w:r>
            <w:r w:rsidR="00421CB1" w:rsidRPr="008367AD">
              <w:rPr>
                <w:b/>
                <w:sz w:val="28"/>
                <w:szCs w:val="28"/>
              </w:rPr>
              <w:t>decembra noteikumos Nr.</w:t>
            </w:r>
            <w:r w:rsidR="00021D5B" w:rsidRPr="008367AD">
              <w:rPr>
                <w:b/>
                <w:sz w:val="28"/>
                <w:szCs w:val="28"/>
              </w:rPr>
              <w:t xml:space="preserve"> </w:t>
            </w:r>
            <w:r w:rsidR="00421CB1" w:rsidRPr="008367AD">
              <w:rPr>
                <w:b/>
                <w:sz w:val="28"/>
                <w:szCs w:val="28"/>
              </w:rPr>
              <w:t xml:space="preserve">1525 </w:t>
            </w:r>
          </w:p>
          <w:p w:rsidR="00C31A6E" w:rsidRPr="008367AD" w:rsidRDefault="00421CB1" w:rsidP="00421CB1">
            <w:pPr>
              <w:pStyle w:val="naislab"/>
              <w:spacing w:before="0" w:beforeAutospacing="0" w:after="0" w:afterAutospacing="0"/>
              <w:jc w:val="center"/>
              <w:rPr>
                <w:b/>
                <w:sz w:val="28"/>
                <w:szCs w:val="28"/>
              </w:rPr>
            </w:pPr>
            <w:r w:rsidRPr="008367AD">
              <w:rPr>
                <w:b/>
                <w:sz w:val="28"/>
                <w:szCs w:val="28"/>
              </w:rPr>
              <w:t>“Dārgmetālu izstrādājumu zīmogošanas kārtība un pieļaujamais remedijs”</w:t>
            </w:r>
            <w:r w:rsidR="00711879" w:rsidRPr="008367AD">
              <w:rPr>
                <w:b/>
                <w:sz w:val="28"/>
                <w:szCs w:val="28"/>
              </w:rPr>
              <w:t>”</w:t>
            </w:r>
            <w:r w:rsidRPr="008367AD">
              <w:rPr>
                <w:b/>
                <w:sz w:val="28"/>
                <w:szCs w:val="28"/>
              </w:rPr>
              <w:t xml:space="preserve"> (</w:t>
            </w:r>
            <w:r w:rsidR="00021D5B" w:rsidRPr="008367AD">
              <w:rPr>
                <w:b/>
                <w:sz w:val="28"/>
                <w:szCs w:val="28"/>
              </w:rPr>
              <w:t>VSS-156</w:t>
            </w:r>
            <w:r w:rsidRPr="008367AD">
              <w:rPr>
                <w:b/>
                <w:sz w:val="28"/>
                <w:szCs w:val="28"/>
              </w:rPr>
              <w:t>)</w:t>
            </w:r>
          </w:p>
        </w:tc>
      </w:tr>
    </w:tbl>
    <w:p w:rsidR="00BD52D8" w:rsidRPr="00021D5B" w:rsidRDefault="00BD52D8" w:rsidP="00BD52D8">
      <w:pPr>
        <w:spacing w:before="100" w:beforeAutospacing="1" w:after="100" w:afterAutospacing="1"/>
        <w:jc w:val="center"/>
        <w:rPr>
          <w:rFonts w:eastAsia="Times New Roman"/>
          <w:b/>
          <w:sz w:val="24"/>
          <w:szCs w:val="24"/>
          <w:lang w:eastAsia="lv-LV"/>
        </w:rPr>
      </w:pPr>
      <w:r w:rsidRPr="00021D5B">
        <w:rPr>
          <w:rFonts w:eastAsia="Times New Roman"/>
          <w:b/>
          <w:sz w:val="24"/>
          <w:szCs w:val="24"/>
          <w:lang w:eastAsia="lv-LV"/>
        </w:rPr>
        <w:t>I. Jautājumi, par kuriem saskaņošanā vienošanās nav panākta</w:t>
      </w: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866"/>
        <w:gridCol w:w="2693"/>
        <w:gridCol w:w="3402"/>
        <w:gridCol w:w="2552"/>
        <w:gridCol w:w="3118"/>
      </w:tblGrid>
      <w:tr w:rsidR="00021D5B" w:rsidRPr="00021D5B" w:rsidTr="0046034E">
        <w:tc>
          <w:tcPr>
            <w:tcW w:w="707" w:type="dxa"/>
            <w:vAlign w:val="center"/>
          </w:tcPr>
          <w:p w:rsidR="00BD52D8" w:rsidRPr="00021D5B" w:rsidRDefault="00156BC2" w:rsidP="00430CB6">
            <w:pPr>
              <w:pStyle w:val="naisc"/>
            </w:pPr>
            <w:r w:rsidRPr="00021D5B">
              <w:t> Nr.</w:t>
            </w:r>
            <w:r w:rsidRPr="00021D5B">
              <w:br/>
              <w:t> p.k.</w:t>
            </w:r>
          </w:p>
        </w:tc>
        <w:tc>
          <w:tcPr>
            <w:tcW w:w="2866" w:type="dxa"/>
            <w:vAlign w:val="center"/>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Saskaņošanai nosūtītā projekta redakcija (konkrēta punkta (panta) redakcija)</w:t>
            </w:r>
          </w:p>
        </w:tc>
        <w:tc>
          <w:tcPr>
            <w:tcW w:w="2693" w:type="dxa"/>
            <w:vAlign w:val="center"/>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Atzinumā norādītais ministrijas (citas institūcijas) iebildums, kā arī saskaņošanā papildus izteiktais iebildums par projekta konkrēto punktu (pantu)</w:t>
            </w:r>
          </w:p>
        </w:tc>
        <w:tc>
          <w:tcPr>
            <w:tcW w:w="3402" w:type="dxa"/>
            <w:vAlign w:val="center"/>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Atbildīgās ministrijas pamatojums iebilduma noraidījumam</w:t>
            </w:r>
          </w:p>
        </w:tc>
        <w:tc>
          <w:tcPr>
            <w:tcW w:w="2552" w:type="dxa"/>
            <w:vAlign w:val="center"/>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Atzinuma sniedzēja uzturētais iebildums, ja tas atšķiras no atzinumā norādītā iebilduma pamatojuma</w:t>
            </w:r>
          </w:p>
        </w:tc>
        <w:tc>
          <w:tcPr>
            <w:tcW w:w="3118" w:type="dxa"/>
            <w:vAlign w:val="center"/>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Projekta attiecīgā punkta (panta) galīgā redakcija</w:t>
            </w:r>
          </w:p>
        </w:tc>
      </w:tr>
      <w:tr w:rsidR="00021D5B" w:rsidRPr="00021D5B" w:rsidTr="0046034E">
        <w:tc>
          <w:tcPr>
            <w:tcW w:w="707" w:type="dxa"/>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1</w:t>
            </w:r>
          </w:p>
        </w:tc>
        <w:tc>
          <w:tcPr>
            <w:tcW w:w="2866" w:type="dxa"/>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2</w:t>
            </w:r>
          </w:p>
        </w:tc>
        <w:tc>
          <w:tcPr>
            <w:tcW w:w="2693" w:type="dxa"/>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3</w:t>
            </w:r>
          </w:p>
        </w:tc>
        <w:tc>
          <w:tcPr>
            <w:tcW w:w="3402" w:type="dxa"/>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4</w:t>
            </w:r>
          </w:p>
        </w:tc>
        <w:tc>
          <w:tcPr>
            <w:tcW w:w="2552" w:type="dxa"/>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5</w:t>
            </w:r>
          </w:p>
        </w:tc>
        <w:tc>
          <w:tcPr>
            <w:tcW w:w="3118" w:type="dxa"/>
          </w:tcPr>
          <w:p w:rsidR="00BD52D8" w:rsidRPr="00021D5B" w:rsidRDefault="00156BC2" w:rsidP="00944A4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6</w:t>
            </w:r>
          </w:p>
        </w:tc>
      </w:tr>
    </w:tbl>
    <w:p w:rsidR="002216CB" w:rsidRPr="00021D5B" w:rsidRDefault="002216CB" w:rsidP="002216CB">
      <w:pPr>
        <w:pStyle w:val="naisf"/>
        <w:spacing w:before="0" w:after="0"/>
        <w:rPr>
          <w:b/>
        </w:rPr>
      </w:pPr>
      <w:r w:rsidRPr="00021D5B">
        <w:rPr>
          <w:b/>
        </w:rPr>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021D5B" w:rsidRPr="00021D5B" w:rsidTr="00BA613C">
        <w:tc>
          <w:tcPr>
            <w:tcW w:w="6506" w:type="dxa"/>
          </w:tcPr>
          <w:p w:rsidR="002216CB" w:rsidRPr="00021D5B" w:rsidRDefault="002216CB" w:rsidP="00BA613C">
            <w:pPr>
              <w:pStyle w:val="naisf"/>
              <w:spacing w:before="0" w:after="0"/>
            </w:pPr>
            <w:r w:rsidRPr="00021D5B">
              <w:t>Datums</w:t>
            </w:r>
          </w:p>
        </w:tc>
        <w:tc>
          <w:tcPr>
            <w:tcW w:w="7804" w:type="dxa"/>
            <w:tcBorders>
              <w:bottom w:val="single" w:sz="4" w:space="0" w:color="auto"/>
            </w:tcBorders>
          </w:tcPr>
          <w:p w:rsidR="002A470D" w:rsidRDefault="00021D5B" w:rsidP="00D026DD">
            <w:pPr>
              <w:rPr>
                <w:sz w:val="24"/>
                <w:szCs w:val="24"/>
              </w:rPr>
            </w:pPr>
            <w:r w:rsidRPr="00021D5B">
              <w:rPr>
                <w:sz w:val="24"/>
                <w:szCs w:val="24"/>
              </w:rPr>
              <w:t>15.04.2019. – elektroniska saskaņošana</w:t>
            </w:r>
            <w:r w:rsidR="00C519D2" w:rsidRPr="00021D5B">
              <w:rPr>
                <w:sz w:val="24"/>
                <w:szCs w:val="24"/>
              </w:rPr>
              <w:t>.</w:t>
            </w:r>
          </w:p>
          <w:p w:rsidR="006321B7" w:rsidRPr="00021D5B" w:rsidRDefault="00905EA9" w:rsidP="00D026DD">
            <w:pPr>
              <w:rPr>
                <w:sz w:val="24"/>
                <w:szCs w:val="24"/>
              </w:rPr>
            </w:pPr>
            <w:r>
              <w:rPr>
                <w:sz w:val="24"/>
                <w:szCs w:val="24"/>
              </w:rPr>
              <w:t>08.05.2019. – starpministriju sanāksme.</w:t>
            </w:r>
            <w:bookmarkStart w:id="0" w:name="_GoBack"/>
            <w:bookmarkEnd w:id="0"/>
          </w:p>
        </w:tc>
      </w:tr>
      <w:tr w:rsidR="00021D5B" w:rsidRPr="00021D5B" w:rsidTr="00BA613C">
        <w:tc>
          <w:tcPr>
            <w:tcW w:w="6506" w:type="dxa"/>
          </w:tcPr>
          <w:p w:rsidR="002216CB" w:rsidRPr="00021D5B" w:rsidRDefault="002216CB" w:rsidP="00BA613C">
            <w:pPr>
              <w:pStyle w:val="naisf"/>
              <w:spacing w:before="0" w:after="0"/>
            </w:pPr>
          </w:p>
        </w:tc>
        <w:tc>
          <w:tcPr>
            <w:tcW w:w="7804" w:type="dxa"/>
            <w:tcBorders>
              <w:top w:val="single" w:sz="4" w:space="0" w:color="auto"/>
            </w:tcBorders>
          </w:tcPr>
          <w:p w:rsidR="002216CB" w:rsidRPr="00021D5B" w:rsidRDefault="002216CB" w:rsidP="00BA613C">
            <w:pPr>
              <w:pStyle w:val="NormalWeb"/>
              <w:spacing w:before="0" w:beforeAutospacing="0" w:after="0" w:afterAutospacing="0"/>
              <w:jc w:val="both"/>
            </w:pPr>
          </w:p>
        </w:tc>
      </w:tr>
      <w:tr w:rsidR="00021D5B" w:rsidRPr="00021D5B" w:rsidTr="00BA613C">
        <w:trPr>
          <w:trHeight w:val="278"/>
        </w:trPr>
        <w:tc>
          <w:tcPr>
            <w:tcW w:w="6506" w:type="dxa"/>
            <w:vMerge w:val="restart"/>
          </w:tcPr>
          <w:p w:rsidR="002216CB" w:rsidRPr="00021D5B" w:rsidRDefault="002216CB" w:rsidP="00BA613C">
            <w:pPr>
              <w:pStyle w:val="naiskr"/>
              <w:spacing w:before="0" w:after="0"/>
              <w:jc w:val="both"/>
            </w:pPr>
            <w:r w:rsidRPr="00021D5B">
              <w:t>Saskaņošanas dalībnieki</w:t>
            </w:r>
          </w:p>
        </w:tc>
        <w:tc>
          <w:tcPr>
            <w:tcW w:w="7804" w:type="dxa"/>
            <w:tcBorders>
              <w:left w:val="nil"/>
              <w:bottom w:val="single" w:sz="4" w:space="0" w:color="auto"/>
            </w:tcBorders>
          </w:tcPr>
          <w:p w:rsidR="00797EB5" w:rsidRPr="00021D5B" w:rsidRDefault="00C73319" w:rsidP="00021D5B">
            <w:pPr>
              <w:pStyle w:val="NormalWeb"/>
              <w:spacing w:before="0" w:beforeAutospacing="0" w:after="0" w:afterAutospacing="0"/>
              <w:jc w:val="both"/>
              <w:rPr>
                <w:rFonts w:eastAsia="Times New Roman"/>
              </w:rPr>
            </w:pPr>
            <w:r w:rsidRPr="00021D5B">
              <w:rPr>
                <w:rFonts w:eastAsia="Times New Roman"/>
              </w:rPr>
              <w:t>Tieslietu ministrija</w:t>
            </w:r>
            <w:r w:rsidR="00900F4A" w:rsidRPr="00021D5B">
              <w:rPr>
                <w:rFonts w:eastAsia="Times New Roman"/>
              </w:rPr>
              <w:t xml:space="preserve">, </w:t>
            </w:r>
            <w:r w:rsidR="00021D5B" w:rsidRPr="00021D5B">
              <w:rPr>
                <w:rFonts w:eastAsia="Times New Roman"/>
              </w:rPr>
              <w:t>Ekonomikas ministrija</w:t>
            </w:r>
            <w:r w:rsidR="00F55796" w:rsidRPr="00021D5B">
              <w:rPr>
                <w:rFonts w:eastAsia="Times New Roman"/>
              </w:rPr>
              <w:t>.</w:t>
            </w:r>
          </w:p>
        </w:tc>
      </w:tr>
      <w:tr w:rsidR="00021D5B" w:rsidRPr="00021D5B" w:rsidTr="00BA613C">
        <w:trPr>
          <w:trHeight w:val="277"/>
        </w:trPr>
        <w:tc>
          <w:tcPr>
            <w:tcW w:w="6506" w:type="dxa"/>
            <w:vMerge/>
          </w:tcPr>
          <w:p w:rsidR="002216CB" w:rsidRPr="00021D5B" w:rsidRDefault="002216CB" w:rsidP="00BA613C">
            <w:pPr>
              <w:pStyle w:val="naiskr"/>
              <w:spacing w:before="0" w:after="0"/>
              <w:jc w:val="both"/>
            </w:pPr>
          </w:p>
        </w:tc>
        <w:tc>
          <w:tcPr>
            <w:tcW w:w="7804" w:type="dxa"/>
            <w:tcBorders>
              <w:top w:val="single" w:sz="4" w:space="0" w:color="auto"/>
              <w:left w:val="nil"/>
              <w:bottom w:val="single" w:sz="4" w:space="0" w:color="auto"/>
            </w:tcBorders>
          </w:tcPr>
          <w:p w:rsidR="002216CB" w:rsidRPr="00021D5B" w:rsidRDefault="002216CB" w:rsidP="00BA613C">
            <w:pPr>
              <w:pStyle w:val="NormalWeb"/>
              <w:spacing w:before="0" w:beforeAutospacing="0" w:after="0" w:afterAutospacing="0"/>
              <w:jc w:val="both"/>
            </w:pPr>
          </w:p>
        </w:tc>
      </w:tr>
      <w:tr w:rsidR="00021D5B" w:rsidRPr="00021D5B" w:rsidTr="00BA613C">
        <w:tc>
          <w:tcPr>
            <w:tcW w:w="6506" w:type="dxa"/>
          </w:tcPr>
          <w:p w:rsidR="002216CB" w:rsidRPr="00021D5B" w:rsidRDefault="002216CB" w:rsidP="00BA613C">
            <w:pPr>
              <w:pStyle w:val="naiskr"/>
              <w:spacing w:before="0" w:after="0"/>
              <w:jc w:val="both"/>
            </w:pPr>
          </w:p>
        </w:tc>
        <w:tc>
          <w:tcPr>
            <w:tcW w:w="7804" w:type="dxa"/>
            <w:tcBorders>
              <w:top w:val="single" w:sz="4" w:space="0" w:color="auto"/>
              <w:bottom w:val="single" w:sz="4" w:space="0" w:color="auto"/>
            </w:tcBorders>
          </w:tcPr>
          <w:p w:rsidR="002216CB" w:rsidRPr="00021D5B" w:rsidRDefault="002216CB" w:rsidP="00BA613C">
            <w:pPr>
              <w:pStyle w:val="naiskr"/>
              <w:spacing w:before="0" w:after="0"/>
              <w:jc w:val="both"/>
            </w:pPr>
          </w:p>
        </w:tc>
      </w:tr>
      <w:tr w:rsidR="00021D5B" w:rsidRPr="00021D5B" w:rsidTr="00BA613C">
        <w:trPr>
          <w:gridAfter w:val="1"/>
          <w:wAfter w:w="7804" w:type="dxa"/>
        </w:trPr>
        <w:tc>
          <w:tcPr>
            <w:tcW w:w="6506" w:type="dxa"/>
          </w:tcPr>
          <w:p w:rsidR="002216CB" w:rsidRPr="00021D5B" w:rsidRDefault="002216CB" w:rsidP="00BA613C">
            <w:pPr>
              <w:pStyle w:val="naiskr"/>
              <w:spacing w:before="0" w:after="0"/>
              <w:jc w:val="both"/>
            </w:pPr>
          </w:p>
        </w:tc>
      </w:tr>
      <w:tr w:rsidR="00021D5B" w:rsidRPr="00021D5B" w:rsidTr="00BA613C">
        <w:trPr>
          <w:trHeight w:val="278"/>
        </w:trPr>
        <w:tc>
          <w:tcPr>
            <w:tcW w:w="6506" w:type="dxa"/>
            <w:vMerge w:val="restart"/>
          </w:tcPr>
          <w:p w:rsidR="002216CB" w:rsidRPr="00021D5B" w:rsidRDefault="002216CB" w:rsidP="00BA613C">
            <w:pPr>
              <w:pStyle w:val="naiskr"/>
              <w:spacing w:before="0" w:after="0"/>
              <w:ind w:right="336"/>
              <w:jc w:val="both"/>
            </w:pPr>
            <w:r w:rsidRPr="00021D5B">
              <w:t>Saskaņošanas dalībnieki izskatīja šādu ministriju (citu institūciju) iebildumus</w:t>
            </w:r>
          </w:p>
        </w:tc>
        <w:tc>
          <w:tcPr>
            <w:tcW w:w="7804" w:type="dxa"/>
            <w:tcBorders>
              <w:bottom w:val="single" w:sz="4" w:space="0" w:color="auto"/>
            </w:tcBorders>
          </w:tcPr>
          <w:p w:rsidR="002216CB" w:rsidRPr="00021D5B" w:rsidRDefault="002C2804" w:rsidP="00021D5B">
            <w:pPr>
              <w:pStyle w:val="naiskr"/>
              <w:spacing w:before="0" w:after="0"/>
              <w:jc w:val="both"/>
            </w:pPr>
            <w:r w:rsidRPr="00021D5B">
              <w:t>Tieslietu ministrijas</w:t>
            </w:r>
            <w:r w:rsidR="001811FD">
              <w:t xml:space="preserve"> un</w:t>
            </w:r>
            <w:r w:rsidR="00CE1B51" w:rsidRPr="00021D5B">
              <w:t xml:space="preserve"> </w:t>
            </w:r>
            <w:r w:rsidR="00021D5B" w:rsidRPr="00021D5B">
              <w:t>Ekonomikas ministrijas</w:t>
            </w:r>
            <w:r w:rsidR="00540AF3" w:rsidRPr="00021D5B">
              <w:t xml:space="preserve"> izteiktie iebildumi</w:t>
            </w:r>
            <w:r w:rsidR="00307F4B" w:rsidRPr="00021D5B">
              <w:t>.</w:t>
            </w:r>
          </w:p>
        </w:tc>
      </w:tr>
      <w:tr w:rsidR="00CE1B51" w:rsidRPr="00021D5B" w:rsidTr="00BA613C">
        <w:trPr>
          <w:trHeight w:val="277"/>
        </w:trPr>
        <w:tc>
          <w:tcPr>
            <w:tcW w:w="6506" w:type="dxa"/>
            <w:vMerge/>
          </w:tcPr>
          <w:p w:rsidR="002216CB" w:rsidRPr="00021D5B" w:rsidRDefault="002216CB" w:rsidP="00BA613C">
            <w:pPr>
              <w:pStyle w:val="naiskr"/>
              <w:spacing w:before="0" w:after="0"/>
            </w:pPr>
          </w:p>
        </w:tc>
        <w:tc>
          <w:tcPr>
            <w:tcW w:w="7804" w:type="dxa"/>
            <w:tcBorders>
              <w:top w:val="single" w:sz="4" w:space="0" w:color="auto"/>
              <w:bottom w:val="single" w:sz="4" w:space="0" w:color="auto"/>
            </w:tcBorders>
          </w:tcPr>
          <w:p w:rsidR="002216CB" w:rsidRPr="00021D5B" w:rsidRDefault="002216CB" w:rsidP="00BA613C">
            <w:pPr>
              <w:pStyle w:val="naiskr"/>
              <w:spacing w:before="0" w:after="0"/>
              <w:jc w:val="both"/>
            </w:pPr>
          </w:p>
        </w:tc>
      </w:tr>
    </w:tbl>
    <w:p w:rsidR="00C31A6E" w:rsidRPr="00021D5B" w:rsidRDefault="00C31A6E" w:rsidP="00A47E6A">
      <w:pPr>
        <w:spacing w:before="100" w:beforeAutospacing="1" w:after="100" w:afterAutospacing="1"/>
        <w:jc w:val="center"/>
        <w:rPr>
          <w:rFonts w:eastAsia="Times New Roman"/>
          <w:b/>
          <w:sz w:val="24"/>
          <w:szCs w:val="24"/>
          <w:lang w:eastAsia="lv-LV"/>
        </w:rPr>
      </w:pPr>
    </w:p>
    <w:p w:rsidR="00F314EB" w:rsidRPr="00021D5B" w:rsidRDefault="00BD52D8" w:rsidP="0038346E">
      <w:pPr>
        <w:spacing w:before="100" w:beforeAutospacing="1" w:after="100" w:afterAutospacing="1"/>
        <w:jc w:val="center"/>
        <w:rPr>
          <w:rFonts w:eastAsia="Times New Roman"/>
          <w:b/>
          <w:sz w:val="24"/>
          <w:szCs w:val="24"/>
          <w:lang w:eastAsia="lv-LV"/>
        </w:rPr>
      </w:pPr>
      <w:r w:rsidRPr="00021D5B">
        <w:rPr>
          <w:rFonts w:eastAsia="Times New Roman"/>
          <w:b/>
          <w:sz w:val="24"/>
          <w:szCs w:val="24"/>
          <w:lang w:eastAsia="lv-LV"/>
        </w:rPr>
        <w:t>I. Jautājumi, par kuriem saskaņošanā vienošanās ir panākta</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
        <w:gridCol w:w="647"/>
        <w:gridCol w:w="3073"/>
        <w:gridCol w:w="1117"/>
        <w:gridCol w:w="3277"/>
        <w:gridCol w:w="3118"/>
        <w:gridCol w:w="2668"/>
        <w:gridCol w:w="734"/>
      </w:tblGrid>
      <w:tr w:rsidR="00021D5B" w:rsidRPr="00021D5B" w:rsidTr="00E07510">
        <w:tc>
          <w:tcPr>
            <w:tcW w:w="750" w:type="dxa"/>
            <w:gridSpan w:val="2"/>
            <w:vAlign w:val="center"/>
          </w:tcPr>
          <w:p w:rsidR="00337007" w:rsidRPr="00021D5B" w:rsidRDefault="00337007" w:rsidP="00435C09">
            <w:pPr>
              <w:pStyle w:val="naisc"/>
            </w:pPr>
            <w:r w:rsidRPr="00021D5B">
              <w:t> Nr.</w:t>
            </w:r>
            <w:r w:rsidRPr="00021D5B">
              <w:br/>
              <w:t> p.k.</w:t>
            </w:r>
          </w:p>
        </w:tc>
        <w:tc>
          <w:tcPr>
            <w:tcW w:w="3073" w:type="dxa"/>
            <w:vAlign w:val="center"/>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Saskaņošanai nosūtītā projekta redakcija (konkrēta punkta (panta) redakcija)</w:t>
            </w:r>
          </w:p>
        </w:tc>
        <w:tc>
          <w:tcPr>
            <w:tcW w:w="4394" w:type="dxa"/>
            <w:gridSpan w:val="2"/>
            <w:vAlign w:val="center"/>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Atzinumā norādītais ministrijas (citas institūcijas) iebildums, kā arī saskaņošanā papildus izteiktais iebildums par projekta konkrēto punktu (pantu)</w:t>
            </w:r>
          </w:p>
        </w:tc>
        <w:tc>
          <w:tcPr>
            <w:tcW w:w="3118" w:type="dxa"/>
            <w:vAlign w:val="center"/>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Atbildīgās ministrijas norāde par to, ka iebildums ir ņemts vērā, vai informācija par saskaņošanā panākto alternatīvo risinājumu</w:t>
            </w:r>
          </w:p>
        </w:tc>
        <w:tc>
          <w:tcPr>
            <w:tcW w:w="3402" w:type="dxa"/>
            <w:gridSpan w:val="2"/>
            <w:vAlign w:val="center"/>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Projekta attiecīgā punkta (panta) galīgā redakcija</w:t>
            </w:r>
          </w:p>
        </w:tc>
      </w:tr>
      <w:tr w:rsidR="00021D5B" w:rsidRPr="00021D5B" w:rsidTr="00E07510">
        <w:tc>
          <w:tcPr>
            <w:tcW w:w="750" w:type="dxa"/>
            <w:gridSpan w:val="2"/>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lastRenderedPageBreak/>
              <w:t>1</w:t>
            </w:r>
          </w:p>
        </w:tc>
        <w:tc>
          <w:tcPr>
            <w:tcW w:w="3073" w:type="dxa"/>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2</w:t>
            </w:r>
          </w:p>
        </w:tc>
        <w:tc>
          <w:tcPr>
            <w:tcW w:w="4394" w:type="dxa"/>
            <w:gridSpan w:val="2"/>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3</w:t>
            </w:r>
          </w:p>
        </w:tc>
        <w:tc>
          <w:tcPr>
            <w:tcW w:w="3118" w:type="dxa"/>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4</w:t>
            </w:r>
          </w:p>
        </w:tc>
        <w:tc>
          <w:tcPr>
            <w:tcW w:w="3402" w:type="dxa"/>
            <w:gridSpan w:val="2"/>
          </w:tcPr>
          <w:p w:rsidR="00337007" w:rsidRPr="00021D5B" w:rsidRDefault="00337007" w:rsidP="00435C09">
            <w:pPr>
              <w:spacing w:before="100" w:beforeAutospacing="1" w:after="100" w:afterAutospacing="1"/>
              <w:jc w:val="center"/>
              <w:rPr>
                <w:rFonts w:eastAsia="Times New Roman"/>
                <w:sz w:val="24"/>
                <w:szCs w:val="24"/>
                <w:lang w:eastAsia="lv-LV"/>
              </w:rPr>
            </w:pPr>
            <w:r w:rsidRPr="00021D5B">
              <w:rPr>
                <w:rFonts w:eastAsia="Times New Roman"/>
                <w:sz w:val="24"/>
                <w:szCs w:val="24"/>
                <w:lang w:eastAsia="lv-LV"/>
              </w:rPr>
              <w:t>5</w:t>
            </w:r>
          </w:p>
        </w:tc>
      </w:tr>
      <w:tr w:rsidR="00F91897" w:rsidRPr="00F91897" w:rsidTr="00E07510">
        <w:tc>
          <w:tcPr>
            <w:tcW w:w="750" w:type="dxa"/>
            <w:gridSpan w:val="2"/>
          </w:tcPr>
          <w:p w:rsidR="003D004E" w:rsidRPr="00F91897" w:rsidRDefault="00AC3861" w:rsidP="00B86A46">
            <w:pPr>
              <w:spacing w:before="100" w:beforeAutospacing="1" w:after="100" w:afterAutospacing="1"/>
              <w:jc w:val="center"/>
              <w:rPr>
                <w:rFonts w:eastAsia="Times New Roman"/>
                <w:sz w:val="24"/>
                <w:szCs w:val="24"/>
                <w:lang w:eastAsia="lv-LV"/>
              </w:rPr>
            </w:pPr>
            <w:r>
              <w:rPr>
                <w:rFonts w:eastAsia="Times New Roman"/>
                <w:sz w:val="24"/>
                <w:szCs w:val="24"/>
                <w:lang w:eastAsia="lv-LV"/>
              </w:rPr>
              <w:t>1</w:t>
            </w:r>
            <w:r w:rsidR="00F91897" w:rsidRPr="00F91897">
              <w:rPr>
                <w:rFonts w:eastAsia="Times New Roman"/>
                <w:sz w:val="24"/>
                <w:szCs w:val="24"/>
                <w:lang w:eastAsia="lv-LV"/>
              </w:rPr>
              <w:t>.</w:t>
            </w:r>
          </w:p>
        </w:tc>
        <w:tc>
          <w:tcPr>
            <w:tcW w:w="3073" w:type="dxa"/>
          </w:tcPr>
          <w:p w:rsidR="003D004E" w:rsidRPr="00F91897" w:rsidRDefault="00D7295E" w:rsidP="003D004E">
            <w:pPr>
              <w:jc w:val="both"/>
              <w:rPr>
                <w:rFonts w:eastAsia="Times New Roman"/>
                <w:sz w:val="24"/>
                <w:szCs w:val="24"/>
                <w:lang w:eastAsia="lv-LV"/>
              </w:rPr>
            </w:pPr>
            <w:r w:rsidRPr="00F91897">
              <w:rPr>
                <w:rFonts w:eastAsia="Times New Roman"/>
                <w:sz w:val="24"/>
                <w:szCs w:val="24"/>
                <w:lang w:eastAsia="lv-LV"/>
              </w:rPr>
              <w:t>Noteikumu projekts</w:t>
            </w:r>
          </w:p>
          <w:p w:rsidR="00102DC4" w:rsidRPr="00F91897" w:rsidRDefault="00102DC4" w:rsidP="00B86A46">
            <w:pPr>
              <w:jc w:val="both"/>
              <w:rPr>
                <w:rFonts w:eastAsia="Times New Roman"/>
                <w:sz w:val="24"/>
                <w:szCs w:val="24"/>
                <w:lang w:eastAsia="lv-LV"/>
              </w:rPr>
            </w:pPr>
            <w:r w:rsidRPr="00F91897">
              <w:rPr>
                <w:rFonts w:eastAsia="Times New Roman"/>
                <w:sz w:val="24"/>
                <w:szCs w:val="24"/>
                <w:lang w:eastAsia="lv-LV"/>
              </w:rPr>
              <w:t>“</w:t>
            </w:r>
            <w:r w:rsidR="00F91897" w:rsidRPr="00F91897">
              <w:rPr>
                <w:rFonts w:eastAsia="Times New Roman"/>
                <w:sz w:val="24"/>
                <w:szCs w:val="24"/>
                <w:lang w:eastAsia="lv-LV"/>
              </w:rPr>
              <w:t>22. Birojs, nosakot dārgmetālu izstrādājumu provi vai veicot dārgmetālu izstrādājumu atbilstības pārbaudi, preces drošuma prasībām piemēro to Latvijas nacionālo standartu prasības, kuru sarakstu pēc Ekonomikas ministrijas ieteikuma sabiedrība ar ierobežotu atbildību “Latvijas standarts” ir publicējusi savā tīmekļvietnē. Ķīmiskām analīzēm drīkst atlasīt ne vairāk kā 1 % no izstrādājumiem, kuri sašķiroti pēc metāla un izstrādājumu veida un kuru skaits ir lielāks par 100.</w:t>
            </w:r>
            <w:r w:rsidRPr="00F91897">
              <w:rPr>
                <w:rFonts w:eastAsia="Times New Roman"/>
                <w:sz w:val="24"/>
                <w:szCs w:val="24"/>
                <w:lang w:eastAsia="lv-LV"/>
              </w:rPr>
              <w:t>”.</w:t>
            </w:r>
          </w:p>
        </w:tc>
        <w:tc>
          <w:tcPr>
            <w:tcW w:w="4394" w:type="dxa"/>
            <w:gridSpan w:val="2"/>
          </w:tcPr>
          <w:p w:rsidR="00102DC4" w:rsidRPr="00F91897" w:rsidRDefault="00D7295E" w:rsidP="00102DC4">
            <w:pPr>
              <w:jc w:val="both"/>
              <w:rPr>
                <w:rFonts w:eastAsia="Times New Roman"/>
                <w:b/>
                <w:sz w:val="24"/>
                <w:szCs w:val="24"/>
              </w:rPr>
            </w:pPr>
            <w:r w:rsidRPr="00F91897">
              <w:rPr>
                <w:rFonts w:eastAsia="Times New Roman"/>
                <w:b/>
                <w:sz w:val="24"/>
                <w:szCs w:val="24"/>
              </w:rPr>
              <w:t>Ekonomikas ministrija</w:t>
            </w:r>
            <w:r w:rsidR="00102DC4" w:rsidRPr="00F91897">
              <w:rPr>
                <w:rFonts w:eastAsia="Times New Roman"/>
                <w:b/>
                <w:sz w:val="24"/>
                <w:szCs w:val="24"/>
              </w:rPr>
              <w:t xml:space="preserve"> (</w:t>
            </w:r>
            <w:r w:rsidRPr="00F91897">
              <w:rPr>
                <w:rFonts w:eastAsia="Times New Roman"/>
                <w:b/>
                <w:sz w:val="24"/>
                <w:szCs w:val="24"/>
              </w:rPr>
              <w:t>12.03.2019.</w:t>
            </w:r>
            <w:r w:rsidR="00102DC4" w:rsidRPr="00F91897">
              <w:rPr>
                <w:rFonts w:eastAsia="Times New Roman"/>
                <w:b/>
                <w:sz w:val="24"/>
                <w:szCs w:val="24"/>
              </w:rPr>
              <w:t xml:space="preserve"> Nr. </w:t>
            </w:r>
            <w:r w:rsidRPr="00F91897">
              <w:rPr>
                <w:rFonts w:eastAsia="Times New Roman"/>
                <w:b/>
                <w:sz w:val="24"/>
                <w:szCs w:val="24"/>
              </w:rPr>
              <w:t>3.1-20/2019/57</w:t>
            </w:r>
            <w:r w:rsidR="00102DC4" w:rsidRPr="00F91897">
              <w:rPr>
                <w:rFonts w:eastAsia="Times New Roman"/>
                <w:b/>
                <w:sz w:val="24"/>
                <w:szCs w:val="24"/>
              </w:rPr>
              <w:t>).</w:t>
            </w:r>
          </w:p>
          <w:p w:rsidR="00D7295E" w:rsidRPr="00F91897" w:rsidRDefault="00D7295E" w:rsidP="00D7295E">
            <w:pPr>
              <w:jc w:val="both"/>
              <w:rPr>
                <w:rFonts w:eastAsia="Times New Roman"/>
                <w:sz w:val="24"/>
                <w:szCs w:val="24"/>
              </w:rPr>
            </w:pPr>
            <w:r w:rsidRPr="00F91897">
              <w:rPr>
                <w:rFonts w:eastAsia="Times New Roman"/>
                <w:sz w:val="24"/>
                <w:szCs w:val="24"/>
              </w:rPr>
              <w:t>Atbilstoši Projektā noteiktajam, nosakot dārgmetālu izstrādājumu provi vai veicot dārgmetālu izstrādājumu atbilstības pārbaudi piemēro Latvijas nacionālos standartus, kuru sarakstu pēc Ekonomikas ministrijas ieteikuma sabiedrība ar ierobežotu atbildību “Latvijas standarts” ir publicējusi savā tīmekļvietnē.</w:t>
            </w:r>
          </w:p>
          <w:p w:rsidR="00D7295E" w:rsidRPr="00F91897" w:rsidRDefault="00D7295E" w:rsidP="00D7295E">
            <w:pPr>
              <w:jc w:val="both"/>
              <w:rPr>
                <w:rFonts w:eastAsia="Times New Roman"/>
                <w:sz w:val="24"/>
                <w:szCs w:val="24"/>
              </w:rPr>
            </w:pPr>
            <w:r w:rsidRPr="00F91897">
              <w:rPr>
                <w:rFonts w:eastAsia="Times New Roman"/>
                <w:sz w:val="24"/>
                <w:szCs w:val="24"/>
              </w:rPr>
              <w:t xml:space="preserve">No iepriekš minētā izriet, ka nacionālās standartizācijas institūcijas “Latvijas standarts” (turpmāk – LVS) tīmekļvietnē publicēto standartu izmantošana ir noteikta, kā obligāta. Norādām, ka šāda prasība ir pretrunā Ministru kabineta  2016. gada 21. septembra rīkojumam Nr.534 “Par konceptuālo ziņojumu “Par Latvijas nacionālās standartizācijas sistēmas pilnveidošanu”” (turpmāk – Konceptuālais ziņojums), kas nosaka, ka piemērojamo standartu pielietošana ir brīvprātīga. </w:t>
            </w:r>
          </w:p>
          <w:p w:rsidR="003D004E" w:rsidRDefault="00D7295E" w:rsidP="00D7295E">
            <w:pPr>
              <w:jc w:val="both"/>
              <w:rPr>
                <w:rFonts w:eastAsia="Times New Roman"/>
                <w:sz w:val="24"/>
                <w:szCs w:val="24"/>
              </w:rPr>
            </w:pPr>
            <w:r w:rsidRPr="00F91897">
              <w:rPr>
                <w:rFonts w:eastAsia="Times New Roman"/>
                <w:sz w:val="24"/>
                <w:szCs w:val="24"/>
              </w:rPr>
              <w:t xml:space="preserve">Vienlaikus vēršam uzmanību, ka Konceptuālais ziņojums, kas izstrādāts, lai veidotu vienotu izpratni par standartu izmantošanas veidiem paredz, ka netiešo atsauču uz standartiem (piemērojamo standartu) piemērošanas gadījumā normatīvajā aktā ir iekļaujami šādi būtiski elementi – būtisko prasību uzskaitījums un atbilstības prezumpcijas klauzula. Ņemot vērā, ka Projektā paredzēts izmantot netiešās atsauces, lūdzam Projekta normu, kas paredz piemērojamo standartu </w:t>
            </w:r>
            <w:r w:rsidRPr="00F91897">
              <w:rPr>
                <w:rFonts w:eastAsia="Times New Roman"/>
                <w:sz w:val="24"/>
                <w:szCs w:val="24"/>
              </w:rPr>
              <w:lastRenderedPageBreak/>
              <w:t>izmantošanu, izteikt atbilstoši Konceptuālajā ziņojumā noteiktajam.</w:t>
            </w:r>
          </w:p>
          <w:p w:rsidR="00D1010F" w:rsidRDefault="00D1010F" w:rsidP="00D7295E">
            <w:pPr>
              <w:jc w:val="both"/>
              <w:rPr>
                <w:rFonts w:eastAsia="Times New Roman"/>
                <w:sz w:val="24"/>
                <w:szCs w:val="24"/>
              </w:rPr>
            </w:pPr>
          </w:p>
          <w:p w:rsidR="00D1010F" w:rsidRPr="00DE40D0" w:rsidRDefault="00D1010F" w:rsidP="00D1010F">
            <w:pPr>
              <w:tabs>
                <w:tab w:val="left" w:pos="0"/>
                <w:tab w:val="left" w:pos="709"/>
                <w:tab w:val="left" w:pos="993"/>
              </w:tabs>
              <w:suppressAutoHyphens/>
              <w:jc w:val="both"/>
              <w:outlineLvl w:val="3"/>
              <w:rPr>
                <w:rFonts w:eastAsia="Times New Roman"/>
                <w:b/>
                <w:sz w:val="24"/>
                <w:szCs w:val="24"/>
                <w:lang w:eastAsia="lv-LV"/>
              </w:rPr>
            </w:pPr>
            <w:r w:rsidRPr="00DE40D0">
              <w:rPr>
                <w:rFonts w:eastAsia="Times New Roman"/>
                <w:b/>
                <w:sz w:val="24"/>
                <w:szCs w:val="24"/>
                <w:lang w:eastAsia="lv-LV"/>
              </w:rPr>
              <w:t>Ekonomikas ministrija</w:t>
            </w:r>
          </w:p>
          <w:p w:rsidR="00D1010F" w:rsidRPr="00DE40D0" w:rsidRDefault="00D1010F" w:rsidP="00D1010F">
            <w:pPr>
              <w:tabs>
                <w:tab w:val="left" w:pos="0"/>
                <w:tab w:val="left" w:pos="709"/>
                <w:tab w:val="left" w:pos="993"/>
              </w:tabs>
              <w:suppressAutoHyphens/>
              <w:jc w:val="both"/>
              <w:outlineLvl w:val="3"/>
              <w:rPr>
                <w:rFonts w:eastAsia="Times New Roman"/>
                <w:b/>
                <w:sz w:val="24"/>
                <w:szCs w:val="24"/>
                <w:lang w:eastAsia="lv-LV"/>
              </w:rPr>
            </w:pPr>
            <w:r w:rsidRPr="00DE40D0">
              <w:rPr>
                <w:rFonts w:eastAsia="Times New Roman"/>
                <w:b/>
                <w:sz w:val="24"/>
                <w:szCs w:val="24"/>
                <w:lang w:eastAsia="lv-LV"/>
              </w:rPr>
              <w:t>(2</w:t>
            </w:r>
            <w:r w:rsidR="00B23AF4">
              <w:rPr>
                <w:rFonts w:eastAsia="Times New Roman"/>
                <w:b/>
                <w:sz w:val="24"/>
                <w:szCs w:val="24"/>
                <w:lang w:eastAsia="lv-LV"/>
              </w:rPr>
              <w:t>4</w:t>
            </w:r>
            <w:r w:rsidRPr="00DE40D0">
              <w:rPr>
                <w:rFonts w:eastAsia="Times New Roman"/>
                <w:b/>
                <w:sz w:val="24"/>
                <w:szCs w:val="24"/>
                <w:lang w:eastAsia="lv-LV"/>
              </w:rPr>
              <w:t>.05.2019. Nr. 3.1-20/2019/113)</w:t>
            </w:r>
          </w:p>
          <w:p w:rsidR="00D1010F" w:rsidRPr="00DE40D0" w:rsidRDefault="00D1010F" w:rsidP="00D1010F">
            <w:pPr>
              <w:tabs>
                <w:tab w:val="left" w:pos="0"/>
                <w:tab w:val="left" w:pos="709"/>
                <w:tab w:val="left" w:pos="993"/>
              </w:tabs>
              <w:suppressAutoHyphens/>
              <w:jc w:val="both"/>
              <w:outlineLvl w:val="3"/>
              <w:rPr>
                <w:rFonts w:eastAsia="Times New Roman"/>
                <w:bCs/>
                <w:sz w:val="24"/>
                <w:szCs w:val="24"/>
                <w:lang w:eastAsia="lv-LV"/>
              </w:rPr>
            </w:pPr>
            <w:r w:rsidRPr="00DE40D0">
              <w:rPr>
                <w:rFonts w:eastAsia="Times New Roman"/>
                <w:bCs/>
                <w:sz w:val="24"/>
                <w:szCs w:val="24"/>
                <w:lang w:eastAsia="lv-LV"/>
              </w:rPr>
              <w:t>Atbilstoši Projekta 1.punktā noteiktajam, nosakot dārgmetālu izstrādājumu provi vai veicot dārgmetālu izstrādājumu atbilstības pārbaudi preces drošuma prasībām, birojs izmanto metodi vai standartu, kas nodrošina, ka iegūtie dati ir ticami, reprezentatīvi un salīdzināmi. Ja izmantotā metode atbilst standarta prasībām, tā uzskatāma par atbilstošu šajā punktā minēto prasību izpildei. Skatot Projekta 1.punktā noteikto secināms, ka dārgmetālu izstrādājumu proves noteikšanai vai to atbilstības pārbaudei preces drošuma prasībām var izmantot metodi vai standartu. Ekonomikas ministrija norāda, ka standarti pēc savas būtības ir tehniska rakstura dokumenti, kas paredz tehniskus risinājumus noteikta mērķa sasniegšanai, kas Projekta kontekstā būtu veids kā iegūt ticamus, reprezentatīvus un salīdzināmus datus. Līdz ar to šī brīža Projekta 1.punkta redakcija, kas paredz metodes un standarta izmantošanu nav korekta, jo no standarta izriet metode tehniskais risinājums.</w:t>
            </w:r>
          </w:p>
          <w:p w:rsidR="00D1010F" w:rsidRPr="00DE40D0" w:rsidRDefault="00D1010F" w:rsidP="00D1010F">
            <w:pPr>
              <w:tabs>
                <w:tab w:val="left" w:pos="0"/>
                <w:tab w:val="left" w:pos="709"/>
                <w:tab w:val="left" w:pos="993"/>
              </w:tabs>
              <w:suppressAutoHyphens/>
              <w:jc w:val="both"/>
              <w:outlineLvl w:val="3"/>
              <w:rPr>
                <w:rFonts w:eastAsia="Times New Roman"/>
                <w:bCs/>
                <w:sz w:val="24"/>
                <w:szCs w:val="24"/>
                <w:lang w:eastAsia="lv-LV"/>
              </w:rPr>
            </w:pPr>
            <w:r w:rsidRPr="00DE40D0">
              <w:rPr>
                <w:rFonts w:eastAsia="Times New Roman"/>
                <w:bCs/>
                <w:sz w:val="24"/>
                <w:szCs w:val="24"/>
                <w:lang w:eastAsia="lv-LV"/>
              </w:rPr>
              <w:t xml:space="preserve">Vienlaikus norādām, ka nacionālajos un Eiropas Savienības normatīvajos aktos, kas izstrādāti pēc “jaunās pieejas” principiem,  tiek izmantoti piemērojamie standarti, proti, normatīvajā aktā noteiktas būtiskās prasības, kuras ir jāizpilda, savukārt standartu piemērošana nodrošina attiecīgo </w:t>
            </w:r>
            <w:r w:rsidRPr="00DE40D0">
              <w:rPr>
                <w:rFonts w:eastAsia="Times New Roman"/>
                <w:bCs/>
                <w:sz w:val="24"/>
                <w:szCs w:val="24"/>
                <w:lang w:eastAsia="lv-LV"/>
              </w:rPr>
              <w:lastRenderedPageBreak/>
              <w:t xml:space="preserve">būtisko prasību izpildi. Tādējādi tiek norādīts uz standartu brīvprātīgas pielietošanas dabu, savukārt to pielietošana nodrošina attiecīgajam produktam atbilstības prezumpciju izvirzītajām prasībām, kuras aptver attiecīgais standarts. </w:t>
            </w:r>
          </w:p>
          <w:p w:rsidR="00D1010F" w:rsidRPr="00DE40D0" w:rsidRDefault="00D1010F" w:rsidP="00D1010F">
            <w:pPr>
              <w:tabs>
                <w:tab w:val="left" w:pos="0"/>
                <w:tab w:val="left" w:pos="709"/>
                <w:tab w:val="left" w:pos="993"/>
              </w:tabs>
              <w:suppressAutoHyphens/>
              <w:jc w:val="both"/>
              <w:outlineLvl w:val="3"/>
              <w:rPr>
                <w:rFonts w:eastAsia="Times New Roman"/>
                <w:bCs/>
                <w:sz w:val="24"/>
                <w:szCs w:val="24"/>
                <w:lang w:eastAsia="lv-LV"/>
              </w:rPr>
            </w:pPr>
            <w:r w:rsidRPr="00DE40D0">
              <w:rPr>
                <w:rFonts w:eastAsia="Times New Roman"/>
                <w:bCs/>
                <w:sz w:val="24"/>
                <w:szCs w:val="24"/>
                <w:lang w:eastAsia="lv-LV"/>
              </w:rPr>
              <w:t>Ņemot vērā minēto, lūdzam Projekta 1.punktu izteikt šādā redakcijā:</w:t>
            </w:r>
          </w:p>
          <w:p w:rsidR="00D1010F" w:rsidRPr="00F91897" w:rsidRDefault="00D1010F" w:rsidP="00D1010F">
            <w:pPr>
              <w:jc w:val="both"/>
              <w:rPr>
                <w:rFonts w:eastAsia="Times New Roman"/>
                <w:sz w:val="24"/>
                <w:szCs w:val="24"/>
              </w:rPr>
            </w:pPr>
            <w:r w:rsidRPr="00DE40D0">
              <w:rPr>
                <w:rFonts w:eastAsia="Times New Roman"/>
                <w:bCs/>
                <w:sz w:val="24"/>
                <w:szCs w:val="24"/>
                <w:lang w:eastAsia="lv-LV"/>
              </w:rPr>
              <w:t>“1. Nosakot dārgmetālu izstrādājumu provi vai veicot dārgmetālu izstrādājumu atbilstības pārbaudi preces drošuma prasībām, birojs izmanto metodi, kas nodrošina, ka iegūtie dati ir ticami, reprezentatīvi un salīdzināmi. Ja izmantotā metode atbilst piemērojamo standartu prasībām, tā uzskatāma par atbilstošu šajā punktā minēto prasību izpildei. Ķīmiskai analīzei var atlasīt ne vairāk kā 1 % no izstrādājumiem, kuri sašķiroti pēc metāla un izstrādājumu veida un kuru skaits ir lielāks par 100.”</w:t>
            </w:r>
            <w:r>
              <w:rPr>
                <w:rFonts w:eastAsia="Times New Roman"/>
                <w:bCs/>
                <w:sz w:val="24"/>
                <w:szCs w:val="24"/>
                <w:lang w:eastAsia="lv-LV"/>
              </w:rPr>
              <w:t>.</w:t>
            </w:r>
          </w:p>
        </w:tc>
        <w:tc>
          <w:tcPr>
            <w:tcW w:w="3118" w:type="dxa"/>
          </w:tcPr>
          <w:p w:rsidR="003D004E" w:rsidRPr="00F91897" w:rsidRDefault="00D7295E" w:rsidP="00102DC4">
            <w:pPr>
              <w:tabs>
                <w:tab w:val="left" w:pos="0"/>
                <w:tab w:val="left" w:pos="709"/>
                <w:tab w:val="left" w:pos="993"/>
              </w:tabs>
              <w:suppressAutoHyphens/>
              <w:jc w:val="both"/>
              <w:outlineLvl w:val="3"/>
              <w:rPr>
                <w:rFonts w:eastAsia="Times New Roman"/>
                <w:b/>
                <w:bCs/>
                <w:sz w:val="24"/>
                <w:szCs w:val="24"/>
                <w:lang w:eastAsia="lv-LV"/>
              </w:rPr>
            </w:pPr>
            <w:r w:rsidRPr="00F91897">
              <w:rPr>
                <w:rFonts w:eastAsia="Times New Roman"/>
                <w:b/>
                <w:bCs/>
                <w:sz w:val="24"/>
                <w:szCs w:val="24"/>
                <w:lang w:eastAsia="lv-LV"/>
              </w:rPr>
              <w:lastRenderedPageBreak/>
              <w:t>Ņemts vērā elektroniskas saskaņošanas procesā.</w:t>
            </w:r>
          </w:p>
        </w:tc>
        <w:tc>
          <w:tcPr>
            <w:tcW w:w="3402" w:type="dxa"/>
            <w:gridSpan w:val="2"/>
          </w:tcPr>
          <w:p w:rsidR="00137882" w:rsidRPr="00F91897" w:rsidRDefault="00D7295E" w:rsidP="00137882">
            <w:pPr>
              <w:tabs>
                <w:tab w:val="left" w:pos="0"/>
                <w:tab w:val="left" w:pos="709"/>
                <w:tab w:val="left" w:pos="993"/>
              </w:tabs>
              <w:suppressAutoHyphens/>
              <w:jc w:val="both"/>
              <w:outlineLvl w:val="3"/>
              <w:rPr>
                <w:rFonts w:eastAsia="Times New Roman"/>
                <w:bCs/>
                <w:sz w:val="24"/>
                <w:szCs w:val="24"/>
                <w:lang w:eastAsia="lv-LV"/>
              </w:rPr>
            </w:pPr>
            <w:r w:rsidRPr="00F91897">
              <w:rPr>
                <w:rFonts w:eastAsia="Times New Roman"/>
                <w:bCs/>
                <w:sz w:val="24"/>
                <w:szCs w:val="24"/>
                <w:lang w:eastAsia="lv-LV"/>
              </w:rPr>
              <w:t>N</w:t>
            </w:r>
            <w:r w:rsidR="00137882" w:rsidRPr="00F91897">
              <w:rPr>
                <w:rFonts w:eastAsia="Times New Roman"/>
                <w:bCs/>
                <w:sz w:val="24"/>
                <w:szCs w:val="24"/>
                <w:lang w:eastAsia="lv-LV"/>
              </w:rPr>
              <w:t xml:space="preserve">oteikumu projekta </w:t>
            </w:r>
            <w:r w:rsidR="00D57489">
              <w:rPr>
                <w:rFonts w:eastAsia="Times New Roman"/>
                <w:bCs/>
                <w:sz w:val="24"/>
                <w:szCs w:val="24"/>
                <w:lang w:eastAsia="lv-LV"/>
              </w:rPr>
              <w:t>1</w:t>
            </w:r>
            <w:r w:rsidR="00137882" w:rsidRPr="00F91897">
              <w:rPr>
                <w:rFonts w:eastAsia="Times New Roman"/>
                <w:bCs/>
                <w:sz w:val="24"/>
                <w:szCs w:val="24"/>
                <w:lang w:eastAsia="lv-LV"/>
              </w:rPr>
              <w:t>.</w:t>
            </w:r>
            <w:r w:rsidRPr="00F91897">
              <w:rPr>
                <w:rFonts w:eastAsia="Times New Roman"/>
                <w:bCs/>
                <w:sz w:val="24"/>
                <w:szCs w:val="24"/>
                <w:lang w:eastAsia="lv-LV"/>
              </w:rPr>
              <w:t xml:space="preserve"> punkt</w:t>
            </w:r>
            <w:r w:rsidR="00F91897" w:rsidRPr="00F91897">
              <w:rPr>
                <w:rFonts w:eastAsia="Times New Roman"/>
                <w:bCs/>
                <w:sz w:val="24"/>
                <w:szCs w:val="24"/>
                <w:lang w:eastAsia="lv-LV"/>
              </w:rPr>
              <w:t>s</w:t>
            </w:r>
            <w:r w:rsidRPr="00F91897">
              <w:rPr>
                <w:rFonts w:eastAsia="Times New Roman"/>
                <w:bCs/>
                <w:sz w:val="24"/>
                <w:szCs w:val="24"/>
                <w:lang w:eastAsia="lv-LV"/>
              </w:rPr>
              <w:t xml:space="preserve"> (noteikumu projektā </w:t>
            </w:r>
            <w:r w:rsidR="00D57489">
              <w:rPr>
                <w:rFonts w:eastAsia="Times New Roman"/>
                <w:bCs/>
                <w:sz w:val="24"/>
                <w:szCs w:val="24"/>
                <w:lang w:eastAsia="lv-LV"/>
              </w:rPr>
              <w:t>izveidots jauns punkts</w:t>
            </w:r>
            <w:r w:rsidRPr="00F91897">
              <w:rPr>
                <w:rFonts w:eastAsia="Times New Roman"/>
                <w:bCs/>
                <w:sz w:val="24"/>
                <w:szCs w:val="24"/>
                <w:lang w:eastAsia="lv-LV"/>
              </w:rPr>
              <w:t>) izteikts jaunā redakcijā:</w:t>
            </w:r>
          </w:p>
          <w:p w:rsidR="00C42530" w:rsidRPr="00F91897" w:rsidRDefault="00D7295E" w:rsidP="00C42530">
            <w:pPr>
              <w:jc w:val="both"/>
              <w:rPr>
                <w:rFonts w:eastAsia="Times New Roman"/>
                <w:sz w:val="24"/>
                <w:szCs w:val="24"/>
              </w:rPr>
            </w:pPr>
            <w:r w:rsidRPr="00F91897">
              <w:rPr>
                <w:rFonts w:eastAsia="Times New Roman"/>
                <w:sz w:val="24"/>
                <w:szCs w:val="24"/>
              </w:rPr>
              <w:t>“</w:t>
            </w:r>
            <w:r w:rsidR="00DE40D0" w:rsidRPr="00DE40D0">
              <w:rPr>
                <w:rFonts w:eastAsia="Times New Roman"/>
                <w:sz w:val="24"/>
                <w:szCs w:val="24"/>
              </w:rPr>
              <w:t>22. Nosakot dārgmetālu izstrādājumu provi vai veicot dārgmetālu izstrādājumu atbilstības pārbaudi preces drošuma prasībām, birojs izmanto metodi, kas nodrošina, ka iegūtie dati ir ticami, reprezentatīvi un salīdzināmi. Ja izmantotā metode atbilst piemērojamā standarta prasībām, tā uzskatāma par atbilstošu šajā punktā minēto prasību izpildei. Ķīmiskai analīzei var atlasīt ne vairāk kā 1 % no izstrādājumiem, kuri sašķiroti pēc metāla un izstrādājumu veida un kuru skaits ir lielāks par 100.</w:t>
            </w:r>
            <w:r w:rsidRPr="00F91897">
              <w:rPr>
                <w:rFonts w:eastAsia="Times New Roman"/>
                <w:sz w:val="24"/>
                <w:szCs w:val="24"/>
              </w:rPr>
              <w:t>”.</w:t>
            </w:r>
          </w:p>
        </w:tc>
      </w:tr>
      <w:tr w:rsidR="00F91897" w:rsidRPr="00F91897" w:rsidTr="00E07510">
        <w:tc>
          <w:tcPr>
            <w:tcW w:w="750" w:type="dxa"/>
            <w:gridSpan w:val="2"/>
          </w:tcPr>
          <w:p w:rsidR="00B86A46" w:rsidRPr="00F91897" w:rsidRDefault="00AC3861" w:rsidP="00B86A46">
            <w:pPr>
              <w:jc w:val="center"/>
              <w:rPr>
                <w:rFonts w:eastAsia="Times New Roman"/>
                <w:sz w:val="24"/>
                <w:szCs w:val="24"/>
                <w:lang w:eastAsia="lv-LV"/>
              </w:rPr>
            </w:pPr>
            <w:r>
              <w:rPr>
                <w:rFonts w:eastAsia="Times New Roman"/>
                <w:sz w:val="24"/>
                <w:szCs w:val="24"/>
                <w:lang w:eastAsia="lv-LV"/>
              </w:rPr>
              <w:lastRenderedPageBreak/>
              <w:t>2</w:t>
            </w:r>
            <w:r w:rsidR="00F91897" w:rsidRPr="00F91897">
              <w:rPr>
                <w:rFonts w:eastAsia="Times New Roman"/>
                <w:sz w:val="24"/>
                <w:szCs w:val="24"/>
                <w:lang w:eastAsia="lv-LV"/>
              </w:rPr>
              <w:t>.</w:t>
            </w:r>
          </w:p>
        </w:tc>
        <w:tc>
          <w:tcPr>
            <w:tcW w:w="3073" w:type="dxa"/>
          </w:tcPr>
          <w:p w:rsidR="00F91897" w:rsidRPr="00F91897" w:rsidRDefault="00B86A46" w:rsidP="00F91897">
            <w:pPr>
              <w:jc w:val="both"/>
              <w:rPr>
                <w:rFonts w:eastAsia="Times New Roman"/>
                <w:sz w:val="24"/>
                <w:szCs w:val="24"/>
                <w:lang w:eastAsia="lv-LV"/>
              </w:rPr>
            </w:pPr>
            <w:r w:rsidRPr="00F91897">
              <w:rPr>
                <w:rFonts w:eastAsia="Times New Roman"/>
                <w:sz w:val="24"/>
                <w:szCs w:val="24"/>
                <w:lang w:eastAsia="lv-LV"/>
              </w:rPr>
              <w:t>Noteikumu projekt</w:t>
            </w:r>
            <w:r w:rsidR="00F91897" w:rsidRPr="00F91897">
              <w:rPr>
                <w:rFonts w:eastAsia="Times New Roman"/>
                <w:sz w:val="24"/>
                <w:szCs w:val="24"/>
                <w:lang w:eastAsia="lv-LV"/>
              </w:rPr>
              <w:t>s kopumā.</w:t>
            </w:r>
          </w:p>
          <w:p w:rsidR="00B86A46" w:rsidRPr="00F91897" w:rsidRDefault="00B86A46" w:rsidP="00B86A46">
            <w:pPr>
              <w:jc w:val="both"/>
              <w:rPr>
                <w:rFonts w:eastAsia="Times New Roman"/>
                <w:sz w:val="24"/>
                <w:szCs w:val="24"/>
                <w:lang w:eastAsia="lv-LV"/>
              </w:rPr>
            </w:pPr>
          </w:p>
        </w:tc>
        <w:tc>
          <w:tcPr>
            <w:tcW w:w="4394" w:type="dxa"/>
            <w:gridSpan w:val="2"/>
          </w:tcPr>
          <w:p w:rsidR="00F91897" w:rsidRPr="00F91897" w:rsidRDefault="00F91897" w:rsidP="00B86A46">
            <w:pPr>
              <w:jc w:val="both"/>
              <w:rPr>
                <w:rFonts w:eastAsia="Times New Roman"/>
                <w:b/>
                <w:sz w:val="24"/>
                <w:szCs w:val="24"/>
              </w:rPr>
            </w:pPr>
            <w:r w:rsidRPr="00F91897">
              <w:rPr>
                <w:rFonts w:eastAsia="Times New Roman"/>
                <w:b/>
                <w:sz w:val="24"/>
                <w:szCs w:val="24"/>
              </w:rPr>
              <w:t>Ekonomikas ministrija (12.03.2019. Nr. 3.1-20/2019/57).</w:t>
            </w:r>
          </w:p>
          <w:p w:rsidR="00F91897" w:rsidRPr="00F91897" w:rsidRDefault="00F91897" w:rsidP="00F91897">
            <w:pPr>
              <w:jc w:val="both"/>
              <w:rPr>
                <w:rFonts w:eastAsia="Times New Roman"/>
                <w:sz w:val="24"/>
                <w:szCs w:val="24"/>
              </w:rPr>
            </w:pPr>
            <w:r w:rsidRPr="00F91897">
              <w:rPr>
                <w:rFonts w:eastAsia="Times New Roman"/>
                <w:sz w:val="24"/>
                <w:szCs w:val="24"/>
              </w:rPr>
              <w:t xml:space="preserve">Vēršam uzmanību, ka atbilstoši Projektā minētajam, Ekonomikas ministrija iesaka LVS publicēt savā tīmekļvietnē to Latvijas nacionālo standartu sarakstu, kurus piemēro, nosakot dārgmetālu izstrādājumu proves vai veicot dārgmetālu izstrādājumu atbilstības pārbaudi. </w:t>
            </w:r>
          </w:p>
          <w:p w:rsidR="00B86A46" w:rsidRPr="00F91897" w:rsidRDefault="00F91897" w:rsidP="00F91897">
            <w:pPr>
              <w:jc w:val="both"/>
              <w:rPr>
                <w:rFonts w:eastAsia="Times New Roman"/>
                <w:b/>
                <w:sz w:val="24"/>
                <w:szCs w:val="24"/>
              </w:rPr>
            </w:pPr>
            <w:r w:rsidRPr="00F91897">
              <w:rPr>
                <w:rFonts w:eastAsia="Times New Roman"/>
                <w:sz w:val="24"/>
                <w:szCs w:val="24"/>
              </w:rPr>
              <w:t xml:space="preserve">Norādām, ka šāda norāde ir neatbilstoša, jo Projektā minētais normatīvais regulējums ir Finanšu ministrijas kompetencē. Līdz ar to Finanšu ministrijas pienākums ir sadarbībā ar attiecīgo standartu tehnisko komiteju ieteikt LVS saistībā ar šiem noteikumiem </w:t>
            </w:r>
            <w:r w:rsidRPr="00F91897">
              <w:rPr>
                <w:rFonts w:eastAsia="Times New Roman"/>
                <w:sz w:val="24"/>
                <w:szCs w:val="24"/>
              </w:rPr>
              <w:lastRenderedPageBreak/>
              <w:t>izstrādājamo, adaptējamo un piemērojamo standartu sarakstu.</w:t>
            </w:r>
          </w:p>
        </w:tc>
        <w:tc>
          <w:tcPr>
            <w:tcW w:w="3118" w:type="dxa"/>
          </w:tcPr>
          <w:p w:rsidR="008513C3" w:rsidRPr="00F91897" w:rsidRDefault="00F91897" w:rsidP="00B86A46">
            <w:pPr>
              <w:tabs>
                <w:tab w:val="left" w:pos="0"/>
                <w:tab w:val="left" w:pos="709"/>
                <w:tab w:val="left" w:pos="993"/>
              </w:tabs>
              <w:suppressAutoHyphens/>
              <w:jc w:val="both"/>
              <w:outlineLvl w:val="3"/>
              <w:rPr>
                <w:rFonts w:eastAsia="Times New Roman"/>
                <w:b/>
                <w:bCs/>
                <w:sz w:val="24"/>
                <w:szCs w:val="24"/>
                <w:lang w:eastAsia="lv-LV"/>
              </w:rPr>
            </w:pPr>
            <w:r w:rsidRPr="00F91897">
              <w:rPr>
                <w:rFonts w:eastAsia="Times New Roman"/>
                <w:b/>
                <w:bCs/>
                <w:sz w:val="24"/>
                <w:szCs w:val="24"/>
                <w:lang w:eastAsia="lv-LV"/>
              </w:rPr>
              <w:lastRenderedPageBreak/>
              <w:t>Ņemts vērā elektroniskas saskaņošanas procesā.</w:t>
            </w:r>
          </w:p>
        </w:tc>
        <w:tc>
          <w:tcPr>
            <w:tcW w:w="3402" w:type="dxa"/>
            <w:gridSpan w:val="2"/>
          </w:tcPr>
          <w:p w:rsidR="00B86A46" w:rsidRPr="00F91897" w:rsidRDefault="00F91897" w:rsidP="00F91897">
            <w:pPr>
              <w:jc w:val="both"/>
              <w:rPr>
                <w:rFonts w:eastAsia="Times New Roman"/>
                <w:sz w:val="24"/>
                <w:szCs w:val="24"/>
              </w:rPr>
            </w:pPr>
            <w:r w:rsidRPr="00F91897">
              <w:rPr>
                <w:rFonts w:eastAsia="Times New Roman"/>
                <w:sz w:val="24"/>
                <w:szCs w:val="24"/>
              </w:rPr>
              <w:t xml:space="preserve">Noteikumu projekta </w:t>
            </w:r>
            <w:r w:rsidR="00D57489">
              <w:rPr>
                <w:rFonts w:eastAsia="Times New Roman"/>
                <w:sz w:val="24"/>
                <w:szCs w:val="24"/>
              </w:rPr>
              <w:t>2</w:t>
            </w:r>
            <w:r w:rsidRPr="00F91897">
              <w:rPr>
                <w:rFonts w:eastAsia="Times New Roman"/>
                <w:sz w:val="24"/>
                <w:szCs w:val="24"/>
              </w:rPr>
              <w:t>. punkts</w:t>
            </w:r>
            <w:r w:rsidR="00AE4764">
              <w:rPr>
                <w:rFonts w:eastAsia="Times New Roman"/>
                <w:sz w:val="24"/>
                <w:szCs w:val="24"/>
              </w:rPr>
              <w:t xml:space="preserve"> </w:t>
            </w:r>
            <w:r w:rsidR="00AE4764" w:rsidRPr="00AE4764">
              <w:rPr>
                <w:rFonts w:eastAsia="Times New Roman"/>
                <w:sz w:val="24"/>
                <w:szCs w:val="24"/>
              </w:rPr>
              <w:t>(noteikumu projektā izveidots jauns punkts)</w:t>
            </w:r>
            <w:r w:rsidRPr="00F91897">
              <w:rPr>
                <w:rFonts w:eastAsia="Times New Roman"/>
                <w:sz w:val="24"/>
                <w:szCs w:val="24"/>
              </w:rPr>
              <w:t>:</w:t>
            </w:r>
          </w:p>
          <w:p w:rsidR="00F91897" w:rsidRPr="00F91897" w:rsidRDefault="00F91897" w:rsidP="00F91897">
            <w:pPr>
              <w:jc w:val="both"/>
              <w:rPr>
                <w:rFonts w:eastAsia="Times New Roman"/>
                <w:sz w:val="24"/>
                <w:szCs w:val="24"/>
              </w:rPr>
            </w:pPr>
            <w:r w:rsidRPr="00F91897">
              <w:rPr>
                <w:rFonts w:eastAsia="Times New Roman"/>
                <w:sz w:val="24"/>
                <w:szCs w:val="24"/>
              </w:rPr>
              <w:t>“</w:t>
            </w:r>
            <w:r w:rsidR="00D57489">
              <w:rPr>
                <w:rFonts w:eastAsia="Times New Roman"/>
                <w:sz w:val="24"/>
                <w:szCs w:val="24"/>
              </w:rPr>
              <w:t>2</w:t>
            </w:r>
            <w:r w:rsidRPr="00F91897">
              <w:rPr>
                <w:rFonts w:eastAsia="Times New Roman"/>
                <w:sz w:val="24"/>
                <w:szCs w:val="24"/>
              </w:rPr>
              <w:t>.</w:t>
            </w:r>
            <w:r w:rsidRPr="00F91897">
              <w:rPr>
                <w:rFonts w:eastAsia="Times New Roman"/>
                <w:sz w:val="24"/>
                <w:szCs w:val="24"/>
              </w:rPr>
              <w:tab/>
              <w:t>Papildināt noteikumus ar 22.</w:t>
            </w:r>
            <w:r w:rsidRPr="00F91897">
              <w:rPr>
                <w:rFonts w:eastAsia="Times New Roman"/>
                <w:sz w:val="24"/>
                <w:szCs w:val="24"/>
                <w:vertAlign w:val="superscript"/>
              </w:rPr>
              <w:t>1</w:t>
            </w:r>
            <w:r w:rsidRPr="00F91897">
              <w:rPr>
                <w:rFonts w:eastAsia="Times New Roman"/>
                <w:sz w:val="24"/>
                <w:szCs w:val="24"/>
              </w:rPr>
              <w:t xml:space="preserve"> punktu šādā redakcijā:</w:t>
            </w:r>
          </w:p>
          <w:p w:rsidR="00F91897" w:rsidRPr="00F91897" w:rsidRDefault="00F91897" w:rsidP="00F91897">
            <w:pPr>
              <w:jc w:val="both"/>
              <w:rPr>
                <w:rFonts w:eastAsia="Times New Roman"/>
                <w:sz w:val="24"/>
                <w:szCs w:val="24"/>
              </w:rPr>
            </w:pPr>
            <w:r w:rsidRPr="00F91897">
              <w:rPr>
                <w:rFonts w:eastAsia="Times New Roman"/>
                <w:sz w:val="24"/>
                <w:szCs w:val="24"/>
              </w:rPr>
              <w:t>“</w:t>
            </w:r>
            <w:r w:rsidR="00DE40D0" w:rsidRPr="00DE40D0">
              <w:rPr>
                <w:rFonts w:eastAsia="Times New Roman"/>
                <w:sz w:val="24"/>
                <w:szCs w:val="24"/>
              </w:rPr>
              <w:t>22.</w:t>
            </w:r>
            <w:r w:rsidR="00DE40D0" w:rsidRPr="00DE40D0">
              <w:rPr>
                <w:rFonts w:eastAsia="Times New Roman"/>
                <w:sz w:val="24"/>
                <w:szCs w:val="24"/>
                <w:vertAlign w:val="superscript"/>
              </w:rPr>
              <w:t>1</w:t>
            </w:r>
            <w:r w:rsidR="00DE40D0" w:rsidRPr="00DE40D0">
              <w:rPr>
                <w:rFonts w:eastAsia="Times New Roman"/>
                <w:sz w:val="24"/>
                <w:szCs w:val="24"/>
              </w:rPr>
              <w:t xml:space="preserve">  Finanšu ministrija sadarbībā ar attiecīgo standartu tehnisko komiteju iesaka nacionālajai standartizācijas institūcijai saistībā ar šiem noteikumiem izstrādājamo, adaptējamo un piemērojamo standartu sarakstu šo noteikumu 22.punktā minēto prasību izpildei. Nacionālā </w:t>
            </w:r>
            <w:r w:rsidR="00DE40D0" w:rsidRPr="00DE40D0">
              <w:rPr>
                <w:rFonts w:eastAsia="Times New Roman"/>
                <w:sz w:val="24"/>
                <w:szCs w:val="24"/>
              </w:rPr>
              <w:lastRenderedPageBreak/>
              <w:t>standartizācijas institūcija publicē Standartizācijas biroja tīmekļvietnē to standartu sarakstu, kurus var piemērot šo noteikumu 22.punktā minēto prasību izpildei.</w:t>
            </w:r>
            <w:r w:rsidRPr="00F91897">
              <w:rPr>
                <w:rFonts w:eastAsia="Times New Roman"/>
                <w:sz w:val="24"/>
                <w:szCs w:val="24"/>
              </w:rPr>
              <w:t>”.</w:t>
            </w:r>
          </w:p>
        </w:tc>
      </w:tr>
      <w:tr w:rsidR="00905EA9" w:rsidRPr="00F91897" w:rsidTr="00E07510">
        <w:tc>
          <w:tcPr>
            <w:tcW w:w="750" w:type="dxa"/>
            <w:gridSpan w:val="2"/>
          </w:tcPr>
          <w:p w:rsidR="00905EA9" w:rsidRDefault="00905EA9" w:rsidP="00905EA9">
            <w:pPr>
              <w:jc w:val="center"/>
              <w:rPr>
                <w:rFonts w:eastAsia="Times New Roman"/>
                <w:sz w:val="24"/>
                <w:szCs w:val="24"/>
                <w:lang w:eastAsia="lv-LV"/>
              </w:rPr>
            </w:pPr>
            <w:r>
              <w:rPr>
                <w:rFonts w:eastAsia="Times New Roman"/>
                <w:sz w:val="24"/>
                <w:szCs w:val="24"/>
                <w:lang w:eastAsia="lv-LV"/>
              </w:rPr>
              <w:lastRenderedPageBreak/>
              <w:t>3.</w:t>
            </w:r>
          </w:p>
        </w:tc>
        <w:tc>
          <w:tcPr>
            <w:tcW w:w="3073" w:type="dxa"/>
          </w:tcPr>
          <w:p w:rsidR="00905EA9" w:rsidRPr="003A0ECA" w:rsidRDefault="00905EA9" w:rsidP="00905EA9">
            <w:pPr>
              <w:jc w:val="both"/>
              <w:rPr>
                <w:rFonts w:eastAsia="Times New Roman"/>
                <w:sz w:val="24"/>
                <w:szCs w:val="24"/>
                <w:lang w:eastAsia="lv-LV"/>
              </w:rPr>
            </w:pPr>
            <w:r w:rsidRPr="003A0ECA">
              <w:rPr>
                <w:rFonts w:eastAsia="Times New Roman"/>
                <w:sz w:val="24"/>
                <w:szCs w:val="24"/>
                <w:lang w:eastAsia="lv-LV"/>
              </w:rPr>
              <w:t>Noteikumu projekta  norāde, uz kāda likuma pamata noteikumi izdoti:</w:t>
            </w:r>
          </w:p>
          <w:p w:rsidR="00905EA9" w:rsidRPr="003A0ECA" w:rsidRDefault="00905EA9" w:rsidP="00905EA9">
            <w:pPr>
              <w:jc w:val="both"/>
              <w:rPr>
                <w:rFonts w:eastAsia="Times New Roman"/>
                <w:sz w:val="24"/>
                <w:szCs w:val="24"/>
                <w:lang w:eastAsia="lv-LV"/>
              </w:rPr>
            </w:pPr>
            <w:r w:rsidRPr="003A0ECA">
              <w:rPr>
                <w:rFonts w:eastAsia="Times New Roman"/>
                <w:sz w:val="24"/>
                <w:szCs w:val="24"/>
                <w:lang w:eastAsia="lv-LV"/>
              </w:rPr>
              <w:t>“Izdoti saskaņā ar likuma “Par valsts proves uzraudzību” 27. panta 2. punktu”.</w:t>
            </w:r>
          </w:p>
          <w:p w:rsidR="00905EA9" w:rsidRPr="003A0ECA" w:rsidRDefault="00905EA9" w:rsidP="00905EA9">
            <w:pPr>
              <w:jc w:val="both"/>
              <w:rPr>
                <w:rFonts w:eastAsia="Times New Roman"/>
                <w:sz w:val="24"/>
                <w:szCs w:val="24"/>
                <w:lang w:eastAsia="lv-LV"/>
              </w:rPr>
            </w:pPr>
          </w:p>
          <w:p w:rsidR="00905EA9" w:rsidRPr="00F91897" w:rsidRDefault="00905EA9" w:rsidP="00905EA9">
            <w:pPr>
              <w:jc w:val="both"/>
              <w:rPr>
                <w:rFonts w:eastAsia="Times New Roman"/>
                <w:sz w:val="24"/>
                <w:szCs w:val="24"/>
                <w:lang w:eastAsia="lv-LV"/>
              </w:rPr>
            </w:pPr>
            <w:r w:rsidRPr="003A0ECA">
              <w:rPr>
                <w:rFonts w:eastAsia="Times New Roman"/>
                <w:sz w:val="24"/>
                <w:szCs w:val="24"/>
                <w:lang w:eastAsia="lv-LV"/>
              </w:rPr>
              <w:t>Ministru kabineta noteikumu projekta “Grozījumi Ministru kabineta 2009.gada 22.decembra noteikumos Nr.1525 “Dārgmetālu izstrādājumu zīmogošanas kārtība un pieļaujamais remedijs”” sākotnējās ietekmes novērtējuma ziņojuma (anotācijas) I. daļas “Tiesību akta projekta izstrādes nepieciešamība” 2. punkts “Pašreizējā situācija un problēmas, kuru risināšanai tiesību akta projekts izstrādāts, tiesiskā regulējuma mērķis un būtība”.</w:t>
            </w:r>
          </w:p>
        </w:tc>
        <w:tc>
          <w:tcPr>
            <w:tcW w:w="4394" w:type="dxa"/>
            <w:gridSpan w:val="2"/>
          </w:tcPr>
          <w:p w:rsidR="00905EA9" w:rsidRPr="003A0ECA" w:rsidRDefault="00905EA9" w:rsidP="00905EA9">
            <w:pPr>
              <w:jc w:val="both"/>
              <w:rPr>
                <w:rFonts w:eastAsia="Times New Roman"/>
                <w:b/>
                <w:sz w:val="24"/>
                <w:szCs w:val="24"/>
              </w:rPr>
            </w:pPr>
            <w:r w:rsidRPr="003A0ECA">
              <w:rPr>
                <w:rFonts w:eastAsia="Times New Roman"/>
                <w:b/>
                <w:sz w:val="24"/>
                <w:szCs w:val="24"/>
              </w:rPr>
              <w:t>Tieslietu ministrija (11.03.2019. Nr. 1-9.1/264).</w:t>
            </w:r>
          </w:p>
          <w:p w:rsidR="00905EA9" w:rsidRPr="003A0ECA" w:rsidRDefault="00905EA9" w:rsidP="00905EA9">
            <w:pPr>
              <w:jc w:val="both"/>
              <w:rPr>
                <w:rFonts w:eastAsia="Times New Roman"/>
                <w:sz w:val="24"/>
                <w:szCs w:val="24"/>
                <w:lang w:eastAsia="lv-LV"/>
              </w:rPr>
            </w:pPr>
            <w:r w:rsidRPr="003A0ECA">
              <w:rPr>
                <w:rFonts w:eastAsia="Times New Roman"/>
                <w:sz w:val="24"/>
                <w:szCs w:val="24"/>
                <w:lang w:eastAsia="lv-LV"/>
              </w:rPr>
              <w:t>Ministru kabineta noteikumus izstrādā uz likumā ietverta pilnvarojuma pamata, ievērojot pilnvarojuma satura interpretācijas robežas. Noteikumu projekts izstrādāts uz likuma “Par valsts proves uzraudzību” 27. panta 2. punkta pamata, kas pilnvaro Ministru kabinetu noteikt dārgmetālu izstrādājumu zīmogošanas kārtību un pieļaujamo remediju. No minētā secināms, ka tiesību norma, uz kuras pamata sagatavots noteikumu projekts, nedod Ministru kabinetam pilnvaras noteikt obligāti piemērojamos standartus. Šādu pilnvarojumu paredz Standartizācijas likuma 13. panta otrā daļa. Lūdzam atbilstoši papildināt projektu ar grozījumiem norādē, uz kādu normu pamata šie noteikumi izdoti, kā arī ar grozījumu Ministru kabineta 2009. gada 22. decembra noteikumu Nr. 1525 “Dārgmetālu izstrādājumu zīmogošanas kārtība un pieļaujamais remedijs” 1. punktā.</w:t>
            </w:r>
          </w:p>
          <w:p w:rsidR="00905EA9" w:rsidRPr="003A0ECA" w:rsidRDefault="00905EA9" w:rsidP="00905EA9">
            <w:pPr>
              <w:jc w:val="both"/>
              <w:rPr>
                <w:rFonts w:eastAsia="Times New Roman"/>
                <w:sz w:val="24"/>
                <w:szCs w:val="24"/>
                <w:lang w:eastAsia="lv-LV"/>
              </w:rPr>
            </w:pPr>
          </w:p>
          <w:p w:rsidR="00905EA9" w:rsidRPr="003A0ECA" w:rsidRDefault="00905EA9" w:rsidP="00905EA9">
            <w:pPr>
              <w:jc w:val="both"/>
              <w:rPr>
                <w:rFonts w:eastAsia="Times New Roman"/>
                <w:b/>
                <w:sz w:val="24"/>
                <w:szCs w:val="24"/>
                <w:lang w:eastAsia="lv-LV"/>
              </w:rPr>
            </w:pPr>
            <w:r w:rsidRPr="003A0ECA">
              <w:rPr>
                <w:rFonts w:eastAsia="Times New Roman"/>
                <w:b/>
                <w:sz w:val="24"/>
                <w:szCs w:val="24"/>
                <w:lang w:eastAsia="lv-LV"/>
              </w:rPr>
              <w:t>Tieslietu ministrija (18.03.2019. e-pasts).</w:t>
            </w:r>
          </w:p>
          <w:p w:rsidR="00905EA9" w:rsidRPr="003A0ECA" w:rsidRDefault="00905EA9" w:rsidP="00905EA9">
            <w:pPr>
              <w:jc w:val="both"/>
              <w:rPr>
                <w:rFonts w:eastAsia="Times New Roman"/>
                <w:sz w:val="24"/>
                <w:szCs w:val="24"/>
                <w:lang w:eastAsia="lv-LV"/>
              </w:rPr>
            </w:pPr>
            <w:r w:rsidRPr="003A0ECA">
              <w:rPr>
                <w:rFonts w:eastAsia="Times New Roman"/>
                <w:sz w:val="24"/>
                <w:szCs w:val="24"/>
                <w:lang w:eastAsia="lv-LV"/>
              </w:rPr>
              <w:t xml:space="preserve">Ministru kabineta 2009. gada 22. decembra noteikumi Nr. 1525 “Dārgmetālu izstrādājumu zīmogošanas kārtība un pieļaujamais remedijs” (turpmāk – MK </w:t>
            </w:r>
            <w:r w:rsidRPr="003A0ECA">
              <w:rPr>
                <w:rFonts w:eastAsia="Times New Roman"/>
                <w:sz w:val="24"/>
                <w:szCs w:val="24"/>
                <w:lang w:eastAsia="lv-LV"/>
              </w:rPr>
              <w:lastRenderedPageBreak/>
              <w:t>noteikumi Nr. 1525) nosaka dārgmetālu izstrādājumu zīmogošanas kārtību un pieļaujamo remediju un pēc jauno grozījumu spēkā stāšanās noteikts arī obligāti piemērojamus Latvijas nacionālos standartus. Ievērojot minēto, lūdzam papildināt norādi uz kāda likuma pamata MK noteikumi Nr. 1525 ir izdoti, kā arī noteikumu projektu ar norādi gan uz  likuma “Par valsts proves uzraudzību” 27.panta 2.punktu, gan uz Standartizācijas likuma 13. panta otro daļu, piemēram, izsakot to šādā redakcijā:</w:t>
            </w:r>
          </w:p>
          <w:p w:rsidR="00905EA9" w:rsidRPr="003A0ECA" w:rsidRDefault="00905EA9" w:rsidP="00905EA9">
            <w:pPr>
              <w:jc w:val="both"/>
              <w:rPr>
                <w:rFonts w:eastAsia="Times New Roman"/>
                <w:sz w:val="24"/>
                <w:szCs w:val="24"/>
                <w:lang w:eastAsia="lv-LV"/>
              </w:rPr>
            </w:pPr>
            <w:r w:rsidRPr="003A0ECA">
              <w:rPr>
                <w:rFonts w:eastAsia="Times New Roman"/>
                <w:sz w:val="24"/>
                <w:szCs w:val="24"/>
                <w:lang w:eastAsia="lv-LV"/>
              </w:rPr>
              <w:t>“1. Papildināt norādi, uz kāda likuma pamata noteikumi izdoti, aiz skaitļa un vārda “2. punktu” ar vārdiem un skaitļiem “un Standartizācijas likuma 13. panta otrā daļu”.”.</w:t>
            </w:r>
          </w:p>
        </w:tc>
        <w:tc>
          <w:tcPr>
            <w:tcW w:w="3118" w:type="dxa"/>
          </w:tcPr>
          <w:p w:rsidR="00905EA9" w:rsidRPr="003A0ECA" w:rsidRDefault="00905EA9" w:rsidP="00905EA9">
            <w:pPr>
              <w:jc w:val="both"/>
              <w:rPr>
                <w:rFonts w:eastAsia="Times New Roman"/>
                <w:b/>
                <w:bCs/>
                <w:sz w:val="24"/>
                <w:szCs w:val="24"/>
                <w:lang w:eastAsia="lv-LV"/>
              </w:rPr>
            </w:pPr>
            <w:r w:rsidRPr="003A0ECA">
              <w:rPr>
                <w:rFonts w:eastAsia="Times New Roman"/>
                <w:b/>
                <w:bCs/>
                <w:sz w:val="24"/>
                <w:szCs w:val="24"/>
                <w:lang w:eastAsia="lv-LV"/>
              </w:rPr>
              <w:lastRenderedPageBreak/>
              <w:t>Finanšu ministrija</w:t>
            </w:r>
          </w:p>
          <w:p w:rsidR="00905EA9" w:rsidRDefault="00905EA9" w:rsidP="00905EA9">
            <w:pPr>
              <w:tabs>
                <w:tab w:val="left" w:pos="0"/>
                <w:tab w:val="left" w:pos="709"/>
                <w:tab w:val="left" w:pos="993"/>
              </w:tabs>
              <w:suppressAutoHyphens/>
              <w:jc w:val="both"/>
              <w:outlineLvl w:val="3"/>
              <w:rPr>
                <w:rFonts w:eastAsia="Times New Roman"/>
                <w:bCs/>
                <w:sz w:val="24"/>
                <w:szCs w:val="24"/>
                <w:lang w:eastAsia="lv-LV"/>
              </w:rPr>
            </w:pPr>
            <w:r>
              <w:rPr>
                <w:rFonts w:eastAsia="Times New Roman"/>
                <w:bCs/>
                <w:sz w:val="24"/>
                <w:szCs w:val="24"/>
                <w:lang w:eastAsia="lv-LV"/>
              </w:rPr>
              <w:t>Panākta vienošanās starpministriju sanāksmē.</w:t>
            </w:r>
          </w:p>
          <w:p w:rsidR="00905EA9" w:rsidRDefault="00905EA9" w:rsidP="00905EA9">
            <w:pPr>
              <w:tabs>
                <w:tab w:val="left" w:pos="0"/>
                <w:tab w:val="left" w:pos="709"/>
                <w:tab w:val="left" w:pos="993"/>
              </w:tabs>
              <w:suppressAutoHyphens/>
              <w:jc w:val="both"/>
              <w:outlineLvl w:val="3"/>
              <w:rPr>
                <w:rFonts w:eastAsia="Times New Roman"/>
                <w:bCs/>
                <w:sz w:val="24"/>
                <w:szCs w:val="24"/>
                <w:lang w:eastAsia="lv-LV"/>
              </w:rPr>
            </w:pPr>
          </w:p>
          <w:p w:rsidR="00905EA9" w:rsidRPr="00D1010F" w:rsidRDefault="00905EA9" w:rsidP="00905EA9">
            <w:pPr>
              <w:tabs>
                <w:tab w:val="left" w:pos="0"/>
                <w:tab w:val="left" w:pos="709"/>
                <w:tab w:val="left" w:pos="993"/>
              </w:tabs>
              <w:suppressAutoHyphens/>
              <w:jc w:val="both"/>
              <w:outlineLvl w:val="3"/>
              <w:rPr>
                <w:rFonts w:eastAsia="Times New Roman"/>
                <w:b/>
                <w:bCs/>
                <w:sz w:val="24"/>
                <w:szCs w:val="24"/>
                <w:lang w:eastAsia="lv-LV"/>
              </w:rPr>
            </w:pPr>
            <w:r w:rsidRPr="00D1010F">
              <w:rPr>
                <w:rFonts w:eastAsia="Times New Roman"/>
                <w:b/>
                <w:bCs/>
                <w:sz w:val="24"/>
                <w:szCs w:val="24"/>
                <w:lang w:eastAsia="lv-LV"/>
              </w:rPr>
              <w:t>Ekonomikas ministrija (26.04.2019. Nr.3.1-20/2019/82)</w:t>
            </w:r>
          </w:p>
          <w:p w:rsidR="00905EA9" w:rsidRPr="00905EA9" w:rsidRDefault="00905EA9" w:rsidP="00905EA9">
            <w:pPr>
              <w:tabs>
                <w:tab w:val="left" w:pos="0"/>
                <w:tab w:val="left" w:pos="709"/>
                <w:tab w:val="left" w:pos="993"/>
              </w:tabs>
              <w:suppressAutoHyphens/>
              <w:jc w:val="both"/>
              <w:outlineLvl w:val="3"/>
              <w:rPr>
                <w:rFonts w:eastAsia="Times New Roman"/>
                <w:bCs/>
                <w:sz w:val="24"/>
                <w:szCs w:val="24"/>
                <w:lang w:eastAsia="lv-LV"/>
              </w:rPr>
            </w:pPr>
            <w:r w:rsidRPr="00905EA9">
              <w:rPr>
                <w:rFonts w:eastAsia="Times New Roman"/>
                <w:bCs/>
                <w:sz w:val="24"/>
                <w:szCs w:val="24"/>
                <w:lang w:eastAsia="lv-LV"/>
              </w:rPr>
              <w:t>Norādām, ka atbilstoši Projekta 1.punktā noteiktajam, Projektu paredzēts papildināt ar norādi, uz kāda likuma pamata noteikumi izdoti, aiz skaitļa un vārda “2. punktu” ar vārdiem un skaitļiem “un Standartizācijas likuma 13. panta otro daļu” pamatojoties uz Tieslietu ministrijas atzinumu, kas atspoguļots Projekta izziņas 1.punktā.</w:t>
            </w:r>
          </w:p>
          <w:p w:rsidR="00905EA9" w:rsidRPr="00905EA9" w:rsidRDefault="00905EA9" w:rsidP="00905EA9">
            <w:pPr>
              <w:tabs>
                <w:tab w:val="left" w:pos="0"/>
                <w:tab w:val="left" w:pos="709"/>
                <w:tab w:val="left" w:pos="993"/>
              </w:tabs>
              <w:suppressAutoHyphens/>
              <w:jc w:val="both"/>
              <w:outlineLvl w:val="3"/>
              <w:rPr>
                <w:rFonts w:eastAsia="Times New Roman"/>
                <w:bCs/>
                <w:sz w:val="24"/>
                <w:szCs w:val="24"/>
                <w:lang w:eastAsia="lv-LV"/>
              </w:rPr>
            </w:pPr>
            <w:r w:rsidRPr="00905EA9">
              <w:rPr>
                <w:rFonts w:eastAsia="Times New Roman"/>
                <w:bCs/>
                <w:sz w:val="24"/>
                <w:szCs w:val="24"/>
                <w:lang w:eastAsia="lv-LV"/>
              </w:rPr>
              <w:t xml:space="preserve">Vēršam uzmanību, ka Projekta 2. un 3.punkts paredz aizstāt esošo noteikumu 22.punktā minētās tiešās atsauces uz obligāti piemērojamajiem standartiem ar netiešajām atsaucēm uz standartiem (piemērojamie standarti) saskaņā ar Ministru kabineta 2016.gada </w:t>
            </w:r>
            <w:r w:rsidRPr="00905EA9">
              <w:rPr>
                <w:rFonts w:eastAsia="Times New Roman"/>
                <w:bCs/>
                <w:sz w:val="24"/>
                <w:szCs w:val="24"/>
                <w:lang w:eastAsia="lv-LV"/>
              </w:rPr>
              <w:lastRenderedPageBreak/>
              <w:t>21.septembra rīkojumu Nr.534 “Par konceptuālo ziņojumu “Par Latvijas nacionālās standartizācijas sistēmas pilnveidošanu”” (turpmāk – Konceptuālais ziņojums) paredzēto kārtību. Līdz ar to, lūdzam svītrot Projekta 1.punktu, jo ar šo Projektu tiek svītrotas iepriekšējās atsauces uz obligāti piemērojamiem standartiem.</w:t>
            </w:r>
          </w:p>
          <w:p w:rsidR="00905EA9" w:rsidRPr="00F91897" w:rsidRDefault="00905EA9" w:rsidP="00623397">
            <w:pPr>
              <w:tabs>
                <w:tab w:val="left" w:pos="0"/>
                <w:tab w:val="left" w:pos="709"/>
                <w:tab w:val="left" w:pos="993"/>
              </w:tabs>
              <w:suppressAutoHyphens/>
              <w:jc w:val="both"/>
              <w:outlineLvl w:val="3"/>
              <w:rPr>
                <w:rFonts w:eastAsia="Times New Roman"/>
                <w:b/>
                <w:bCs/>
                <w:sz w:val="24"/>
                <w:szCs w:val="24"/>
                <w:lang w:eastAsia="lv-LV"/>
              </w:rPr>
            </w:pPr>
            <w:r w:rsidRPr="00905EA9">
              <w:rPr>
                <w:rFonts w:eastAsia="Times New Roman"/>
                <w:bCs/>
                <w:sz w:val="24"/>
                <w:szCs w:val="24"/>
                <w:lang w:eastAsia="lv-LV"/>
              </w:rPr>
              <w:t>Papildus norādām, ka līdzšinējā praksē nav zināmu piemēru, kad tiktu veidots deleģējums uz Standartizācijas likuma 13. panta otro daļu, lai pilnvarotu Ministru kabinetu noteikumos noteikt obligāti piemērojamus standartus.</w:t>
            </w:r>
          </w:p>
        </w:tc>
        <w:tc>
          <w:tcPr>
            <w:tcW w:w="3402" w:type="dxa"/>
            <w:gridSpan w:val="2"/>
          </w:tcPr>
          <w:p w:rsidR="00905EA9" w:rsidRDefault="00623397" w:rsidP="00623397">
            <w:pPr>
              <w:jc w:val="both"/>
              <w:rPr>
                <w:rFonts w:eastAsia="Times New Roman"/>
                <w:sz w:val="24"/>
                <w:szCs w:val="24"/>
              </w:rPr>
            </w:pPr>
            <w:r>
              <w:rPr>
                <w:rFonts w:eastAsia="Times New Roman"/>
                <w:sz w:val="24"/>
                <w:szCs w:val="24"/>
              </w:rPr>
              <w:lastRenderedPageBreak/>
              <w:t xml:space="preserve">Papildināta </w:t>
            </w:r>
            <w:r>
              <w:t xml:space="preserve"> </w:t>
            </w:r>
            <w:r w:rsidRPr="00623397">
              <w:rPr>
                <w:rFonts w:eastAsia="Times New Roman"/>
                <w:sz w:val="24"/>
                <w:szCs w:val="24"/>
              </w:rPr>
              <w:t>Ministru kabineta noteikumu projekta “Grozījumi Ministru kabineta 2009.gada 22.decembra noteikumos Nr.1525 “Dārgmetālu izstrādājumu zīmogošanas kārtība un pieļaujamais remedijs”” sākotnējās ietekmes novērtējuma ziņojum</w:t>
            </w:r>
            <w:r>
              <w:rPr>
                <w:rFonts w:eastAsia="Times New Roman"/>
                <w:sz w:val="24"/>
                <w:szCs w:val="24"/>
              </w:rPr>
              <w:t>a</w:t>
            </w:r>
            <w:r w:rsidRPr="00623397">
              <w:rPr>
                <w:rFonts w:eastAsia="Times New Roman"/>
                <w:sz w:val="24"/>
                <w:szCs w:val="24"/>
              </w:rPr>
              <w:t xml:space="preserve"> (anotācija</w:t>
            </w:r>
            <w:r>
              <w:rPr>
                <w:rFonts w:eastAsia="Times New Roman"/>
                <w:sz w:val="24"/>
                <w:szCs w:val="24"/>
              </w:rPr>
              <w:t>s</w:t>
            </w:r>
            <w:r w:rsidRPr="00623397">
              <w:rPr>
                <w:rFonts w:eastAsia="Times New Roman"/>
                <w:sz w:val="24"/>
                <w:szCs w:val="24"/>
              </w:rPr>
              <w:t>)</w:t>
            </w:r>
            <w:r>
              <w:rPr>
                <w:rFonts w:eastAsia="Times New Roman"/>
                <w:sz w:val="24"/>
                <w:szCs w:val="24"/>
              </w:rPr>
              <w:t xml:space="preserve"> I. sadaļas “</w:t>
            </w:r>
            <w:r w:rsidR="00D57489" w:rsidRPr="00D57489">
              <w:rPr>
                <w:rFonts w:eastAsia="Times New Roman"/>
                <w:sz w:val="24"/>
                <w:szCs w:val="24"/>
              </w:rPr>
              <w:t>Tiesību akta projekta izstrādes nepieciešamība</w:t>
            </w:r>
            <w:r>
              <w:rPr>
                <w:rFonts w:eastAsia="Times New Roman"/>
                <w:sz w:val="24"/>
                <w:szCs w:val="24"/>
              </w:rPr>
              <w:t>”</w:t>
            </w:r>
            <w:r w:rsidR="00D57489">
              <w:rPr>
                <w:rFonts w:eastAsia="Times New Roman"/>
                <w:sz w:val="24"/>
                <w:szCs w:val="24"/>
              </w:rPr>
              <w:t xml:space="preserve"> 2. punkts “</w:t>
            </w:r>
            <w:r w:rsidR="00D57489" w:rsidRPr="00D57489">
              <w:rPr>
                <w:rFonts w:eastAsia="Times New Roman"/>
                <w:sz w:val="24"/>
                <w:szCs w:val="24"/>
              </w:rPr>
              <w:t>Pašreizējā situācija un problēmas, kuru risināšanai tiesību akta projekts izstrādāts, tiesiskā regulējuma mērķis un būtība</w:t>
            </w:r>
            <w:r w:rsidR="00D57489">
              <w:rPr>
                <w:rFonts w:eastAsia="Times New Roman"/>
                <w:sz w:val="24"/>
                <w:szCs w:val="24"/>
              </w:rPr>
              <w:t>”:</w:t>
            </w:r>
          </w:p>
          <w:p w:rsidR="00D57489" w:rsidRPr="00F91897" w:rsidRDefault="00D57489" w:rsidP="00D918C1">
            <w:pPr>
              <w:jc w:val="both"/>
              <w:rPr>
                <w:rFonts w:eastAsia="Times New Roman"/>
                <w:sz w:val="24"/>
                <w:szCs w:val="24"/>
              </w:rPr>
            </w:pPr>
            <w:r>
              <w:rPr>
                <w:rFonts w:eastAsia="Times New Roman"/>
                <w:sz w:val="24"/>
                <w:szCs w:val="24"/>
              </w:rPr>
              <w:t>“</w:t>
            </w:r>
            <w:r w:rsidRPr="00D57489">
              <w:rPr>
                <w:rFonts w:eastAsia="Times New Roman"/>
                <w:sz w:val="24"/>
                <w:szCs w:val="24"/>
              </w:rPr>
              <w:t>Valsts aģentūra “Latvijas Nacionāl</w:t>
            </w:r>
            <w:r w:rsidR="00D918C1">
              <w:rPr>
                <w:rFonts w:eastAsia="Times New Roman"/>
                <w:sz w:val="24"/>
                <w:szCs w:val="24"/>
              </w:rPr>
              <w:t>ais</w:t>
            </w:r>
            <w:r w:rsidRPr="00D57489">
              <w:rPr>
                <w:rFonts w:eastAsia="Times New Roman"/>
                <w:sz w:val="24"/>
                <w:szCs w:val="24"/>
              </w:rPr>
              <w:t xml:space="preserve"> akreditācijas birojs”, atbilstoši akreditācijas standartam – LVS EN ISO/IEC 17025:2017, regulāri veic valsts sabiedrības ar ierobežotu atbildību “Latvijas proves birojs” testēšanas laboratorijas akreditāciju un akreditācijas sfēras uzraudzību. Valsts sabiedrībai ar ierobežotu atbildību “Latvijas proves birojs”, atbilstoši izsniegta </w:t>
            </w:r>
            <w:r w:rsidRPr="00D57489">
              <w:rPr>
                <w:rFonts w:eastAsia="Times New Roman"/>
                <w:sz w:val="24"/>
                <w:szCs w:val="24"/>
              </w:rPr>
              <w:lastRenderedPageBreak/>
              <w:t>akreditācijas apliecība Nr. LATAK-T-211-10-2001 (akreditācijas lēmuma datums: 25.10.2018., akreditācijas periods 07.12.2015. – 06.12.2020.). Lai laboratorija tiktu akreditēta, tai ir jāizpilda šādas prasības: jāievieš standartam atbilstoš</w:t>
            </w:r>
            <w:r w:rsidR="00D918C1">
              <w:rPr>
                <w:rFonts w:eastAsia="Times New Roman"/>
                <w:sz w:val="24"/>
                <w:szCs w:val="24"/>
              </w:rPr>
              <w:t>a</w:t>
            </w:r>
            <w:r w:rsidRPr="00D57489">
              <w:rPr>
                <w:rFonts w:eastAsia="Times New Roman"/>
                <w:sz w:val="24"/>
                <w:szCs w:val="24"/>
              </w:rPr>
              <w:t xml:space="preserve"> kvalitātes vadības sistēma, jānodrošina atbilstošs tehniskais aprīkojums, jānodrošina kompetents personāls un jādemonstrē atbilstošas testēšanas prasmes. Veicot metodes akreditāciju, laboratorijai ir jānodrošina attiecīgās testēšanas metodes atbilstība standarta prasībām</w:t>
            </w:r>
            <w:r w:rsidR="00D918C1">
              <w:rPr>
                <w:rFonts w:eastAsia="Times New Roman"/>
                <w:sz w:val="24"/>
                <w:szCs w:val="24"/>
              </w:rPr>
              <w:t>,</w:t>
            </w:r>
            <w:r w:rsidRPr="00D57489">
              <w:rPr>
                <w:rFonts w:eastAsia="Times New Roman"/>
                <w:sz w:val="24"/>
                <w:szCs w:val="24"/>
              </w:rPr>
              <w:t xml:space="preserve"> vai jāveic izvēlētās metodes validācija, kura pierāda metodes līdzvērtību standartizētajām testēšanas metodēm. Valsts sabiedrība ar ierobežotu atbildību “Latvijas proves birojs” praksē izmanto LVS ISO standartizētas testēšanas metodes, lai izvairītos no testēšanas rezultātu apšaubīšanas un zīmoga atzīšanas ierobežojumiem E</w:t>
            </w:r>
            <w:r w:rsidR="00D918C1">
              <w:rPr>
                <w:rFonts w:eastAsia="Times New Roman"/>
                <w:sz w:val="24"/>
                <w:szCs w:val="24"/>
              </w:rPr>
              <w:t>iropas Savienībā</w:t>
            </w:r>
            <w:r w:rsidRPr="00D57489">
              <w:rPr>
                <w:rFonts w:eastAsia="Times New Roman"/>
                <w:sz w:val="24"/>
                <w:szCs w:val="24"/>
              </w:rPr>
              <w:t>.</w:t>
            </w:r>
            <w:r>
              <w:rPr>
                <w:rFonts w:eastAsia="Times New Roman"/>
                <w:sz w:val="24"/>
                <w:szCs w:val="24"/>
              </w:rPr>
              <w:t>”.</w:t>
            </w:r>
          </w:p>
        </w:tc>
      </w:tr>
      <w:tr w:rsidR="00D57489" w:rsidRPr="00F91897" w:rsidTr="00E07510">
        <w:tc>
          <w:tcPr>
            <w:tcW w:w="750" w:type="dxa"/>
            <w:gridSpan w:val="2"/>
          </w:tcPr>
          <w:p w:rsidR="00D57489" w:rsidRDefault="00D57489" w:rsidP="00D57489">
            <w:pPr>
              <w:jc w:val="center"/>
              <w:rPr>
                <w:rFonts w:eastAsia="Times New Roman"/>
                <w:sz w:val="24"/>
                <w:szCs w:val="24"/>
                <w:lang w:eastAsia="lv-LV"/>
              </w:rPr>
            </w:pPr>
            <w:r>
              <w:rPr>
                <w:rFonts w:eastAsia="Times New Roman"/>
                <w:sz w:val="24"/>
                <w:szCs w:val="24"/>
                <w:lang w:eastAsia="lv-LV"/>
              </w:rPr>
              <w:lastRenderedPageBreak/>
              <w:t>4.</w:t>
            </w:r>
          </w:p>
        </w:tc>
        <w:tc>
          <w:tcPr>
            <w:tcW w:w="3073" w:type="dxa"/>
          </w:tcPr>
          <w:p w:rsidR="00D57489" w:rsidRPr="003A0ECA" w:rsidRDefault="00D57489" w:rsidP="00D57489">
            <w:pPr>
              <w:jc w:val="both"/>
              <w:rPr>
                <w:rFonts w:eastAsia="Times New Roman"/>
                <w:sz w:val="24"/>
                <w:szCs w:val="24"/>
                <w:lang w:eastAsia="lv-LV"/>
              </w:rPr>
            </w:pPr>
            <w:r w:rsidRPr="00D57489">
              <w:rPr>
                <w:rFonts w:eastAsia="Times New Roman"/>
                <w:sz w:val="24"/>
                <w:szCs w:val="24"/>
                <w:lang w:eastAsia="lv-LV"/>
              </w:rPr>
              <w:t xml:space="preserve">Ministru kabineta noteikumu projekta “Grozījumi Ministru kabineta 2009.gada 22.decembra noteikumos Nr.1525 “Dārgmetālu izstrādājumu zīmogošanas </w:t>
            </w:r>
            <w:r w:rsidRPr="00D57489">
              <w:rPr>
                <w:rFonts w:eastAsia="Times New Roman"/>
                <w:sz w:val="24"/>
                <w:szCs w:val="24"/>
                <w:lang w:eastAsia="lv-LV"/>
              </w:rPr>
              <w:lastRenderedPageBreak/>
              <w:t>kārtība un pieļaujamais remedijs”” sākotnējās ietekmes novērtējuma ziņojuma (anotācijas) I. daļas “Tiesību akta projekta izstrādes nepieciešamība” 2. punkts “Pašreizējā situācija un problēmas, kuru risināšanai tiesību akta projekts izstrādāts, tiesiskā regulējuma mērķis un būtība”.</w:t>
            </w:r>
          </w:p>
        </w:tc>
        <w:tc>
          <w:tcPr>
            <w:tcW w:w="4394" w:type="dxa"/>
            <w:gridSpan w:val="2"/>
          </w:tcPr>
          <w:p w:rsidR="00D57489" w:rsidRPr="00F91897" w:rsidRDefault="00D57489" w:rsidP="00D57489">
            <w:pPr>
              <w:jc w:val="both"/>
              <w:rPr>
                <w:rFonts w:eastAsia="Times New Roman"/>
                <w:b/>
                <w:sz w:val="24"/>
                <w:szCs w:val="24"/>
              </w:rPr>
            </w:pPr>
            <w:r w:rsidRPr="00F91897">
              <w:rPr>
                <w:rFonts w:eastAsia="Times New Roman"/>
                <w:b/>
                <w:sz w:val="24"/>
                <w:szCs w:val="24"/>
              </w:rPr>
              <w:lastRenderedPageBreak/>
              <w:t>Tieslietu ministrija (11.03.2019. Nr. 1-9.1/264).</w:t>
            </w:r>
          </w:p>
          <w:p w:rsidR="00D57489" w:rsidRPr="003A0ECA" w:rsidRDefault="00D57489" w:rsidP="00D57489">
            <w:pPr>
              <w:jc w:val="both"/>
              <w:rPr>
                <w:rFonts w:eastAsia="Times New Roman"/>
                <w:b/>
                <w:sz w:val="24"/>
                <w:szCs w:val="24"/>
              </w:rPr>
            </w:pPr>
            <w:r w:rsidRPr="00F91897">
              <w:rPr>
                <w:rFonts w:eastAsia="Times New Roman"/>
                <w:sz w:val="24"/>
                <w:szCs w:val="24"/>
              </w:rPr>
              <w:t xml:space="preserve">Vēršam uzmanību uz to, ka saskaņā ar Standartizācijas likuma 14. panta otro daļu obligāti piemērojamiem Latvijas nacionālajiem standartiem ir jābūt </w:t>
            </w:r>
            <w:r w:rsidRPr="00F91897">
              <w:rPr>
                <w:rFonts w:eastAsia="Times New Roman"/>
                <w:sz w:val="24"/>
                <w:szCs w:val="24"/>
              </w:rPr>
              <w:lastRenderedPageBreak/>
              <w:t>tulkotiem valsts valodā. Ievērojot minēto, lūdzam papildināt anotāciju ar informāciju un saiti uz noteikumu projektā pieminēto standartu sarakstu, kā arī sniegt anotācijā informāciju, vai attiecīgie standarti ir pieejami valsts valodā.</w:t>
            </w:r>
          </w:p>
        </w:tc>
        <w:tc>
          <w:tcPr>
            <w:tcW w:w="3118" w:type="dxa"/>
          </w:tcPr>
          <w:p w:rsidR="00D57489" w:rsidRPr="003A0ECA" w:rsidRDefault="00D57489" w:rsidP="00D57489">
            <w:pPr>
              <w:jc w:val="both"/>
              <w:rPr>
                <w:rFonts w:eastAsia="Times New Roman"/>
                <w:b/>
                <w:bCs/>
                <w:sz w:val="24"/>
                <w:szCs w:val="24"/>
                <w:lang w:eastAsia="lv-LV"/>
              </w:rPr>
            </w:pPr>
            <w:r w:rsidRPr="003A0ECA">
              <w:rPr>
                <w:rFonts w:eastAsia="Times New Roman"/>
                <w:b/>
                <w:bCs/>
                <w:sz w:val="24"/>
                <w:szCs w:val="24"/>
                <w:lang w:eastAsia="lv-LV"/>
              </w:rPr>
              <w:lastRenderedPageBreak/>
              <w:t>Finanšu ministrija</w:t>
            </w:r>
          </w:p>
          <w:p w:rsidR="00D57489" w:rsidRDefault="00D57489" w:rsidP="00D57489">
            <w:pPr>
              <w:tabs>
                <w:tab w:val="left" w:pos="0"/>
                <w:tab w:val="left" w:pos="709"/>
                <w:tab w:val="left" w:pos="993"/>
              </w:tabs>
              <w:suppressAutoHyphens/>
              <w:jc w:val="both"/>
              <w:outlineLvl w:val="3"/>
              <w:rPr>
                <w:rFonts w:eastAsia="Times New Roman"/>
                <w:bCs/>
                <w:sz w:val="24"/>
                <w:szCs w:val="24"/>
                <w:lang w:eastAsia="lv-LV"/>
              </w:rPr>
            </w:pPr>
            <w:r>
              <w:rPr>
                <w:rFonts w:eastAsia="Times New Roman"/>
                <w:bCs/>
                <w:sz w:val="24"/>
                <w:szCs w:val="24"/>
                <w:lang w:eastAsia="lv-LV"/>
              </w:rPr>
              <w:t>Panākta vienošanās starpministriju sanāksmē.</w:t>
            </w:r>
          </w:p>
          <w:p w:rsidR="00D57489" w:rsidRDefault="00D57489" w:rsidP="00D57489">
            <w:pPr>
              <w:tabs>
                <w:tab w:val="left" w:pos="0"/>
                <w:tab w:val="left" w:pos="709"/>
                <w:tab w:val="left" w:pos="993"/>
              </w:tabs>
              <w:suppressAutoHyphens/>
              <w:jc w:val="both"/>
              <w:outlineLvl w:val="3"/>
              <w:rPr>
                <w:rFonts w:eastAsia="Times New Roman"/>
                <w:bCs/>
                <w:sz w:val="24"/>
                <w:szCs w:val="24"/>
                <w:lang w:eastAsia="lv-LV"/>
              </w:rPr>
            </w:pPr>
          </w:p>
          <w:p w:rsidR="00D57489" w:rsidRDefault="00D57489" w:rsidP="00D57489">
            <w:pPr>
              <w:jc w:val="both"/>
              <w:rPr>
                <w:rFonts w:eastAsia="Times New Roman"/>
                <w:b/>
                <w:sz w:val="24"/>
                <w:szCs w:val="24"/>
                <w:lang w:eastAsia="lv-LV"/>
              </w:rPr>
            </w:pPr>
            <w:r w:rsidRPr="00AC3861">
              <w:rPr>
                <w:rFonts w:eastAsia="Times New Roman"/>
                <w:b/>
                <w:sz w:val="24"/>
                <w:szCs w:val="24"/>
                <w:lang w:eastAsia="lv-LV"/>
              </w:rPr>
              <w:lastRenderedPageBreak/>
              <w:t>Ekonomikas ministrija (26.04.2019. Nr.3.1-20/2019/82)</w:t>
            </w:r>
          </w:p>
          <w:p w:rsidR="00DE40D0" w:rsidRPr="00D1010F" w:rsidRDefault="00D57489" w:rsidP="00DE40D0">
            <w:pPr>
              <w:tabs>
                <w:tab w:val="left" w:pos="0"/>
                <w:tab w:val="left" w:pos="709"/>
                <w:tab w:val="left" w:pos="993"/>
              </w:tabs>
              <w:suppressAutoHyphens/>
              <w:jc w:val="both"/>
              <w:outlineLvl w:val="3"/>
              <w:rPr>
                <w:rFonts w:eastAsia="Times New Roman"/>
                <w:sz w:val="24"/>
                <w:szCs w:val="24"/>
                <w:lang w:eastAsia="lv-LV"/>
              </w:rPr>
            </w:pPr>
            <w:r w:rsidRPr="00AC3861">
              <w:rPr>
                <w:rFonts w:eastAsia="Times New Roman"/>
                <w:sz w:val="24"/>
                <w:szCs w:val="24"/>
                <w:lang w:eastAsia="lv-LV"/>
              </w:rPr>
              <w:t>Ievērojot iepriekšējā iebildumā sniegto argumentāciju par obligāti piemērojamo standartu aizstāšanu ar netiešajām atsaucēm uz standartiem, lūdzam atkārtoti izvērtēt un precizēt Projekta anotācijā minēto informāciju attiecībā uz standartu tulkošanu atbilstoši Standartizācijas likuma normām.</w:t>
            </w:r>
          </w:p>
        </w:tc>
        <w:tc>
          <w:tcPr>
            <w:tcW w:w="3402" w:type="dxa"/>
            <w:gridSpan w:val="2"/>
          </w:tcPr>
          <w:p w:rsidR="00D1010F" w:rsidRDefault="00D1010F" w:rsidP="00D1010F">
            <w:pPr>
              <w:jc w:val="both"/>
              <w:rPr>
                <w:rFonts w:eastAsia="Times New Roman"/>
                <w:sz w:val="24"/>
                <w:szCs w:val="24"/>
              </w:rPr>
            </w:pPr>
            <w:r>
              <w:rPr>
                <w:rFonts w:eastAsia="Times New Roman"/>
                <w:sz w:val="24"/>
                <w:szCs w:val="24"/>
              </w:rPr>
              <w:lastRenderedPageBreak/>
              <w:t xml:space="preserve">Papildināta </w:t>
            </w:r>
            <w:r>
              <w:t xml:space="preserve"> </w:t>
            </w:r>
            <w:r w:rsidRPr="00623397">
              <w:rPr>
                <w:rFonts w:eastAsia="Times New Roman"/>
                <w:sz w:val="24"/>
                <w:szCs w:val="24"/>
              </w:rPr>
              <w:t xml:space="preserve">Ministru kabineta noteikumu projekta “Grozījumi Ministru kabineta 2009.gada 22.decembra noteikumos Nr.1525 “Dārgmetālu izstrādājumu zīmogošanas </w:t>
            </w:r>
            <w:r w:rsidRPr="00623397">
              <w:rPr>
                <w:rFonts w:eastAsia="Times New Roman"/>
                <w:sz w:val="24"/>
                <w:szCs w:val="24"/>
              </w:rPr>
              <w:lastRenderedPageBreak/>
              <w:t>kārtība un pieļaujamais remedijs”” sākotnējās ietekmes novērtējuma ziņojum</w:t>
            </w:r>
            <w:r>
              <w:rPr>
                <w:rFonts w:eastAsia="Times New Roman"/>
                <w:sz w:val="24"/>
                <w:szCs w:val="24"/>
              </w:rPr>
              <w:t>a</w:t>
            </w:r>
            <w:r w:rsidRPr="00623397">
              <w:rPr>
                <w:rFonts w:eastAsia="Times New Roman"/>
                <w:sz w:val="24"/>
                <w:szCs w:val="24"/>
              </w:rPr>
              <w:t xml:space="preserve"> (anotācija</w:t>
            </w:r>
            <w:r>
              <w:rPr>
                <w:rFonts w:eastAsia="Times New Roman"/>
                <w:sz w:val="24"/>
                <w:szCs w:val="24"/>
              </w:rPr>
              <w:t>s</w:t>
            </w:r>
            <w:r w:rsidRPr="00623397">
              <w:rPr>
                <w:rFonts w:eastAsia="Times New Roman"/>
                <w:sz w:val="24"/>
                <w:szCs w:val="24"/>
              </w:rPr>
              <w:t>)</w:t>
            </w:r>
            <w:r>
              <w:rPr>
                <w:rFonts w:eastAsia="Times New Roman"/>
                <w:sz w:val="24"/>
                <w:szCs w:val="24"/>
              </w:rPr>
              <w:t xml:space="preserve"> I. sadaļas “</w:t>
            </w:r>
            <w:r w:rsidRPr="00D57489">
              <w:rPr>
                <w:rFonts w:eastAsia="Times New Roman"/>
                <w:sz w:val="24"/>
                <w:szCs w:val="24"/>
              </w:rPr>
              <w:t>Tiesību akta projekta izstrādes nepieciešamība</w:t>
            </w:r>
            <w:r>
              <w:rPr>
                <w:rFonts w:eastAsia="Times New Roman"/>
                <w:sz w:val="24"/>
                <w:szCs w:val="24"/>
              </w:rPr>
              <w:t>” 2. punkts “</w:t>
            </w:r>
            <w:r w:rsidRPr="00D57489">
              <w:rPr>
                <w:rFonts w:eastAsia="Times New Roman"/>
                <w:sz w:val="24"/>
                <w:szCs w:val="24"/>
              </w:rPr>
              <w:t>Pašreizējā situācija un problēmas, kuru risināšanai tiesību akta projekts izstrādāts, tiesiskā regulējuma mērķis un būtība</w:t>
            </w:r>
            <w:r>
              <w:rPr>
                <w:rFonts w:eastAsia="Times New Roman"/>
                <w:sz w:val="24"/>
                <w:szCs w:val="24"/>
              </w:rPr>
              <w:t>”:</w:t>
            </w:r>
          </w:p>
          <w:p w:rsidR="00D57489" w:rsidRPr="00D57489" w:rsidRDefault="00D1010F" w:rsidP="00D1010F">
            <w:pPr>
              <w:jc w:val="both"/>
              <w:rPr>
                <w:rFonts w:eastAsia="Times New Roman"/>
                <w:sz w:val="24"/>
                <w:szCs w:val="24"/>
              </w:rPr>
            </w:pPr>
            <w:r>
              <w:rPr>
                <w:rFonts w:eastAsia="Times New Roman"/>
                <w:sz w:val="24"/>
                <w:szCs w:val="24"/>
              </w:rPr>
              <w:t>“</w:t>
            </w:r>
            <w:r w:rsidRPr="00D57489">
              <w:rPr>
                <w:rFonts w:eastAsia="Times New Roman"/>
                <w:sz w:val="24"/>
                <w:szCs w:val="24"/>
              </w:rPr>
              <w:t>Valsts aģentūra “Latvijas Nacionāl</w:t>
            </w:r>
            <w:r>
              <w:rPr>
                <w:rFonts w:eastAsia="Times New Roman"/>
                <w:sz w:val="24"/>
                <w:szCs w:val="24"/>
              </w:rPr>
              <w:t>ais</w:t>
            </w:r>
            <w:r w:rsidRPr="00D57489">
              <w:rPr>
                <w:rFonts w:eastAsia="Times New Roman"/>
                <w:sz w:val="24"/>
                <w:szCs w:val="24"/>
              </w:rPr>
              <w:t xml:space="preserve"> akreditācijas birojs”, atbilstoši akreditācijas standartam – LVS EN ISO/IEC 17025:2017, regulāri veic valsts sabiedrības ar ierobežotu atbildību “Latvijas proves birojs” testēšanas laboratorijas akreditāciju un akreditācijas sfēras uzraudzību. Valsts sabiedrībai ar ierobežotu atbildību “Latvijas proves birojs”, atbilstoši izsniegta akreditācijas apliecība Nr. LATAK-T-211-10-2001 (akreditācijas lēmuma datums: 25.10.2018., akreditācijas periods 07.12.2015. – 06.12.2020.). Lai laboratorija tiktu akreditēta, tai ir jāizpilda šādas prasības: jāievieš standartam atbilstoš</w:t>
            </w:r>
            <w:r>
              <w:rPr>
                <w:rFonts w:eastAsia="Times New Roman"/>
                <w:sz w:val="24"/>
                <w:szCs w:val="24"/>
              </w:rPr>
              <w:t>a</w:t>
            </w:r>
            <w:r w:rsidRPr="00D57489">
              <w:rPr>
                <w:rFonts w:eastAsia="Times New Roman"/>
                <w:sz w:val="24"/>
                <w:szCs w:val="24"/>
              </w:rPr>
              <w:t xml:space="preserve"> kvalitātes vadības sistēma, jānodrošina atbilstošs tehniskais aprīkojums, jānodrošina kompetents </w:t>
            </w:r>
            <w:r w:rsidRPr="00D57489">
              <w:rPr>
                <w:rFonts w:eastAsia="Times New Roman"/>
                <w:sz w:val="24"/>
                <w:szCs w:val="24"/>
              </w:rPr>
              <w:lastRenderedPageBreak/>
              <w:t>personāls un jādemonstrē atbilstošas testēšanas prasmes. Veicot metodes akreditāciju, laboratorijai ir jānodrošina attiecīgās testēšanas metodes atbilstība standarta prasībām</w:t>
            </w:r>
            <w:r>
              <w:rPr>
                <w:rFonts w:eastAsia="Times New Roman"/>
                <w:sz w:val="24"/>
                <w:szCs w:val="24"/>
              </w:rPr>
              <w:t>,</w:t>
            </w:r>
            <w:r w:rsidRPr="00D57489">
              <w:rPr>
                <w:rFonts w:eastAsia="Times New Roman"/>
                <w:sz w:val="24"/>
                <w:szCs w:val="24"/>
              </w:rPr>
              <w:t xml:space="preserve"> vai jāveic izvēlētās metodes validācija, kura pierāda metodes līdzvērtību standartizētajām testēšanas metodēm. Valsts sabiedrība ar ierobežotu atbildību “Latvijas proves birojs” praksē izmanto LVS ISO standartizētas testēšanas metodes, lai izvairītos no testēšanas rezultātu apšaubīšanas un zīmoga atzīšanas ierobežojumiem E</w:t>
            </w:r>
            <w:r>
              <w:rPr>
                <w:rFonts w:eastAsia="Times New Roman"/>
                <w:sz w:val="24"/>
                <w:szCs w:val="24"/>
              </w:rPr>
              <w:t>iropas Savienībā</w:t>
            </w:r>
            <w:r w:rsidRPr="00D57489">
              <w:rPr>
                <w:rFonts w:eastAsia="Times New Roman"/>
                <w:sz w:val="24"/>
                <w:szCs w:val="24"/>
              </w:rPr>
              <w:t>.</w:t>
            </w:r>
            <w:r>
              <w:rPr>
                <w:rFonts w:eastAsia="Times New Roman"/>
                <w:sz w:val="24"/>
                <w:szCs w:val="24"/>
              </w:rPr>
              <w:t>”.</w:t>
            </w:r>
          </w:p>
        </w:tc>
      </w:tr>
      <w:tr w:rsidR="00D57489" w:rsidRPr="0020265C"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20265C" w:rsidRDefault="00D57489" w:rsidP="00D57489">
            <w:pPr>
              <w:pStyle w:val="naiskr"/>
              <w:spacing w:before="0" w:beforeAutospacing="0" w:after="0" w:afterAutospacing="0"/>
            </w:pPr>
          </w:p>
          <w:p w:rsidR="00D57489" w:rsidRPr="0020265C" w:rsidRDefault="00D57489" w:rsidP="00D57489">
            <w:pPr>
              <w:pStyle w:val="naisf"/>
              <w:spacing w:before="0" w:beforeAutospacing="0" w:after="0" w:afterAutospacing="0"/>
              <w:ind w:firstLine="720"/>
            </w:pPr>
            <w:r w:rsidRPr="0020265C">
              <w:t>Atbildīgā amatpersona</w:t>
            </w:r>
          </w:p>
          <w:p w:rsidR="00D57489" w:rsidRPr="0020265C" w:rsidRDefault="00D57489" w:rsidP="00D57489">
            <w:pPr>
              <w:pStyle w:val="naiskr"/>
              <w:spacing w:before="0" w:beforeAutospacing="0" w:after="0" w:afterAutospacing="0"/>
              <w:jc w:val="center"/>
            </w:pPr>
          </w:p>
        </w:tc>
        <w:tc>
          <w:tcPr>
            <w:tcW w:w="9063" w:type="dxa"/>
            <w:gridSpan w:val="3"/>
          </w:tcPr>
          <w:p w:rsidR="00D57489" w:rsidRPr="0020265C" w:rsidRDefault="00D57489" w:rsidP="00D57489">
            <w:pPr>
              <w:pStyle w:val="naiskr"/>
              <w:spacing w:before="0" w:beforeAutospacing="0" w:after="0" w:afterAutospacing="0"/>
            </w:pPr>
          </w:p>
        </w:tc>
      </w:tr>
      <w:tr w:rsidR="00D57489" w:rsidRPr="0020265C"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20265C" w:rsidRDefault="00D57489" w:rsidP="00D57489">
            <w:pPr>
              <w:pStyle w:val="naiskr"/>
              <w:spacing w:before="0" w:beforeAutospacing="0" w:after="0" w:afterAutospacing="0"/>
              <w:ind w:firstLine="720"/>
              <w:jc w:val="center"/>
            </w:pPr>
          </w:p>
        </w:tc>
        <w:tc>
          <w:tcPr>
            <w:tcW w:w="9063" w:type="dxa"/>
            <w:gridSpan w:val="3"/>
            <w:tcBorders>
              <w:top w:val="single" w:sz="6" w:space="0" w:color="000000"/>
            </w:tcBorders>
          </w:tcPr>
          <w:p w:rsidR="00D57489" w:rsidRPr="0020265C" w:rsidRDefault="00D57489" w:rsidP="00D57489">
            <w:pPr>
              <w:pStyle w:val="naisc"/>
              <w:spacing w:before="0" w:beforeAutospacing="0" w:after="0" w:afterAutospacing="0"/>
              <w:ind w:firstLine="720"/>
            </w:pPr>
            <w:r w:rsidRPr="0020265C">
              <w:t>(paraksts)*</w:t>
            </w:r>
          </w:p>
        </w:tc>
      </w:tr>
    </w:tbl>
    <w:p w:rsidR="00D552A4" w:rsidRDefault="00435C09" w:rsidP="0020265C">
      <w:pPr>
        <w:pStyle w:val="naisf"/>
        <w:spacing w:before="0" w:beforeAutospacing="0" w:after="0" w:afterAutospacing="0"/>
        <w:ind w:firstLine="720"/>
      </w:pPr>
      <w:r w:rsidRPr="0020265C">
        <w:br w:type="textWrapping" w:clear="all"/>
      </w:r>
      <w:r w:rsidR="00397296" w:rsidRPr="0020265C">
        <w:t>Piezīme. * Dokumenta rekvizītu "paraksts" neaizpilda, ja elektroniskais dokuments ir sagatavots atbilstoši normatīvajiem aktiem par elektronisko dokumentu noformēšanu.</w:t>
      </w:r>
    </w:p>
    <w:p w:rsidR="0020265C" w:rsidRPr="0020265C" w:rsidRDefault="0020265C" w:rsidP="0020265C">
      <w:pPr>
        <w:pStyle w:val="naisf"/>
        <w:spacing w:before="0" w:beforeAutospacing="0" w:after="0" w:afterAutospacing="0"/>
      </w:pPr>
    </w:p>
    <w:p w:rsidR="0020265C" w:rsidRPr="0020265C" w:rsidRDefault="0020265C" w:rsidP="0020265C">
      <w:pPr>
        <w:pStyle w:val="naisf"/>
        <w:spacing w:before="0" w:beforeAutospacing="0" w:after="0" w:afterAutospacing="0"/>
        <w:ind w:left="2160" w:firstLine="720"/>
      </w:pPr>
      <w:r w:rsidRPr="0020265C">
        <w:t>Edgars Šidlovskis</w:t>
      </w:r>
    </w:p>
    <w:tbl>
      <w:tblPr>
        <w:tblW w:w="0" w:type="auto"/>
        <w:tblLook w:val="00A0" w:firstRow="1" w:lastRow="0" w:firstColumn="1" w:lastColumn="0" w:noHBand="0" w:noVBand="0"/>
      </w:tblPr>
      <w:tblGrid>
        <w:gridCol w:w="8268"/>
      </w:tblGrid>
      <w:tr w:rsidR="0020265C" w:rsidRPr="0020265C" w:rsidTr="00EE1035">
        <w:tc>
          <w:tcPr>
            <w:tcW w:w="8268" w:type="dxa"/>
            <w:tcBorders>
              <w:top w:val="single" w:sz="4" w:space="0" w:color="000000"/>
            </w:tcBorders>
          </w:tcPr>
          <w:p w:rsidR="0020265C" w:rsidRPr="0020265C" w:rsidRDefault="0020265C" w:rsidP="0020265C">
            <w:pPr>
              <w:pStyle w:val="naisf"/>
              <w:spacing w:before="0" w:beforeAutospacing="0" w:after="0" w:afterAutospacing="0"/>
              <w:ind w:firstLine="720"/>
            </w:pPr>
            <w:r w:rsidRPr="0020265C">
              <w:t>(par projektu atbildīgās amatpersonas vārds un uzvārds)</w:t>
            </w:r>
          </w:p>
          <w:p w:rsidR="0020265C" w:rsidRPr="0020265C" w:rsidRDefault="0020265C" w:rsidP="0020265C">
            <w:pPr>
              <w:pStyle w:val="naisf"/>
              <w:spacing w:before="0" w:beforeAutospacing="0" w:after="0" w:afterAutospacing="0"/>
              <w:ind w:firstLine="720"/>
            </w:pPr>
          </w:p>
        </w:tc>
      </w:tr>
      <w:tr w:rsidR="0020265C" w:rsidRPr="0020265C" w:rsidTr="00EE1035">
        <w:tc>
          <w:tcPr>
            <w:tcW w:w="8268" w:type="dxa"/>
            <w:tcBorders>
              <w:bottom w:val="single" w:sz="4" w:space="0" w:color="000000"/>
            </w:tcBorders>
          </w:tcPr>
          <w:p w:rsidR="0020265C" w:rsidRPr="0020265C" w:rsidRDefault="0020265C" w:rsidP="0020265C">
            <w:pPr>
              <w:pStyle w:val="naisf"/>
              <w:spacing w:before="0" w:beforeAutospacing="0" w:after="0" w:afterAutospacing="0"/>
              <w:jc w:val="center"/>
            </w:pPr>
            <w:r w:rsidRPr="0020265C">
              <w:t>Finanšu ministrijas Nodokļu administrēšanas un sabiedrības interešu politiku departamenta Sabiedrības interešu politiku nodaļas vecākais eksperts</w:t>
            </w:r>
          </w:p>
        </w:tc>
      </w:tr>
      <w:tr w:rsidR="0020265C" w:rsidRPr="0020265C" w:rsidTr="00EE1035">
        <w:tc>
          <w:tcPr>
            <w:tcW w:w="8268" w:type="dxa"/>
            <w:tcBorders>
              <w:top w:val="single" w:sz="4" w:space="0" w:color="000000"/>
            </w:tcBorders>
          </w:tcPr>
          <w:p w:rsidR="0020265C" w:rsidRPr="0020265C" w:rsidRDefault="0020265C" w:rsidP="0020265C">
            <w:pPr>
              <w:pStyle w:val="naisf"/>
              <w:spacing w:before="0" w:beforeAutospacing="0" w:after="0" w:afterAutospacing="0"/>
              <w:jc w:val="center"/>
            </w:pPr>
            <w:r w:rsidRPr="0020265C">
              <w:t>(amats)</w:t>
            </w:r>
          </w:p>
          <w:p w:rsidR="0020265C" w:rsidRPr="0020265C" w:rsidRDefault="0020265C" w:rsidP="0020265C">
            <w:pPr>
              <w:pStyle w:val="naisf"/>
              <w:spacing w:before="0" w:beforeAutospacing="0" w:after="0" w:afterAutospacing="0"/>
              <w:ind w:firstLine="720"/>
            </w:pPr>
          </w:p>
        </w:tc>
      </w:tr>
      <w:tr w:rsidR="0020265C" w:rsidRPr="0020265C" w:rsidTr="0020265C">
        <w:tc>
          <w:tcPr>
            <w:tcW w:w="8268" w:type="dxa"/>
            <w:tcBorders>
              <w:bottom w:val="single" w:sz="4" w:space="0" w:color="000000"/>
            </w:tcBorders>
          </w:tcPr>
          <w:p w:rsidR="0020265C" w:rsidRPr="0020265C" w:rsidRDefault="0020265C" w:rsidP="0020265C">
            <w:pPr>
              <w:pStyle w:val="naisf"/>
              <w:spacing w:before="0" w:beforeAutospacing="0" w:after="0" w:afterAutospacing="0"/>
              <w:jc w:val="center"/>
            </w:pPr>
            <w:r w:rsidRPr="0020265C">
              <w:t>67083894</w:t>
            </w:r>
          </w:p>
        </w:tc>
      </w:tr>
      <w:tr w:rsidR="0020265C" w:rsidRPr="0020265C" w:rsidTr="0020265C">
        <w:tc>
          <w:tcPr>
            <w:tcW w:w="8268" w:type="dxa"/>
            <w:tcBorders>
              <w:top w:val="single" w:sz="4" w:space="0" w:color="000000"/>
            </w:tcBorders>
          </w:tcPr>
          <w:p w:rsidR="0020265C" w:rsidRPr="0020265C" w:rsidRDefault="0020265C" w:rsidP="0020265C">
            <w:pPr>
              <w:pStyle w:val="naisf"/>
              <w:spacing w:before="0" w:beforeAutospacing="0" w:after="0" w:afterAutospacing="0"/>
              <w:jc w:val="center"/>
            </w:pPr>
            <w:r w:rsidRPr="0020265C">
              <w:t>(tālruņa un faksa numurs)</w:t>
            </w:r>
          </w:p>
          <w:p w:rsidR="0020265C" w:rsidRPr="0020265C" w:rsidRDefault="0020265C" w:rsidP="0020265C">
            <w:pPr>
              <w:pStyle w:val="naisf"/>
              <w:spacing w:before="0" w:beforeAutospacing="0" w:after="0" w:afterAutospacing="0"/>
              <w:ind w:firstLine="720"/>
            </w:pPr>
          </w:p>
        </w:tc>
      </w:tr>
      <w:tr w:rsidR="0020265C" w:rsidRPr="0020265C" w:rsidTr="0020265C">
        <w:tc>
          <w:tcPr>
            <w:tcW w:w="8268" w:type="dxa"/>
            <w:tcBorders>
              <w:bottom w:val="single" w:sz="4" w:space="0" w:color="000000"/>
            </w:tcBorders>
          </w:tcPr>
          <w:p w:rsidR="0020265C" w:rsidRPr="0020265C" w:rsidRDefault="0020265C" w:rsidP="0020265C">
            <w:pPr>
              <w:pStyle w:val="naisf"/>
              <w:spacing w:before="0" w:beforeAutospacing="0" w:after="0" w:afterAutospacing="0"/>
              <w:jc w:val="center"/>
            </w:pPr>
            <w:r w:rsidRPr="0020265C">
              <w:lastRenderedPageBreak/>
              <w:t>Edgars.Sidlovskis@fm.gov.lv</w:t>
            </w:r>
          </w:p>
        </w:tc>
      </w:tr>
      <w:tr w:rsidR="0020265C" w:rsidRPr="0020265C" w:rsidTr="00EE1035">
        <w:tc>
          <w:tcPr>
            <w:tcW w:w="8268" w:type="dxa"/>
            <w:tcBorders>
              <w:top w:val="single" w:sz="4" w:space="0" w:color="000000"/>
            </w:tcBorders>
          </w:tcPr>
          <w:p w:rsidR="0020265C" w:rsidRPr="0020265C" w:rsidRDefault="0020265C" w:rsidP="0020265C">
            <w:pPr>
              <w:pStyle w:val="naisf"/>
              <w:spacing w:before="0" w:beforeAutospacing="0" w:after="0" w:afterAutospacing="0"/>
              <w:jc w:val="center"/>
            </w:pPr>
            <w:r w:rsidRPr="0020265C">
              <w:t>(e-pasta adrese)</w:t>
            </w:r>
          </w:p>
        </w:tc>
      </w:tr>
    </w:tbl>
    <w:p w:rsidR="00481A37" w:rsidRPr="0020265C" w:rsidRDefault="00481A37" w:rsidP="0020265C">
      <w:pPr>
        <w:pStyle w:val="naisf"/>
        <w:spacing w:before="0" w:beforeAutospacing="0" w:after="0" w:afterAutospacing="0"/>
        <w:ind w:firstLine="720"/>
      </w:pPr>
    </w:p>
    <w:sectPr w:rsidR="00481A37" w:rsidRPr="0020265C" w:rsidSect="00103790">
      <w:headerReference w:type="default" r:id="rId8"/>
      <w:footerReference w:type="default" r:id="rId9"/>
      <w:footerReference w:type="first" r:id="rId10"/>
      <w:pgSz w:w="16838" w:h="11906" w:orient="landscape"/>
      <w:pgMar w:top="709" w:right="851" w:bottom="426"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67" w:rsidRDefault="007E6367" w:rsidP="00B70481">
      <w:r>
        <w:separator/>
      </w:r>
    </w:p>
  </w:endnote>
  <w:endnote w:type="continuationSeparator" w:id="0">
    <w:p w:rsidR="007E6367" w:rsidRDefault="007E6367"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421CB1" w:rsidRDefault="00421CB1" w:rsidP="00421CB1">
    <w:pPr>
      <w:pStyle w:val="Footer"/>
    </w:pPr>
    <w:r w:rsidRPr="00421CB1">
      <w:rPr>
        <w:sz w:val="20"/>
        <w:szCs w:val="20"/>
      </w:rPr>
      <w:t>FMIzz_150419_1525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421CB1" w:rsidRDefault="00421CB1" w:rsidP="00421CB1">
    <w:pPr>
      <w:pStyle w:val="Footer"/>
    </w:pPr>
    <w:r w:rsidRPr="00421CB1">
      <w:rPr>
        <w:sz w:val="20"/>
        <w:szCs w:val="20"/>
      </w:rPr>
      <w:t>FMIzz_150419_1525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67" w:rsidRDefault="007E6367" w:rsidP="00B70481">
      <w:r>
        <w:separator/>
      </w:r>
    </w:p>
  </w:footnote>
  <w:footnote w:type="continuationSeparator" w:id="0">
    <w:p w:rsidR="007E6367" w:rsidRDefault="007E6367" w:rsidP="00B7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Default="00310232" w:rsidP="0094708D">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497135">
      <w:rPr>
        <w:noProof/>
        <w:sz w:val="24"/>
        <w:szCs w:val="24"/>
      </w:rPr>
      <w:t>9</w:t>
    </w:r>
    <w:r w:rsidRPr="00B7048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52A19"/>
    <w:multiLevelType w:val="hybridMultilevel"/>
    <w:tmpl w:val="9E302462"/>
    <w:lvl w:ilvl="0" w:tplc="BBD42A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306900"/>
    <w:multiLevelType w:val="multilevel"/>
    <w:tmpl w:val="2ED0531E"/>
    <w:lvl w:ilvl="0">
      <w:start w:val="1"/>
      <w:numFmt w:val="decimal"/>
      <w:lvlText w:val="%1."/>
      <w:lvlJc w:val="left"/>
      <w:pPr>
        <w:ind w:left="660" w:hanging="360"/>
      </w:pPr>
      <w:rPr>
        <w:rFonts w:hint="default"/>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4"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2"/>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00129E"/>
    <w:rsid w:val="00001895"/>
    <w:rsid w:val="000029EF"/>
    <w:rsid w:val="00002B33"/>
    <w:rsid w:val="000058A7"/>
    <w:rsid w:val="00005E69"/>
    <w:rsid w:val="00006FC3"/>
    <w:rsid w:val="000102DD"/>
    <w:rsid w:val="0001079F"/>
    <w:rsid w:val="000109A3"/>
    <w:rsid w:val="00011966"/>
    <w:rsid w:val="00012121"/>
    <w:rsid w:val="000134F8"/>
    <w:rsid w:val="00014CFF"/>
    <w:rsid w:val="000153EB"/>
    <w:rsid w:val="000155C5"/>
    <w:rsid w:val="00015BA4"/>
    <w:rsid w:val="00016FF6"/>
    <w:rsid w:val="00017262"/>
    <w:rsid w:val="0002029E"/>
    <w:rsid w:val="00020DCF"/>
    <w:rsid w:val="0002105A"/>
    <w:rsid w:val="000210B8"/>
    <w:rsid w:val="00021686"/>
    <w:rsid w:val="00021D5B"/>
    <w:rsid w:val="00022508"/>
    <w:rsid w:val="00022806"/>
    <w:rsid w:val="00022975"/>
    <w:rsid w:val="0002420E"/>
    <w:rsid w:val="000247FE"/>
    <w:rsid w:val="00024C71"/>
    <w:rsid w:val="00025A94"/>
    <w:rsid w:val="000263DA"/>
    <w:rsid w:val="000269E7"/>
    <w:rsid w:val="00027705"/>
    <w:rsid w:val="0002776E"/>
    <w:rsid w:val="00027C74"/>
    <w:rsid w:val="0003147F"/>
    <w:rsid w:val="00031774"/>
    <w:rsid w:val="000321FA"/>
    <w:rsid w:val="000332DD"/>
    <w:rsid w:val="000356D2"/>
    <w:rsid w:val="00035FF6"/>
    <w:rsid w:val="00036354"/>
    <w:rsid w:val="00036ED0"/>
    <w:rsid w:val="000377FC"/>
    <w:rsid w:val="00037F97"/>
    <w:rsid w:val="00037FDE"/>
    <w:rsid w:val="0004083D"/>
    <w:rsid w:val="00041379"/>
    <w:rsid w:val="000414D7"/>
    <w:rsid w:val="00041964"/>
    <w:rsid w:val="00041C24"/>
    <w:rsid w:val="00041FDD"/>
    <w:rsid w:val="00043078"/>
    <w:rsid w:val="000437EB"/>
    <w:rsid w:val="000438AD"/>
    <w:rsid w:val="000445CA"/>
    <w:rsid w:val="00044E5B"/>
    <w:rsid w:val="00045EB5"/>
    <w:rsid w:val="00047867"/>
    <w:rsid w:val="00047F4C"/>
    <w:rsid w:val="00050815"/>
    <w:rsid w:val="00050F01"/>
    <w:rsid w:val="00050F71"/>
    <w:rsid w:val="0005101A"/>
    <w:rsid w:val="0005114D"/>
    <w:rsid w:val="0005135E"/>
    <w:rsid w:val="0005180B"/>
    <w:rsid w:val="000523AB"/>
    <w:rsid w:val="00053BDD"/>
    <w:rsid w:val="00053D18"/>
    <w:rsid w:val="00054229"/>
    <w:rsid w:val="00055033"/>
    <w:rsid w:val="000559FC"/>
    <w:rsid w:val="000561DE"/>
    <w:rsid w:val="00056685"/>
    <w:rsid w:val="0005690B"/>
    <w:rsid w:val="00056B66"/>
    <w:rsid w:val="00056DD8"/>
    <w:rsid w:val="000575E9"/>
    <w:rsid w:val="00057875"/>
    <w:rsid w:val="0006065C"/>
    <w:rsid w:val="00060E2E"/>
    <w:rsid w:val="00061A67"/>
    <w:rsid w:val="00061C02"/>
    <w:rsid w:val="00062637"/>
    <w:rsid w:val="0006263A"/>
    <w:rsid w:val="00063264"/>
    <w:rsid w:val="00063524"/>
    <w:rsid w:val="00065057"/>
    <w:rsid w:val="00065AA6"/>
    <w:rsid w:val="00065C1E"/>
    <w:rsid w:val="00065CE4"/>
    <w:rsid w:val="00066219"/>
    <w:rsid w:val="0006622A"/>
    <w:rsid w:val="000664C6"/>
    <w:rsid w:val="00066839"/>
    <w:rsid w:val="00067B92"/>
    <w:rsid w:val="000710F2"/>
    <w:rsid w:val="00071975"/>
    <w:rsid w:val="00071AFB"/>
    <w:rsid w:val="00071CA6"/>
    <w:rsid w:val="000734CB"/>
    <w:rsid w:val="000743CF"/>
    <w:rsid w:val="00074598"/>
    <w:rsid w:val="00074AA4"/>
    <w:rsid w:val="00075C80"/>
    <w:rsid w:val="0007627D"/>
    <w:rsid w:val="00077124"/>
    <w:rsid w:val="0007712C"/>
    <w:rsid w:val="00077267"/>
    <w:rsid w:val="0008127E"/>
    <w:rsid w:val="000835B9"/>
    <w:rsid w:val="00083657"/>
    <w:rsid w:val="0008406C"/>
    <w:rsid w:val="0008407A"/>
    <w:rsid w:val="0008445A"/>
    <w:rsid w:val="00084D13"/>
    <w:rsid w:val="0008592A"/>
    <w:rsid w:val="00085DAE"/>
    <w:rsid w:val="00086E08"/>
    <w:rsid w:val="000873D3"/>
    <w:rsid w:val="000915EC"/>
    <w:rsid w:val="000935E9"/>
    <w:rsid w:val="0009384E"/>
    <w:rsid w:val="00093FE6"/>
    <w:rsid w:val="0009429D"/>
    <w:rsid w:val="00094408"/>
    <w:rsid w:val="00094762"/>
    <w:rsid w:val="00095824"/>
    <w:rsid w:val="00095D23"/>
    <w:rsid w:val="00096CD2"/>
    <w:rsid w:val="000A02DE"/>
    <w:rsid w:val="000A13E3"/>
    <w:rsid w:val="000A1A75"/>
    <w:rsid w:val="000A2162"/>
    <w:rsid w:val="000A28AE"/>
    <w:rsid w:val="000A2F33"/>
    <w:rsid w:val="000A4EB0"/>
    <w:rsid w:val="000A572C"/>
    <w:rsid w:val="000A63D6"/>
    <w:rsid w:val="000A67B6"/>
    <w:rsid w:val="000A67F9"/>
    <w:rsid w:val="000A6F27"/>
    <w:rsid w:val="000A7113"/>
    <w:rsid w:val="000A78CF"/>
    <w:rsid w:val="000A798E"/>
    <w:rsid w:val="000B126B"/>
    <w:rsid w:val="000B2793"/>
    <w:rsid w:val="000B2C1B"/>
    <w:rsid w:val="000B3AE7"/>
    <w:rsid w:val="000B3D1A"/>
    <w:rsid w:val="000B5351"/>
    <w:rsid w:val="000B556D"/>
    <w:rsid w:val="000B5DF4"/>
    <w:rsid w:val="000B604A"/>
    <w:rsid w:val="000B70BD"/>
    <w:rsid w:val="000B7CF7"/>
    <w:rsid w:val="000C02EE"/>
    <w:rsid w:val="000C044B"/>
    <w:rsid w:val="000C057E"/>
    <w:rsid w:val="000C096E"/>
    <w:rsid w:val="000C099E"/>
    <w:rsid w:val="000C0CF4"/>
    <w:rsid w:val="000C141F"/>
    <w:rsid w:val="000C176F"/>
    <w:rsid w:val="000C19FA"/>
    <w:rsid w:val="000C2129"/>
    <w:rsid w:val="000C26A4"/>
    <w:rsid w:val="000C48C8"/>
    <w:rsid w:val="000C55D9"/>
    <w:rsid w:val="000C5EC5"/>
    <w:rsid w:val="000C5ED3"/>
    <w:rsid w:val="000C67AF"/>
    <w:rsid w:val="000C682A"/>
    <w:rsid w:val="000C7477"/>
    <w:rsid w:val="000D00A0"/>
    <w:rsid w:val="000D01D7"/>
    <w:rsid w:val="000D01EB"/>
    <w:rsid w:val="000D0F99"/>
    <w:rsid w:val="000D13C6"/>
    <w:rsid w:val="000D1412"/>
    <w:rsid w:val="000D1624"/>
    <w:rsid w:val="000D20E2"/>
    <w:rsid w:val="000D31EE"/>
    <w:rsid w:val="000D36A7"/>
    <w:rsid w:val="000D3848"/>
    <w:rsid w:val="000D3B54"/>
    <w:rsid w:val="000D4E51"/>
    <w:rsid w:val="000D60F7"/>
    <w:rsid w:val="000D6924"/>
    <w:rsid w:val="000D6EAE"/>
    <w:rsid w:val="000D7334"/>
    <w:rsid w:val="000D761D"/>
    <w:rsid w:val="000E0EF6"/>
    <w:rsid w:val="000E1720"/>
    <w:rsid w:val="000E226B"/>
    <w:rsid w:val="000E3105"/>
    <w:rsid w:val="000E5A1A"/>
    <w:rsid w:val="000E5FC4"/>
    <w:rsid w:val="000E6035"/>
    <w:rsid w:val="000E62D3"/>
    <w:rsid w:val="000E6FB4"/>
    <w:rsid w:val="000E6FC1"/>
    <w:rsid w:val="000F0902"/>
    <w:rsid w:val="000F0E88"/>
    <w:rsid w:val="000F1A88"/>
    <w:rsid w:val="000F1AB4"/>
    <w:rsid w:val="000F26CF"/>
    <w:rsid w:val="000F270F"/>
    <w:rsid w:val="000F34C3"/>
    <w:rsid w:val="000F558A"/>
    <w:rsid w:val="000F59D3"/>
    <w:rsid w:val="000F5F23"/>
    <w:rsid w:val="000F606C"/>
    <w:rsid w:val="000F6585"/>
    <w:rsid w:val="000F73AD"/>
    <w:rsid w:val="000F7690"/>
    <w:rsid w:val="000F7DA3"/>
    <w:rsid w:val="001005A7"/>
    <w:rsid w:val="00100865"/>
    <w:rsid w:val="00101F15"/>
    <w:rsid w:val="00102394"/>
    <w:rsid w:val="00102C90"/>
    <w:rsid w:val="00102DC4"/>
    <w:rsid w:val="00103790"/>
    <w:rsid w:val="00103E7C"/>
    <w:rsid w:val="00103F33"/>
    <w:rsid w:val="00105256"/>
    <w:rsid w:val="001053F2"/>
    <w:rsid w:val="001059D5"/>
    <w:rsid w:val="00105D64"/>
    <w:rsid w:val="00106627"/>
    <w:rsid w:val="00106B5D"/>
    <w:rsid w:val="00106C90"/>
    <w:rsid w:val="00107FED"/>
    <w:rsid w:val="001102E8"/>
    <w:rsid w:val="00110780"/>
    <w:rsid w:val="00113969"/>
    <w:rsid w:val="00114AB8"/>
    <w:rsid w:val="00114ECF"/>
    <w:rsid w:val="00115146"/>
    <w:rsid w:val="00117093"/>
    <w:rsid w:val="0011743D"/>
    <w:rsid w:val="00120B85"/>
    <w:rsid w:val="00121803"/>
    <w:rsid w:val="00121F8C"/>
    <w:rsid w:val="001235A6"/>
    <w:rsid w:val="00123E13"/>
    <w:rsid w:val="001246D9"/>
    <w:rsid w:val="00125449"/>
    <w:rsid w:val="001259F1"/>
    <w:rsid w:val="00125A2E"/>
    <w:rsid w:val="001261D2"/>
    <w:rsid w:val="00126B47"/>
    <w:rsid w:val="00126F88"/>
    <w:rsid w:val="001270F7"/>
    <w:rsid w:val="00127976"/>
    <w:rsid w:val="001279DB"/>
    <w:rsid w:val="00130AEB"/>
    <w:rsid w:val="00131211"/>
    <w:rsid w:val="001325B6"/>
    <w:rsid w:val="001330D5"/>
    <w:rsid w:val="001330DB"/>
    <w:rsid w:val="001338DD"/>
    <w:rsid w:val="00133B3B"/>
    <w:rsid w:val="00133FF7"/>
    <w:rsid w:val="00134798"/>
    <w:rsid w:val="001348B2"/>
    <w:rsid w:val="0013565F"/>
    <w:rsid w:val="00135974"/>
    <w:rsid w:val="00136F6D"/>
    <w:rsid w:val="00137882"/>
    <w:rsid w:val="00137DD1"/>
    <w:rsid w:val="00140551"/>
    <w:rsid w:val="00140E8A"/>
    <w:rsid w:val="001418E7"/>
    <w:rsid w:val="00141C0A"/>
    <w:rsid w:val="00143EC5"/>
    <w:rsid w:val="001457BC"/>
    <w:rsid w:val="00146757"/>
    <w:rsid w:val="001469B5"/>
    <w:rsid w:val="00146C12"/>
    <w:rsid w:val="00146DBE"/>
    <w:rsid w:val="00147419"/>
    <w:rsid w:val="00150C7E"/>
    <w:rsid w:val="00151352"/>
    <w:rsid w:val="00151C22"/>
    <w:rsid w:val="001523E7"/>
    <w:rsid w:val="00152C23"/>
    <w:rsid w:val="00152E4F"/>
    <w:rsid w:val="00155453"/>
    <w:rsid w:val="00155E96"/>
    <w:rsid w:val="00156BC2"/>
    <w:rsid w:val="00160BAE"/>
    <w:rsid w:val="00160DDD"/>
    <w:rsid w:val="0016101F"/>
    <w:rsid w:val="001610DD"/>
    <w:rsid w:val="00162210"/>
    <w:rsid w:val="001631F6"/>
    <w:rsid w:val="0016322F"/>
    <w:rsid w:val="00163783"/>
    <w:rsid w:val="001646AF"/>
    <w:rsid w:val="00165786"/>
    <w:rsid w:val="00165D2B"/>
    <w:rsid w:val="00166871"/>
    <w:rsid w:val="00166F12"/>
    <w:rsid w:val="001675A7"/>
    <w:rsid w:val="001676BD"/>
    <w:rsid w:val="0017135D"/>
    <w:rsid w:val="001718CB"/>
    <w:rsid w:val="00172781"/>
    <w:rsid w:val="0017321D"/>
    <w:rsid w:val="0017347E"/>
    <w:rsid w:val="00173F4C"/>
    <w:rsid w:val="0017575D"/>
    <w:rsid w:val="00175B51"/>
    <w:rsid w:val="00176E5C"/>
    <w:rsid w:val="00177A20"/>
    <w:rsid w:val="0018038E"/>
    <w:rsid w:val="001805FF"/>
    <w:rsid w:val="00180841"/>
    <w:rsid w:val="00180D3C"/>
    <w:rsid w:val="001811FD"/>
    <w:rsid w:val="00181857"/>
    <w:rsid w:val="00181F40"/>
    <w:rsid w:val="0018215C"/>
    <w:rsid w:val="00182868"/>
    <w:rsid w:val="00182F8E"/>
    <w:rsid w:val="0018383B"/>
    <w:rsid w:val="001859AD"/>
    <w:rsid w:val="0018612E"/>
    <w:rsid w:val="00186164"/>
    <w:rsid w:val="00186B44"/>
    <w:rsid w:val="00186EA7"/>
    <w:rsid w:val="001871C6"/>
    <w:rsid w:val="001876C4"/>
    <w:rsid w:val="00187A24"/>
    <w:rsid w:val="0019086B"/>
    <w:rsid w:val="0019237D"/>
    <w:rsid w:val="00193FB4"/>
    <w:rsid w:val="00195A6E"/>
    <w:rsid w:val="001963AB"/>
    <w:rsid w:val="00197291"/>
    <w:rsid w:val="00197AA3"/>
    <w:rsid w:val="00197E03"/>
    <w:rsid w:val="001A0002"/>
    <w:rsid w:val="001A0C14"/>
    <w:rsid w:val="001A0E60"/>
    <w:rsid w:val="001A16D5"/>
    <w:rsid w:val="001A1F34"/>
    <w:rsid w:val="001A22FC"/>
    <w:rsid w:val="001A29D2"/>
    <w:rsid w:val="001A300D"/>
    <w:rsid w:val="001A32BF"/>
    <w:rsid w:val="001A3F44"/>
    <w:rsid w:val="001A4360"/>
    <w:rsid w:val="001A449E"/>
    <w:rsid w:val="001A45D1"/>
    <w:rsid w:val="001A470C"/>
    <w:rsid w:val="001A52F9"/>
    <w:rsid w:val="001A5D5C"/>
    <w:rsid w:val="001A6CA8"/>
    <w:rsid w:val="001A6D81"/>
    <w:rsid w:val="001A6FCD"/>
    <w:rsid w:val="001B1234"/>
    <w:rsid w:val="001B1F13"/>
    <w:rsid w:val="001B1F28"/>
    <w:rsid w:val="001B46D6"/>
    <w:rsid w:val="001B59E4"/>
    <w:rsid w:val="001B5B42"/>
    <w:rsid w:val="001B62BE"/>
    <w:rsid w:val="001B70D8"/>
    <w:rsid w:val="001B764D"/>
    <w:rsid w:val="001C06E3"/>
    <w:rsid w:val="001C1CE1"/>
    <w:rsid w:val="001C24A5"/>
    <w:rsid w:val="001C2C3A"/>
    <w:rsid w:val="001C386D"/>
    <w:rsid w:val="001C3D4F"/>
    <w:rsid w:val="001C41E8"/>
    <w:rsid w:val="001C454E"/>
    <w:rsid w:val="001C4B56"/>
    <w:rsid w:val="001C4DF0"/>
    <w:rsid w:val="001C594F"/>
    <w:rsid w:val="001C5979"/>
    <w:rsid w:val="001C59E7"/>
    <w:rsid w:val="001C62A8"/>
    <w:rsid w:val="001C79DB"/>
    <w:rsid w:val="001D0C5A"/>
    <w:rsid w:val="001D0F7D"/>
    <w:rsid w:val="001D1090"/>
    <w:rsid w:val="001D1EB4"/>
    <w:rsid w:val="001D1FA5"/>
    <w:rsid w:val="001D2309"/>
    <w:rsid w:val="001D408F"/>
    <w:rsid w:val="001D4B88"/>
    <w:rsid w:val="001D51FA"/>
    <w:rsid w:val="001D5332"/>
    <w:rsid w:val="001D5B32"/>
    <w:rsid w:val="001D6994"/>
    <w:rsid w:val="001D702B"/>
    <w:rsid w:val="001D7444"/>
    <w:rsid w:val="001D7665"/>
    <w:rsid w:val="001D7C0B"/>
    <w:rsid w:val="001E02BB"/>
    <w:rsid w:val="001E0573"/>
    <w:rsid w:val="001E0ECE"/>
    <w:rsid w:val="001E0F8B"/>
    <w:rsid w:val="001E1E2A"/>
    <w:rsid w:val="001E2643"/>
    <w:rsid w:val="001E2C64"/>
    <w:rsid w:val="001E2DF1"/>
    <w:rsid w:val="001E3B77"/>
    <w:rsid w:val="001E429C"/>
    <w:rsid w:val="001E515E"/>
    <w:rsid w:val="001E6517"/>
    <w:rsid w:val="001E65D5"/>
    <w:rsid w:val="001E77D3"/>
    <w:rsid w:val="001E79DA"/>
    <w:rsid w:val="001F061C"/>
    <w:rsid w:val="001F1AE5"/>
    <w:rsid w:val="001F25EC"/>
    <w:rsid w:val="001F4BFC"/>
    <w:rsid w:val="001F5FBA"/>
    <w:rsid w:val="001F692C"/>
    <w:rsid w:val="001F7F5B"/>
    <w:rsid w:val="00200DD5"/>
    <w:rsid w:val="0020219F"/>
    <w:rsid w:val="002023E2"/>
    <w:rsid w:val="0020265C"/>
    <w:rsid w:val="00203E0D"/>
    <w:rsid w:val="0020420B"/>
    <w:rsid w:val="00205827"/>
    <w:rsid w:val="00205FFF"/>
    <w:rsid w:val="002068B7"/>
    <w:rsid w:val="002078C5"/>
    <w:rsid w:val="00207E4B"/>
    <w:rsid w:val="00207ED6"/>
    <w:rsid w:val="002103CF"/>
    <w:rsid w:val="00210C31"/>
    <w:rsid w:val="00210F23"/>
    <w:rsid w:val="00211AF0"/>
    <w:rsid w:val="00211C6C"/>
    <w:rsid w:val="00212F8D"/>
    <w:rsid w:val="00213A5C"/>
    <w:rsid w:val="00213C3A"/>
    <w:rsid w:val="00213E56"/>
    <w:rsid w:val="002147F0"/>
    <w:rsid w:val="00214E33"/>
    <w:rsid w:val="0021538D"/>
    <w:rsid w:val="00217A4B"/>
    <w:rsid w:val="00221002"/>
    <w:rsid w:val="002216CB"/>
    <w:rsid w:val="00222D75"/>
    <w:rsid w:val="00222DC5"/>
    <w:rsid w:val="00223EE1"/>
    <w:rsid w:val="00225AE8"/>
    <w:rsid w:val="00225EEE"/>
    <w:rsid w:val="0022639F"/>
    <w:rsid w:val="00226B6A"/>
    <w:rsid w:val="00230882"/>
    <w:rsid w:val="002308B9"/>
    <w:rsid w:val="00231381"/>
    <w:rsid w:val="0023174F"/>
    <w:rsid w:val="002322C8"/>
    <w:rsid w:val="0023237B"/>
    <w:rsid w:val="00232D96"/>
    <w:rsid w:val="00232F07"/>
    <w:rsid w:val="0023311D"/>
    <w:rsid w:val="002343B6"/>
    <w:rsid w:val="0023545F"/>
    <w:rsid w:val="00235480"/>
    <w:rsid w:val="002358CB"/>
    <w:rsid w:val="00236528"/>
    <w:rsid w:val="00236DE0"/>
    <w:rsid w:val="00237FFA"/>
    <w:rsid w:val="002404A7"/>
    <w:rsid w:val="00241D75"/>
    <w:rsid w:val="00242790"/>
    <w:rsid w:val="00242CB1"/>
    <w:rsid w:val="00242EB2"/>
    <w:rsid w:val="00242F39"/>
    <w:rsid w:val="00243E45"/>
    <w:rsid w:val="0024493B"/>
    <w:rsid w:val="00244A5D"/>
    <w:rsid w:val="00246FD8"/>
    <w:rsid w:val="0024770C"/>
    <w:rsid w:val="00247A69"/>
    <w:rsid w:val="002501CF"/>
    <w:rsid w:val="002526F9"/>
    <w:rsid w:val="002542CB"/>
    <w:rsid w:val="0025470B"/>
    <w:rsid w:val="00255126"/>
    <w:rsid w:val="002558B1"/>
    <w:rsid w:val="00255FB0"/>
    <w:rsid w:val="00256024"/>
    <w:rsid w:val="00256E83"/>
    <w:rsid w:val="00256F32"/>
    <w:rsid w:val="00257B9A"/>
    <w:rsid w:val="00260D17"/>
    <w:rsid w:val="00261375"/>
    <w:rsid w:val="0026256C"/>
    <w:rsid w:val="00263E86"/>
    <w:rsid w:val="002650A4"/>
    <w:rsid w:val="00265216"/>
    <w:rsid w:val="00265DB7"/>
    <w:rsid w:val="002668A9"/>
    <w:rsid w:val="00266980"/>
    <w:rsid w:val="00270C35"/>
    <w:rsid w:val="002712AE"/>
    <w:rsid w:val="00271858"/>
    <w:rsid w:val="0027190D"/>
    <w:rsid w:val="0027249E"/>
    <w:rsid w:val="00272DE5"/>
    <w:rsid w:val="00273060"/>
    <w:rsid w:val="002745F6"/>
    <w:rsid w:val="00274B06"/>
    <w:rsid w:val="00275014"/>
    <w:rsid w:val="00276178"/>
    <w:rsid w:val="00276E0E"/>
    <w:rsid w:val="00276ECF"/>
    <w:rsid w:val="00277766"/>
    <w:rsid w:val="00280AB2"/>
    <w:rsid w:val="00280BA6"/>
    <w:rsid w:val="00280C14"/>
    <w:rsid w:val="00280D3E"/>
    <w:rsid w:val="00280E4D"/>
    <w:rsid w:val="00280F7C"/>
    <w:rsid w:val="00281710"/>
    <w:rsid w:val="0028247C"/>
    <w:rsid w:val="00283219"/>
    <w:rsid w:val="00285D2F"/>
    <w:rsid w:val="0028671F"/>
    <w:rsid w:val="00286B15"/>
    <w:rsid w:val="002874B1"/>
    <w:rsid w:val="00287D9C"/>
    <w:rsid w:val="00287F0D"/>
    <w:rsid w:val="00290403"/>
    <w:rsid w:val="002906F3"/>
    <w:rsid w:val="00291503"/>
    <w:rsid w:val="0029163C"/>
    <w:rsid w:val="002918A4"/>
    <w:rsid w:val="0029471A"/>
    <w:rsid w:val="00294E63"/>
    <w:rsid w:val="002951DC"/>
    <w:rsid w:val="00295D9C"/>
    <w:rsid w:val="00296899"/>
    <w:rsid w:val="00297F09"/>
    <w:rsid w:val="002A0F16"/>
    <w:rsid w:val="002A14A5"/>
    <w:rsid w:val="002A207A"/>
    <w:rsid w:val="002A2E85"/>
    <w:rsid w:val="002A31F3"/>
    <w:rsid w:val="002A470D"/>
    <w:rsid w:val="002A513E"/>
    <w:rsid w:val="002A6E36"/>
    <w:rsid w:val="002A6F92"/>
    <w:rsid w:val="002A7FB8"/>
    <w:rsid w:val="002A7FD4"/>
    <w:rsid w:val="002B0278"/>
    <w:rsid w:val="002B1674"/>
    <w:rsid w:val="002B37CF"/>
    <w:rsid w:val="002B3822"/>
    <w:rsid w:val="002B4097"/>
    <w:rsid w:val="002B40A9"/>
    <w:rsid w:val="002B4CA5"/>
    <w:rsid w:val="002B50A9"/>
    <w:rsid w:val="002B5C90"/>
    <w:rsid w:val="002B5CF4"/>
    <w:rsid w:val="002B68E2"/>
    <w:rsid w:val="002B6954"/>
    <w:rsid w:val="002B6A56"/>
    <w:rsid w:val="002B6B5A"/>
    <w:rsid w:val="002B6D0D"/>
    <w:rsid w:val="002B7361"/>
    <w:rsid w:val="002B77A2"/>
    <w:rsid w:val="002B77FD"/>
    <w:rsid w:val="002B787F"/>
    <w:rsid w:val="002C015F"/>
    <w:rsid w:val="002C05E6"/>
    <w:rsid w:val="002C0870"/>
    <w:rsid w:val="002C09F1"/>
    <w:rsid w:val="002C253A"/>
    <w:rsid w:val="002C2804"/>
    <w:rsid w:val="002C29BA"/>
    <w:rsid w:val="002C412F"/>
    <w:rsid w:val="002C4235"/>
    <w:rsid w:val="002C42FF"/>
    <w:rsid w:val="002C674E"/>
    <w:rsid w:val="002C7165"/>
    <w:rsid w:val="002C7B97"/>
    <w:rsid w:val="002D01B9"/>
    <w:rsid w:val="002D08CB"/>
    <w:rsid w:val="002D1F99"/>
    <w:rsid w:val="002D2EA6"/>
    <w:rsid w:val="002D2F1A"/>
    <w:rsid w:val="002D3438"/>
    <w:rsid w:val="002D3661"/>
    <w:rsid w:val="002D4CC1"/>
    <w:rsid w:val="002D4FDB"/>
    <w:rsid w:val="002D5111"/>
    <w:rsid w:val="002D6166"/>
    <w:rsid w:val="002D7CDA"/>
    <w:rsid w:val="002E1E32"/>
    <w:rsid w:val="002E20AE"/>
    <w:rsid w:val="002E2E70"/>
    <w:rsid w:val="002E3213"/>
    <w:rsid w:val="002E33C4"/>
    <w:rsid w:val="002E590B"/>
    <w:rsid w:val="002E5F29"/>
    <w:rsid w:val="002E6DB0"/>
    <w:rsid w:val="002E7665"/>
    <w:rsid w:val="002E797F"/>
    <w:rsid w:val="002E7B50"/>
    <w:rsid w:val="002E7FEC"/>
    <w:rsid w:val="002F069D"/>
    <w:rsid w:val="002F1270"/>
    <w:rsid w:val="002F14F1"/>
    <w:rsid w:val="002F1B5C"/>
    <w:rsid w:val="002F2557"/>
    <w:rsid w:val="002F267F"/>
    <w:rsid w:val="002F36AD"/>
    <w:rsid w:val="002F3C13"/>
    <w:rsid w:val="002F5445"/>
    <w:rsid w:val="002F5CAB"/>
    <w:rsid w:val="002F5DC9"/>
    <w:rsid w:val="002F6816"/>
    <w:rsid w:val="002F6E20"/>
    <w:rsid w:val="002F70DE"/>
    <w:rsid w:val="00300EBE"/>
    <w:rsid w:val="003023B3"/>
    <w:rsid w:val="00302F9C"/>
    <w:rsid w:val="0030407D"/>
    <w:rsid w:val="0030429C"/>
    <w:rsid w:val="00304740"/>
    <w:rsid w:val="00304F83"/>
    <w:rsid w:val="00305AE9"/>
    <w:rsid w:val="00306209"/>
    <w:rsid w:val="00306EF4"/>
    <w:rsid w:val="0030749D"/>
    <w:rsid w:val="003075E9"/>
    <w:rsid w:val="0030783D"/>
    <w:rsid w:val="00307B4C"/>
    <w:rsid w:val="00307F4B"/>
    <w:rsid w:val="00310232"/>
    <w:rsid w:val="003109A0"/>
    <w:rsid w:val="00310CC0"/>
    <w:rsid w:val="00311274"/>
    <w:rsid w:val="003119FB"/>
    <w:rsid w:val="003129DF"/>
    <w:rsid w:val="00313D43"/>
    <w:rsid w:val="00314400"/>
    <w:rsid w:val="00314D6A"/>
    <w:rsid w:val="00315FE1"/>
    <w:rsid w:val="0031650D"/>
    <w:rsid w:val="0031654B"/>
    <w:rsid w:val="00316D2E"/>
    <w:rsid w:val="00316E79"/>
    <w:rsid w:val="003201B2"/>
    <w:rsid w:val="00324C5F"/>
    <w:rsid w:val="00324D72"/>
    <w:rsid w:val="00325DCF"/>
    <w:rsid w:val="00326A34"/>
    <w:rsid w:val="00326A4F"/>
    <w:rsid w:val="00327A18"/>
    <w:rsid w:val="00327E2A"/>
    <w:rsid w:val="003302F5"/>
    <w:rsid w:val="003304EC"/>
    <w:rsid w:val="00330D67"/>
    <w:rsid w:val="00331154"/>
    <w:rsid w:val="003315A3"/>
    <w:rsid w:val="00331ECD"/>
    <w:rsid w:val="00333AD7"/>
    <w:rsid w:val="003347F3"/>
    <w:rsid w:val="0033531C"/>
    <w:rsid w:val="00335902"/>
    <w:rsid w:val="00335AD5"/>
    <w:rsid w:val="00335F81"/>
    <w:rsid w:val="003362AA"/>
    <w:rsid w:val="0033645A"/>
    <w:rsid w:val="0033688B"/>
    <w:rsid w:val="00336E6A"/>
    <w:rsid w:val="00337007"/>
    <w:rsid w:val="003377A3"/>
    <w:rsid w:val="00337E50"/>
    <w:rsid w:val="00340DA0"/>
    <w:rsid w:val="00341572"/>
    <w:rsid w:val="0034157E"/>
    <w:rsid w:val="0034184F"/>
    <w:rsid w:val="0034241C"/>
    <w:rsid w:val="003425F6"/>
    <w:rsid w:val="0034262F"/>
    <w:rsid w:val="0034265B"/>
    <w:rsid w:val="003435F7"/>
    <w:rsid w:val="00343965"/>
    <w:rsid w:val="00344A19"/>
    <w:rsid w:val="003504A4"/>
    <w:rsid w:val="00350DC9"/>
    <w:rsid w:val="00352BDB"/>
    <w:rsid w:val="003536BF"/>
    <w:rsid w:val="00355D94"/>
    <w:rsid w:val="00356091"/>
    <w:rsid w:val="00356483"/>
    <w:rsid w:val="00356664"/>
    <w:rsid w:val="0035715B"/>
    <w:rsid w:val="00357DD6"/>
    <w:rsid w:val="00360A21"/>
    <w:rsid w:val="003613AE"/>
    <w:rsid w:val="00362341"/>
    <w:rsid w:val="0036266A"/>
    <w:rsid w:val="003629BF"/>
    <w:rsid w:val="00363FCD"/>
    <w:rsid w:val="003646FA"/>
    <w:rsid w:val="00365B48"/>
    <w:rsid w:val="003676A6"/>
    <w:rsid w:val="00367A14"/>
    <w:rsid w:val="00367A18"/>
    <w:rsid w:val="00370318"/>
    <w:rsid w:val="00370C09"/>
    <w:rsid w:val="00370E10"/>
    <w:rsid w:val="00371476"/>
    <w:rsid w:val="00371E43"/>
    <w:rsid w:val="00372065"/>
    <w:rsid w:val="00372518"/>
    <w:rsid w:val="00372847"/>
    <w:rsid w:val="00373360"/>
    <w:rsid w:val="003739B9"/>
    <w:rsid w:val="0037440F"/>
    <w:rsid w:val="0037502E"/>
    <w:rsid w:val="00375FC2"/>
    <w:rsid w:val="00376099"/>
    <w:rsid w:val="00376FFE"/>
    <w:rsid w:val="003777E5"/>
    <w:rsid w:val="00377C45"/>
    <w:rsid w:val="00380F13"/>
    <w:rsid w:val="00381CC1"/>
    <w:rsid w:val="003821EC"/>
    <w:rsid w:val="00382ADF"/>
    <w:rsid w:val="00382CD8"/>
    <w:rsid w:val="00382CF8"/>
    <w:rsid w:val="0038346E"/>
    <w:rsid w:val="00384258"/>
    <w:rsid w:val="003845D4"/>
    <w:rsid w:val="00385863"/>
    <w:rsid w:val="00385B18"/>
    <w:rsid w:val="00386C5A"/>
    <w:rsid w:val="00390138"/>
    <w:rsid w:val="00390A63"/>
    <w:rsid w:val="003915D4"/>
    <w:rsid w:val="003922F0"/>
    <w:rsid w:val="003923A9"/>
    <w:rsid w:val="003924CF"/>
    <w:rsid w:val="00392545"/>
    <w:rsid w:val="00392ACE"/>
    <w:rsid w:val="0039305D"/>
    <w:rsid w:val="0039316C"/>
    <w:rsid w:val="00393B2A"/>
    <w:rsid w:val="00394A66"/>
    <w:rsid w:val="00395335"/>
    <w:rsid w:val="0039625E"/>
    <w:rsid w:val="00396430"/>
    <w:rsid w:val="00396BE8"/>
    <w:rsid w:val="0039709A"/>
    <w:rsid w:val="00397296"/>
    <w:rsid w:val="00397387"/>
    <w:rsid w:val="00397B22"/>
    <w:rsid w:val="003A0ECA"/>
    <w:rsid w:val="003A16FB"/>
    <w:rsid w:val="003A1EF8"/>
    <w:rsid w:val="003A1F48"/>
    <w:rsid w:val="003A2927"/>
    <w:rsid w:val="003A31DB"/>
    <w:rsid w:val="003A36E0"/>
    <w:rsid w:val="003A3AD7"/>
    <w:rsid w:val="003A42BD"/>
    <w:rsid w:val="003A449E"/>
    <w:rsid w:val="003A4557"/>
    <w:rsid w:val="003A4669"/>
    <w:rsid w:val="003A5CE3"/>
    <w:rsid w:val="003A5CE6"/>
    <w:rsid w:val="003A6007"/>
    <w:rsid w:val="003A640D"/>
    <w:rsid w:val="003A6543"/>
    <w:rsid w:val="003A6E58"/>
    <w:rsid w:val="003B0385"/>
    <w:rsid w:val="003B0616"/>
    <w:rsid w:val="003B08AF"/>
    <w:rsid w:val="003B08E5"/>
    <w:rsid w:val="003B09AB"/>
    <w:rsid w:val="003B0A1F"/>
    <w:rsid w:val="003B0EB3"/>
    <w:rsid w:val="003B11B2"/>
    <w:rsid w:val="003B20C6"/>
    <w:rsid w:val="003B24D5"/>
    <w:rsid w:val="003B2D52"/>
    <w:rsid w:val="003B3524"/>
    <w:rsid w:val="003B3E6C"/>
    <w:rsid w:val="003B4643"/>
    <w:rsid w:val="003B4662"/>
    <w:rsid w:val="003B4A35"/>
    <w:rsid w:val="003B4AC2"/>
    <w:rsid w:val="003B592E"/>
    <w:rsid w:val="003B6384"/>
    <w:rsid w:val="003B685B"/>
    <w:rsid w:val="003B79CE"/>
    <w:rsid w:val="003B79DB"/>
    <w:rsid w:val="003C004C"/>
    <w:rsid w:val="003C04DA"/>
    <w:rsid w:val="003C1A45"/>
    <w:rsid w:val="003C2414"/>
    <w:rsid w:val="003C3025"/>
    <w:rsid w:val="003C43FC"/>
    <w:rsid w:val="003C4B5A"/>
    <w:rsid w:val="003C65B2"/>
    <w:rsid w:val="003C6903"/>
    <w:rsid w:val="003C6AD2"/>
    <w:rsid w:val="003C6C90"/>
    <w:rsid w:val="003C73FD"/>
    <w:rsid w:val="003C7A51"/>
    <w:rsid w:val="003C7E0D"/>
    <w:rsid w:val="003D004E"/>
    <w:rsid w:val="003D0551"/>
    <w:rsid w:val="003D0B1F"/>
    <w:rsid w:val="003D1FC2"/>
    <w:rsid w:val="003D37D7"/>
    <w:rsid w:val="003D55AD"/>
    <w:rsid w:val="003D5CF8"/>
    <w:rsid w:val="003D6167"/>
    <w:rsid w:val="003D68C4"/>
    <w:rsid w:val="003D707E"/>
    <w:rsid w:val="003E1A91"/>
    <w:rsid w:val="003E1C36"/>
    <w:rsid w:val="003E2D27"/>
    <w:rsid w:val="003E40CA"/>
    <w:rsid w:val="003E4788"/>
    <w:rsid w:val="003E57D5"/>
    <w:rsid w:val="003E5894"/>
    <w:rsid w:val="003E5B75"/>
    <w:rsid w:val="003E62F8"/>
    <w:rsid w:val="003E7485"/>
    <w:rsid w:val="003E7915"/>
    <w:rsid w:val="003F0601"/>
    <w:rsid w:val="003F19EF"/>
    <w:rsid w:val="003F2288"/>
    <w:rsid w:val="003F2F40"/>
    <w:rsid w:val="003F301D"/>
    <w:rsid w:val="003F31BC"/>
    <w:rsid w:val="003F3D93"/>
    <w:rsid w:val="00400A0D"/>
    <w:rsid w:val="00401FC7"/>
    <w:rsid w:val="004024E3"/>
    <w:rsid w:val="00402EF1"/>
    <w:rsid w:val="00403E91"/>
    <w:rsid w:val="00404025"/>
    <w:rsid w:val="00404541"/>
    <w:rsid w:val="004047DC"/>
    <w:rsid w:val="00404D88"/>
    <w:rsid w:val="00405170"/>
    <w:rsid w:val="00406102"/>
    <w:rsid w:val="004061B5"/>
    <w:rsid w:val="00406837"/>
    <w:rsid w:val="00410723"/>
    <w:rsid w:val="00411990"/>
    <w:rsid w:val="00411C94"/>
    <w:rsid w:val="00413C7A"/>
    <w:rsid w:val="00414A86"/>
    <w:rsid w:val="0041644D"/>
    <w:rsid w:val="00416B02"/>
    <w:rsid w:val="00421BE7"/>
    <w:rsid w:val="00421C99"/>
    <w:rsid w:val="00421CB1"/>
    <w:rsid w:val="0042224C"/>
    <w:rsid w:val="00422A71"/>
    <w:rsid w:val="00422F96"/>
    <w:rsid w:val="004243AC"/>
    <w:rsid w:val="004245D5"/>
    <w:rsid w:val="00424676"/>
    <w:rsid w:val="0042585B"/>
    <w:rsid w:val="00426671"/>
    <w:rsid w:val="0042746B"/>
    <w:rsid w:val="00427EB7"/>
    <w:rsid w:val="0043015D"/>
    <w:rsid w:val="00430889"/>
    <w:rsid w:val="00430CB6"/>
    <w:rsid w:val="00430E05"/>
    <w:rsid w:val="004313EF"/>
    <w:rsid w:val="00431C83"/>
    <w:rsid w:val="00431E2B"/>
    <w:rsid w:val="00432002"/>
    <w:rsid w:val="00432CD4"/>
    <w:rsid w:val="00434EA4"/>
    <w:rsid w:val="00435C09"/>
    <w:rsid w:val="0043627A"/>
    <w:rsid w:val="00436E0F"/>
    <w:rsid w:val="004374B9"/>
    <w:rsid w:val="00437582"/>
    <w:rsid w:val="00437E92"/>
    <w:rsid w:val="00440A47"/>
    <w:rsid w:val="00440D4A"/>
    <w:rsid w:val="00441B88"/>
    <w:rsid w:val="00441DC3"/>
    <w:rsid w:val="00441E58"/>
    <w:rsid w:val="00442FCE"/>
    <w:rsid w:val="0044338B"/>
    <w:rsid w:val="004437CF"/>
    <w:rsid w:val="00444188"/>
    <w:rsid w:val="00444787"/>
    <w:rsid w:val="004448A0"/>
    <w:rsid w:val="00444DA0"/>
    <w:rsid w:val="00445511"/>
    <w:rsid w:val="004457E4"/>
    <w:rsid w:val="00445E51"/>
    <w:rsid w:val="00447059"/>
    <w:rsid w:val="00447D17"/>
    <w:rsid w:val="0045114E"/>
    <w:rsid w:val="00451CA6"/>
    <w:rsid w:val="00452847"/>
    <w:rsid w:val="00452F62"/>
    <w:rsid w:val="004538EC"/>
    <w:rsid w:val="00453EF0"/>
    <w:rsid w:val="00455A34"/>
    <w:rsid w:val="00455C62"/>
    <w:rsid w:val="004567BD"/>
    <w:rsid w:val="0046034E"/>
    <w:rsid w:val="00461376"/>
    <w:rsid w:val="0046177F"/>
    <w:rsid w:val="00464840"/>
    <w:rsid w:val="00465150"/>
    <w:rsid w:val="0046577B"/>
    <w:rsid w:val="00465D27"/>
    <w:rsid w:val="00466346"/>
    <w:rsid w:val="00466CAB"/>
    <w:rsid w:val="00467AE1"/>
    <w:rsid w:val="0047040E"/>
    <w:rsid w:val="0047113A"/>
    <w:rsid w:val="0047231D"/>
    <w:rsid w:val="00472E12"/>
    <w:rsid w:val="004744DA"/>
    <w:rsid w:val="00474909"/>
    <w:rsid w:val="00475F2A"/>
    <w:rsid w:val="004770A4"/>
    <w:rsid w:val="00477261"/>
    <w:rsid w:val="0047733B"/>
    <w:rsid w:val="00480F00"/>
    <w:rsid w:val="00481A37"/>
    <w:rsid w:val="0048202E"/>
    <w:rsid w:val="004822C5"/>
    <w:rsid w:val="00482400"/>
    <w:rsid w:val="004839CD"/>
    <w:rsid w:val="00483A63"/>
    <w:rsid w:val="004840E5"/>
    <w:rsid w:val="00484367"/>
    <w:rsid w:val="0048525A"/>
    <w:rsid w:val="00485A48"/>
    <w:rsid w:val="00485F4C"/>
    <w:rsid w:val="004879F3"/>
    <w:rsid w:val="00490B35"/>
    <w:rsid w:val="0049152C"/>
    <w:rsid w:val="004925CB"/>
    <w:rsid w:val="00493281"/>
    <w:rsid w:val="0049515E"/>
    <w:rsid w:val="00496010"/>
    <w:rsid w:val="00496EAE"/>
    <w:rsid w:val="00497135"/>
    <w:rsid w:val="00497C04"/>
    <w:rsid w:val="004A0430"/>
    <w:rsid w:val="004A0AB5"/>
    <w:rsid w:val="004A0B79"/>
    <w:rsid w:val="004A1EEB"/>
    <w:rsid w:val="004A2076"/>
    <w:rsid w:val="004A29FC"/>
    <w:rsid w:val="004A3377"/>
    <w:rsid w:val="004A34B2"/>
    <w:rsid w:val="004A386A"/>
    <w:rsid w:val="004A3E51"/>
    <w:rsid w:val="004A4462"/>
    <w:rsid w:val="004A456B"/>
    <w:rsid w:val="004A46BE"/>
    <w:rsid w:val="004A4740"/>
    <w:rsid w:val="004A68BD"/>
    <w:rsid w:val="004A6C41"/>
    <w:rsid w:val="004A73F3"/>
    <w:rsid w:val="004A77D0"/>
    <w:rsid w:val="004B20A1"/>
    <w:rsid w:val="004B2831"/>
    <w:rsid w:val="004B2CC1"/>
    <w:rsid w:val="004B43A4"/>
    <w:rsid w:val="004B4A82"/>
    <w:rsid w:val="004B4B72"/>
    <w:rsid w:val="004B53E2"/>
    <w:rsid w:val="004B5C6D"/>
    <w:rsid w:val="004B709A"/>
    <w:rsid w:val="004B7D20"/>
    <w:rsid w:val="004C0305"/>
    <w:rsid w:val="004C0466"/>
    <w:rsid w:val="004C1562"/>
    <w:rsid w:val="004C23CA"/>
    <w:rsid w:val="004C41AD"/>
    <w:rsid w:val="004C47BF"/>
    <w:rsid w:val="004C47CA"/>
    <w:rsid w:val="004C4E07"/>
    <w:rsid w:val="004C5315"/>
    <w:rsid w:val="004C584E"/>
    <w:rsid w:val="004C5D2E"/>
    <w:rsid w:val="004C6A3D"/>
    <w:rsid w:val="004D02E9"/>
    <w:rsid w:val="004D0DAE"/>
    <w:rsid w:val="004D2157"/>
    <w:rsid w:val="004D395E"/>
    <w:rsid w:val="004D3DD8"/>
    <w:rsid w:val="004D3F06"/>
    <w:rsid w:val="004D495E"/>
    <w:rsid w:val="004D4A7E"/>
    <w:rsid w:val="004D4BD3"/>
    <w:rsid w:val="004D5F54"/>
    <w:rsid w:val="004D6588"/>
    <w:rsid w:val="004D70F6"/>
    <w:rsid w:val="004D7991"/>
    <w:rsid w:val="004D7B95"/>
    <w:rsid w:val="004E13CF"/>
    <w:rsid w:val="004E16F5"/>
    <w:rsid w:val="004E2062"/>
    <w:rsid w:val="004E21F2"/>
    <w:rsid w:val="004E427D"/>
    <w:rsid w:val="004E6076"/>
    <w:rsid w:val="004E7747"/>
    <w:rsid w:val="004E780C"/>
    <w:rsid w:val="004E7D2A"/>
    <w:rsid w:val="004F124F"/>
    <w:rsid w:val="004F17B8"/>
    <w:rsid w:val="004F2347"/>
    <w:rsid w:val="004F23F7"/>
    <w:rsid w:val="004F24A1"/>
    <w:rsid w:val="004F24DC"/>
    <w:rsid w:val="004F2996"/>
    <w:rsid w:val="004F2B5E"/>
    <w:rsid w:val="004F2FC7"/>
    <w:rsid w:val="004F3CA8"/>
    <w:rsid w:val="004F43EA"/>
    <w:rsid w:val="004F4AAD"/>
    <w:rsid w:val="004F56A4"/>
    <w:rsid w:val="004F586A"/>
    <w:rsid w:val="004F5C62"/>
    <w:rsid w:val="004F6432"/>
    <w:rsid w:val="004F71F4"/>
    <w:rsid w:val="00501313"/>
    <w:rsid w:val="0050179E"/>
    <w:rsid w:val="00502D74"/>
    <w:rsid w:val="005035FC"/>
    <w:rsid w:val="00503632"/>
    <w:rsid w:val="005042B0"/>
    <w:rsid w:val="00504AEA"/>
    <w:rsid w:val="005053BD"/>
    <w:rsid w:val="00505761"/>
    <w:rsid w:val="0050602E"/>
    <w:rsid w:val="00507856"/>
    <w:rsid w:val="00507F83"/>
    <w:rsid w:val="005104D4"/>
    <w:rsid w:val="00511367"/>
    <w:rsid w:val="005115AD"/>
    <w:rsid w:val="00511760"/>
    <w:rsid w:val="00511C3A"/>
    <w:rsid w:val="00511ED3"/>
    <w:rsid w:val="005122E9"/>
    <w:rsid w:val="00512A27"/>
    <w:rsid w:val="00513522"/>
    <w:rsid w:val="005136F3"/>
    <w:rsid w:val="00516B83"/>
    <w:rsid w:val="00517B0D"/>
    <w:rsid w:val="00520473"/>
    <w:rsid w:val="005215F8"/>
    <w:rsid w:val="00523582"/>
    <w:rsid w:val="005235F8"/>
    <w:rsid w:val="0052413A"/>
    <w:rsid w:val="0052449E"/>
    <w:rsid w:val="0052620F"/>
    <w:rsid w:val="00526C35"/>
    <w:rsid w:val="005270F3"/>
    <w:rsid w:val="005273EB"/>
    <w:rsid w:val="00530116"/>
    <w:rsid w:val="005319F9"/>
    <w:rsid w:val="00531F24"/>
    <w:rsid w:val="0053264F"/>
    <w:rsid w:val="00532C01"/>
    <w:rsid w:val="00534DB3"/>
    <w:rsid w:val="005351EC"/>
    <w:rsid w:val="005353C9"/>
    <w:rsid w:val="00535881"/>
    <w:rsid w:val="00535EBD"/>
    <w:rsid w:val="005365C3"/>
    <w:rsid w:val="00537D8D"/>
    <w:rsid w:val="00540AF3"/>
    <w:rsid w:val="00540D81"/>
    <w:rsid w:val="00541EF5"/>
    <w:rsid w:val="00542146"/>
    <w:rsid w:val="0054223D"/>
    <w:rsid w:val="00543343"/>
    <w:rsid w:val="0054370B"/>
    <w:rsid w:val="00543B13"/>
    <w:rsid w:val="00544683"/>
    <w:rsid w:val="0054500E"/>
    <w:rsid w:val="0054535E"/>
    <w:rsid w:val="005453F9"/>
    <w:rsid w:val="0054564F"/>
    <w:rsid w:val="00547698"/>
    <w:rsid w:val="00547C20"/>
    <w:rsid w:val="005507C1"/>
    <w:rsid w:val="0055095C"/>
    <w:rsid w:val="00550C75"/>
    <w:rsid w:val="005513E6"/>
    <w:rsid w:val="00551EAB"/>
    <w:rsid w:val="0055244A"/>
    <w:rsid w:val="00552813"/>
    <w:rsid w:val="005535F5"/>
    <w:rsid w:val="00553A94"/>
    <w:rsid w:val="005545CE"/>
    <w:rsid w:val="005549CC"/>
    <w:rsid w:val="00555AC5"/>
    <w:rsid w:val="00555DE6"/>
    <w:rsid w:val="00556D6B"/>
    <w:rsid w:val="00561613"/>
    <w:rsid w:val="00562E9E"/>
    <w:rsid w:val="00564266"/>
    <w:rsid w:val="00564D27"/>
    <w:rsid w:val="00565135"/>
    <w:rsid w:val="00565194"/>
    <w:rsid w:val="0056590A"/>
    <w:rsid w:val="00565E81"/>
    <w:rsid w:val="00566DC1"/>
    <w:rsid w:val="00567C1C"/>
    <w:rsid w:val="0057012E"/>
    <w:rsid w:val="005707AE"/>
    <w:rsid w:val="00570FC0"/>
    <w:rsid w:val="0057136E"/>
    <w:rsid w:val="00571489"/>
    <w:rsid w:val="005735EB"/>
    <w:rsid w:val="00573D8A"/>
    <w:rsid w:val="0057426B"/>
    <w:rsid w:val="00574F0D"/>
    <w:rsid w:val="005758AF"/>
    <w:rsid w:val="00576087"/>
    <w:rsid w:val="00576519"/>
    <w:rsid w:val="005767CC"/>
    <w:rsid w:val="00576DF9"/>
    <w:rsid w:val="00577C4D"/>
    <w:rsid w:val="00580A0E"/>
    <w:rsid w:val="00580C8B"/>
    <w:rsid w:val="00581422"/>
    <w:rsid w:val="005815D5"/>
    <w:rsid w:val="0058192A"/>
    <w:rsid w:val="00581AE7"/>
    <w:rsid w:val="0058234F"/>
    <w:rsid w:val="00582A3D"/>
    <w:rsid w:val="00582FA2"/>
    <w:rsid w:val="005831DA"/>
    <w:rsid w:val="005846B3"/>
    <w:rsid w:val="00584726"/>
    <w:rsid w:val="00584EA6"/>
    <w:rsid w:val="00585F7D"/>
    <w:rsid w:val="00586C2A"/>
    <w:rsid w:val="0058780F"/>
    <w:rsid w:val="00587CAB"/>
    <w:rsid w:val="00590B6E"/>
    <w:rsid w:val="00591E5B"/>
    <w:rsid w:val="00592909"/>
    <w:rsid w:val="00594231"/>
    <w:rsid w:val="00594313"/>
    <w:rsid w:val="005959CA"/>
    <w:rsid w:val="00596244"/>
    <w:rsid w:val="00597CE3"/>
    <w:rsid w:val="005A0018"/>
    <w:rsid w:val="005A0710"/>
    <w:rsid w:val="005A0821"/>
    <w:rsid w:val="005A0C0E"/>
    <w:rsid w:val="005A0DF1"/>
    <w:rsid w:val="005A26CD"/>
    <w:rsid w:val="005A298A"/>
    <w:rsid w:val="005A2B96"/>
    <w:rsid w:val="005A3DCA"/>
    <w:rsid w:val="005A4D48"/>
    <w:rsid w:val="005A5553"/>
    <w:rsid w:val="005A5601"/>
    <w:rsid w:val="005A6F11"/>
    <w:rsid w:val="005B0340"/>
    <w:rsid w:val="005B036F"/>
    <w:rsid w:val="005B0E23"/>
    <w:rsid w:val="005B1968"/>
    <w:rsid w:val="005B1C27"/>
    <w:rsid w:val="005B1D50"/>
    <w:rsid w:val="005B22FB"/>
    <w:rsid w:val="005B289F"/>
    <w:rsid w:val="005B381C"/>
    <w:rsid w:val="005B3E22"/>
    <w:rsid w:val="005B4631"/>
    <w:rsid w:val="005B49B1"/>
    <w:rsid w:val="005B51C6"/>
    <w:rsid w:val="005B5971"/>
    <w:rsid w:val="005B6A9A"/>
    <w:rsid w:val="005B7226"/>
    <w:rsid w:val="005C041A"/>
    <w:rsid w:val="005C1BB5"/>
    <w:rsid w:val="005C1C80"/>
    <w:rsid w:val="005C2822"/>
    <w:rsid w:val="005C291E"/>
    <w:rsid w:val="005C2DF9"/>
    <w:rsid w:val="005C3C15"/>
    <w:rsid w:val="005C3CBF"/>
    <w:rsid w:val="005C4214"/>
    <w:rsid w:val="005C6087"/>
    <w:rsid w:val="005C64FD"/>
    <w:rsid w:val="005C6569"/>
    <w:rsid w:val="005C694F"/>
    <w:rsid w:val="005C6EED"/>
    <w:rsid w:val="005C726F"/>
    <w:rsid w:val="005C72ED"/>
    <w:rsid w:val="005C788B"/>
    <w:rsid w:val="005D023C"/>
    <w:rsid w:val="005D1176"/>
    <w:rsid w:val="005D14B7"/>
    <w:rsid w:val="005D1AFB"/>
    <w:rsid w:val="005D1FB8"/>
    <w:rsid w:val="005D2624"/>
    <w:rsid w:val="005D2E7C"/>
    <w:rsid w:val="005D3AB8"/>
    <w:rsid w:val="005D3D0E"/>
    <w:rsid w:val="005D3DF4"/>
    <w:rsid w:val="005D3E14"/>
    <w:rsid w:val="005D4163"/>
    <w:rsid w:val="005D46A1"/>
    <w:rsid w:val="005D6416"/>
    <w:rsid w:val="005D66B8"/>
    <w:rsid w:val="005D6738"/>
    <w:rsid w:val="005D6DB8"/>
    <w:rsid w:val="005E0344"/>
    <w:rsid w:val="005E0855"/>
    <w:rsid w:val="005E08F2"/>
    <w:rsid w:val="005E0A5B"/>
    <w:rsid w:val="005E10B0"/>
    <w:rsid w:val="005E153D"/>
    <w:rsid w:val="005E3812"/>
    <w:rsid w:val="005E39EC"/>
    <w:rsid w:val="005E3A43"/>
    <w:rsid w:val="005E41DC"/>
    <w:rsid w:val="005E4EE8"/>
    <w:rsid w:val="005E4EFE"/>
    <w:rsid w:val="005E62EC"/>
    <w:rsid w:val="005E64F5"/>
    <w:rsid w:val="005E65D4"/>
    <w:rsid w:val="005E7924"/>
    <w:rsid w:val="005E7EFB"/>
    <w:rsid w:val="005F078D"/>
    <w:rsid w:val="005F0908"/>
    <w:rsid w:val="005F15AC"/>
    <w:rsid w:val="005F15DD"/>
    <w:rsid w:val="005F17D8"/>
    <w:rsid w:val="005F23DB"/>
    <w:rsid w:val="005F34B8"/>
    <w:rsid w:val="005F497D"/>
    <w:rsid w:val="005F5C25"/>
    <w:rsid w:val="005F6159"/>
    <w:rsid w:val="005F6C2B"/>
    <w:rsid w:val="006015F2"/>
    <w:rsid w:val="00601743"/>
    <w:rsid w:val="006020AF"/>
    <w:rsid w:val="006020EC"/>
    <w:rsid w:val="00602278"/>
    <w:rsid w:val="0060236D"/>
    <w:rsid w:val="0060275B"/>
    <w:rsid w:val="00602C8A"/>
    <w:rsid w:val="00603091"/>
    <w:rsid w:val="0060324C"/>
    <w:rsid w:val="00603398"/>
    <w:rsid w:val="00606C4F"/>
    <w:rsid w:val="00607F15"/>
    <w:rsid w:val="00610CAD"/>
    <w:rsid w:val="00611A80"/>
    <w:rsid w:val="00613C72"/>
    <w:rsid w:val="00613D79"/>
    <w:rsid w:val="00613E9A"/>
    <w:rsid w:val="0061505B"/>
    <w:rsid w:val="00615BED"/>
    <w:rsid w:val="00616880"/>
    <w:rsid w:val="00616F1D"/>
    <w:rsid w:val="00616F9B"/>
    <w:rsid w:val="006172D9"/>
    <w:rsid w:val="00617653"/>
    <w:rsid w:val="006178A3"/>
    <w:rsid w:val="00620BE4"/>
    <w:rsid w:val="0062211F"/>
    <w:rsid w:val="0062277E"/>
    <w:rsid w:val="00622835"/>
    <w:rsid w:val="00622C35"/>
    <w:rsid w:val="00622CD7"/>
    <w:rsid w:val="00623397"/>
    <w:rsid w:val="0062375B"/>
    <w:rsid w:val="00623FEA"/>
    <w:rsid w:val="006306CC"/>
    <w:rsid w:val="006308E0"/>
    <w:rsid w:val="00630CF6"/>
    <w:rsid w:val="00630E3A"/>
    <w:rsid w:val="006321B7"/>
    <w:rsid w:val="00633983"/>
    <w:rsid w:val="00635A2D"/>
    <w:rsid w:val="00635E95"/>
    <w:rsid w:val="006367F5"/>
    <w:rsid w:val="00636EA4"/>
    <w:rsid w:val="00637267"/>
    <w:rsid w:val="0063733D"/>
    <w:rsid w:val="006377E9"/>
    <w:rsid w:val="006405A6"/>
    <w:rsid w:val="0064119F"/>
    <w:rsid w:val="006413D0"/>
    <w:rsid w:val="00641414"/>
    <w:rsid w:val="00641B2F"/>
    <w:rsid w:val="00642C8B"/>
    <w:rsid w:val="006434D0"/>
    <w:rsid w:val="00643770"/>
    <w:rsid w:val="006449BF"/>
    <w:rsid w:val="00645D87"/>
    <w:rsid w:val="00646213"/>
    <w:rsid w:val="00647DAE"/>
    <w:rsid w:val="0065062B"/>
    <w:rsid w:val="00650B52"/>
    <w:rsid w:val="00651045"/>
    <w:rsid w:val="006516FF"/>
    <w:rsid w:val="00651FBB"/>
    <w:rsid w:val="0065507F"/>
    <w:rsid w:val="0065520B"/>
    <w:rsid w:val="006553A8"/>
    <w:rsid w:val="00655A78"/>
    <w:rsid w:val="00657D31"/>
    <w:rsid w:val="00660DCE"/>
    <w:rsid w:val="00661546"/>
    <w:rsid w:val="006616DD"/>
    <w:rsid w:val="00661831"/>
    <w:rsid w:val="00661931"/>
    <w:rsid w:val="00661D6C"/>
    <w:rsid w:val="0066204C"/>
    <w:rsid w:val="0066225B"/>
    <w:rsid w:val="00662488"/>
    <w:rsid w:val="00662899"/>
    <w:rsid w:val="00663785"/>
    <w:rsid w:val="00664EFF"/>
    <w:rsid w:val="00665156"/>
    <w:rsid w:val="00665B3F"/>
    <w:rsid w:val="00665E20"/>
    <w:rsid w:val="00666520"/>
    <w:rsid w:val="006674AB"/>
    <w:rsid w:val="00670064"/>
    <w:rsid w:val="006704F3"/>
    <w:rsid w:val="00670651"/>
    <w:rsid w:val="00671CEE"/>
    <w:rsid w:val="006723C9"/>
    <w:rsid w:val="006730C6"/>
    <w:rsid w:val="00673FBF"/>
    <w:rsid w:val="0067400D"/>
    <w:rsid w:val="00675059"/>
    <w:rsid w:val="006759E4"/>
    <w:rsid w:val="00675F10"/>
    <w:rsid w:val="00676A91"/>
    <w:rsid w:val="00676DA5"/>
    <w:rsid w:val="00677C1F"/>
    <w:rsid w:val="00680D3A"/>
    <w:rsid w:val="00681600"/>
    <w:rsid w:val="00681895"/>
    <w:rsid w:val="00681FEF"/>
    <w:rsid w:val="006829F5"/>
    <w:rsid w:val="00682D6F"/>
    <w:rsid w:val="00683A24"/>
    <w:rsid w:val="0068431C"/>
    <w:rsid w:val="00684740"/>
    <w:rsid w:val="00686343"/>
    <w:rsid w:val="00686BEE"/>
    <w:rsid w:val="00687D13"/>
    <w:rsid w:val="00687FAF"/>
    <w:rsid w:val="00690A14"/>
    <w:rsid w:val="00690B7E"/>
    <w:rsid w:val="00690DBA"/>
    <w:rsid w:val="00690EEA"/>
    <w:rsid w:val="006919F5"/>
    <w:rsid w:val="00691DD2"/>
    <w:rsid w:val="0069347B"/>
    <w:rsid w:val="00693567"/>
    <w:rsid w:val="00693FCF"/>
    <w:rsid w:val="0069475B"/>
    <w:rsid w:val="00695309"/>
    <w:rsid w:val="00695AFF"/>
    <w:rsid w:val="00696AAA"/>
    <w:rsid w:val="00696B5B"/>
    <w:rsid w:val="00696C75"/>
    <w:rsid w:val="00696D08"/>
    <w:rsid w:val="00697383"/>
    <w:rsid w:val="00697E50"/>
    <w:rsid w:val="00697F5B"/>
    <w:rsid w:val="006A02B7"/>
    <w:rsid w:val="006A02F2"/>
    <w:rsid w:val="006A06A3"/>
    <w:rsid w:val="006A0CA4"/>
    <w:rsid w:val="006A0FDE"/>
    <w:rsid w:val="006A215C"/>
    <w:rsid w:val="006A2214"/>
    <w:rsid w:val="006A2C08"/>
    <w:rsid w:val="006A2DFE"/>
    <w:rsid w:val="006A307E"/>
    <w:rsid w:val="006A3850"/>
    <w:rsid w:val="006A499A"/>
    <w:rsid w:val="006B039F"/>
    <w:rsid w:val="006B068D"/>
    <w:rsid w:val="006B0D35"/>
    <w:rsid w:val="006B0D43"/>
    <w:rsid w:val="006B0E3D"/>
    <w:rsid w:val="006B22EB"/>
    <w:rsid w:val="006B3696"/>
    <w:rsid w:val="006B50C8"/>
    <w:rsid w:val="006B56A7"/>
    <w:rsid w:val="006B5917"/>
    <w:rsid w:val="006B59AF"/>
    <w:rsid w:val="006B6FC7"/>
    <w:rsid w:val="006B7035"/>
    <w:rsid w:val="006B7200"/>
    <w:rsid w:val="006B7C5A"/>
    <w:rsid w:val="006B7D80"/>
    <w:rsid w:val="006C0373"/>
    <w:rsid w:val="006C037E"/>
    <w:rsid w:val="006C08D0"/>
    <w:rsid w:val="006C1540"/>
    <w:rsid w:val="006C1A2D"/>
    <w:rsid w:val="006C1E64"/>
    <w:rsid w:val="006C1F44"/>
    <w:rsid w:val="006C284F"/>
    <w:rsid w:val="006C3237"/>
    <w:rsid w:val="006C4EF0"/>
    <w:rsid w:val="006C6A0A"/>
    <w:rsid w:val="006C6DF6"/>
    <w:rsid w:val="006C6EDA"/>
    <w:rsid w:val="006C7FE3"/>
    <w:rsid w:val="006D0129"/>
    <w:rsid w:val="006D10A3"/>
    <w:rsid w:val="006D45A9"/>
    <w:rsid w:val="006D5F89"/>
    <w:rsid w:val="006D640C"/>
    <w:rsid w:val="006D76DA"/>
    <w:rsid w:val="006E0712"/>
    <w:rsid w:val="006E0E36"/>
    <w:rsid w:val="006E257C"/>
    <w:rsid w:val="006E2584"/>
    <w:rsid w:val="006E28D4"/>
    <w:rsid w:val="006E298B"/>
    <w:rsid w:val="006E54C2"/>
    <w:rsid w:val="006E5673"/>
    <w:rsid w:val="006E613D"/>
    <w:rsid w:val="006E6494"/>
    <w:rsid w:val="006E6876"/>
    <w:rsid w:val="006E692A"/>
    <w:rsid w:val="006E796D"/>
    <w:rsid w:val="006F044B"/>
    <w:rsid w:val="006F0451"/>
    <w:rsid w:val="006F0A30"/>
    <w:rsid w:val="006F0C2D"/>
    <w:rsid w:val="006F0EAD"/>
    <w:rsid w:val="006F10D5"/>
    <w:rsid w:val="006F18D1"/>
    <w:rsid w:val="006F261F"/>
    <w:rsid w:val="006F2779"/>
    <w:rsid w:val="006F2863"/>
    <w:rsid w:val="006F289E"/>
    <w:rsid w:val="006F2AF3"/>
    <w:rsid w:val="006F2D9C"/>
    <w:rsid w:val="006F30A3"/>
    <w:rsid w:val="006F3647"/>
    <w:rsid w:val="006F37B9"/>
    <w:rsid w:val="006F4E8A"/>
    <w:rsid w:val="006F507C"/>
    <w:rsid w:val="006F52A1"/>
    <w:rsid w:val="006F70C9"/>
    <w:rsid w:val="006F721B"/>
    <w:rsid w:val="006F79C6"/>
    <w:rsid w:val="006F7B29"/>
    <w:rsid w:val="006F7C38"/>
    <w:rsid w:val="007006AD"/>
    <w:rsid w:val="007028AD"/>
    <w:rsid w:val="00703E8C"/>
    <w:rsid w:val="00704111"/>
    <w:rsid w:val="007042FC"/>
    <w:rsid w:val="00706DC6"/>
    <w:rsid w:val="0070702C"/>
    <w:rsid w:val="0070770B"/>
    <w:rsid w:val="007104E6"/>
    <w:rsid w:val="007107C8"/>
    <w:rsid w:val="00710DE6"/>
    <w:rsid w:val="00711879"/>
    <w:rsid w:val="00711B42"/>
    <w:rsid w:val="007122F1"/>
    <w:rsid w:val="00714015"/>
    <w:rsid w:val="007146C9"/>
    <w:rsid w:val="007154D1"/>
    <w:rsid w:val="00716A78"/>
    <w:rsid w:val="00716AD1"/>
    <w:rsid w:val="00717234"/>
    <w:rsid w:val="007209B4"/>
    <w:rsid w:val="007218B5"/>
    <w:rsid w:val="00721D42"/>
    <w:rsid w:val="007225C9"/>
    <w:rsid w:val="007229B8"/>
    <w:rsid w:val="007241A8"/>
    <w:rsid w:val="00724C61"/>
    <w:rsid w:val="00725766"/>
    <w:rsid w:val="00726EC7"/>
    <w:rsid w:val="00727525"/>
    <w:rsid w:val="0072772B"/>
    <w:rsid w:val="00727D4D"/>
    <w:rsid w:val="00727DDD"/>
    <w:rsid w:val="0073016E"/>
    <w:rsid w:val="0073058C"/>
    <w:rsid w:val="0073067B"/>
    <w:rsid w:val="0073202A"/>
    <w:rsid w:val="0073204C"/>
    <w:rsid w:val="00732321"/>
    <w:rsid w:val="0073251C"/>
    <w:rsid w:val="00735581"/>
    <w:rsid w:val="00735E92"/>
    <w:rsid w:val="0073683D"/>
    <w:rsid w:val="00736A10"/>
    <w:rsid w:val="00736D28"/>
    <w:rsid w:val="007371DC"/>
    <w:rsid w:val="007376CC"/>
    <w:rsid w:val="00737724"/>
    <w:rsid w:val="007409C3"/>
    <w:rsid w:val="00740AC2"/>
    <w:rsid w:val="00741AEA"/>
    <w:rsid w:val="00741E93"/>
    <w:rsid w:val="0074289E"/>
    <w:rsid w:val="00742D19"/>
    <w:rsid w:val="00742EDD"/>
    <w:rsid w:val="00743E29"/>
    <w:rsid w:val="0074485C"/>
    <w:rsid w:val="00744E65"/>
    <w:rsid w:val="00745A44"/>
    <w:rsid w:val="00745ADE"/>
    <w:rsid w:val="00747260"/>
    <w:rsid w:val="00747469"/>
    <w:rsid w:val="007479F5"/>
    <w:rsid w:val="00747DBA"/>
    <w:rsid w:val="0075036B"/>
    <w:rsid w:val="0075099B"/>
    <w:rsid w:val="00751986"/>
    <w:rsid w:val="00751E21"/>
    <w:rsid w:val="007521B4"/>
    <w:rsid w:val="007524B5"/>
    <w:rsid w:val="007525AE"/>
    <w:rsid w:val="007539AE"/>
    <w:rsid w:val="00753D98"/>
    <w:rsid w:val="00753E78"/>
    <w:rsid w:val="00754188"/>
    <w:rsid w:val="0075490C"/>
    <w:rsid w:val="00754AF1"/>
    <w:rsid w:val="007550B1"/>
    <w:rsid w:val="00755C01"/>
    <w:rsid w:val="00755CF0"/>
    <w:rsid w:val="007568A8"/>
    <w:rsid w:val="00756D61"/>
    <w:rsid w:val="0075756C"/>
    <w:rsid w:val="0075767F"/>
    <w:rsid w:val="007607A9"/>
    <w:rsid w:val="00760850"/>
    <w:rsid w:val="00761521"/>
    <w:rsid w:val="00761E3B"/>
    <w:rsid w:val="007621C4"/>
    <w:rsid w:val="00762391"/>
    <w:rsid w:val="00762F70"/>
    <w:rsid w:val="00763970"/>
    <w:rsid w:val="00765211"/>
    <w:rsid w:val="00766288"/>
    <w:rsid w:val="00766374"/>
    <w:rsid w:val="00766966"/>
    <w:rsid w:val="00766F83"/>
    <w:rsid w:val="0076763B"/>
    <w:rsid w:val="00767880"/>
    <w:rsid w:val="00773284"/>
    <w:rsid w:val="00773756"/>
    <w:rsid w:val="00773934"/>
    <w:rsid w:val="00774E8E"/>
    <w:rsid w:val="00775BA6"/>
    <w:rsid w:val="00776E3E"/>
    <w:rsid w:val="00777605"/>
    <w:rsid w:val="0077788F"/>
    <w:rsid w:val="00777AB6"/>
    <w:rsid w:val="00777F5B"/>
    <w:rsid w:val="0078040B"/>
    <w:rsid w:val="0078040F"/>
    <w:rsid w:val="00780A3F"/>
    <w:rsid w:val="00781385"/>
    <w:rsid w:val="007819B3"/>
    <w:rsid w:val="007823FE"/>
    <w:rsid w:val="007827CD"/>
    <w:rsid w:val="00782CB1"/>
    <w:rsid w:val="00783323"/>
    <w:rsid w:val="00783849"/>
    <w:rsid w:val="00785287"/>
    <w:rsid w:val="00785649"/>
    <w:rsid w:val="00785A13"/>
    <w:rsid w:val="00785E97"/>
    <w:rsid w:val="00786155"/>
    <w:rsid w:val="00786B09"/>
    <w:rsid w:val="007871F9"/>
    <w:rsid w:val="007906EE"/>
    <w:rsid w:val="0079071B"/>
    <w:rsid w:val="0079078F"/>
    <w:rsid w:val="00790AA5"/>
    <w:rsid w:val="007920D4"/>
    <w:rsid w:val="00793A03"/>
    <w:rsid w:val="00793EB2"/>
    <w:rsid w:val="007944D4"/>
    <w:rsid w:val="007944E1"/>
    <w:rsid w:val="00795D94"/>
    <w:rsid w:val="00797073"/>
    <w:rsid w:val="0079719D"/>
    <w:rsid w:val="00797876"/>
    <w:rsid w:val="007978EC"/>
    <w:rsid w:val="007979F2"/>
    <w:rsid w:val="00797EB5"/>
    <w:rsid w:val="007A07D5"/>
    <w:rsid w:val="007A09FD"/>
    <w:rsid w:val="007A0FEE"/>
    <w:rsid w:val="007A1AC9"/>
    <w:rsid w:val="007A1B96"/>
    <w:rsid w:val="007A2363"/>
    <w:rsid w:val="007A336E"/>
    <w:rsid w:val="007A4D13"/>
    <w:rsid w:val="007A578B"/>
    <w:rsid w:val="007A5918"/>
    <w:rsid w:val="007A5A56"/>
    <w:rsid w:val="007A5E26"/>
    <w:rsid w:val="007A6330"/>
    <w:rsid w:val="007A6B64"/>
    <w:rsid w:val="007A7255"/>
    <w:rsid w:val="007A7B42"/>
    <w:rsid w:val="007A7DA4"/>
    <w:rsid w:val="007B00F3"/>
    <w:rsid w:val="007B0875"/>
    <w:rsid w:val="007B0B13"/>
    <w:rsid w:val="007B1524"/>
    <w:rsid w:val="007B204B"/>
    <w:rsid w:val="007B22C4"/>
    <w:rsid w:val="007B23E6"/>
    <w:rsid w:val="007B2D1A"/>
    <w:rsid w:val="007B2F58"/>
    <w:rsid w:val="007B357B"/>
    <w:rsid w:val="007B3F42"/>
    <w:rsid w:val="007B4592"/>
    <w:rsid w:val="007B4C2F"/>
    <w:rsid w:val="007B52E5"/>
    <w:rsid w:val="007B555E"/>
    <w:rsid w:val="007B5CA1"/>
    <w:rsid w:val="007C01D4"/>
    <w:rsid w:val="007C084C"/>
    <w:rsid w:val="007C0E75"/>
    <w:rsid w:val="007C2036"/>
    <w:rsid w:val="007C232B"/>
    <w:rsid w:val="007C2F85"/>
    <w:rsid w:val="007C44DD"/>
    <w:rsid w:val="007C44F4"/>
    <w:rsid w:val="007C4545"/>
    <w:rsid w:val="007C49DB"/>
    <w:rsid w:val="007C4A4E"/>
    <w:rsid w:val="007C5149"/>
    <w:rsid w:val="007C5E89"/>
    <w:rsid w:val="007C6B36"/>
    <w:rsid w:val="007C6B7D"/>
    <w:rsid w:val="007C7C5B"/>
    <w:rsid w:val="007D0EEC"/>
    <w:rsid w:val="007D3965"/>
    <w:rsid w:val="007D3F5C"/>
    <w:rsid w:val="007D4A92"/>
    <w:rsid w:val="007D5CBF"/>
    <w:rsid w:val="007D6CA9"/>
    <w:rsid w:val="007D702C"/>
    <w:rsid w:val="007D7993"/>
    <w:rsid w:val="007E10DC"/>
    <w:rsid w:val="007E14E0"/>
    <w:rsid w:val="007E277A"/>
    <w:rsid w:val="007E3998"/>
    <w:rsid w:val="007E4736"/>
    <w:rsid w:val="007E531C"/>
    <w:rsid w:val="007E6367"/>
    <w:rsid w:val="007E63A5"/>
    <w:rsid w:val="007E7625"/>
    <w:rsid w:val="007F07AC"/>
    <w:rsid w:val="007F1023"/>
    <w:rsid w:val="007F17E6"/>
    <w:rsid w:val="007F1903"/>
    <w:rsid w:val="007F2394"/>
    <w:rsid w:val="007F24D7"/>
    <w:rsid w:val="007F3275"/>
    <w:rsid w:val="007F3956"/>
    <w:rsid w:val="007F4CEE"/>
    <w:rsid w:val="007F5B63"/>
    <w:rsid w:val="007F61D6"/>
    <w:rsid w:val="007F65EC"/>
    <w:rsid w:val="007F7121"/>
    <w:rsid w:val="007F7DAB"/>
    <w:rsid w:val="0080174A"/>
    <w:rsid w:val="00802A5D"/>
    <w:rsid w:val="00802E3C"/>
    <w:rsid w:val="0080354B"/>
    <w:rsid w:val="00804348"/>
    <w:rsid w:val="008053E1"/>
    <w:rsid w:val="008054C2"/>
    <w:rsid w:val="00806183"/>
    <w:rsid w:val="008061E8"/>
    <w:rsid w:val="008071F8"/>
    <w:rsid w:val="00807623"/>
    <w:rsid w:val="0080766D"/>
    <w:rsid w:val="008108A1"/>
    <w:rsid w:val="00810B25"/>
    <w:rsid w:val="00811380"/>
    <w:rsid w:val="008129B1"/>
    <w:rsid w:val="008129CA"/>
    <w:rsid w:val="008137AC"/>
    <w:rsid w:val="008138E0"/>
    <w:rsid w:val="008149ED"/>
    <w:rsid w:val="00814EF1"/>
    <w:rsid w:val="00815621"/>
    <w:rsid w:val="008159EF"/>
    <w:rsid w:val="00816532"/>
    <w:rsid w:val="00816563"/>
    <w:rsid w:val="0081665F"/>
    <w:rsid w:val="00817867"/>
    <w:rsid w:val="008206C8"/>
    <w:rsid w:val="008212DA"/>
    <w:rsid w:val="00821A65"/>
    <w:rsid w:val="00822A2A"/>
    <w:rsid w:val="00822F0D"/>
    <w:rsid w:val="008252E9"/>
    <w:rsid w:val="008258D6"/>
    <w:rsid w:val="00826291"/>
    <w:rsid w:val="00826488"/>
    <w:rsid w:val="00830FA8"/>
    <w:rsid w:val="00831182"/>
    <w:rsid w:val="00831618"/>
    <w:rsid w:val="00831779"/>
    <w:rsid w:val="00831CA6"/>
    <w:rsid w:val="00832C72"/>
    <w:rsid w:val="00834533"/>
    <w:rsid w:val="00835043"/>
    <w:rsid w:val="008351D3"/>
    <w:rsid w:val="008367AD"/>
    <w:rsid w:val="0083745D"/>
    <w:rsid w:val="00840ACD"/>
    <w:rsid w:val="00840C14"/>
    <w:rsid w:val="00840F71"/>
    <w:rsid w:val="008421CC"/>
    <w:rsid w:val="008424B1"/>
    <w:rsid w:val="00842CFD"/>
    <w:rsid w:val="00844254"/>
    <w:rsid w:val="008443BA"/>
    <w:rsid w:val="008460C8"/>
    <w:rsid w:val="0084613C"/>
    <w:rsid w:val="00847728"/>
    <w:rsid w:val="00847ABB"/>
    <w:rsid w:val="008502AC"/>
    <w:rsid w:val="00850B1A"/>
    <w:rsid w:val="00850BA4"/>
    <w:rsid w:val="008510A1"/>
    <w:rsid w:val="0085118B"/>
    <w:rsid w:val="008513C3"/>
    <w:rsid w:val="0085206B"/>
    <w:rsid w:val="0085235E"/>
    <w:rsid w:val="00852B38"/>
    <w:rsid w:val="00853437"/>
    <w:rsid w:val="00853BD4"/>
    <w:rsid w:val="00853F9F"/>
    <w:rsid w:val="008548DE"/>
    <w:rsid w:val="008549CF"/>
    <w:rsid w:val="00854F4E"/>
    <w:rsid w:val="00855657"/>
    <w:rsid w:val="008556EE"/>
    <w:rsid w:val="00856578"/>
    <w:rsid w:val="00857586"/>
    <w:rsid w:val="008577D3"/>
    <w:rsid w:val="00860CB9"/>
    <w:rsid w:val="00861C43"/>
    <w:rsid w:val="008629D4"/>
    <w:rsid w:val="00862A0A"/>
    <w:rsid w:val="00862F9D"/>
    <w:rsid w:val="008635C2"/>
    <w:rsid w:val="00863A67"/>
    <w:rsid w:val="0086524E"/>
    <w:rsid w:val="00865CA4"/>
    <w:rsid w:val="008666F1"/>
    <w:rsid w:val="00866941"/>
    <w:rsid w:val="0086730C"/>
    <w:rsid w:val="00867C79"/>
    <w:rsid w:val="00870357"/>
    <w:rsid w:val="008707EB"/>
    <w:rsid w:val="00870949"/>
    <w:rsid w:val="00870D3E"/>
    <w:rsid w:val="00871B80"/>
    <w:rsid w:val="00872192"/>
    <w:rsid w:val="00872286"/>
    <w:rsid w:val="00875433"/>
    <w:rsid w:val="0087558D"/>
    <w:rsid w:val="00876AEC"/>
    <w:rsid w:val="00876EAD"/>
    <w:rsid w:val="008773C4"/>
    <w:rsid w:val="00877916"/>
    <w:rsid w:val="00877A41"/>
    <w:rsid w:val="00880B0B"/>
    <w:rsid w:val="00880B4D"/>
    <w:rsid w:val="00880E74"/>
    <w:rsid w:val="008814C5"/>
    <w:rsid w:val="008821A3"/>
    <w:rsid w:val="00882D51"/>
    <w:rsid w:val="008830C4"/>
    <w:rsid w:val="00883F7F"/>
    <w:rsid w:val="00885902"/>
    <w:rsid w:val="00892110"/>
    <w:rsid w:val="00892148"/>
    <w:rsid w:val="008940A7"/>
    <w:rsid w:val="00894D55"/>
    <w:rsid w:val="00895D05"/>
    <w:rsid w:val="00896597"/>
    <w:rsid w:val="008967AF"/>
    <w:rsid w:val="00896AC8"/>
    <w:rsid w:val="0089757F"/>
    <w:rsid w:val="00897B4F"/>
    <w:rsid w:val="008A055A"/>
    <w:rsid w:val="008A0740"/>
    <w:rsid w:val="008A2944"/>
    <w:rsid w:val="008A2F97"/>
    <w:rsid w:val="008A3086"/>
    <w:rsid w:val="008A389E"/>
    <w:rsid w:val="008A4799"/>
    <w:rsid w:val="008A570C"/>
    <w:rsid w:val="008A672A"/>
    <w:rsid w:val="008A6810"/>
    <w:rsid w:val="008A6DD0"/>
    <w:rsid w:val="008A7AA5"/>
    <w:rsid w:val="008A7BDE"/>
    <w:rsid w:val="008A7C1F"/>
    <w:rsid w:val="008B05C8"/>
    <w:rsid w:val="008B08E0"/>
    <w:rsid w:val="008B0F35"/>
    <w:rsid w:val="008B19D9"/>
    <w:rsid w:val="008B2A39"/>
    <w:rsid w:val="008B2A8B"/>
    <w:rsid w:val="008B5203"/>
    <w:rsid w:val="008B5E7B"/>
    <w:rsid w:val="008B6B7F"/>
    <w:rsid w:val="008B7FBD"/>
    <w:rsid w:val="008C0462"/>
    <w:rsid w:val="008C06F2"/>
    <w:rsid w:val="008C0800"/>
    <w:rsid w:val="008C0801"/>
    <w:rsid w:val="008C25FD"/>
    <w:rsid w:val="008C2E6D"/>
    <w:rsid w:val="008C37AF"/>
    <w:rsid w:val="008C3ABB"/>
    <w:rsid w:val="008C4151"/>
    <w:rsid w:val="008C5CF1"/>
    <w:rsid w:val="008C7800"/>
    <w:rsid w:val="008C797F"/>
    <w:rsid w:val="008D1560"/>
    <w:rsid w:val="008D16C5"/>
    <w:rsid w:val="008D309A"/>
    <w:rsid w:val="008D3999"/>
    <w:rsid w:val="008D40B8"/>
    <w:rsid w:val="008D6756"/>
    <w:rsid w:val="008D6812"/>
    <w:rsid w:val="008D6915"/>
    <w:rsid w:val="008E2283"/>
    <w:rsid w:val="008E2DEB"/>
    <w:rsid w:val="008E2F5F"/>
    <w:rsid w:val="008E36D4"/>
    <w:rsid w:val="008E399D"/>
    <w:rsid w:val="008E3CC1"/>
    <w:rsid w:val="008E4255"/>
    <w:rsid w:val="008E5B48"/>
    <w:rsid w:val="008E798C"/>
    <w:rsid w:val="008E7DE4"/>
    <w:rsid w:val="008E7F0F"/>
    <w:rsid w:val="008F06C4"/>
    <w:rsid w:val="008F1A72"/>
    <w:rsid w:val="008F28B1"/>
    <w:rsid w:val="008F3B1D"/>
    <w:rsid w:val="008F4BE2"/>
    <w:rsid w:val="008F4BF0"/>
    <w:rsid w:val="008F4C25"/>
    <w:rsid w:val="008F4E5C"/>
    <w:rsid w:val="008F5023"/>
    <w:rsid w:val="008F5A00"/>
    <w:rsid w:val="008F5FD2"/>
    <w:rsid w:val="008F673F"/>
    <w:rsid w:val="008F7487"/>
    <w:rsid w:val="00900588"/>
    <w:rsid w:val="0090063A"/>
    <w:rsid w:val="009008CF"/>
    <w:rsid w:val="00900F4A"/>
    <w:rsid w:val="00901A69"/>
    <w:rsid w:val="00902A82"/>
    <w:rsid w:val="00903BE1"/>
    <w:rsid w:val="009056CE"/>
    <w:rsid w:val="00905EA9"/>
    <w:rsid w:val="00906801"/>
    <w:rsid w:val="00906DC9"/>
    <w:rsid w:val="00907560"/>
    <w:rsid w:val="00907665"/>
    <w:rsid w:val="0091095F"/>
    <w:rsid w:val="00911AE6"/>
    <w:rsid w:val="009120F3"/>
    <w:rsid w:val="00913419"/>
    <w:rsid w:val="009136D3"/>
    <w:rsid w:val="0091440D"/>
    <w:rsid w:val="00915159"/>
    <w:rsid w:val="00915586"/>
    <w:rsid w:val="009159AB"/>
    <w:rsid w:val="00915FBB"/>
    <w:rsid w:val="0091642D"/>
    <w:rsid w:val="009164A4"/>
    <w:rsid w:val="00916BF7"/>
    <w:rsid w:val="00917326"/>
    <w:rsid w:val="00917DB2"/>
    <w:rsid w:val="009200AD"/>
    <w:rsid w:val="00920371"/>
    <w:rsid w:val="0092086B"/>
    <w:rsid w:val="0092091B"/>
    <w:rsid w:val="00920E9A"/>
    <w:rsid w:val="0092108E"/>
    <w:rsid w:val="009216E1"/>
    <w:rsid w:val="0092194B"/>
    <w:rsid w:val="00921BD9"/>
    <w:rsid w:val="00922266"/>
    <w:rsid w:val="00923E06"/>
    <w:rsid w:val="00923EC5"/>
    <w:rsid w:val="00923FDB"/>
    <w:rsid w:val="00924A67"/>
    <w:rsid w:val="009259F1"/>
    <w:rsid w:val="00925E9B"/>
    <w:rsid w:val="0092757B"/>
    <w:rsid w:val="009275D4"/>
    <w:rsid w:val="00927E12"/>
    <w:rsid w:val="009307CE"/>
    <w:rsid w:val="009312AF"/>
    <w:rsid w:val="009318E9"/>
    <w:rsid w:val="00932BB5"/>
    <w:rsid w:val="0093398E"/>
    <w:rsid w:val="0093422E"/>
    <w:rsid w:val="00935262"/>
    <w:rsid w:val="00937387"/>
    <w:rsid w:val="00937C21"/>
    <w:rsid w:val="00940BA7"/>
    <w:rsid w:val="00940D88"/>
    <w:rsid w:val="00941BBF"/>
    <w:rsid w:val="00941C2D"/>
    <w:rsid w:val="00941C59"/>
    <w:rsid w:val="00942443"/>
    <w:rsid w:val="00942711"/>
    <w:rsid w:val="0094317B"/>
    <w:rsid w:val="009442BC"/>
    <w:rsid w:val="00944A49"/>
    <w:rsid w:val="00944E28"/>
    <w:rsid w:val="00945861"/>
    <w:rsid w:val="00945A7B"/>
    <w:rsid w:val="0094708D"/>
    <w:rsid w:val="009477A4"/>
    <w:rsid w:val="009479A4"/>
    <w:rsid w:val="00951CF8"/>
    <w:rsid w:val="00953533"/>
    <w:rsid w:val="00954E34"/>
    <w:rsid w:val="00954EDB"/>
    <w:rsid w:val="0095600E"/>
    <w:rsid w:val="00956ACD"/>
    <w:rsid w:val="00957020"/>
    <w:rsid w:val="009571C0"/>
    <w:rsid w:val="009573B3"/>
    <w:rsid w:val="00957B32"/>
    <w:rsid w:val="009619BC"/>
    <w:rsid w:val="00962793"/>
    <w:rsid w:val="00963B99"/>
    <w:rsid w:val="00964389"/>
    <w:rsid w:val="00965531"/>
    <w:rsid w:val="0096579A"/>
    <w:rsid w:val="00965AF5"/>
    <w:rsid w:val="00966058"/>
    <w:rsid w:val="00966072"/>
    <w:rsid w:val="00966981"/>
    <w:rsid w:val="00966F11"/>
    <w:rsid w:val="00967045"/>
    <w:rsid w:val="00967232"/>
    <w:rsid w:val="00967BE9"/>
    <w:rsid w:val="009703BA"/>
    <w:rsid w:val="009707E0"/>
    <w:rsid w:val="00973E35"/>
    <w:rsid w:val="00973FAC"/>
    <w:rsid w:val="00974300"/>
    <w:rsid w:val="00975AC4"/>
    <w:rsid w:val="0097600C"/>
    <w:rsid w:val="00976A10"/>
    <w:rsid w:val="00976A61"/>
    <w:rsid w:val="009801CE"/>
    <w:rsid w:val="0098082C"/>
    <w:rsid w:val="009810F7"/>
    <w:rsid w:val="0098196F"/>
    <w:rsid w:val="00981B80"/>
    <w:rsid w:val="00982099"/>
    <w:rsid w:val="00982610"/>
    <w:rsid w:val="009831CF"/>
    <w:rsid w:val="009834C9"/>
    <w:rsid w:val="009836C2"/>
    <w:rsid w:val="00983AB0"/>
    <w:rsid w:val="00984132"/>
    <w:rsid w:val="009841A4"/>
    <w:rsid w:val="00984308"/>
    <w:rsid w:val="0098503F"/>
    <w:rsid w:val="00985446"/>
    <w:rsid w:val="0098575B"/>
    <w:rsid w:val="009858EE"/>
    <w:rsid w:val="009863BC"/>
    <w:rsid w:val="00986AC6"/>
    <w:rsid w:val="00986D34"/>
    <w:rsid w:val="00986E1B"/>
    <w:rsid w:val="0099009E"/>
    <w:rsid w:val="00990E91"/>
    <w:rsid w:val="00990F53"/>
    <w:rsid w:val="00991B21"/>
    <w:rsid w:val="00991CA1"/>
    <w:rsid w:val="009925A7"/>
    <w:rsid w:val="00992B21"/>
    <w:rsid w:val="00994244"/>
    <w:rsid w:val="00994C0A"/>
    <w:rsid w:val="009951C8"/>
    <w:rsid w:val="00995BD3"/>
    <w:rsid w:val="00996770"/>
    <w:rsid w:val="00997861"/>
    <w:rsid w:val="00997F0C"/>
    <w:rsid w:val="009A0E20"/>
    <w:rsid w:val="009A133D"/>
    <w:rsid w:val="009A14BF"/>
    <w:rsid w:val="009A1A4D"/>
    <w:rsid w:val="009A1D31"/>
    <w:rsid w:val="009A279B"/>
    <w:rsid w:val="009A389B"/>
    <w:rsid w:val="009A4166"/>
    <w:rsid w:val="009A466A"/>
    <w:rsid w:val="009A47C6"/>
    <w:rsid w:val="009A48BF"/>
    <w:rsid w:val="009A6E00"/>
    <w:rsid w:val="009B019F"/>
    <w:rsid w:val="009B15D8"/>
    <w:rsid w:val="009B16F2"/>
    <w:rsid w:val="009B1869"/>
    <w:rsid w:val="009B1872"/>
    <w:rsid w:val="009B203A"/>
    <w:rsid w:val="009B294C"/>
    <w:rsid w:val="009B2AB0"/>
    <w:rsid w:val="009B2C16"/>
    <w:rsid w:val="009B2D68"/>
    <w:rsid w:val="009B3294"/>
    <w:rsid w:val="009B346C"/>
    <w:rsid w:val="009B3C61"/>
    <w:rsid w:val="009B4AA0"/>
    <w:rsid w:val="009B6555"/>
    <w:rsid w:val="009C06C2"/>
    <w:rsid w:val="009C17A5"/>
    <w:rsid w:val="009C1B91"/>
    <w:rsid w:val="009C1BC7"/>
    <w:rsid w:val="009C1E3B"/>
    <w:rsid w:val="009C2269"/>
    <w:rsid w:val="009C38F6"/>
    <w:rsid w:val="009C4080"/>
    <w:rsid w:val="009C4AFC"/>
    <w:rsid w:val="009C4D00"/>
    <w:rsid w:val="009C4E2B"/>
    <w:rsid w:val="009C57D1"/>
    <w:rsid w:val="009C66F2"/>
    <w:rsid w:val="009C693B"/>
    <w:rsid w:val="009C73F1"/>
    <w:rsid w:val="009C7927"/>
    <w:rsid w:val="009C7DF3"/>
    <w:rsid w:val="009D0046"/>
    <w:rsid w:val="009D08B0"/>
    <w:rsid w:val="009D12C4"/>
    <w:rsid w:val="009D135A"/>
    <w:rsid w:val="009D1D9B"/>
    <w:rsid w:val="009D2423"/>
    <w:rsid w:val="009D28B8"/>
    <w:rsid w:val="009D3355"/>
    <w:rsid w:val="009D3503"/>
    <w:rsid w:val="009D3BC4"/>
    <w:rsid w:val="009D3EBF"/>
    <w:rsid w:val="009D40CC"/>
    <w:rsid w:val="009D4758"/>
    <w:rsid w:val="009D48D9"/>
    <w:rsid w:val="009D4CA6"/>
    <w:rsid w:val="009D4D54"/>
    <w:rsid w:val="009D5440"/>
    <w:rsid w:val="009D5582"/>
    <w:rsid w:val="009D56D5"/>
    <w:rsid w:val="009D5EB7"/>
    <w:rsid w:val="009D627F"/>
    <w:rsid w:val="009D6E59"/>
    <w:rsid w:val="009D70B0"/>
    <w:rsid w:val="009D751D"/>
    <w:rsid w:val="009E037A"/>
    <w:rsid w:val="009E10D7"/>
    <w:rsid w:val="009E256F"/>
    <w:rsid w:val="009E2F6F"/>
    <w:rsid w:val="009E2FA2"/>
    <w:rsid w:val="009E3089"/>
    <w:rsid w:val="009E3901"/>
    <w:rsid w:val="009E4183"/>
    <w:rsid w:val="009E4BB8"/>
    <w:rsid w:val="009E4D46"/>
    <w:rsid w:val="009E6027"/>
    <w:rsid w:val="009E6647"/>
    <w:rsid w:val="009E6C5B"/>
    <w:rsid w:val="009E6CE1"/>
    <w:rsid w:val="009E6DA5"/>
    <w:rsid w:val="009E6F39"/>
    <w:rsid w:val="009E737A"/>
    <w:rsid w:val="009E78F3"/>
    <w:rsid w:val="009E7AA1"/>
    <w:rsid w:val="009F0B05"/>
    <w:rsid w:val="009F0E03"/>
    <w:rsid w:val="009F0F49"/>
    <w:rsid w:val="009F12BC"/>
    <w:rsid w:val="009F1D29"/>
    <w:rsid w:val="009F3184"/>
    <w:rsid w:val="009F353A"/>
    <w:rsid w:val="009F3E01"/>
    <w:rsid w:val="009F404A"/>
    <w:rsid w:val="009F5FA0"/>
    <w:rsid w:val="009F7410"/>
    <w:rsid w:val="009F7584"/>
    <w:rsid w:val="00A0011D"/>
    <w:rsid w:val="00A00D03"/>
    <w:rsid w:val="00A01DDD"/>
    <w:rsid w:val="00A01F99"/>
    <w:rsid w:val="00A02C5D"/>
    <w:rsid w:val="00A030A1"/>
    <w:rsid w:val="00A031C7"/>
    <w:rsid w:val="00A054FE"/>
    <w:rsid w:val="00A05C2E"/>
    <w:rsid w:val="00A1026A"/>
    <w:rsid w:val="00A10B04"/>
    <w:rsid w:val="00A10EDB"/>
    <w:rsid w:val="00A12382"/>
    <w:rsid w:val="00A12773"/>
    <w:rsid w:val="00A134B3"/>
    <w:rsid w:val="00A13CA3"/>
    <w:rsid w:val="00A13E88"/>
    <w:rsid w:val="00A13F79"/>
    <w:rsid w:val="00A1559A"/>
    <w:rsid w:val="00A15D8D"/>
    <w:rsid w:val="00A164E5"/>
    <w:rsid w:val="00A16567"/>
    <w:rsid w:val="00A16854"/>
    <w:rsid w:val="00A16EEF"/>
    <w:rsid w:val="00A17469"/>
    <w:rsid w:val="00A17841"/>
    <w:rsid w:val="00A17878"/>
    <w:rsid w:val="00A1790F"/>
    <w:rsid w:val="00A179A4"/>
    <w:rsid w:val="00A17AB9"/>
    <w:rsid w:val="00A17E2F"/>
    <w:rsid w:val="00A20CC4"/>
    <w:rsid w:val="00A21020"/>
    <w:rsid w:val="00A2176C"/>
    <w:rsid w:val="00A2198B"/>
    <w:rsid w:val="00A2278E"/>
    <w:rsid w:val="00A228FF"/>
    <w:rsid w:val="00A22F72"/>
    <w:rsid w:val="00A2449F"/>
    <w:rsid w:val="00A25034"/>
    <w:rsid w:val="00A26003"/>
    <w:rsid w:val="00A2637A"/>
    <w:rsid w:val="00A26489"/>
    <w:rsid w:val="00A31A52"/>
    <w:rsid w:val="00A32C80"/>
    <w:rsid w:val="00A3323F"/>
    <w:rsid w:val="00A333A4"/>
    <w:rsid w:val="00A34B18"/>
    <w:rsid w:val="00A35DB2"/>
    <w:rsid w:val="00A35F54"/>
    <w:rsid w:val="00A36439"/>
    <w:rsid w:val="00A36BFE"/>
    <w:rsid w:val="00A36EBD"/>
    <w:rsid w:val="00A375A5"/>
    <w:rsid w:val="00A376E6"/>
    <w:rsid w:val="00A37FAB"/>
    <w:rsid w:val="00A40312"/>
    <w:rsid w:val="00A40D92"/>
    <w:rsid w:val="00A40F1F"/>
    <w:rsid w:val="00A4134D"/>
    <w:rsid w:val="00A41B3D"/>
    <w:rsid w:val="00A420A7"/>
    <w:rsid w:val="00A42593"/>
    <w:rsid w:val="00A426BE"/>
    <w:rsid w:val="00A426D7"/>
    <w:rsid w:val="00A4366A"/>
    <w:rsid w:val="00A446D9"/>
    <w:rsid w:val="00A44732"/>
    <w:rsid w:val="00A45659"/>
    <w:rsid w:val="00A47E6A"/>
    <w:rsid w:val="00A508C0"/>
    <w:rsid w:val="00A51A2F"/>
    <w:rsid w:val="00A52850"/>
    <w:rsid w:val="00A5341A"/>
    <w:rsid w:val="00A54256"/>
    <w:rsid w:val="00A556C4"/>
    <w:rsid w:val="00A55B0B"/>
    <w:rsid w:val="00A55BF0"/>
    <w:rsid w:val="00A56F97"/>
    <w:rsid w:val="00A57E8D"/>
    <w:rsid w:val="00A601FD"/>
    <w:rsid w:val="00A60E74"/>
    <w:rsid w:val="00A60F6E"/>
    <w:rsid w:val="00A6127B"/>
    <w:rsid w:val="00A637B8"/>
    <w:rsid w:val="00A639C0"/>
    <w:rsid w:val="00A6431B"/>
    <w:rsid w:val="00A64406"/>
    <w:rsid w:val="00A648FC"/>
    <w:rsid w:val="00A650E9"/>
    <w:rsid w:val="00A6577B"/>
    <w:rsid w:val="00A65B79"/>
    <w:rsid w:val="00A65C2F"/>
    <w:rsid w:val="00A666DE"/>
    <w:rsid w:val="00A66F90"/>
    <w:rsid w:val="00A677C4"/>
    <w:rsid w:val="00A70C21"/>
    <w:rsid w:val="00A70C56"/>
    <w:rsid w:val="00A715EF"/>
    <w:rsid w:val="00A71A8D"/>
    <w:rsid w:val="00A71B66"/>
    <w:rsid w:val="00A7314D"/>
    <w:rsid w:val="00A73316"/>
    <w:rsid w:val="00A73770"/>
    <w:rsid w:val="00A73D5A"/>
    <w:rsid w:val="00A741E0"/>
    <w:rsid w:val="00A74954"/>
    <w:rsid w:val="00A74AA9"/>
    <w:rsid w:val="00A74B1E"/>
    <w:rsid w:val="00A754AA"/>
    <w:rsid w:val="00A75562"/>
    <w:rsid w:val="00A759F9"/>
    <w:rsid w:val="00A76995"/>
    <w:rsid w:val="00A769BB"/>
    <w:rsid w:val="00A76BF4"/>
    <w:rsid w:val="00A76F56"/>
    <w:rsid w:val="00A77738"/>
    <w:rsid w:val="00A77A38"/>
    <w:rsid w:val="00A77A6E"/>
    <w:rsid w:val="00A77FAA"/>
    <w:rsid w:val="00A80407"/>
    <w:rsid w:val="00A80631"/>
    <w:rsid w:val="00A80703"/>
    <w:rsid w:val="00A822BC"/>
    <w:rsid w:val="00A833EA"/>
    <w:rsid w:val="00A83530"/>
    <w:rsid w:val="00A83AEF"/>
    <w:rsid w:val="00A8404C"/>
    <w:rsid w:val="00A84120"/>
    <w:rsid w:val="00A848FF"/>
    <w:rsid w:val="00A84E6E"/>
    <w:rsid w:val="00A85C20"/>
    <w:rsid w:val="00A86057"/>
    <w:rsid w:val="00A8789A"/>
    <w:rsid w:val="00A879F2"/>
    <w:rsid w:val="00A87A8D"/>
    <w:rsid w:val="00A87CC3"/>
    <w:rsid w:val="00A92CF6"/>
    <w:rsid w:val="00A93DB2"/>
    <w:rsid w:val="00A959DE"/>
    <w:rsid w:val="00A974B8"/>
    <w:rsid w:val="00AA1070"/>
    <w:rsid w:val="00AA1B5C"/>
    <w:rsid w:val="00AA4E80"/>
    <w:rsid w:val="00AA5486"/>
    <w:rsid w:val="00AA6032"/>
    <w:rsid w:val="00AA712A"/>
    <w:rsid w:val="00AA7AB1"/>
    <w:rsid w:val="00AB0667"/>
    <w:rsid w:val="00AB1215"/>
    <w:rsid w:val="00AB17A4"/>
    <w:rsid w:val="00AB1BC4"/>
    <w:rsid w:val="00AB2DA2"/>
    <w:rsid w:val="00AB314B"/>
    <w:rsid w:val="00AB4155"/>
    <w:rsid w:val="00AB5625"/>
    <w:rsid w:val="00AB5B0D"/>
    <w:rsid w:val="00AB6F22"/>
    <w:rsid w:val="00AB6FB1"/>
    <w:rsid w:val="00AB70B4"/>
    <w:rsid w:val="00AB75CA"/>
    <w:rsid w:val="00AC07E6"/>
    <w:rsid w:val="00AC1BFA"/>
    <w:rsid w:val="00AC1E29"/>
    <w:rsid w:val="00AC1FEC"/>
    <w:rsid w:val="00AC274C"/>
    <w:rsid w:val="00AC2D00"/>
    <w:rsid w:val="00AC3861"/>
    <w:rsid w:val="00AC42A0"/>
    <w:rsid w:val="00AC43B8"/>
    <w:rsid w:val="00AC4C89"/>
    <w:rsid w:val="00AC6588"/>
    <w:rsid w:val="00AC6FE7"/>
    <w:rsid w:val="00AC761E"/>
    <w:rsid w:val="00AC7B3B"/>
    <w:rsid w:val="00AC7D1E"/>
    <w:rsid w:val="00AD0309"/>
    <w:rsid w:val="00AD06CF"/>
    <w:rsid w:val="00AD0FBE"/>
    <w:rsid w:val="00AD13BA"/>
    <w:rsid w:val="00AD2210"/>
    <w:rsid w:val="00AD241D"/>
    <w:rsid w:val="00AD27BD"/>
    <w:rsid w:val="00AD363D"/>
    <w:rsid w:val="00AD43A9"/>
    <w:rsid w:val="00AD4BF1"/>
    <w:rsid w:val="00AD5335"/>
    <w:rsid w:val="00AD5408"/>
    <w:rsid w:val="00AD5411"/>
    <w:rsid w:val="00AD55F9"/>
    <w:rsid w:val="00AD5631"/>
    <w:rsid w:val="00AD63B6"/>
    <w:rsid w:val="00AD6403"/>
    <w:rsid w:val="00AD6A6E"/>
    <w:rsid w:val="00AD70B4"/>
    <w:rsid w:val="00AD7BAD"/>
    <w:rsid w:val="00AE0C33"/>
    <w:rsid w:val="00AE0E53"/>
    <w:rsid w:val="00AE0F84"/>
    <w:rsid w:val="00AE1BA6"/>
    <w:rsid w:val="00AE2487"/>
    <w:rsid w:val="00AE293E"/>
    <w:rsid w:val="00AE2D0A"/>
    <w:rsid w:val="00AE4764"/>
    <w:rsid w:val="00AE54AF"/>
    <w:rsid w:val="00AE5709"/>
    <w:rsid w:val="00AE575F"/>
    <w:rsid w:val="00AE6AE0"/>
    <w:rsid w:val="00AE6BE9"/>
    <w:rsid w:val="00AE6CD2"/>
    <w:rsid w:val="00AE6E64"/>
    <w:rsid w:val="00AE7D6E"/>
    <w:rsid w:val="00AF07DF"/>
    <w:rsid w:val="00AF11E1"/>
    <w:rsid w:val="00AF148C"/>
    <w:rsid w:val="00AF2C21"/>
    <w:rsid w:val="00AF30CB"/>
    <w:rsid w:val="00AF335D"/>
    <w:rsid w:val="00AF3515"/>
    <w:rsid w:val="00AF36B0"/>
    <w:rsid w:val="00AF417F"/>
    <w:rsid w:val="00AF4F0C"/>
    <w:rsid w:val="00AF5A9D"/>
    <w:rsid w:val="00AF5DB9"/>
    <w:rsid w:val="00AF68D0"/>
    <w:rsid w:val="00AF7380"/>
    <w:rsid w:val="00B01144"/>
    <w:rsid w:val="00B0226B"/>
    <w:rsid w:val="00B022C0"/>
    <w:rsid w:val="00B02953"/>
    <w:rsid w:val="00B02CA2"/>
    <w:rsid w:val="00B032BD"/>
    <w:rsid w:val="00B04137"/>
    <w:rsid w:val="00B041D6"/>
    <w:rsid w:val="00B0421F"/>
    <w:rsid w:val="00B04F1A"/>
    <w:rsid w:val="00B0550F"/>
    <w:rsid w:val="00B05E61"/>
    <w:rsid w:val="00B06635"/>
    <w:rsid w:val="00B06A0F"/>
    <w:rsid w:val="00B07E01"/>
    <w:rsid w:val="00B104DB"/>
    <w:rsid w:val="00B10FBD"/>
    <w:rsid w:val="00B110ED"/>
    <w:rsid w:val="00B119B2"/>
    <w:rsid w:val="00B16ACE"/>
    <w:rsid w:val="00B17528"/>
    <w:rsid w:val="00B207C4"/>
    <w:rsid w:val="00B20922"/>
    <w:rsid w:val="00B20D23"/>
    <w:rsid w:val="00B216AE"/>
    <w:rsid w:val="00B224C3"/>
    <w:rsid w:val="00B23AF4"/>
    <w:rsid w:val="00B23F50"/>
    <w:rsid w:val="00B24A47"/>
    <w:rsid w:val="00B24C4A"/>
    <w:rsid w:val="00B24E8B"/>
    <w:rsid w:val="00B25D1B"/>
    <w:rsid w:val="00B25E4D"/>
    <w:rsid w:val="00B2617F"/>
    <w:rsid w:val="00B2627D"/>
    <w:rsid w:val="00B269B0"/>
    <w:rsid w:val="00B31DC7"/>
    <w:rsid w:val="00B3298F"/>
    <w:rsid w:val="00B32B12"/>
    <w:rsid w:val="00B32FE3"/>
    <w:rsid w:val="00B342F0"/>
    <w:rsid w:val="00B34792"/>
    <w:rsid w:val="00B34D00"/>
    <w:rsid w:val="00B34DA2"/>
    <w:rsid w:val="00B35353"/>
    <w:rsid w:val="00B36700"/>
    <w:rsid w:val="00B370E0"/>
    <w:rsid w:val="00B3714F"/>
    <w:rsid w:val="00B37D60"/>
    <w:rsid w:val="00B40311"/>
    <w:rsid w:val="00B40D5F"/>
    <w:rsid w:val="00B42BA5"/>
    <w:rsid w:val="00B43005"/>
    <w:rsid w:val="00B43571"/>
    <w:rsid w:val="00B438A6"/>
    <w:rsid w:val="00B439DC"/>
    <w:rsid w:val="00B441F0"/>
    <w:rsid w:val="00B44DC3"/>
    <w:rsid w:val="00B45161"/>
    <w:rsid w:val="00B46168"/>
    <w:rsid w:val="00B465C6"/>
    <w:rsid w:val="00B47095"/>
    <w:rsid w:val="00B471FD"/>
    <w:rsid w:val="00B479D8"/>
    <w:rsid w:val="00B47CDB"/>
    <w:rsid w:val="00B500C1"/>
    <w:rsid w:val="00B5062E"/>
    <w:rsid w:val="00B51218"/>
    <w:rsid w:val="00B520CA"/>
    <w:rsid w:val="00B5465A"/>
    <w:rsid w:val="00B548EA"/>
    <w:rsid w:val="00B54B41"/>
    <w:rsid w:val="00B57256"/>
    <w:rsid w:val="00B574C7"/>
    <w:rsid w:val="00B57871"/>
    <w:rsid w:val="00B60224"/>
    <w:rsid w:val="00B6115F"/>
    <w:rsid w:val="00B614B4"/>
    <w:rsid w:val="00B62D9A"/>
    <w:rsid w:val="00B63B55"/>
    <w:rsid w:val="00B644E4"/>
    <w:rsid w:val="00B645E0"/>
    <w:rsid w:val="00B647C8"/>
    <w:rsid w:val="00B650AA"/>
    <w:rsid w:val="00B6518C"/>
    <w:rsid w:val="00B65919"/>
    <w:rsid w:val="00B660C2"/>
    <w:rsid w:val="00B66725"/>
    <w:rsid w:val="00B66814"/>
    <w:rsid w:val="00B66BF5"/>
    <w:rsid w:val="00B6758B"/>
    <w:rsid w:val="00B677A6"/>
    <w:rsid w:val="00B67FAC"/>
    <w:rsid w:val="00B70481"/>
    <w:rsid w:val="00B708AD"/>
    <w:rsid w:val="00B715D7"/>
    <w:rsid w:val="00B717D8"/>
    <w:rsid w:val="00B72179"/>
    <w:rsid w:val="00B7219C"/>
    <w:rsid w:val="00B73881"/>
    <w:rsid w:val="00B73DE9"/>
    <w:rsid w:val="00B741C4"/>
    <w:rsid w:val="00B7457B"/>
    <w:rsid w:val="00B75B86"/>
    <w:rsid w:val="00B75E61"/>
    <w:rsid w:val="00B761BB"/>
    <w:rsid w:val="00B76227"/>
    <w:rsid w:val="00B762B5"/>
    <w:rsid w:val="00B76396"/>
    <w:rsid w:val="00B7674C"/>
    <w:rsid w:val="00B77856"/>
    <w:rsid w:val="00B807FD"/>
    <w:rsid w:val="00B80E1B"/>
    <w:rsid w:val="00B810BE"/>
    <w:rsid w:val="00B82F02"/>
    <w:rsid w:val="00B83FD4"/>
    <w:rsid w:val="00B84AEF"/>
    <w:rsid w:val="00B85330"/>
    <w:rsid w:val="00B86A46"/>
    <w:rsid w:val="00B87AF6"/>
    <w:rsid w:val="00B90F62"/>
    <w:rsid w:val="00B91A93"/>
    <w:rsid w:val="00B91C3F"/>
    <w:rsid w:val="00B920A1"/>
    <w:rsid w:val="00B92418"/>
    <w:rsid w:val="00B925E6"/>
    <w:rsid w:val="00B92EBE"/>
    <w:rsid w:val="00B9345C"/>
    <w:rsid w:val="00B93687"/>
    <w:rsid w:val="00B9468F"/>
    <w:rsid w:val="00B94838"/>
    <w:rsid w:val="00B95A2D"/>
    <w:rsid w:val="00B96028"/>
    <w:rsid w:val="00B9679C"/>
    <w:rsid w:val="00B970A5"/>
    <w:rsid w:val="00B97E62"/>
    <w:rsid w:val="00BA07CE"/>
    <w:rsid w:val="00BA1189"/>
    <w:rsid w:val="00BA149E"/>
    <w:rsid w:val="00BA2427"/>
    <w:rsid w:val="00BA38C5"/>
    <w:rsid w:val="00BA4CC8"/>
    <w:rsid w:val="00BA50E6"/>
    <w:rsid w:val="00BA5EE8"/>
    <w:rsid w:val="00BA613C"/>
    <w:rsid w:val="00BA65D3"/>
    <w:rsid w:val="00BA7575"/>
    <w:rsid w:val="00BB03C0"/>
    <w:rsid w:val="00BB10E7"/>
    <w:rsid w:val="00BB1182"/>
    <w:rsid w:val="00BB1438"/>
    <w:rsid w:val="00BB1B2B"/>
    <w:rsid w:val="00BB2195"/>
    <w:rsid w:val="00BB2308"/>
    <w:rsid w:val="00BB23EB"/>
    <w:rsid w:val="00BB2911"/>
    <w:rsid w:val="00BB2928"/>
    <w:rsid w:val="00BB3843"/>
    <w:rsid w:val="00BB3DBA"/>
    <w:rsid w:val="00BB4503"/>
    <w:rsid w:val="00BB4859"/>
    <w:rsid w:val="00BB5818"/>
    <w:rsid w:val="00BB5ABE"/>
    <w:rsid w:val="00BB6E95"/>
    <w:rsid w:val="00BC04D7"/>
    <w:rsid w:val="00BC0669"/>
    <w:rsid w:val="00BC0B47"/>
    <w:rsid w:val="00BC16B4"/>
    <w:rsid w:val="00BC2496"/>
    <w:rsid w:val="00BC2621"/>
    <w:rsid w:val="00BC2759"/>
    <w:rsid w:val="00BC30D4"/>
    <w:rsid w:val="00BC315E"/>
    <w:rsid w:val="00BC461F"/>
    <w:rsid w:val="00BC462C"/>
    <w:rsid w:val="00BC4AC2"/>
    <w:rsid w:val="00BC5827"/>
    <w:rsid w:val="00BC696D"/>
    <w:rsid w:val="00BC7604"/>
    <w:rsid w:val="00BC7B08"/>
    <w:rsid w:val="00BD0580"/>
    <w:rsid w:val="00BD2713"/>
    <w:rsid w:val="00BD2735"/>
    <w:rsid w:val="00BD2FC6"/>
    <w:rsid w:val="00BD33F7"/>
    <w:rsid w:val="00BD4E27"/>
    <w:rsid w:val="00BD52D8"/>
    <w:rsid w:val="00BD6CF0"/>
    <w:rsid w:val="00BE0685"/>
    <w:rsid w:val="00BE0764"/>
    <w:rsid w:val="00BE1A63"/>
    <w:rsid w:val="00BE1C07"/>
    <w:rsid w:val="00BE1DFB"/>
    <w:rsid w:val="00BE3099"/>
    <w:rsid w:val="00BE36EA"/>
    <w:rsid w:val="00BE40B8"/>
    <w:rsid w:val="00BE422A"/>
    <w:rsid w:val="00BE5E10"/>
    <w:rsid w:val="00BF044D"/>
    <w:rsid w:val="00BF07F6"/>
    <w:rsid w:val="00BF0D76"/>
    <w:rsid w:val="00BF1647"/>
    <w:rsid w:val="00BF18AE"/>
    <w:rsid w:val="00BF199F"/>
    <w:rsid w:val="00BF1A30"/>
    <w:rsid w:val="00BF1C30"/>
    <w:rsid w:val="00BF2BE5"/>
    <w:rsid w:val="00BF3C3F"/>
    <w:rsid w:val="00BF3DB6"/>
    <w:rsid w:val="00BF40B2"/>
    <w:rsid w:val="00BF6CE6"/>
    <w:rsid w:val="00BF6CF2"/>
    <w:rsid w:val="00BF7D36"/>
    <w:rsid w:val="00C00BA3"/>
    <w:rsid w:val="00C04E77"/>
    <w:rsid w:val="00C05436"/>
    <w:rsid w:val="00C06E22"/>
    <w:rsid w:val="00C07B50"/>
    <w:rsid w:val="00C07DCA"/>
    <w:rsid w:val="00C104EB"/>
    <w:rsid w:val="00C1053E"/>
    <w:rsid w:val="00C106A1"/>
    <w:rsid w:val="00C10C52"/>
    <w:rsid w:val="00C114B0"/>
    <w:rsid w:val="00C11A18"/>
    <w:rsid w:val="00C11C88"/>
    <w:rsid w:val="00C11E33"/>
    <w:rsid w:val="00C12A70"/>
    <w:rsid w:val="00C14633"/>
    <w:rsid w:val="00C16168"/>
    <w:rsid w:val="00C1650C"/>
    <w:rsid w:val="00C16BBA"/>
    <w:rsid w:val="00C21686"/>
    <w:rsid w:val="00C2174E"/>
    <w:rsid w:val="00C21A44"/>
    <w:rsid w:val="00C21B71"/>
    <w:rsid w:val="00C267D4"/>
    <w:rsid w:val="00C26BDC"/>
    <w:rsid w:val="00C27A2A"/>
    <w:rsid w:val="00C27C5E"/>
    <w:rsid w:val="00C27E66"/>
    <w:rsid w:val="00C27EEF"/>
    <w:rsid w:val="00C310E1"/>
    <w:rsid w:val="00C31A6E"/>
    <w:rsid w:val="00C32689"/>
    <w:rsid w:val="00C32AD1"/>
    <w:rsid w:val="00C32CDE"/>
    <w:rsid w:val="00C33E70"/>
    <w:rsid w:val="00C34BC7"/>
    <w:rsid w:val="00C35328"/>
    <w:rsid w:val="00C35837"/>
    <w:rsid w:val="00C36345"/>
    <w:rsid w:val="00C364B7"/>
    <w:rsid w:val="00C36699"/>
    <w:rsid w:val="00C3708D"/>
    <w:rsid w:val="00C374F3"/>
    <w:rsid w:val="00C3783C"/>
    <w:rsid w:val="00C401BD"/>
    <w:rsid w:val="00C407ED"/>
    <w:rsid w:val="00C40E10"/>
    <w:rsid w:val="00C41278"/>
    <w:rsid w:val="00C4146E"/>
    <w:rsid w:val="00C417B6"/>
    <w:rsid w:val="00C41B1E"/>
    <w:rsid w:val="00C422D3"/>
    <w:rsid w:val="00C42442"/>
    <w:rsid w:val="00C42530"/>
    <w:rsid w:val="00C43B53"/>
    <w:rsid w:val="00C43B68"/>
    <w:rsid w:val="00C443BD"/>
    <w:rsid w:val="00C4480A"/>
    <w:rsid w:val="00C44AC5"/>
    <w:rsid w:val="00C44C10"/>
    <w:rsid w:val="00C4587D"/>
    <w:rsid w:val="00C45BDD"/>
    <w:rsid w:val="00C46E6D"/>
    <w:rsid w:val="00C502C8"/>
    <w:rsid w:val="00C5148E"/>
    <w:rsid w:val="00C519D2"/>
    <w:rsid w:val="00C51E13"/>
    <w:rsid w:val="00C528BE"/>
    <w:rsid w:val="00C537D1"/>
    <w:rsid w:val="00C53B1E"/>
    <w:rsid w:val="00C53E63"/>
    <w:rsid w:val="00C5637A"/>
    <w:rsid w:val="00C566AA"/>
    <w:rsid w:val="00C5772D"/>
    <w:rsid w:val="00C57C67"/>
    <w:rsid w:val="00C61A69"/>
    <w:rsid w:val="00C623F1"/>
    <w:rsid w:val="00C62640"/>
    <w:rsid w:val="00C64AA3"/>
    <w:rsid w:val="00C65A7B"/>
    <w:rsid w:val="00C65E5B"/>
    <w:rsid w:val="00C66F58"/>
    <w:rsid w:val="00C70031"/>
    <w:rsid w:val="00C7084C"/>
    <w:rsid w:val="00C7256B"/>
    <w:rsid w:val="00C7265C"/>
    <w:rsid w:val="00C73319"/>
    <w:rsid w:val="00C73466"/>
    <w:rsid w:val="00C73948"/>
    <w:rsid w:val="00C76117"/>
    <w:rsid w:val="00C76A73"/>
    <w:rsid w:val="00C772F1"/>
    <w:rsid w:val="00C80FBB"/>
    <w:rsid w:val="00C81132"/>
    <w:rsid w:val="00C81621"/>
    <w:rsid w:val="00C818D7"/>
    <w:rsid w:val="00C83C56"/>
    <w:rsid w:val="00C83EBF"/>
    <w:rsid w:val="00C845AE"/>
    <w:rsid w:val="00C8506D"/>
    <w:rsid w:val="00C857F7"/>
    <w:rsid w:val="00C86A5A"/>
    <w:rsid w:val="00C871F4"/>
    <w:rsid w:val="00C87783"/>
    <w:rsid w:val="00C901A9"/>
    <w:rsid w:val="00C9057C"/>
    <w:rsid w:val="00C90BCC"/>
    <w:rsid w:val="00C90CD3"/>
    <w:rsid w:val="00C9103C"/>
    <w:rsid w:val="00C916D5"/>
    <w:rsid w:val="00C922ED"/>
    <w:rsid w:val="00C937F0"/>
    <w:rsid w:val="00C93CC4"/>
    <w:rsid w:val="00C93F36"/>
    <w:rsid w:val="00C94E65"/>
    <w:rsid w:val="00C962A3"/>
    <w:rsid w:val="00C972D6"/>
    <w:rsid w:val="00C97A58"/>
    <w:rsid w:val="00C97A70"/>
    <w:rsid w:val="00CA0601"/>
    <w:rsid w:val="00CA0DCB"/>
    <w:rsid w:val="00CA2C3F"/>
    <w:rsid w:val="00CA3501"/>
    <w:rsid w:val="00CA36C0"/>
    <w:rsid w:val="00CA399A"/>
    <w:rsid w:val="00CA477F"/>
    <w:rsid w:val="00CA4A3C"/>
    <w:rsid w:val="00CA538F"/>
    <w:rsid w:val="00CA53BA"/>
    <w:rsid w:val="00CA557F"/>
    <w:rsid w:val="00CA55CB"/>
    <w:rsid w:val="00CA5691"/>
    <w:rsid w:val="00CA656F"/>
    <w:rsid w:val="00CB0F5E"/>
    <w:rsid w:val="00CB2F27"/>
    <w:rsid w:val="00CB371E"/>
    <w:rsid w:val="00CB3F5D"/>
    <w:rsid w:val="00CB3FA6"/>
    <w:rsid w:val="00CB43AA"/>
    <w:rsid w:val="00CB6700"/>
    <w:rsid w:val="00CB6FF7"/>
    <w:rsid w:val="00CC03EA"/>
    <w:rsid w:val="00CC0B83"/>
    <w:rsid w:val="00CC0C9D"/>
    <w:rsid w:val="00CC0E28"/>
    <w:rsid w:val="00CC1A0F"/>
    <w:rsid w:val="00CC2382"/>
    <w:rsid w:val="00CC271B"/>
    <w:rsid w:val="00CC2B98"/>
    <w:rsid w:val="00CC2F6B"/>
    <w:rsid w:val="00CC44FB"/>
    <w:rsid w:val="00CC60E6"/>
    <w:rsid w:val="00CC65BA"/>
    <w:rsid w:val="00CC69DA"/>
    <w:rsid w:val="00CC6C7D"/>
    <w:rsid w:val="00CC6D79"/>
    <w:rsid w:val="00CC6DEE"/>
    <w:rsid w:val="00CC7559"/>
    <w:rsid w:val="00CC7BD7"/>
    <w:rsid w:val="00CD08AE"/>
    <w:rsid w:val="00CD0C57"/>
    <w:rsid w:val="00CD1373"/>
    <w:rsid w:val="00CD156A"/>
    <w:rsid w:val="00CD265F"/>
    <w:rsid w:val="00CD2B35"/>
    <w:rsid w:val="00CD4095"/>
    <w:rsid w:val="00CD4308"/>
    <w:rsid w:val="00CD47BA"/>
    <w:rsid w:val="00CD4C9C"/>
    <w:rsid w:val="00CD4CDC"/>
    <w:rsid w:val="00CD61A6"/>
    <w:rsid w:val="00CD7735"/>
    <w:rsid w:val="00CE026B"/>
    <w:rsid w:val="00CE0A73"/>
    <w:rsid w:val="00CE138C"/>
    <w:rsid w:val="00CE1B51"/>
    <w:rsid w:val="00CE1EBB"/>
    <w:rsid w:val="00CE2719"/>
    <w:rsid w:val="00CE317B"/>
    <w:rsid w:val="00CE4459"/>
    <w:rsid w:val="00CE4FD4"/>
    <w:rsid w:val="00CE52E2"/>
    <w:rsid w:val="00CE5BB7"/>
    <w:rsid w:val="00CE6213"/>
    <w:rsid w:val="00CE665D"/>
    <w:rsid w:val="00CE6E2A"/>
    <w:rsid w:val="00CE78D7"/>
    <w:rsid w:val="00CF04E8"/>
    <w:rsid w:val="00CF1906"/>
    <w:rsid w:val="00CF26F9"/>
    <w:rsid w:val="00CF2E3C"/>
    <w:rsid w:val="00CF3ADB"/>
    <w:rsid w:val="00CF3CBC"/>
    <w:rsid w:val="00CF4BFE"/>
    <w:rsid w:val="00CF5A31"/>
    <w:rsid w:val="00CF6428"/>
    <w:rsid w:val="00D003A1"/>
    <w:rsid w:val="00D00695"/>
    <w:rsid w:val="00D017D1"/>
    <w:rsid w:val="00D01F14"/>
    <w:rsid w:val="00D02676"/>
    <w:rsid w:val="00D026DD"/>
    <w:rsid w:val="00D0291E"/>
    <w:rsid w:val="00D033E6"/>
    <w:rsid w:val="00D03AC7"/>
    <w:rsid w:val="00D03DFA"/>
    <w:rsid w:val="00D04216"/>
    <w:rsid w:val="00D0434C"/>
    <w:rsid w:val="00D04CE0"/>
    <w:rsid w:val="00D05EF2"/>
    <w:rsid w:val="00D0607D"/>
    <w:rsid w:val="00D061F9"/>
    <w:rsid w:val="00D06BAA"/>
    <w:rsid w:val="00D07077"/>
    <w:rsid w:val="00D07740"/>
    <w:rsid w:val="00D079F5"/>
    <w:rsid w:val="00D1010F"/>
    <w:rsid w:val="00D1024D"/>
    <w:rsid w:val="00D10389"/>
    <w:rsid w:val="00D112F8"/>
    <w:rsid w:val="00D115DF"/>
    <w:rsid w:val="00D11B25"/>
    <w:rsid w:val="00D11DAE"/>
    <w:rsid w:val="00D1207A"/>
    <w:rsid w:val="00D12AB6"/>
    <w:rsid w:val="00D12EB0"/>
    <w:rsid w:val="00D13A32"/>
    <w:rsid w:val="00D13D1D"/>
    <w:rsid w:val="00D14C05"/>
    <w:rsid w:val="00D15B6D"/>
    <w:rsid w:val="00D15E10"/>
    <w:rsid w:val="00D15F0A"/>
    <w:rsid w:val="00D1725B"/>
    <w:rsid w:val="00D179AA"/>
    <w:rsid w:val="00D179AE"/>
    <w:rsid w:val="00D17C27"/>
    <w:rsid w:val="00D17DB0"/>
    <w:rsid w:val="00D20DA1"/>
    <w:rsid w:val="00D22108"/>
    <w:rsid w:val="00D24DB3"/>
    <w:rsid w:val="00D25C5E"/>
    <w:rsid w:val="00D25DD6"/>
    <w:rsid w:val="00D25F54"/>
    <w:rsid w:val="00D2719B"/>
    <w:rsid w:val="00D34FAF"/>
    <w:rsid w:val="00D351B1"/>
    <w:rsid w:val="00D3593B"/>
    <w:rsid w:val="00D3621C"/>
    <w:rsid w:val="00D364C9"/>
    <w:rsid w:val="00D372B0"/>
    <w:rsid w:val="00D4068A"/>
    <w:rsid w:val="00D40750"/>
    <w:rsid w:val="00D40F1A"/>
    <w:rsid w:val="00D41FC1"/>
    <w:rsid w:val="00D42DD4"/>
    <w:rsid w:val="00D43EEC"/>
    <w:rsid w:val="00D441C2"/>
    <w:rsid w:val="00D443D4"/>
    <w:rsid w:val="00D44749"/>
    <w:rsid w:val="00D449EC"/>
    <w:rsid w:val="00D450AA"/>
    <w:rsid w:val="00D45203"/>
    <w:rsid w:val="00D45587"/>
    <w:rsid w:val="00D45919"/>
    <w:rsid w:val="00D5004A"/>
    <w:rsid w:val="00D50071"/>
    <w:rsid w:val="00D50A3B"/>
    <w:rsid w:val="00D5105C"/>
    <w:rsid w:val="00D510B2"/>
    <w:rsid w:val="00D51C11"/>
    <w:rsid w:val="00D5287B"/>
    <w:rsid w:val="00D53313"/>
    <w:rsid w:val="00D53603"/>
    <w:rsid w:val="00D53D8C"/>
    <w:rsid w:val="00D541C1"/>
    <w:rsid w:val="00D542C6"/>
    <w:rsid w:val="00D544DA"/>
    <w:rsid w:val="00D5472B"/>
    <w:rsid w:val="00D552A4"/>
    <w:rsid w:val="00D5577A"/>
    <w:rsid w:val="00D56D5A"/>
    <w:rsid w:val="00D56EA3"/>
    <w:rsid w:val="00D57489"/>
    <w:rsid w:val="00D57D5A"/>
    <w:rsid w:val="00D60527"/>
    <w:rsid w:val="00D60CFD"/>
    <w:rsid w:val="00D614B7"/>
    <w:rsid w:val="00D614FF"/>
    <w:rsid w:val="00D619BC"/>
    <w:rsid w:val="00D6209E"/>
    <w:rsid w:val="00D62ED1"/>
    <w:rsid w:val="00D632BA"/>
    <w:rsid w:val="00D652AF"/>
    <w:rsid w:val="00D656F0"/>
    <w:rsid w:val="00D66B1E"/>
    <w:rsid w:val="00D66EE7"/>
    <w:rsid w:val="00D67C16"/>
    <w:rsid w:val="00D70810"/>
    <w:rsid w:val="00D7170A"/>
    <w:rsid w:val="00D71A02"/>
    <w:rsid w:val="00D71D22"/>
    <w:rsid w:val="00D71FF6"/>
    <w:rsid w:val="00D7295E"/>
    <w:rsid w:val="00D72A82"/>
    <w:rsid w:val="00D72D4B"/>
    <w:rsid w:val="00D7316E"/>
    <w:rsid w:val="00D74127"/>
    <w:rsid w:val="00D74AF1"/>
    <w:rsid w:val="00D753DF"/>
    <w:rsid w:val="00D754DC"/>
    <w:rsid w:val="00D75C44"/>
    <w:rsid w:val="00D75D57"/>
    <w:rsid w:val="00D76623"/>
    <w:rsid w:val="00D76C20"/>
    <w:rsid w:val="00D772C6"/>
    <w:rsid w:val="00D80656"/>
    <w:rsid w:val="00D8151F"/>
    <w:rsid w:val="00D817F3"/>
    <w:rsid w:val="00D8224C"/>
    <w:rsid w:val="00D822C8"/>
    <w:rsid w:val="00D82805"/>
    <w:rsid w:val="00D82BC7"/>
    <w:rsid w:val="00D83017"/>
    <w:rsid w:val="00D83505"/>
    <w:rsid w:val="00D8370B"/>
    <w:rsid w:val="00D84298"/>
    <w:rsid w:val="00D84816"/>
    <w:rsid w:val="00D85666"/>
    <w:rsid w:val="00D86996"/>
    <w:rsid w:val="00D86A96"/>
    <w:rsid w:val="00D8713D"/>
    <w:rsid w:val="00D87DD4"/>
    <w:rsid w:val="00D912A8"/>
    <w:rsid w:val="00D918C1"/>
    <w:rsid w:val="00D923E7"/>
    <w:rsid w:val="00D92E1F"/>
    <w:rsid w:val="00D96E4F"/>
    <w:rsid w:val="00D97938"/>
    <w:rsid w:val="00DA007C"/>
    <w:rsid w:val="00DA0A71"/>
    <w:rsid w:val="00DA1FD7"/>
    <w:rsid w:val="00DA24AB"/>
    <w:rsid w:val="00DA2AFB"/>
    <w:rsid w:val="00DA332E"/>
    <w:rsid w:val="00DA3774"/>
    <w:rsid w:val="00DA4A7F"/>
    <w:rsid w:val="00DA5BA0"/>
    <w:rsid w:val="00DA5C6C"/>
    <w:rsid w:val="00DA61AC"/>
    <w:rsid w:val="00DA7B87"/>
    <w:rsid w:val="00DB0049"/>
    <w:rsid w:val="00DB153A"/>
    <w:rsid w:val="00DB1B12"/>
    <w:rsid w:val="00DB1DF4"/>
    <w:rsid w:val="00DB37F6"/>
    <w:rsid w:val="00DB45C0"/>
    <w:rsid w:val="00DB4A92"/>
    <w:rsid w:val="00DB607B"/>
    <w:rsid w:val="00DB641D"/>
    <w:rsid w:val="00DB6495"/>
    <w:rsid w:val="00DB650A"/>
    <w:rsid w:val="00DB7230"/>
    <w:rsid w:val="00DB7664"/>
    <w:rsid w:val="00DB771C"/>
    <w:rsid w:val="00DB7CB3"/>
    <w:rsid w:val="00DB7EDC"/>
    <w:rsid w:val="00DC05D7"/>
    <w:rsid w:val="00DC0D78"/>
    <w:rsid w:val="00DC1715"/>
    <w:rsid w:val="00DC2CE1"/>
    <w:rsid w:val="00DC5367"/>
    <w:rsid w:val="00DC6983"/>
    <w:rsid w:val="00DC6BF9"/>
    <w:rsid w:val="00DC748B"/>
    <w:rsid w:val="00DD26FD"/>
    <w:rsid w:val="00DD2CC2"/>
    <w:rsid w:val="00DD30C8"/>
    <w:rsid w:val="00DD672C"/>
    <w:rsid w:val="00DD7765"/>
    <w:rsid w:val="00DD7CA1"/>
    <w:rsid w:val="00DE06A5"/>
    <w:rsid w:val="00DE0A07"/>
    <w:rsid w:val="00DE1EB5"/>
    <w:rsid w:val="00DE2DED"/>
    <w:rsid w:val="00DE34DA"/>
    <w:rsid w:val="00DE40D0"/>
    <w:rsid w:val="00DE43D8"/>
    <w:rsid w:val="00DE4742"/>
    <w:rsid w:val="00DE4B6E"/>
    <w:rsid w:val="00DE50E1"/>
    <w:rsid w:val="00DE5517"/>
    <w:rsid w:val="00DE5669"/>
    <w:rsid w:val="00DE57CE"/>
    <w:rsid w:val="00DE57E5"/>
    <w:rsid w:val="00DE59A3"/>
    <w:rsid w:val="00DE6258"/>
    <w:rsid w:val="00DE6C5E"/>
    <w:rsid w:val="00DF0297"/>
    <w:rsid w:val="00DF02E2"/>
    <w:rsid w:val="00DF0CBA"/>
    <w:rsid w:val="00DF0CD5"/>
    <w:rsid w:val="00DF107D"/>
    <w:rsid w:val="00DF21C0"/>
    <w:rsid w:val="00DF25D6"/>
    <w:rsid w:val="00DF3386"/>
    <w:rsid w:val="00DF3CC2"/>
    <w:rsid w:val="00DF50DC"/>
    <w:rsid w:val="00DF650D"/>
    <w:rsid w:val="00DF7B2B"/>
    <w:rsid w:val="00E00E99"/>
    <w:rsid w:val="00E019B5"/>
    <w:rsid w:val="00E0212F"/>
    <w:rsid w:val="00E02187"/>
    <w:rsid w:val="00E0326E"/>
    <w:rsid w:val="00E03AA4"/>
    <w:rsid w:val="00E03E04"/>
    <w:rsid w:val="00E03E7C"/>
    <w:rsid w:val="00E03F75"/>
    <w:rsid w:val="00E04413"/>
    <w:rsid w:val="00E0570B"/>
    <w:rsid w:val="00E0732F"/>
    <w:rsid w:val="00E07413"/>
    <w:rsid w:val="00E07510"/>
    <w:rsid w:val="00E07520"/>
    <w:rsid w:val="00E10029"/>
    <w:rsid w:val="00E101D6"/>
    <w:rsid w:val="00E11F73"/>
    <w:rsid w:val="00E12BD2"/>
    <w:rsid w:val="00E136B7"/>
    <w:rsid w:val="00E1374F"/>
    <w:rsid w:val="00E13E82"/>
    <w:rsid w:val="00E14682"/>
    <w:rsid w:val="00E16167"/>
    <w:rsid w:val="00E17CF8"/>
    <w:rsid w:val="00E2048F"/>
    <w:rsid w:val="00E20494"/>
    <w:rsid w:val="00E212EC"/>
    <w:rsid w:val="00E21460"/>
    <w:rsid w:val="00E21761"/>
    <w:rsid w:val="00E224D6"/>
    <w:rsid w:val="00E22A07"/>
    <w:rsid w:val="00E22F45"/>
    <w:rsid w:val="00E231EE"/>
    <w:rsid w:val="00E24939"/>
    <w:rsid w:val="00E2505A"/>
    <w:rsid w:val="00E27D5A"/>
    <w:rsid w:val="00E3046F"/>
    <w:rsid w:val="00E307DA"/>
    <w:rsid w:val="00E30A73"/>
    <w:rsid w:val="00E30C83"/>
    <w:rsid w:val="00E317CC"/>
    <w:rsid w:val="00E3188C"/>
    <w:rsid w:val="00E31ED7"/>
    <w:rsid w:val="00E33234"/>
    <w:rsid w:val="00E34E00"/>
    <w:rsid w:val="00E35BB3"/>
    <w:rsid w:val="00E35C5A"/>
    <w:rsid w:val="00E36025"/>
    <w:rsid w:val="00E36494"/>
    <w:rsid w:val="00E36A44"/>
    <w:rsid w:val="00E36D9F"/>
    <w:rsid w:val="00E3723B"/>
    <w:rsid w:val="00E375FC"/>
    <w:rsid w:val="00E40BD9"/>
    <w:rsid w:val="00E41A38"/>
    <w:rsid w:val="00E41C82"/>
    <w:rsid w:val="00E421BD"/>
    <w:rsid w:val="00E42211"/>
    <w:rsid w:val="00E42487"/>
    <w:rsid w:val="00E4292A"/>
    <w:rsid w:val="00E431C9"/>
    <w:rsid w:val="00E433BE"/>
    <w:rsid w:val="00E434B7"/>
    <w:rsid w:val="00E43523"/>
    <w:rsid w:val="00E439FA"/>
    <w:rsid w:val="00E44732"/>
    <w:rsid w:val="00E44788"/>
    <w:rsid w:val="00E4487E"/>
    <w:rsid w:val="00E44D20"/>
    <w:rsid w:val="00E456C2"/>
    <w:rsid w:val="00E45B40"/>
    <w:rsid w:val="00E45C88"/>
    <w:rsid w:val="00E469C2"/>
    <w:rsid w:val="00E46BE0"/>
    <w:rsid w:val="00E46FDA"/>
    <w:rsid w:val="00E5001E"/>
    <w:rsid w:val="00E50D08"/>
    <w:rsid w:val="00E50F0E"/>
    <w:rsid w:val="00E5210D"/>
    <w:rsid w:val="00E53FB7"/>
    <w:rsid w:val="00E548C7"/>
    <w:rsid w:val="00E5796D"/>
    <w:rsid w:val="00E6002B"/>
    <w:rsid w:val="00E60252"/>
    <w:rsid w:val="00E60C53"/>
    <w:rsid w:val="00E6203E"/>
    <w:rsid w:val="00E62E48"/>
    <w:rsid w:val="00E648FB"/>
    <w:rsid w:val="00E64A54"/>
    <w:rsid w:val="00E64BB8"/>
    <w:rsid w:val="00E66431"/>
    <w:rsid w:val="00E6647D"/>
    <w:rsid w:val="00E66563"/>
    <w:rsid w:val="00E66869"/>
    <w:rsid w:val="00E675C6"/>
    <w:rsid w:val="00E67E07"/>
    <w:rsid w:val="00E7043D"/>
    <w:rsid w:val="00E729DA"/>
    <w:rsid w:val="00E72DC2"/>
    <w:rsid w:val="00E742D1"/>
    <w:rsid w:val="00E749FB"/>
    <w:rsid w:val="00E74CBD"/>
    <w:rsid w:val="00E75704"/>
    <w:rsid w:val="00E75E3E"/>
    <w:rsid w:val="00E75E55"/>
    <w:rsid w:val="00E76022"/>
    <w:rsid w:val="00E77215"/>
    <w:rsid w:val="00E779D3"/>
    <w:rsid w:val="00E77F9B"/>
    <w:rsid w:val="00E80B49"/>
    <w:rsid w:val="00E80F04"/>
    <w:rsid w:val="00E8161F"/>
    <w:rsid w:val="00E8167D"/>
    <w:rsid w:val="00E81D0E"/>
    <w:rsid w:val="00E81E53"/>
    <w:rsid w:val="00E82D5A"/>
    <w:rsid w:val="00E83AAB"/>
    <w:rsid w:val="00E84B3B"/>
    <w:rsid w:val="00E84C57"/>
    <w:rsid w:val="00E84C74"/>
    <w:rsid w:val="00E84D69"/>
    <w:rsid w:val="00E84E79"/>
    <w:rsid w:val="00E850CE"/>
    <w:rsid w:val="00E8684F"/>
    <w:rsid w:val="00E86D8B"/>
    <w:rsid w:val="00E87C8D"/>
    <w:rsid w:val="00E908E9"/>
    <w:rsid w:val="00E91702"/>
    <w:rsid w:val="00E932E1"/>
    <w:rsid w:val="00E9339C"/>
    <w:rsid w:val="00E93E9D"/>
    <w:rsid w:val="00E9440B"/>
    <w:rsid w:val="00E947AC"/>
    <w:rsid w:val="00E9567A"/>
    <w:rsid w:val="00E96247"/>
    <w:rsid w:val="00E965E9"/>
    <w:rsid w:val="00E97D94"/>
    <w:rsid w:val="00EA0197"/>
    <w:rsid w:val="00EA0428"/>
    <w:rsid w:val="00EA0E5F"/>
    <w:rsid w:val="00EA2505"/>
    <w:rsid w:val="00EA3925"/>
    <w:rsid w:val="00EA3B3D"/>
    <w:rsid w:val="00EA50ED"/>
    <w:rsid w:val="00EA6298"/>
    <w:rsid w:val="00EA6FC1"/>
    <w:rsid w:val="00EA7592"/>
    <w:rsid w:val="00EA7FE5"/>
    <w:rsid w:val="00EB0189"/>
    <w:rsid w:val="00EB0492"/>
    <w:rsid w:val="00EB18DA"/>
    <w:rsid w:val="00EB3083"/>
    <w:rsid w:val="00EB3253"/>
    <w:rsid w:val="00EB3815"/>
    <w:rsid w:val="00EB40B1"/>
    <w:rsid w:val="00EB59E9"/>
    <w:rsid w:val="00EB69BF"/>
    <w:rsid w:val="00EB6B43"/>
    <w:rsid w:val="00EB7A9F"/>
    <w:rsid w:val="00EC2339"/>
    <w:rsid w:val="00EC2BAE"/>
    <w:rsid w:val="00EC30E0"/>
    <w:rsid w:val="00EC40A5"/>
    <w:rsid w:val="00EC5BF3"/>
    <w:rsid w:val="00EC5DE5"/>
    <w:rsid w:val="00EC6FB2"/>
    <w:rsid w:val="00EC7270"/>
    <w:rsid w:val="00EC7662"/>
    <w:rsid w:val="00EC7AEC"/>
    <w:rsid w:val="00EC7E0A"/>
    <w:rsid w:val="00ED03CA"/>
    <w:rsid w:val="00ED0B9B"/>
    <w:rsid w:val="00ED12EE"/>
    <w:rsid w:val="00ED139C"/>
    <w:rsid w:val="00ED1424"/>
    <w:rsid w:val="00ED219A"/>
    <w:rsid w:val="00ED272E"/>
    <w:rsid w:val="00ED279A"/>
    <w:rsid w:val="00ED3A55"/>
    <w:rsid w:val="00ED4382"/>
    <w:rsid w:val="00ED50EE"/>
    <w:rsid w:val="00ED642A"/>
    <w:rsid w:val="00ED7349"/>
    <w:rsid w:val="00ED73ED"/>
    <w:rsid w:val="00EE02D8"/>
    <w:rsid w:val="00EE09D2"/>
    <w:rsid w:val="00EE1962"/>
    <w:rsid w:val="00EE1A99"/>
    <w:rsid w:val="00EE20DA"/>
    <w:rsid w:val="00EE33B7"/>
    <w:rsid w:val="00EE60AF"/>
    <w:rsid w:val="00EE6414"/>
    <w:rsid w:val="00EE6B29"/>
    <w:rsid w:val="00EE7AA4"/>
    <w:rsid w:val="00EF0139"/>
    <w:rsid w:val="00EF0BD7"/>
    <w:rsid w:val="00EF1A19"/>
    <w:rsid w:val="00EF1AAA"/>
    <w:rsid w:val="00EF1E5A"/>
    <w:rsid w:val="00EF2298"/>
    <w:rsid w:val="00EF291E"/>
    <w:rsid w:val="00EF2EE3"/>
    <w:rsid w:val="00EF3196"/>
    <w:rsid w:val="00EF39D9"/>
    <w:rsid w:val="00EF3B1E"/>
    <w:rsid w:val="00EF3F03"/>
    <w:rsid w:val="00EF489F"/>
    <w:rsid w:val="00EF49A1"/>
    <w:rsid w:val="00EF4CAF"/>
    <w:rsid w:val="00EF64D2"/>
    <w:rsid w:val="00F02A26"/>
    <w:rsid w:val="00F031E6"/>
    <w:rsid w:val="00F03C64"/>
    <w:rsid w:val="00F055F6"/>
    <w:rsid w:val="00F05684"/>
    <w:rsid w:val="00F056A6"/>
    <w:rsid w:val="00F06473"/>
    <w:rsid w:val="00F1035D"/>
    <w:rsid w:val="00F11289"/>
    <w:rsid w:val="00F11371"/>
    <w:rsid w:val="00F113A9"/>
    <w:rsid w:val="00F11996"/>
    <w:rsid w:val="00F12CC4"/>
    <w:rsid w:val="00F13095"/>
    <w:rsid w:val="00F13DD4"/>
    <w:rsid w:val="00F147F1"/>
    <w:rsid w:val="00F14DBA"/>
    <w:rsid w:val="00F1572D"/>
    <w:rsid w:val="00F15F0F"/>
    <w:rsid w:val="00F171CF"/>
    <w:rsid w:val="00F17F5E"/>
    <w:rsid w:val="00F208EF"/>
    <w:rsid w:val="00F20A37"/>
    <w:rsid w:val="00F2241A"/>
    <w:rsid w:val="00F22ED7"/>
    <w:rsid w:val="00F234C8"/>
    <w:rsid w:val="00F234F5"/>
    <w:rsid w:val="00F23D33"/>
    <w:rsid w:val="00F2506B"/>
    <w:rsid w:val="00F25CDE"/>
    <w:rsid w:val="00F26E49"/>
    <w:rsid w:val="00F26F13"/>
    <w:rsid w:val="00F314EB"/>
    <w:rsid w:val="00F31DA3"/>
    <w:rsid w:val="00F31EDC"/>
    <w:rsid w:val="00F31F58"/>
    <w:rsid w:val="00F32022"/>
    <w:rsid w:val="00F327E6"/>
    <w:rsid w:val="00F32D22"/>
    <w:rsid w:val="00F335D7"/>
    <w:rsid w:val="00F33A69"/>
    <w:rsid w:val="00F34463"/>
    <w:rsid w:val="00F356F4"/>
    <w:rsid w:val="00F35857"/>
    <w:rsid w:val="00F36725"/>
    <w:rsid w:val="00F36BF4"/>
    <w:rsid w:val="00F4262C"/>
    <w:rsid w:val="00F428B9"/>
    <w:rsid w:val="00F42ECA"/>
    <w:rsid w:val="00F430D7"/>
    <w:rsid w:val="00F4322F"/>
    <w:rsid w:val="00F4417D"/>
    <w:rsid w:val="00F44A50"/>
    <w:rsid w:val="00F452D0"/>
    <w:rsid w:val="00F45828"/>
    <w:rsid w:val="00F458A9"/>
    <w:rsid w:val="00F458D7"/>
    <w:rsid w:val="00F45E83"/>
    <w:rsid w:val="00F46332"/>
    <w:rsid w:val="00F46B1E"/>
    <w:rsid w:val="00F4711F"/>
    <w:rsid w:val="00F4715F"/>
    <w:rsid w:val="00F5033A"/>
    <w:rsid w:val="00F50539"/>
    <w:rsid w:val="00F50C4F"/>
    <w:rsid w:val="00F5182D"/>
    <w:rsid w:val="00F51FF9"/>
    <w:rsid w:val="00F539C6"/>
    <w:rsid w:val="00F53AD9"/>
    <w:rsid w:val="00F53B9E"/>
    <w:rsid w:val="00F53E0E"/>
    <w:rsid w:val="00F546D1"/>
    <w:rsid w:val="00F54FC0"/>
    <w:rsid w:val="00F55796"/>
    <w:rsid w:val="00F5771F"/>
    <w:rsid w:val="00F579D6"/>
    <w:rsid w:val="00F57A0B"/>
    <w:rsid w:val="00F57DDB"/>
    <w:rsid w:val="00F60A13"/>
    <w:rsid w:val="00F612C9"/>
    <w:rsid w:val="00F61DB0"/>
    <w:rsid w:val="00F6282F"/>
    <w:rsid w:val="00F62D8C"/>
    <w:rsid w:val="00F63085"/>
    <w:rsid w:val="00F631DB"/>
    <w:rsid w:val="00F638C8"/>
    <w:rsid w:val="00F63D7A"/>
    <w:rsid w:val="00F645C9"/>
    <w:rsid w:val="00F64D2D"/>
    <w:rsid w:val="00F651A3"/>
    <w:rsid w:val="00F65A0F"/>
    <w:rsid w:val="00F65EB2"/>
    <w:rsid w:val="00F660DB"/>
    <w:rsid w:val="00F66126"/>
    <w:rsid w:val="00F664D5"/>
    <w:rsid w:val="00F676B3"/>
    <w:rsid w:val="00F67854"/>
    <w:rsid w:val="00F67F86"/>
    <w:rsid w:val="00F67FAC"/>
    <w:rsid w:val="00F7067D"/>
    <w:rsid w:val="00F708D5"/>
    <w:rsid w:val="00F70F43"/>
    <w:rsid w:val="00F71D9D"/>
    <w:rsid w:val="00F72243"/>
    <w:rsid w:val="00F74EA5"/>
    <w:rsid w:val="00F74FE1"/>
    <w:rsid w:val="00F75225"/>
    <w:rsid w:val="00F76864"/>
    <w:rsid w:val="00F76946"/>
    <w:rsid w:val="00F76DB8"/>
    <w:rsid w:val="00F80ED6"/>
    <w:rsid w:val="00F81000"/>
    <w:rsid w:val="00F81C59"/>
    <w:rsid w:val="00F82429"/>
    <w:rsid w:val="00F8380F"/>
    <w:rsid w:val="00F8492A"/>
    <w:rsid w:val="00F849A9"/>
    <w:rsid w:val="00F84C87"/>
    <w:rsid w:val="00F85568"/>
    <w:rsid w:val="00F87A7F"/>
    <w:rsid w:val="00F90647"/>
    <w:rsid w:val="00F908C0"/>
    <w:rsid w:val="00F908F4"/>
    <w:rsid w:val="00F91897"/>
    <w:rsid w:val="00F91CE8"/>
    <w:rsid w:val="00F929D5"/>
    <w:rsid w:val="00F933A3"/>
    <w:rsid w:val="00F9344D"/>
    <w:rsid w:val="00F93DC5"/>
    <w:rsid w:val="00F941DE"/>
    <w:rsid w:val="00F94308"/>
    <w:rsid w:val="00F950AE"/>
    <w:rsid w:val="00F957AB"/>
    <w:rsid w:val="00F96084"/>
    <w:rsid w:val="00F965E0"/>
    <w:rsid w:val="00F9713A"/>
    <w:rsid w:val="00F972D8"/>
    <w:rsid w:val="00F977EF"/>
    <w:rsid w:val="00FA2FA8"/>
    <w:rsid w:val="00FA42CE"/>
    <w:rsid w:val="00FA596B"/>
    <w:rsid w:val="00FB14B5"/>
    <w:rsid w:val="00FB1818"/>
    <w:rsid w:val="00FB181B"/>
    <w:rsid w:val="00FB19F1"/>
    <w:rsid w:val="00FB2903"/>
    <w:rsid w:val="00FB2C8E"/>
    <w:rsid w:val="00FB2CFB"/>
    <w:rsid w:val="00FB3782"/>
    <w:rsid w:val="00FB37D0"/>
    <w:rsid w:val="00FB3EB8"/>
    <w:rsid w:val="00FB3F78"/>
    <w:rsid w:val="00FB47F6"/>
    <w:rsid w:val="00FB4FCF"/>
    <w:rsid w:val="00FB5AFD"/>
    <w:rsid w:val="00FB6C30"/>
    <w:rsid w:val="00FB7F93"/>
    <w:rsid w:val="00FC056C"/>
    <w:rsid w:val="00FC0C91"/>
    <w:rsid w:val="00FC295F"/>
    <w:rsid w:val="00FC3442"/>
    <w:rsid w:val="00FC3D20"/>
    <w:rsid w:val="00FC6C56"/>
    <w:rsid w:val="00FC6E44"/>
    <w:rsid w:val="00FD0990"/>
    <w:rsid w:val="00FD40A8"/>
    <w:rsid w:val="00FD4A66"/>
    <w:rsid w:val="00FD4CFB"/>
    <w:rsid w:val="00FD5718"/>
    <w:rsid w:val="00FD5C47"/>
    <w:rsid w:val="00FD5C88"/>
    <w:rsid w:val="00FD628F"/>
    <w:rsid w:val="00FD6C2A"/>
    <w:rsid w:val="00FE0B57"/>
    <w:rsid w:val="00FE0CA0"/>
    <w:rsid w:val="00FE10A0"/>
    <w:rsid w:val="00FE13F2"/>
    <w:rsid w:val="00FE1E0E"/>
    <w:rsid w:val="00FE2516"/>
    <w:rsid w:val="00FE2BF9"/>
    <w:rsid w:val="00FE399C"/>
    <w:rsid w:val="00FE40B4"/>
    <w:rsid w:val="00FE40F2"/>
    <w:rsid w:val="00FE477D"/>
    <w:rsid w:val="00FE4DA2"/>
    <w:rsid w:val="00FE50A1"/>
    <w:rsid w:val="00FE5388"/>
    <w:rsid w:val="00FE6840"/>
    <w:rsid w:val="00FE6F51"/>
    <w:rsid w:val="00FE79A8"/>
    <w:rsid w:val="00FE7CAD"/>
    <w:rsid w:val="00FF0EB2"/>
    <w:rsid w:val="00FF1944"/>
    <w:rsid w:val="00FF1E33"/>
    <w:rsid w:val="00FF1E34"/>
    <w:rsid w:val="00FF21AE"/>
    <w:rsid w:val="00FF23B4"/>
    <w:rsid w:val="00FF2789"/>
    <w:rsid w:val="00FF28E9"/>
    <w:rsid w:val="00FF4201"/>
    <w:rsid w:val="00FF426B"/>
    <w:rsid w:val="00FF4784"/>
    <w:rsid w:val="00FF48D2"/>
    <w:rsid w:val="00FF5657"/>
    <w:rsid w:val="00FF62BE"/>
    <w:rsid w:val="00FF663A"/>
    <w:rsid w:val="00FF6D61"/>
    <w:rsid w:val="00FF70AB"/>
    <w:rsid w:val="00FF743B"/>
    <w:rsid w:val="00FF7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DA92B"/>
  <w15:chartTrackingRefBased/>
  <w15:docId w15:val="{BE637136-5FC6-4980-B7C2-FD5EB42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7F"/>
    <w:rPr>
      <w:sz w:val="28"/>
      <w:szCs w:val="22"/>
      <w:lang w:eastAsia="en-US"/>
    </w:rPr>
  </w:style>
  <w:style w:type="paragraph" w:styleId="Heading1">
    <w:name w:val="heading 1"/>
    <w:basedOn w:val="Normal"/>
    <w:next w:val="Normal"/>
    <w:link w:val="Heading1Char"/>
    <w:uiPriority w:val="9"/>
    <w:qFormat/>
    <w:rsid w:val="006F0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iPriority w:val="99"/>
    <w:unhideWhenUsed/>
    <w:rsid w:val="00B70481"/>
    <w:pPr>
      <w:tabs>
        <w:tab w:val="center" w:pos="4153"/>
        <w:tab w:val="right" w:pos="8306"/>
      </w:tabs>
    </w:pPr>
  </w:style>
  <w:style w:type="character" w:customStyle="1" w:styleId="FooterChar">
    <w:name w:val="Footer Char"/>
    <w:basedOn w:val="DefaultParagraphFont"/>
    <w:link w:val="Footer"/>
    <w:uiPriority w:val="99"/>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
      </w:numPr>
    </w:pPr>
  </w:style>
  <w:style w:type="paragraph" w:styleId="ListParagraph">
    <w:name w:val="List Paragraph"/>
    <w:aliases w:val="2,Akapit z listą BS,H&amp;P List Paragraph,Strip"/>
    <w:basedOn w:val="Normal"/>
    <w:link w:val="ListParagraphChar"/>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paragraph" w:customStyle="1" w:styleId="tv2133">
    <w:name w:val="tv2133"/>
    <w:basedOn w:val="Normal"/>
    <w:rsid w:val="00A65B79"/>
    <w:pPr>
      <w:spacing w:line="360" w:lineRule="auto"/>
      <w:ind w:firstLine="300"/>
    </w:pPr>
    <w:rPr>
      <w:rFonts w:eastAsia="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rsid w:val="00F81000"/>
    <w:rPr>
      <w:rFonts w:ascii="Calibri" w:hAnsi="Calibri"/>
      <w:sz w:val="22"/>
      <w:szCs w:val="22"/>
      <w:lang w:eastAsia="en-US"/>
    </w:rPr>
  </w:style>
  <w:style w:type="character" w:customStyle="1" w:styleId="Bodytext">
    <w:name w:val="Body text_"/>
    <w:basedOn w:val="DefaultParagraphFont"/>
    <w:link w:val="BodyText20"/>
    <w:rsid w:val="00A16854"/>
    <w:rPr>
      <w:rFonts w:ascii="Calibri" w:hAnsi="Calibri" w:cs="Calibri"/>
      <w:sz w:val="19"/>
      <w:szCs w:val="19"/>
      <w:shd w:val="clear" w:color="auto" w:fill="FFFFFF"/>
    </w:rPr>
  </w:style>
  <w:style w:type="character" w:customStyle="1" w:styleId="Bodytext4">
    <w:name w:val="Body text (4)_"/>
    <w:basedOn w:val="DefaultParagraphFont"/>
    <w:link w:val="Bodytext40"/>
    <w:rsid w:val="00A16854"/>
    <w:rPr>
      <w:rFonts w:ascii="Calibri" w:hAnsi="Calibri" w:cs="Calibri"/>
      <w:b/>
      <w:bCs/>
      <w:sz w:val="19"/>
      <w:szCs w:val="19"/>
      <w:shd w:val="clear" w:color="auto" w:fill="FFFFFF"/>
    </w:rPr>
  </w:style>
  <w:style w:type="character" w:customStyle="1" w:styleId="BodytextBold">
    <w:name w:val="Body text + Bold"/>
    <w:basedOn w:val="Bodytext"/>
    <w:rsid w:val="00A16854"/>
    <w:rPr>
      <w:rFonts w:ascii="Calibri" w:hAnsi="Calibri" w:cs="Calibri"/>
      <w:b/>
      <w:bCs/>
      <w:color w:val="000000"/>
      <w:spacing w:val="0"/>
      <w:w w:val="100"/>
      <w:position w:val="0"/>
      <w:sz w:val="19"/>
      <w:szCs w:val="19"/>
      <w:shd w:val="clear" w:color="auto" w:fill="FFFFFF"/>
      <w:lang w:val="lv-LV" w:eastAsia="lv-LV" w:bidi="lv-LV"/>
    </w:rPr>
  </w:style>
  <w:style w:type="paragraph" w:customStyle="1" w:styleId="BodyText20">
    <w:name w:val="Body Text2"/>
    <w:basedOn w:val="Normal"/>
    <w:link w:val="Bodytext"/>
    <w:rsid w:val="00A16854"/>
    <w:pPr>
      <w:widowControl w:val="0"/>
      <w:shd w:val="clear" w:color="auto" w:fill="FFFFFF"/>
      <w:spacing w:before="1320" w:line="0" w:lineRule="atLeast"/>
    </w:pPr>
    <w:rPr>
      <w:rFonts w:ascii="Calibri" w:hAnsi="Calibri" w:cs="Calibri"/>
      <w:sz w:val="19"/>
      <w:szCs w:val="19"/>
      <w:lang w:eastAsia="lv-LV"/>
    </w:rPr>
  </w:style>
  <w:style w:type="paragraph" w:customStyle="1" w:styleId="Bodytext40">
    <w:name w:val="Body text (4)"/>
    <w:basedOn w:val="Normal"/>
    <w:link w:val="Bodytext4"/>
    <w:rsid w:val="00A16854"/>
    <w:pPr>
      <w:widowControl w:val="0"/>
      <w:shd w:val="clear" w:color="auto" w:fill="FFFFFF"/>
      <w:spacing w:after="480" w:line="264" w:lineRule="exact"/>
      <w:jc w:val="right"/>
    </w:pPr>
    <w:rPr>
      <w:rFonts w:ascii="Calibri" w:hAnsi="Calibri" w:cs="Calibri"/>
      <w:b/>
      <w:bCs/>
      <w:sz w:val="19"/>
      <w:szCs w:val="19"/>
      <w:lang w:eastAsia="lv-LV"/>
    </w:rPr>
  </w:style>
  <w:style w:type="paragraph" w:customStyle="1" w:styleId="tv2132">
    <w:name w:val="tv2132"/>
    <w:basedOn w:val="Normal"/>
    <w:rsid w:val="00781385"/>
    <w:pPr>
      <w:spacing w:line="360" w:lineRule="auto"/>
      <w:ind w:firstLine="300"/>
    </w:pPr>
    <w:rPr>
      <w:rFonts w:eastAsia="Times New Roman"/>
      <w:color w:val="414142"/>
      <w:sz w:val="20"/>
      <w:szCs w:val="20"/>
      <w:lang w:eastAsia="lv-LV"/>
    </w:rPr>
  </w:style>
  <w:style w:type="character" w:customStyle="1" w:styleId="Heading1Char">
    <w:name w:val="Heading 1 Char"/>
    <w:basedOn w:val="DefaultParagraphFont"/>
    <w:link w:val="Heading1"/>
    <w:uiPriority w:val="9"/>
    <w:rsid w:val="006F045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F0451"/>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A17E2F"/>
    <w:rPr>
      <w:color w:val="954F72" w:themeColor="followedHyperlink"/>
      <w:u w:val="single"/>
    </w:rPr>
  </w:style>
  <w:style w:type="paragraph" w:styleId="Revision">
    <w:name w:val="Revision"/>
    <w:hidden/>
    <w:uiPriority w:val="99"/>
    <w:semiHidden/>
    <w:rsid w:val="00F64D2D"/>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18328755">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339047557">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7488351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619997303">
      <w:bodyDiv w:val="1"/>
      <w:marLeft w:val="0"/>
      <w:marRight w:val="0"/>
      <w:marTop w:val="0"/>
      <w:marBottom w:val="0"/>
      <w:divBdr>
        <w:top w:val="none" w:sz="0" w:space="0" w:color="auto"/>
        <w:left w:val="none" w:sz="0" w:space="0" w:color="auto"/>
        <w:bottom w:val="none" w:sz="0" w:space="0" w:color="auto"/>
        <w:right w:val="none" w:sz="0" w:space="0" w:color="auto"/>
      </w:divBdr>
    </w:div>
    <w:div w:id="621152818">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034772317">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160081125">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24675890">
      <w:bodyDiv w:val="1"/>
      <w:marLeft w:val="0"/>
      <w:marRight w:val="0"/>
      <w:marTop w:val="0"/>
      <w:marBottom w:val="0"/>
      <w:divBdr>
        <w:top w:val="none" w:sz="0" w:space="0" w:color="auto"/>
        <w:left w:val="none" w:sz="0" w:space="0" w:color="auto"/>
        <w:bottom w:val="none" w:sz="0" w:space="0" w:color="auto"/>
        <w:right w:val="none" w:sz="0" w:space="0" w:color="auto"/>
      </w:divBdr>
    </w:div>
    <w:div w:id="1229345700">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273975846">
      <w:bodyDiv w:val="1"/>
      <w:marLeft w:val="0"/>
      <w:marRight w:val="0"/>
      <w:marTop w:val="0"/>
      <w:marBottom w:val="0"/>
      <w:divBdr>
        <w:top w:val="none" w:sz="0" w:space="0" w:color="auto"/>
        <w:left w:val="none" w:sz="0" w:space="0" w:color="auto"/>
        <w:bottom w:val="none" w:sz="0" w:space="0" w:color="auto"/>
        <w:right w:val="none" w:sz="0" w:space="0" w:color="auto"/>
      </w:divBdr>
    </w:div>
    <w:div w:id="1310792788">
      <w:bodyDiv w:val="1"/>
      <w:marLeft w:val="0"/>
      <w:marRight w:val="0"/>
      <w:marTop w:val="0"/>
      <w:marBottom w:val="0"/>
      <w:divBdr>
        <w:top w:val="none" w:sz="0" w:space="0" w:color="auto"/>
        <w:left w:val="none" w:sz="0" w:space="0" w:color="auto"/>
        <w:bottom w:val="none" w:sz="0" w:space="0" w:color="auto"/>
        <w:right w:val="none" w:sz="0" w:space="0" w:color="auto"/>
      </w:divBdr>
    </w:div>
    <w:div w:id="1331182025">
      <w:bodyDiv w:val="1"/>
      <w:marLeft w:val="0"/>
      <w:marRight w:val="0"/>
      <w:marTop w:val="0"/>
      <w:marBottom w:val="0"/>
      <w:divBdr>
        <w:top w:val="none" w:sz="0" w:space="0" w:color="auto"/>
        <w:left w:val="none" w:sz="0" w:space="0" w:color="auto"/>
        <w:bottom w:val="none" w:sz="0" w:space="0" w:color="auto"/>
        <w:right w:val="none" w:sz="0" w:space="0" w:color="auto"/>
      </w:divBdr>
    </w:div>
    <w:div w:id="1371564911">
      <w:bodyDiv w:val="1"/>
      <w:marLeft w:val="0"/>
      <w:marRight w:val="0"/>
      <w:marTop w:val="0"/>
      <w:marBottom w:val="0"/>
      <w:divBdr>
        <w:top w:val="none" w:sz="0" w:space="0" w:color="auto"/>
        <w:left w:val="none" w:sz="0" w:space="0" w:color="auto"/>
        <w:bottom w:val="none" w:sz="0" w:space="0" w:color="auto"/>
        <w:right w:val="none" w:sz="0" w:space="0" w:color="auto"/>
      </w:divBdr>
    </w:div>
    <w:div w:id="1405105994">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567103188">
      <w:bodyDiv w:val="1"/>
      <w:marLeft w:val="0"/>
      <w:marRight w:val="0"/>
      <w:marTop w:val="0"/>
      <w:marBottom w:val="0"/>
      <w:divBdr>
        <w:top w:val="none" w:sz="0" w:space="0" w:color="auto"/>
        <w:left w:val="none" w:sz="0" w:space="0" w:color="auto"/>
        <w:bottom w:val="none" w:sz="0" w:space="0" w:color="auto"/>
        <w:right w:val="none" w:sz="0" w:space="0" w:color="auto"/>
      </w:divBdr>
    </w:div>
    <w:div w:id="1624460419">
      <w:bodyDiv w:val="1"/>
      <w:marLeft w:val="0"/>
      <w:marRight w:val="0"/>
      <w:marTop w:val="0"/>
      <w:marBottom w:val="0"/>
      <w:divBdr>
        <w:top w:val="none" w:sz="0" w:space="0" w:color="auto"/>
        <w:left w:val="none" w:sz="0" w:space="0" w:color="auto"/>
        <w:bottom w:val="none" w:sz="0" w:space="0" w:color="auto"/>
        <w:right w:val="none" w:sz="0" w:space="0" w:color="auto"/>
      </w:divBdr>
    </w:div>
    <w:div w:id="1660695174">
      <w:bodyDiv w:val="1"/>
      <w:marLeft w:val="0"/>
      <w:marRight w:val="0"/>
      <w:marTop w:val="0"/>
      <w:marBottom w:val="0"/>
      <w:divBdr>
        <w:top w:val="none" w:sz="0" w:space="0" w:color="auto"/>
        <w:left w:val="none" w:sz="0" w:space="0" w:color="auto"/>
        <w:bottom w:val="none" w:sz="0" w:space="0" w:color="auto"/>
        <w:right w:val="none" w:sz="0" w:space="0" w:color="auto"/>
      </w:divBdr>
    </w:div>
    <w:div w:id="1677145234">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 w:id="20539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8CAA-489F-472B-B046-DBB4AD14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9</Pages>
  <Words>10356</Words>
  <Characters>5903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Izziņa par atzinumos sniegtajiem iebildumiem par noteikumu projektu “Grozījumi Ministru kabineta 2009. gada 22. decembra noteikumos Nr. 1525 “Dārgmetālu izstrādājumu zīmogošanas kārtība un pieļaujamais remedijs”” (VSS-156)</vt:lpstr>
    </vt:vector>
  </TitlesOfParts>
  <Company>Finanšu ministrija</Company>
  <LinksUpToDate>false</LinksUpToDate>
  <CharactersWithSpaces>16227</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noteikumu projektu “Grozījumi Ministru kabineta 2009. gada 22. decembra noteikumos Nr. 1525 “Dārgmetālu izstrādājumu zīmogošanas kārtība un pieļaujamais remedijs”” (VSS-156)</dc:title>
  <dc:subject>Izziņa par atzinumos sniegtajiem iebildumiem</dc:subject>
  <dc:creator>E.Šidlovskis</dc:creator>
  <cp:keywords/>
  <dc:description>Edgars Šidlovskis, 67083894, Edgars.Sidlovskis@fm.gov.lv_x000d_
</dc:description>
  <cp:lastModifiedBy>Šidlovskis Edgars</cp:lastModifiedBy>
  <cp:revision>108</cp:revision>
  <cp:lastPrinted>2017-12-21T07:57:00Z</cp:lastPrinted>
  <dcterms:created xsi:type="dcterms:W3CDTF">2018-10-29T14:21:00Z</dcterms:created>
  <dcterms:modified xsi:type="dcterms:W3CDTF">2019-06-04T11:17:00Z</dcterms:modified>
</cp:coreProperties>
</file>