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5B24" w14:textId="77777777" w:rsidR="00156D6C" w:rsidRDefault="00156D6C" w:rsidP="00156D6C">
      <w:pPr>
        <w:pStyle w:val="ListParagraph"/>
        <w:ind w:left="0"/>
        <w:jc w:val="right"/>
        <w:rPr>
          <w:i/>
        </w:rPr>
      </w:pPr>
      <w:bookmarkStart w:id="0" w:name="_GoBack"/>
      <w:bookmarkEnd w:id="0"/>
      <w:r w:rsidRPr="004107AC">
        <w:rPr>
          <w:i/>
        </w:rPr>
        <w:t>Projekts</w:t>
      </w:r>
    </w:p>
    <w:p w14:paraId="24427DCC" w14:textId="77777777" w:rsidR="00156D6C" w:rsidRDefault="00156D6C" w:rsidP="00156D6C">
      <w:pPr>
        <w:pStyle w:val="ListParagraph"/>
        <w:ind w:left="0"/>
        <w:jc w:val="right"/>
        <w:rPr>
          <w:i/>
        </w:rPr>
      </w:pPr>
    </w:p>
    <w:p w14:paraId="25E0CF8E" w14:textId="77777777" w:rsidR="00156D6C" w:rsidRPr="004107AC" w:rsidRDefault="00156D6C" w:rsidP="00156D6C">
      <w:pPr>
        <w:pStyle w:val="ListParagraph"/>
        <w:ind w:left="0"/>
        <w:jc w:val="center"/>
      </w:pPr>
      <w:r>
        <w:t>LATVIJAS REPUBLIKAS MINISTRU KABINETS</w:t>
      </w:r>
    </w:p>
    <w:p w14:paraId="2D125E8A" w14:textId="6D70408A" w:rsidR="00156D6C" w:rsidRDefault="00156D6C" w:rsidP="00156D6C">
      <w:pPr>
        <w:pStyle w:val="ListParagraph"/>
        <w:ind w:left="0"/>
        <w:jc w:val="both"/>
        <w:rPr>
          <w:b/>
          <w:i/>
        </w:rPr>
      </w:pPr>
    </w:p>
    <w:p w14:paraId="34C1ADC0" w14:textId="77777777" w:rsidR="00156D6C" w:rsidRPr="00B607EC" w:rsidRDefault="00156D6C" w:rsidP="00156D6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2019</w:t>
      </w:r>
      <w:r w:rsidRPr="00B607EC">
        <w:rPr>
          <w:sz w:val="28"/>
          <w:szCs w:val="28"/>
        </w:rPr>
        <w:t xml:space="preserve">.gada            </w:t>
      </w:r>
      <w:r w:rsidRPr="00B607EC">
        <w:rPr>
          <w:sz w:val="28"/>
          <w:szCs w:val="28"/>
        </w:rPr>
        <w:tab/>
        <w:t>Noteikumi Nr.</w:t>
      </w:r>
    </w:p>
    <w:p w14:paraId="05335B85" w14:textId="77777777" w:rsidR="00156D6C" w:rsidRPr="00B607EC" w:rsidRDefault="00156D6C" w:rsidP="00156D6C">
      <w:pPr>
        <w:tabs>
          <w:tab w:val="left" w:pos="6804"/>
        </w:tabs>
        <w:rPr>
          <w:sz w:val="28"/>
          <w:szCs w:val="28"/>
        </w:rPr>
      </w:pPr>
      <w:r w:rsidRPr="00B607EC">
        <w:rPr>
          <w:sz w:val="28"/>
          <w:szCs w:val="28"/>
        </w:rPr>
        <w:t>Rīgā</w:t>
      </w:r>
      <w:r w:rsidRPr="00B607EC">
        <w:rPr>
          <w:sz w:val="28"/>
          <w:szCs w:val="28"/>
        </w:rPr>
        <w:tab/>
        <w:t>(prot. Nr.            . §)</w:t>
      </w:r>
    </w:p>
    <w:p w14:paraId="1E4ABCB5" w14:textId="77777777" w:rsidR="00156D6C" w:rsidRPr="00B607EC" w:rsidRDefault="00156D6C" w:rsidP="00156D6C">
      <w:pPr>
        <w:pStyle w:val="BodyText"/>
        <w:spacing w:before="0"/>
        <w:rPr>
          <w:b/>
          <w:bCs/>
        </w:rPr>
      </w:pPr>
    </w:p>
    <w:p w14:paraId="343638DB" w14:textId="1D9389C3" w:rsidR="00156D6C" w:rsidRPr="00B607EC" w:rsidRDefault="00156D6C" w:rsidP="00156D6C">
      <w:pPr>
        <w:pStyle w:val="Heading3"/>
        <w:spacing w:before="0"/>
      </w:pPr>
      <w:bookmarkStart w:id="1" w:name="OLE_LINK1"/>
      <w:bookmarkStart w:id="2" w:name="OLE_LINK2"/>
      <w:bookmarkStart w:id="3" w:name="OLE_LINK5"/>
      <w:r>
        <w:t>Grozījumi Ministru kabineta 2016</w:t>
      </w:r>
      <w:r w:rsidR="008A6436">
        <w:t>.</w:t>
      </w:r>
      <w:r w:rsidR="000A77DA">
        <w:t xml:space="preserve"> </w:t>
      </w:r>
      <w:r w:rsidRPr="00B607EC">
        <w:t>gada</w:t>
      </w:r>
      <w:r w:rsidR="008A6436">
        <w:t xml:space="preserve"> 20.</w:t>
      </w:r>
      <w:r w:rsidR="000A77DA">
        <w:t xml:space="preserve"> </w:t>
      </w:r>
      <w:r>
        <w:t>decembra noteikumos Nr. 861</w:t>
      </w:r>
      <w:r w:rsidRPr="00B607EC">
        <w:t xml:space="preserve"> “</w:t>
      </w:r>
      <w:bookmarkEnd w:id="1"/>
      <w:bookmarkEnd w:id="2"/>
      <w:bookmarkEnd w:id="3"/>
      <w:r>
        <w:t>Zudumu apmēru noteikšanas kārtība muitas uzraudzībā esošajām nefasētajām precēm</w:t>
      </w:r>
      <w:r w:rsidRPr="00B607EC">
        <w:t>”</w:t>
      </w:r>
    </w:p>
    <w:p w14:paraId="1F2FFFE1" w14:textId="77777777" w:rsidR="00156D6C" w:rsidRPr="00B607EC" w:rsidRDefault="00156D6C" w:rsidP="00156D6C"/>
    <w:p w14:paraId="0F7817CF" w14:textId="77777777" w:rsidR="00156D6C" w:rsidRPr="008054F9" w:rsidRDefault="00156D6C" w:rsidP="00156D6C">
      <w:pPr>
        <w:ind w:firstLine="567"/>
        <w:jc w:val="right"/>
        <w:rPr>
          <w:i/>
          <w:iCs/>
          <w:sz w:val="26"/>
          <w:szCs w:val="26"/>
        </w:rPr>
      </w:pPr>
      <w:r w:rsidRPr="008054F9">
        <w:rPr>
          <w:i/>
          <w:iCs/>
          <w:sz w:val="26"/>
          <w:szCs w:val="26"/>
        </w:rPr>
        <w:t>Izdoti saskaņā ar Muitas likuma</w:t>
      </w:r>
    </w:p>
    <w:p w14:paraId="0D36151A" w14:textId="77777777" w:rsidR="00156D6C" w:rsidRPr="008054F9" w:rsidRDefault="00156D6C" w:rsidP="00156D6C">
      <w:pPr>
        <w:ind w:firstLine="567"/>
        <w:jc w:val="right"/>
        <w:rPr>
          <w:i/>
          <w:iCs/>
          <w:sz w:val="26"/>
          <w:szCs w:val="26"/>
        </w:rPr>
      </w:pPr>
      <w:r w:rsidRPr="008054F9">
        <w:rPr>
          <w:i/>
          <w:iCs/>
          <w:sz w:val="26"/>
          <w:szCs w:val="26"/>
        </w:rPr>
        <w:t xml:space="preserve">6.panta 4.punktu </w:t>
      </w:r>
    </w:p>
    <w:p w14:paraId="6ED4430F" w14:textId="77777777" w:rsidR="00156D6C" w:rsidRPr="008054F9" w:rsidRDefault="00156D6C" w:rsidP="00156D6C">
      <w:pPr>
        <w:jc w:val="right"/>
        <w:rPr>
          <w:sz w:val="26"/>
          <w:szCs w:val="26"/>
        </w:rPr>
      </w:pPr>
    </w:p>
    <w:p w14:paraId="601D94A0" w14:textId="0D9A8F8B" w:rsidR="00156D6C" w:rsidRPr="008054F9" w:rsidRDefault="001033D8" w:rsidP="00156D6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Izdarīt Ministru kabineta 2016</w:t>
      </w:r>
      <w:r w:rsidR="008A6436">
        <w:rPr>
          <w:sz w:val="26"/>
          <w:szCs w:val="26"/>
        </w:rPr>
        <w:t>.</w:t>
      </w:r>
      <w:r w:rsidR="000A77DA">
        <w:rPr>
          <w:sz w:val="26"/>
          <w:szCs w:val="26"/>
        </w:rPr>
        <w:t xml:space="preserve"> </w:t>
      </w:r>
      <w:r w:rsidR="00156D6C" w:rsidRPr="008054F9">
        <w:rPr>
          <w:sz w:val="26"/>
          <w:szCs w:val="26"/>
        </w:rPr>
        <w:t>gada</w:t>
      </w:r>
      <w:r w:rsidR="008A6436">
        <w:rPr>
          <w:sz w:val="26"/>
          <w:szCs w:val="26"/>
        </w:rPr>
        <w:t xml:space="preserve"> 20.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decembra noteikumos Nr. 861</w:t>
      </w:r>
      <w:r w:rsidR="00156D6C" w:rsidRPr="008054F9">
        <w:rPr>
          <w:sz w:val="26"/>
          <w:szCs w:val="26"/>
        </w:rPr>
        <w:t xml:space="preserve"> “</w:t>
      </w:r>
      <w:r w:rsidRPr="008054F9">
        <w:rPr>
          <w:sz w:val="26"/>
          <w:szCs w:val="26"/>
        </w:rPr>
        <w:t>Zudumu apmēru noteikšanas kārtība muitas uzraudzībā esošajām nefasētajām precēm</w:t>
      </w:r>
      <w:r w:rsidR="00156D6C" w:rsidRPr="008054F9">
        <w:rPr>
          <w:sz w:val="26"/>
          <w:szCs w:val="26"/>
        </w:rPr>
        <w:t>”</w:t>
      </w:r>
      <w:r w:rsidR="00F57891" w:rsidRPr="008054F9">
        <w:rPr>
          <w:sz w:val="26"/>
          <w:szCs w:val="26"/>
        </w:rPr>
        <w:t xml:space="preserve"> (Latvijas Vēstnesis, 2016, 43</w:t>
      </w:r>
      <w:r w:rsidR="008A6436">
        <w:rPr>
          <w:sz w:val="26"/>
          <w:szCs w:val="26"/>
        </w:rPr>
        <w:t>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nr</w:t>
      </w:r>
      <w:r w:rsidR="00156D6C" w:rsidRPr="008054F9">
        <w:rPr>
          <w:sz w:val="26"/>
          <w:szCs w:val="26"/>
        </w:rPr>
        <w:t>.) šādus grozījumus:</w:t>
      </w:r>
    </w:p>
    <w:p w14:paraId="69B52B6E" w14:textId="5AC0969A" w:rsidR="002E76F0" w:rsidRPr="008054F9" w:rsidRDefault="002E76F0" w:rsidP="00156D6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18EA26C4" w14:textId="0F0789AD" w:rsidR="002E76F0" w:rsidRPr="008054F9" w:rsidRDefault="002E76F0" w:rsidP="00CF124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jc w:val="both"/>
        <w:rPr>
          <w:rFonts w:eastAsia="Arial Unicode MS"/>
          <w:sz w:val="26"/>
          <w:szCs w:val="26"/>
        </w:rPr>
      </w:pPr>
      <w:r w:rsidRPr="008054F9">
        <w:rPr>
          <w:rFonts w:eastAsia="Arial Unicode MS"/>
          <w:sz w:val="26"/>
          <w:szCs w:val="26"/>
        </w:rPr>
        <w:t>Papildināt</w:t>
      </w:r>
      <w:r w:rsidR="008B5BFE">
        <w:rPr>
          <w:rFonts w:eastAsia="Arial Unicode MS"/>
          <w:sz w:val="26"/>
          <w:szCs w:val="26"/>
        </w:rPr>
        <w:t xml:space="preserve"> noteikumus </w:t>
      </w:r>
      <w:r w:rsidRPr="008054F9">
        <w:rPr>
          <w:rFonts w:eastAsia="Arial Unicode MS"/>
          <w:sz w:val="26"/>
          <w:szCs w:val="26"/>
        </w:rPr>
        <w:t>ar 2.7.</w:t>
      </w:r>
      <w:r w:rsidRPr="008054F9">
        <w:rPr>
          <w:rFonts w:eastAsia="Arial Unicode MS"/>
          <w:sz w:val="26"/>
          <w:szCs w:val="26"/>
          <w:vertAlign w:val="superscript"/>
        </w:rPr>
        <w:t>1</w:t>
      </w:r>
      <w:r w:rsidR="000A77DA">
        <w:rPr>
          <w:rFonts w:eastAsia="Arial Unicode MS"/>
          <w:sz w:val="26"/>
          <w:szCs w:val="26"/>
          <w:vertAlign w:val="superscript"/>
        </w:rPr>
        <w:t xml:space="preserve"> </w:t>
      </w:r>
      <w:r w:rsidR="00A877E8" w:rsidRPr="008054F9">
        <w:rPr>
          <w:rFonts w:eastAsia="Arial Unicode MS"/>
          <w:sz w:val="26"/>
          <w:szCs w:val="26"/>
        </w:rPr>
        <w:t>apakšpunktu</w:t>
      </w:r>
      <w:r w:rsidRPr="008054F9">
        <w:rPr>
          <w:rFonts w:eastAsia="Arial Unicode MS"/>
          <w:sz w:val="26"/>
          <w:szCs w:val="26"/>
          <w:vertAlign w:val="superscript"/>
        </w:rPr>
        <w:t xml:space="preserve"> </w:t>
      </w:r>
      <w:r w:rsidRPr="008054F9">
        <w:rPr>
          <w:rFonts w:eastAsia="Arial Unicode MS"/>
          <w:sz w:val="26"/>
          <w:szCs w:val="26"/>
        </w:rPr>
        <w:t>šādā redakcijā:</w:t>
      </w:r>
    </w:p>
    <w:p w14:paraId="69DDFDE6" w14:textId="675B3514" w:rsidR="002E76F0" w:rsidRPr="008054F9" w:rsidRDefault="002E76F0" w:rsidP="002E76F0">
      <w:pPr>
        <w:tabs>
          <w:tab w:val="left" w:pos="851"/>
        </w:tabs>
        <w:ind w:left="360"/>
        <w:jc w:val="both"/>
        <w:rPr>
          <w:rFonts w:eastAsia="Arial Unicode MS"/>
          <w:sz w:val="26"/>
          <w:szCs w:val="26"/>
        </w:rPr>
      </w:pPr>
      <w:r w:rsidRPr="008054F9">
        <w:rPr>
          <w:rFonts w:eastAsia="Arial Unicode MS"/>
          <w:sz w:val="26"/>
          <w:szCs w:val="26"/>
        </w:rPr>
        <w:t>“2.7.</w:t>
      </w:r>
      <w:r w:rsidRPr="008054F9">
        <w:rPr>
          <w:rFonts w:eastAsia="Arial Unicode MS"/>
          <w:sz w:val="26"/>
          <w:szCs w:val="26"/>
          <w:vertAlign w:val="superscript"/>
        </w:rPr>
        <w:t xml:space="preserve">1 </w:t>
      </w:r>
      <w:r w:rsidRPr="008054F9">
        <w:rPr>
          <w:rFonts w:eastAsia="Arial Unicode MS"/>
          <w:sz w:val="26"/>
          <w:szCs w:val="26"/>
        </w:rPr>
        <w:t>18.</w:t>
      </w:r>
      <w:r w:rsidR="000A77DA">
        <w:rPr>
          <w:rFonts w:eastAsia="Arial Unicode MS"/>
          <w:sz w:val="26"/>
          <w:szCs w:val="26"/>
        </w:rPr>
        <w:t xml:space="preserve"> </w:t>
      </w:r>
      <w:r w:rsidR="008B1398" w:rsidRPr="008054F9">
        <w:rPr>
          <w:rFonts w:eastAsia="Arial Unicode MS"/>
          <w:sz w:val="26"/>
          <w:szCs w:val="26"/>
        </w:rPr>
        <w:t>nodaļā (preču 1801. un 1802. </w:t>
      </w:r>
      <w:r w:rsidRPr="008054F9">
        <w:rPr>
          <w:rFonts w:eastAsia="Arial Unicode MS"/>
          <w:sz w:val="26"/>
          <w:szCs w:val="26"/>
        </w:rPr>
        <w:t xml:space="preserve">pozīcijā </w:t>
      </w:r>
      <w:r w:rsidR="008E0D3A" w:rsidRPr="008054F9">
        <w:rPr>
          <w:rFonts w:eastAsia="Arial Unicode MS"/>
          <w:sz w:val="26"/>
          <w:szCs w:val="26"/>
        </w:rPr>
        <w:t>minētās preces</w:t>
      </w:r>
      <w:r w:rsidR="00881A07" w:rsidRPr="008054F9">
        <w:rPr>
          <w:rFonts w:eastAsia="Arial Unicode MS"/>
          <w:sz w:val="26"/>
          <w:szCs w:val="26"/>
        </w:rPr>
        <w:t>)</w:t>
      </w:r>
      <w:r w:rsidRPr="008054F9">
        <w:rPr>
          <w:rFonts w:eastAsia="Arial Unicode MS"/>
          <w:sz w:val="26"/>
          <w:szCs w:val="26"/>
        </w:rPr>
        <w:t>;”</w:t>
      </w:r>
      <w:r w:rsidR="00C67822">
        <w:rPr>
          <w:rFonts w:eastAsia="Arial Unicode MS"/>
          <w:sz w:val="26"/>
          <w:szCs w:val="26"/>
        </w:rPr>
        <w:t>.</w:t>
      </w:r>
    </w:p>
    <w:p w14:paraId="7F657C2F" w14:textId="77777777" w:rsidR="007A2C85" w:rsidRPr="008054F9" w:rsidRDefault="007A2C85" w:rsidP="00156D6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2D74F5F3" w14:textId="05BF1ACC" w:rsidR="00156D6C" w:rsidRPr="008054F9" w:rsidRDefault="000F205A" w:rsidP="00F238A4">
      <w:pPr>
        <w:pStyle w:val="ListParagraph"/>
        <w:numPr>
          <w:ilvl w:val="0"/>
          <w:numId w:val="1"/>
        </w:numPr>
        <w:ind w:hanging="294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Izteikt</w:t>
      </w:r>
      <w:r w:rsidR="00B052D2" w:rsidRPr="008054F9">
        <w:rPr>
          <w:sz w:val="26"/>
          <w:szCs w:val="26"/>
        </w:rPr>
        <w:t xml:space="preserve"> 2.11.</w:t>
      </w:r>
      <w:r w:rsidR="000A77DA">
        <w:rPr>
          <w:sz w:val="26"/>
          <w:szCs w:val="26"/>
        </w:rPr>
        <w:t xml:space="preserve"> </w:t>
      </w:r>
      <w:r w:rsidR="00E70052" w:rsidRPr="008054F9">
        <w:rPr>
          <w:sz w:val="26"/>
          <w:szCs w:val="26"/>
        </w:rPr>
        <w:t>apakšpunktu</w:t>
      </w:r>
      <w:r w:rsidR="00156D6C" w:rsidRPr="008054F9">
        <w:rPr>
          <w:sz w:val="26"/>
          <w:szCs w:val="26"/>
        </w:rPr>
        <w:t xml:space="preserve"> šādā redakcijā:</w:t>
      </w:r>
    </w:p>
    <w:p w14:paraId="7B0C2F62" w14:textId="36E33B13" w:rsidR="00156D6C" w:rsidRPr="008054F9" w:rsidRDefault="008A6436" w:rsidP="00E700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“2.11. 26.</w:t>
      </w:r>
      <w:r w:rsidR="000A77DA">
        <w:rPr>
          <w:sz w:val="26"/>
          <w:szCs w:val="26"/>
        </w:rPr>
        <w:t xml:space="preserve"> </w:t>
      </w:r>
      <w:r w:rsidR="00E70052" w:rsidRPr="008054F9">
        <w:rPr>
          <w:sz w:val="26"/>
          <w:szCs w:val="26"/>
        </w:rPr>
        <w:t>nodaļā (preču</w:t>
      </w:r>
      <w:r w:rsidR="008B1398" w:rsidRPr="008054F9">
        <w:rPr>
          <w:sz w:val="26"/>
          <w:szCs w:val="26"/>
        </w:rPr>
        <w:t xml:space="preserve"> 2601. un 2602. </w:t>
      </w:r>
      <w:r w:rsidR="007A2C85" w:rsidRPr="008054F9">
        <w:rPr>
          <w:sz w:val="26"/>
          <w:szCs w:val="26"/>
        </w:rPr>
        <w:t>pozīcijā minētās preces</w:t>
      </w:r>
      <w:r w:rsidR="00E70052" w:rsidRPr="008054F9">
        <w:rPr>
          <w:sz w:val="26"/>
          <w:szCs w:val="26"/>
        </w:rPr>
        <w:t>);</w:t>
      </w:r>
      <w:r w:rsidR="000F205A" w:rsidRPr="008054F9">
        <w:rPr>
          <w:sz w:val="26"/>
          <w:szCs w:val="26"/>
        </w:rPr>
        <w:t>”</w:t>
      </w:r>
      <w:r w:rsidR="00C67822">
        <w:rPr>
          <w:sz w:val="26"/>
          <w:szCs w:val="26"/>
        </w:rPr>
        <w:t>.</w:t>
      </w:r>
    </w:p>
    <w:p w14:paraId="376F2791" w14:textId="3E4DB6C9" w:rsidR="000F205A" w:rsidRPr="008054F9" w:rsidRDefault="000F205A" w:rsidP="00E70052">
      <w:pPr>
        <w:ind w:firstLine="567"/>
        <w:jc w:val="both"/>
        <w:rPr>
          <w:sz w:val="26"/>
          <w:szCs w:val="26"/>
        </w:rPr>
      </w:pPr>
    </w:p>
    <w:p w14:paraId="466A1BBB" w14:textId="0FA587B4" w:rsidR="000F205A" w:rsidRPr="008054F9" w:rsidRDefault="000F205A" w:rsidP="00F238A4">
      <w:pPr>
        <w:pStyle w:val="ListParagraph"/>
        <w:numPr>
          <w:ilvl w:val="0"/>
          <w:numId w:val="1"/>
        </w:numPr>
        <w:ind w:hanging="294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Izteikt 2.13</w:t>
      </w:r>
      <w:r w:rsidR="005F67C0" w:rsidRPr="008054F9">
        <w:rPr>
          <w:sz w:val="26"/>
          <w:szCs w:val="26"/>
        </w:rPr>
        <w:t>. un 2.14</w:t>
      </w:r>
      <w:r w:rsidRPr="008054F9">
        <w:rPr>
          <w:sz w:val="26"/>
          <w:szCs w:val="26"/>
        </w:rPr>
        <w:t>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apakšpunktu šādā redakcijā:</w:t>
      </w:r>
    </w:p>
    <w:p w14:paraId="6D950410" w14:textId="7E2E487A" w:rsidR="000F205A" w:rsidRPr="008054F9" w:rsidRDefault="000F205A" w:rsidP="000F205A">
      <w:pPr>
        <w:ind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“2.13. 28.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nodaļā (preču 2822. un 2833</w:t>
      </w:r>
      <w:r w:rsidR="007D2AB8" w:rsidRPr="008054F9">
        <w:rPr>
          <w:sz w:val="26"/>
          <w:szCs w:val="26"/>
        </w:rPr>
        <w:t>.</w:t>
      </w:r>
      <w:r w:rsidR="007A2C85" w:rsidRPr="008054F9">
        <w:rPr>
          <w:sz w:val="26"/>
          <w:szCs w:val="26"/>
        </w:rPr>
        <w:t xml:space="preserve"> pozīcijā minētās preces</w:t>
      </w:r>
      <w:r w:rsidRPr="008054F9">
        <w:rPr>
          <w:sz w:val="26"/>
          <w:szCs w:val="26"/>
        </w:rPr>
        <w:t>);</w:t>
      </w:r>
    </w:p>
    <w:p w14:paraId="613673F7" w14:textId="5CB05347" w:rsidR="000F205A" w:rsidRPr="008054F9" w:rsidRDefault="000F205A" w:rsidP="00F238A4">
      <w:pPr>
        <w:ind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2.14. 29.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nodaļā (preču 2901., 2902., 2905. un 2909</w:t>
      </w:r>
      <w:r w:rsidR="007D2AB8" w:rsidRPr="008054F9">
        <w:rPr>
          <w:sz w:val="26"/>
          <w:szCs w:val="26"/>
        </w:rPr>
        <w:t>.</w:t>
      </w:r>
      <w:r w:rsidR="007A2C85" w:rsidRPr="008054F9">
        <w:rPr>
          <w:sz w:val="26"/>
          <w:szCs w:val="26"/>
        </w:rPr>
        <w:t xml:space="preserve"> pozīcijā minētās preces</w:t>
      </w:r>
      <w:r w:rsidRPr="008054F9">
        <w:rPr>
          <w:sz w:val="26"/>
          <w:szCs w:val="26"/>
        </w:rPr>
        <w:t>);”</w:t>
      </w:r>
      <w:r w:rsidR="00C67822">
        <w:rPr>
          <w:sz w:val="26"/>
          <w:szCs w:val="26"/>
        </w:rPr>
        <w:t>.</w:t>
      </w:r>
    </w:p>
    <w:p w14:paraId="4395EB85" w14:textId="77777777" w:rsidR="000F205A" w:rsidRPr="008054F9" w:rsidRDefault="000F205A" w:rsidP="000F205A">
      <w:pPr>
        <w:pStyle w:val="ListParagraph"/>
        <w:rPr>
          <w:sz w:val="26"/>
          <w:szCs w:val="26"/>
        </w:rPr>
      </w:pPr>
    </w:p>
    <w:p w14:paraId="132B4D21" w14:textId="5C63F35A" w:rsidR="000F205A" w:rsidRPr="008054F9" w:rsidRDefault="000F205A" w:rsidP="00F238A4">
      <w:pPr>
        <w:pStyle w:val="ListParagraph"/>
        <w:numPr>
          <w:ilvl w:val="0"/>
          <w:numId w:val="1"/>
        </w:numPr>
        <w:ind w:hanging="294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Izteikt 2.20.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apakšpunktu šādā redakcijā:</w:t>
      </w:r>
    </w:p>
    <w:p w14:paraId="69DA3FE4" w14:textId="77E4343A" w:rsidR="000F205A" w:rsidRPr="008054F9" w:rsidRDefault="008A6436" w:rsidP="00F238A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“2.20. 72.</w:t>
      </w:r>
      <w:r w:rsidR="000A77DA">
        <w:rPr>
          <w:sz w:val="26"/>
          <w:szCs w:val="26"/>
        </w:rPr>
        <w:t xml:space="preserve"> </w:t>
      </w:r>
      <w:r w:rsidR="000F205A" w:rsidRPr="008054F9">
        <w:rPr>
          <w:sz w:val="26"/>
          <w:szCs w:val="26"/>
        </w:rPr>
        <w:t>nodaļā (preču 7201., 7202.,</w:t>
      </w:r>
      <w:r w:rsidR="007D2AB8" w:rsidRPr="008054F9">
        <w:rPr>
          <w:sz w:val="26"/>
          <w:szCs w:val="26"/>
        </w:rPr>
        <w:t xml:space="preserve"> </w:t>
      </w:r>
      <w:r w:rsidR="000F205A" w:rsidRPr="008054F9">
        <w:rPr>
          <w:sz w:val="26"/>
          <w:szCs w:val="26"/>
        </w:rPr>
        <w:t>7203., 7204. un 7205</w:t>
      </w:r>
      <w:r w:rsidR="007D2AB8" w:rsidRPr="008054F9">
        <w:rPr>
          <w:sz w:val="26"/>
          <w:szCs w:val="26"/>
        </w:rPr>
        <w:t>.</w:t>
      </w:r>
      <w:r w:rsidR="008B1398" w:rsidRPr="008054F9">
        <w:rPr>
          <w:sz w:val="26"/>
          <w:szCs w:val="26"/>
        </w:rPr>
        <w:t> </w:t>
      </w:r>
      <w:r w:rsidR="007A2C85" w:rsidRPr="008054F9">
        <w:rPr>
          <w:sz w:val="26"/>
          <w:szCs w:val="26"/>
        </w:rPr>
        <w:t>pozīcijā minētās preces</w:t>
      </w:r>
      <w:r w:rsidR="00C67822">
        <w:rPr>
          <w:sz w:val="26"/>
          <w:szCs w:val="26"/>
        </w:rPr>
        <w:t>)</w:t>
      </w:r>
      <w:r w:rsidR="000F205A" w:rsidRPr="008054F9">
        <w:rPr>
          <w:sz w:val="26"/>
          <w:szCs w:val="26"/>
        </w:rPr>
        <w:t>”</w:t>
      </w:r>
      <w:r w:rsidR="00C67822">
        <w:rPr>
          <w:sz w:val="26"/>
          <w:szCs w:val="26"/>
        </w:rPr>
        <w:t>.</w:t>
      </w:r>
    </w:p>
    <w:p w14:paraId="3D1C0323" w14:textId="77777777" w:rsidR="00156D6C" w:rsidRPr="008054F9" w:rsidRDefault="00156D6C" w:rsidP="00156D6C">
      <w:pPr>
        <w:ind w:firstLine="426"/>
        <w:jc w:val="both"/>
        <w:rPr>
          <w:sz w:val="26"/>
          <w:szCs w:val="26"/>
        </w:rPr>
      </w:pPr>
    </w:p>
    <w:p w14:paraId="4BCA592D" w14:textId="0DE3A5A6" w:rsidR="00B052D2" w:rsidRPr="008054F9" w:rsidRDefault="000F205A" w:rsidP="00B052D2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Papildināt III. nodaļas</w:t>
      </w:r>
      <w:r w:rsidR="00FD628B" w:rsidRPr="008054F9">
        <w:rPr>
          <w:sz w:val="26"/>
          <w:szCs w:val="26"/>
        </w:rPr>
        <w:t xml:space="preserve"> nosaukumu aiz skaitļa un vārda “27.</w:t>
      </w:r>
      <w:r w:rsidR="000A77DA">
        <w:rPr>
          <w:sz w:val="26"/>
          <w:szCs w:val="26"/>
        </w:rPr>
        <w:t xml:space="preserve"> </w:t>
      </w:r>
      <w:r w:rsidR="00FD628B" w:rsidRPr="008054F9">
        <w:rPr>
          <w:sz w:val="26"/>
          <w:szCs w:val="26"/>
        </w:rPr>
        <w:t>nodaļā” ar skaitļiem un vārdiem “29.</w:t>
      </w:r>
      <w:r w:rsidR="000A77DA">
        <w:rPr>
          <w:sz w:val="26"/>
          <w:szCs w:val="26"/>
        </w:rPr>
        <w:t xml:space="preserve"> </w:t>
      </w:r>
      <w:r w:rsidR="00FD628B" w:rsidRPr="008054F9">
        <w:rPr>
          <w:sz w:val="26"/>
          <w:szCs w:val="26"/>
        </w:rPr>
        <w:t>nodaļas 2901., 2902., 2905. un 2909. pozīcijā”.</w:t>
      </w:r>
    </w:p>
    <w:p w14:paraId="2BDEDF0C" w14:textId="7FCC9BCE" w:rsidR="000F205A" w:rsidRPr="008054F9" w:rsidRDefault="000F205A" w:rsidP="000F205A">
      <w:pPr>
        <w:jc w:val="both"/>
        <w:rPr>
          <w:sz w:val="26"/>
          <w:szCs w:val="26"/>
        </w:rPr>
      </w:pPr>
    </w:p>
    <w:p w14:paraId="67823B99" w14:textId="4FBE9B2E" w:rsidR="000F205A" w:rsidRPr="008054F9" w:rsidRDefault="000F205A" w:rsidP="000F205A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Papildināt 12.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punktu aiz skaitļa un vārda “27.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nodaļā” ar skaitļiem un vārdiem “29.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nodaļas 2901., 2902., 2905. un 2909. pozīcijā”</w:t>
      </w:r>
      <w:r w:rsidR="00881A07" w:rsidRPr="008054F9">
        <w:rPr>
          <w:sz w:val="26"/>
          <w:szCs w:val="26"/>
        </w:rPr>
        <w:t>.</w:t>
      </w:r>
    </w:p>
    <w:p w14:paraId="05B3D52F" w14:textId="77777777" w:rsidR="00FD628B" w:rsidRPr="008054F9" w:rsidRDefault="00FD628B" w:rsidP="00FD628B">
      <w:pPr>
        <w:jc w:val="both"/>
        <w:rPr>
          <w:sz w:val="26"/>
          <w:szCs w:val="26"/>
        </w:rPr>
      </w:pPr>
    </w:p>
    <w:p w14:paraId="5F062EFC" w14:textId="57462B2C" w:rsidR="00156D6C" w:rsidRPr="008054F9" w:rsidRDefault="00FD628B" w:rsidP="003B2C06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Papildināt 14.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punktu aiz skaitļa “2.12.” ar skaitli “2.14.”</w:t>
      </w:r>
      <w:r w:rsidR="00C67822">
        <w:rPr>
          <w:sz w:val="26"/>
          <w:szCs w:val="26"/>
        </w:rPr>
        <w:t>.</w:t>
      </w:r>
    </w:p>
    <w:p w14:paraId="4B57EF43" w14:textId="77777777" w:rsidR="00B052D2" w:rsidRPr="008054F9" w:rsidRDefault="00B052D2" w:rsidP="00B052D2">
      <w:pPr>
        <w:pStyle w:val="ListParagraph"/>
        <w:rPr>
          <w:sz w:val="26"/>
          <w:szCs w:val="26"/>
        </w:rPr>
      </w:pPr>
    </w:p>
    <w:p w14:paraId="31169B7E" w14:textId="5775037A" w:rsidR="00B052D2" w:rsidRPr="008054F9" w:rsidRDefault="009C5A76" w:rsidP="003B2C06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Papildināt noteikumus</w:t>
      </w:r>
      <w:r w:rsidR="00B052D2" w:rsidRPr="008054F9">
        <w:rPr>
          <w:sz w:val="26"/>
          <w:szCs w:val="26"/>
        </w:rPr>
        <w:t xml:space="preserve"> ar 15.15. un 15.16.</w:t>
      </w:r>
      <w:r w:rsidR="000A77DA">
        <w:rPr>
          <w:sz w:val="26"/>
          <w:szCs w:val="26"/>
        </w:rPr>
        <w:t xml:space="preserve"> </w:t>
      </w:r>
      <w:r w:rsidR="00B052D2" w:rsidRPr="008054F9">
        <w:rPr>
          <w:sz w:val="26"/>
          <w:szCs w:val="26"/>
        </w:rPr>
        <w:t>apakšpunktu šādā redakcijā:</w:t>
      </w:r>
    </w:p>
    <w:p w14:paraId="003EB1B9" w14:textId="3F86E97A" w:rsidR="00290A22" w:rsidRPr="008054F9" w:rsidRDefault="00B052D2" w:rsidP="00E340F9">
      <w:pPr>
        <w:ind w:firstLine="426"/>
        <w:jc w:val="both"/>
        <w:rPr>
          <w:rFonts w:eastAsia="Times New Roman" w:cs="Times New Roman"/>
          <w:sz w:val="26"/>
          <w:szCs w:val="26"/>
          <w:lang w:eastAsia="lv-LV"/>
        </w:rPr>
      </w:pPr>
      <w:r w:rsidRPr="008054F9">
        <w:rPr>
          <w:rFonts w:eastAsia="Times New Roman" w:cs="Times New Roman"/>
          <w:sz w:val="26"/>
          <w:szCs w:val="26"/>
          <w:lang w:eastAsia="lv-LV"/>
        </w:rPr>
        <w:t xml:space="preserve">“15.15. </w:t>
      </w:r>
      <w:proofErr w:type="spellStart"/>
      <w:r w:rsidRPr="008054F9">
        <w:rPr>
          <w:rFonts w:eastAsia="Times New Roman" w:cs="Times New Roman"/>
          <w:sz w:val="26"/>
          <w:szCs w:val="26"/>
          <w:lang w:eastAsia="lv-LV"/>
        </w:rPr>
        <w:t>acikliskiem</w:t>
      </w:r>
      <w:proofErr w:type="spellEnd"/>
      <w:r w:rsidRPr="008054F9">
        <w:rPr>
          <w:rFonts w:eastAsia="Times New Roman" w:cs="Times New Roman"/>
          <w:sz w:val="26"/>
          <w:szCs w:val="26"/>
          <w:lang w:eastAsia="lv-LV"/>
        </w:rPr>
        <w:t xml:space="preserve"> un cikliskiem </w:t>
      </w:r>
      <w:r w:rsidR="00290A22" w:rsidRPr="008054F9">
        <w:rPr>
          <w:rFonts w:eastAsia="Times New Roman" w:cs="Times New Roman"/>
          <w:sz w:val="26"/>
          <w:szCs w:val="26"/>
          <w:lang w:eastAsia="lv-LV"/>
        </w:rPr>
        <w:t>ogļūdeņražiem – 0,4</w:t>
      </w:r>
      <w:r w:rsidR="00C67822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290A22" w:rsidRPr="008054F9">
        <w:rPr>
          <w:rFonts w:eastAsia="Times New Roman" w:cs="Times New Roman"/>
          <w:sz w:val="26"/>
          <w:szCs w:val="26"/>
          <w:lang w:eastAsia="lv-LV"/>
        </w:rPr>
        <w:t>%;</w:t>
      </w:r>
    </w:p>
    <w:p w14:paraId="16C75D1A" w14:textId="7E82CE56" w:rsidR="00B052D2" w:rsidRPr="008054F9" w:rsidRDefault="00290A22" w:rsidP="00E340F9">
      <w:pPr>
        <w:ind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8054F9">
        <w:rPr>
          <w:rFonts w:eastAsia="Times New Roman" w:cs="Times New Roman"/>
          <w:sz w:val="26"/>
          <w:szCs w:val="26"/>
          <w:lang w:eastAsia="lv-LV"/>
        </w:rPr>
        <w:t xml:space="preserve">15.16. ēteru spirtam un </w:t>
      </w:r>
      <w:r w:rsidR="005B19EF" w:rsidRPr="008054F9">
        <w:rPr>
          <w:rFonts w:eastAsia="Times New Roman" w:cs="Times New Roman"/>
          <w:sz w:val="26"/>
          <w:szCs w:val="26"/>
          <w:lang w:eastAsia="lv-LV"/>
        </w:rPr>
        <w:t>citam spi</w:t>
      </w:r>
      <w:r w:rsidR="00C67822">
        <w:rPr>
          <w:rFonts w:eastAsia="Times New Roman" w:cs="Times New Roman"/>
          <w:sz w:val="26"/>
          <w:szCs w:val="26"/>
          <w:lang w:eastAsia="lv-LV"/>
        </w:rPr>
        <w:t>rtam, izņemot etilspirtu – 0,2 %</w:t>
      </w:r>
      <w:r w:rsidR="00B052D2" w:rsidRPr="008054F9">
        <w:rPr>
          <w:rFonts w:eastAsia="Times New Roman" w:cs="Times New Roman"/>
          <w:sz w:val="26"/>
          <w:szCs w:val="26"/>
          <w:lang w:eastAsia="lv-LV"/>
        </w:rPr>
        <w:t>”</w:t>
      </w:r>
      <w:r w:rsidR="00C67822">
        <w:rPr>
          <w:rFonts w:eastAsia="Times New Roman" w:cs="Times New Roman"/>
          <w:sz w:val="26"/>
          <w:szCs w:val="26"/>
          <w:lang w:eastAsia="lv-LV"/>
        </w:rPr>
        <w:t>.</w:t>
      </w:r>
    </w:p>
    <w:p w14:paraId="17B8B543" w14:textId="0B82252D" w:rsidR="00C8787F" w:rsidRPr="008054F9" w:rsidRDefault="00C8787F" w:rsidP="00E340F9">
      <w:pPr>
        <w:ind w:firstLine="567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1AD8E1B4" w14:textId="04F2B4F6" w:rsidR="00C8787F" w:rsidRPr="008054F9" w:rsidRDefault="00C8787F" w:rsidP="00CF124A">
      <w:pPr>
        <w:pStyle w:val="ListParagraph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Papildināt 16.1.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apakšpunktu aiz skaitļa un vārda “27.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nodaļā” ar skaitļiem un vārdiem “29.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nodaļas 2901., 2902., 2905. un 2909.pozīcijā”.</w:t>
      </w:r>
    </w:p>
    <w:p w14:paraId="217DBFF6" w14:textId="3FFAD6EA" w:rsidR="002E76F0" w:rsidRPr="008054F9" w:rsidRDefault="002E76F0" w:rsidP="00E340F9">
      <w:pPr>
        <w:ind w:firstLine="567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3396ADBB" w14:textId="71E73FF4" w:rsidR="008054F9" w:rsidRPr="008054F9" w:rsidRDefault="008054F9" w:rsidP="008054F9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054F9">
        <w:rPr>
          <w:sz w:val="26"/>
          <w:szCs w:val="26"/>
        </w:rPr>
        <w:lastRenderedPageBreak/>
        <w:t>Izteikt 18.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punktu šādā redakcijā:</w:t>
      </w:r>
    </w:p>
    <w:p w14:paraId="2560AAF2" w14:textId="05636712" w:rsidR="009B733D" w:rsidRPr="008054F9" w:rsidRDefault="008054F9" w:rsidP="008054F9">
      <w:pPr>
        <w:ind w:firstLine="567"/>
        <w:jc w:val="both"/>
        <w:rPr>
          <w:rFonts w:cs="Times New Roman"/>
          <w:sz w:val="26"/>
          <w:szCs w:val="26"/>
        </w:rPr>
      </w:pPr>
      <w:r w:rsidRPr="008054F9">
        <w:rPr>
          <w:sz w:val="26"/>
          <w:szCs w:val="26"/>
        </w:rPr>
        <w:t xml:space="preserve">“18. </w:t>
      </w:r>
      <w:r w:rsidRPr="008054F9">
        <w:rPr>
          <w:rFonts w:cs="Times New Roman"/>
          <w:sz w:val="26"/>
          <w:szCs w:val="26"/>
        </w:rPr>
        <w:t>Šo noteikumu 2.1., 2.2., 2.3., 2.4., 2.5., 2.7.,</w:t>
      </w:r>
      <w:r w:rsidRPr="008054F9">
        <w:rPr>
          <w:rFonts w:eastAsia="Arial Unicode MS" w:cs="Times New Roman"/>
          <w:sz w:val="26"/>
          <w:szCs w:val="26"/>
        </w:rPr>
        <w:t xml:space="preserve"> 2.7.</w:t>
      </w:r>
      <w:r w:rsidRPr="008054F9">
        <w:rPr>
          <w:rFonts w:eastAsia="Arial Unicode MS" w:cs="Times New Roman"/>
          <w:sz w:val="26"/>
          <w:szCs w:val="26"/>
          <w:vertAlign w:val="superscript"/>
        </w:rPr>
        <w:t>1</w:t>
      </w:r>
      <w:r w:rsidRPr="008054F9">
        <w:rPr>
          <w:rFonts w:eastAsia="Arial Unicode MS" w:cs="Times New Roman"/>
          <w:sz w:val="26"/>
          <w:szCs w:val="26"/>
        </w:rPr>
        <w:t>,</w:t>
      </w:r>
      <w:r w:rsidRPr="008054F9">
        <w:rPr>
          <w:rFonts w:cs="Times New Roman"/>
          <w:sz w:val="26"/>
          <w:szCs w:val="26"/>
        </w:rPr>
        <w:t xml:space="preserve">  2.9., 2.10., 2.11., 2.12., 2.13., 2.14., 2.15</w:t>
      </w:r>
      <w:r w:rsidR="0077343F">
        <w:rPr>
          <w:rFonts w:cs="Times New Roman"/>
          <w:sz w:val="26"/>
          <w:szCs w:val="26"/>
        </w:rPr>
        <w:t>., 2.17., 2.18., 2.19. un 2.20.</w:t>
      </w:r>
      <w:r w:rsidRPr="008054F9">
        <w:rPr>
          <w:rFonts w:cs="Times New Roman"/>
          <w:sz w:val="26"/>
          <w:szCs w:val="26"/>
        </w:rPr>
        <w:t>apakšpunktā minētajām precēm pieļaujamās zudumu normas piemēro, ja preces tiek svērtas</w:t>
      </w:r>
      <w:r w:rsidR="00556A07">
        <w:rPr>
          <w:rFonts w:cs="Times New Roman"/>
          <w:sz w:val="26"/>
          <w:szCs w:val="26"/>
        </w:rPr>
        <w:t>,</w:t>
      </w:r>
      <w:r w:rsidRPr="008054F9">
        <w:rPr>
          <w:rFonts w:cs="Times New Roman"/>
          <w:sz w:val="26"/>
          <w:szCs w:val="26"/>
        </w:rPr>
        <w:t xml:space="preserve"> ievērojot normatīvajos aktos par mērījumu vien</w:t>
      </w:r>
      <w:r w:rsidR="00556A07">
        <w:rPr>
          <w:rFonts w:cs="Times New Roman"/>
          <w:sz w:val="26"/>
          <w:szCs w:val="26"/>
        </w:rPr>
        <w:t>otību noteiktās prasības</w:t>
      </w:r>
      <w:r w:rsidR="00C71F4C">
        <w:rPr>
          <w:rFonts w:cs="Times New Roman"/>
          <w:sz w:val="26"/>
          <w:szCs w:val="26"/>
        </w:rPr>
        <w:t xml:space="preserve"> un ja ar precēm tiek veiktas jebkuras darbības</w:t>
      </w:r>
      <w:r w:rsidRPr="008054F9">
        <w:rPr>
          <w:rFonts w:cs="Times New Roman"/>
          <w:sz w:val="26"/>
          <w:szCs w:val="26"/>
        </w:rPr>
        <w:t xml:space="preserve"> ievērojot normatīvajos aktos par preču pārvadāšanu, kraušanu un uzglabāšanu noteiktās prasības.”</w:t>
      </w:r>
      <w:r w:rsidR="00C67822">
        <w:rPr>
          <w:rFonts w:cs="Times New Roman"/>
          <w:sz w:val="26"/>
          <w:szCs w:val="26"/>
        </w:rPr>
        <w:t>.</w:t>
      </w:r>
    </w:p>
    <w:p w14:paraId="430E3274" w14:textId="77777777" w:rsidR="008054F9" w:rsidRPr="008054F9" w:rsidRDefault="008054F9" w:rsidP="008054F9">
      <w:pPr>
        <w:ind w:firstLine="567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7ECAA10E" w14:textId="09BEF7C1" w:rsidR="00156D6C" w:rsidRPr="008054F9" w:rsidRDefault="003B2C06" w:rsidP="00CF124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jc w:val="both"/>
        <w:rPr>
          <w:sz w:val="26"/>
          <w:szCs w:val="26"/>
        </w:rPr>
      </w:pPr>
      <w:r w:rsidRPr="008054F9">
        <w:rPr>
          <w:rFonts w:eastAsiaTheme="minorHAnsi" w:cstheme="minorBidi"/>
          <w:sz w:val="26"/>
          <w:szCs w:val="26"/>
          <w:lang w:eastAsia="en-US"/>
        </w:rPr>
        <w:t>Izteikt 19</w:t>
      </w:r>
      <w:r w:rsidR="00156D6C" w:rsidRPr="008054F9">
        <w:rPr>
          <w:rFonts w:eastAsiaTheme="minorHAnsi" w:cstheme="minorBidi"/>
          <w:sz w:val="26"/>
          <w:szCs w:val="26"/>
          <w:lang w:eastAsia="en-US"/>
        </w:rPr>
        <w:t>.</w:t>
      </w:r>
      <w:r w:rsidR="000A77D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156D6C" w:rsidRPr="008054F9">
        <w:rPr>
          <w:rFonts w:eastAsiaTheme="minorHAnsi" w:cstheme="minorBidi"/>
          <w:sz w:val="26"/>
          <w:szCs w:val="26"/>
          <w:lang w:eastAsia="en-US"/>
        </w:rPr>
        <w:t>punktu šādā redakcijā:</w:t>
      </w:r>
    </w:p>
    <w:p w14:paraId="56584D02" w14:textId="7B41CA75" w:rsidR="003B2C06" w:rsidRPr="008054F9" w:rsidRDefault="003B2C06" w:rsidP="00CF124A">
      <w:pPr>
        <w:pStyle w:val="tv2132"/>
        <w:tabs>
          <w:tab w:val="left" w:pos="567"/>
        </w:tabs>
        <w:spacing w:line="240" w:lineRule="auto"/>
        <w:ind w:firstLine="426"/>
        <w:jc w:val="both"/>
        <w:rPr>
          <w:color w:val="auto"/>
          <w:sz w:val="26"/>
          <w:szCs w:val="26"/>
        </w:rPr>
      </w:pPr>
      <w:r w:rsidRPr="008054F9">
        <w:rPr>
          <w:color w:val="auto"/>
          <w:sz w:val="26"/>
          <w:szCs w:val="26"/>
        </w:rPr>
        <w:t xml:space="preserve"> </w:t>
      </w:r>
      <w:r w:rsidR="00156D6C" w:rsidRPr="008054F9">
        <w:rPr>
          <w:color w:val="auto"/>
          <w:sz w:val="26"/>
          <w:szCs w:val="26"/>
        </w:rPr>
        <w:t>“</w:t>
      </w:r>
      <w:r w:rsidR="00165222" w:rsidRPr="008054F9">
        <w:rPr>
          <w:color w:val="auto"/>
          <w:sz w:val="26"/>
          <w:szCs w:val="26"/>
        </w:rPr>
        <w:t xml:space="preserve">19. </w:t>
      </w:r>
      <w:r w:rsidR="009B733D" w:rsidRPr="008054F9">
        <w:rPr>
          <w:color w:val="auto"/>
          <w:sz w:val="26"/>
          <w:szCs w:val="26"/>
        </w:rPr>
        <w:t xml:space="preserve">Piemērojot </w:t>
      </w:r>
      <w:r w:rsidR="002031BA" w:rsidRPr="008054F9">
        <w:rPr>
          <w:color w:val="auto"/>
          <w:sz w:val="26"/>
          <w:szCs w:val="26"/>
        </w:rPr>
        <w:t xml:space="preserve">šo noteikumu </w:t>
      </w:r>
      <w:r w:rsidR="007A191B" w:rsidRPr="008054F9">
        <w:rPr>
          <w:color w:val="auto"/>
          <w:sz w:val="26"/>
          <w:szCs w:val="26"/>
        </w:rPr>
        <w:t>18.</w:t>
      </w:r>
      <w:r w:rsidR="000A77DA">
        <w:rPr>
          <w:color w:val="auto"/>
          <w:sz w:val="26"/>
          <w:szCs w:val="26"/>
        </w:rPr>
        <w:t xml:space="preserve"> </w:t>
      </w:r>
      <w:r w:rsidR="007A191B" w:rsidRPr="008054F9">
        <w:rPr>
          <w:color w:val="auto"/>
          <w:sz w:val="26"/>
          <w:szCs w:val="26"/>
        </w:rPr>
        <w:t xml:space="preserve">punktā </w:t>
      </w:r>
      <w:r w:rsidR="009B733D" w:rsidRPr="008054F9">
        <w:rPr>
          <w:color w:val="auto"/>
          <w:sz w:val="26"/>
          <w:szCs w:val="26"/>
        </w:rPr>
        <w:t>minētām</w:t>
      </w:r>
      <w:r w:rsidR="002031BA" w:rsidRPr="008054F9">
        <w:rPr>
          <w:color w:val="auto"/>
          <w:sz w:val="26"/>
          <w:szCs w:val="26"/>
        </w:rPr>
        <w:t xml:space="preserve"> precēm</w:t>
      </w:r>
      <w:r w:rsidR="00C76098" w:rsidRPr="008054F9">
        <w:rPr>
          <w:color w:val="auto"/>
          <w:sz w:val="26"/>
          <w:szCs w:val="26"/>
        </w:rPr>
        <w:t xml:space="preserve"> </w:t>
      </w:r>
      <w:r w:rsidR="009B733D" w:rsidRPr="008054F9">
        <w:rPr>
          <w:color w:val="auto"/>
          <w:sz w:val="26"/>
          <w:szCs w:val="26"/>
        </w:rPr>
        <w:t>pagaidu uzglabāšanu vai muitas procedūru (izņemot muitas procedūru – tranzīts un eksports)</w:t>
      </w:r>
      <w:r w:rsidRPr="008054F9">
        <w:rPr>
          <w:color w:val="auto"/>
          <w:sz w:val="26"/>
          <w:szCs w:val="26"/>
        </w:rPr>
        <w:t>,</w:t>
      </w:r>
      <w:r w:rsidR="009D6318" w:rsidRPr="008054F9">
        <w:rPr>
          <w:color w:val="auto"/>
          <w:sz w:val="26"/>
          <w:szCs w:val="26"/>
        </w:rPr>
        <w:t xml:space="preserve"> muitas parāds nerodas,</w:t>
      </w:r>
      <w:r w:rsidRPr="008054F9">
        <w:rPr>
          <w:color w:val="auto"/>
          <w:sz w:val="26"/>
          <w:szCs w:val="26"/>
        </w:rPr>
        <w:t xml:space="preserve"> ja faktiskā zuduma apmēri (procentos) no muitas deklarācijā vai pavaddokumentos norādītā daudzuma nepārsniedz </w:t>
      </w:r>
      <w:r w:rsidR="00565B87" w:rsidRPr="008054F9">
        <w:rPr>
          <w:color w:val="auto"/>
          <w:sz w:val="26"/>
          <w:szCs w:val="26"/>
        </w:rPr>
        <w:t>šo noteikumu 3.</w:t>
      </w:r>
      <w:r w:rsidR="000A77DA">
        <w:rPr>
          <w:color w:val="auto"/>
          <w:sz w:val="26"/>
          <w:szCs w:val="26"/>
        </w:rPr>
        <w:t xml:space="preserve"> </w:t>
      </w:r>
      <w:r w:rsidR="00565B87" w:rsidRPr="008054F9">
        <w:rPr>
          <w:color w:val="auto"/>
          <w:sz w:val="26"/>
          <w:szCs w:val="26"/>
        </w:rPr>
        <w:t>pielikuma 4.</w:t>
      </w:r>
      <w:r w:rsidR="00DB4C43" w:rsidRPr="008054F9">
        <w:rPr>
          <w:color w:val="auto"/>
          <w:sz w:val="26"/>
          <w:szCs w:val="26"/>
        </w:rPr>
        <w:t>kol</w:t>
      </w:r>
      <w:r w:rsidR="00565B87" w:rsidRPr="008054F9">
        <w:rPr>
          <w:color w:val="auto"/>
          <w:sz w:val="26"/>
          <w:szCs w:val="26"/>
        </w:rPr>
        <w:t>on</w:t>
      </w:r>
      <w:r w:rsidR="00DB4C43" w:rsidRPr="008054F9">
        <w:rPr>
          <w:color w:val="auto"/>
          <w:sz w:val="26"/>
          <w:szCs w:val="26"/>
        </w:rPr>
        <w:t>n</w:t>
      </w:r>
      <w:r w:rsidR="00565B87" w:rsidRPr="008054F9">
        <w:rPr>
          <w:color w:val="auto"/>
          <w:sz w:val="26"/>
          <w:szCs w:val="26"/>
        </w:rPr>
        <w:t>ā</w:t>
      </w:r>
      <w:r w:rsidR="007A191B" w:rsidRPr="008054F9">
        <w:rPr>
          <w:color w:val="auto"/>
          <w:sz w:val="26"/>
          <w:szCs w:val="26"/>
        </w:rPr>
        <w:t xml:space="preserve"> noteiktās zuduma normas</w:t>
      </w:r>
      <w:r w:rsidR="007206F6" w:rsidRPr="008054F9">
        <w:rPr>
          <w:color w:val="auto"/>
          <w:sz w:val="26"/>
          <w:szCs w:val="26"/>
        </w:rPr>
        <w:t>.</w:t>
      </w:r>
      <w:r w:rsidR="00881A07" w:rsidRPr="008054F9">
        <w:rPr>
          <w:color w:val="auto"/>
          <w:sz w:val="26"/>
          <w:szCs w:val="26"/>
        </w:rPr>
        <w:t>”</w:t>
      </w:r>
      <w:r w:rsidR="00C67822">
        <w:rPr>
          <w:color w:val="auto"/>
          <w:sz w:val="26"/>
          <w:szCs w:val="26"/>
        </w:rPr>
        <w:t>.</w:t>
      </w:r>
    </w:p>
    <w:p w14:paraId="148F20C4" w14:textId="77777777" w:rsidR="00F7396C" w:rsidRPr="008054F9" w:rsidRDefault="00F7396C" w:rsidP="00165222">
      <w:pPr>
        <w:ind w:firstLine="426"/>
        <w:rPr>
          <w:rFonts w:eastAsia="Times New Roman" w:cs="Times New Roman"/>
          <w:sz w:val="26"/>
          <w:szCs w:val="26"/>
          <w:lang w:eastAsia="lv-LV"/>
        </w:rPr>
      </w:pPr>
    </w:p>
    <w:p w14:paraId="51E8CD47" w14:textId="2C9B79B4" w:rsidR="00F7396C" w:rsidRPr="008054F9" w:rsidRDefault="00F7396C" w:rsidP="00CF124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hanging="294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Papildināt noteikumus ar 19.</w:t>
      </w:r>
      <w:r w:rsidRPr="008054F9">
        <w:rPr>
          <w:sz w:val="26"/>
          <w:szCs w:val="26"/>
          <w:vertAlign w:val="superscript"/>
        </w:rPr>
        <w:t>1</w:t>
      </w:r>
      <w:r w:rsidR="000A77DA">
        <w:rPr>
          <w:sz w:val="26"/>
          <w:szCs w:val="26"/>
          <w:vertAlign w:val="superscript"/>
        </w:rPr>
        <w:t xml:space="preserve"> </w:t>
      </w:r>
      <w:r w:rsidRPr="008054F9">
        <w:rPr>
          <w:sz w:val="26"/>
          <w:szCs w:val="26"/>
        </w:rPr>
        <w:t>punktu šādā redakcijā:</w:t>
      </w:r>
    </w:p>
    <w:p w14:paraId="6B1800F8" w14:textId="0D582527" w:rsidR="00F7396C" w:rsidRPr="008054F9" w:rsidRDefault="00F7396C" w:rsidP="009E10E2">
      <w:pPr>
        <w:tabs>
          <w:tab w:val="left" w:pos="851"/>
          <w:tab w:val="left" w:pos="993"/>
        </w:tabs>
        <w:ind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“19.¹</w:t>
      </w:r>
      <w:r w:rsidR="009D6318" w:rsidRPr="008054F9">
        <w:rPr>
          <w:sz w:val="26"/>
          <w:szCs w:val="26"/>
        </w:rPr>
        <w:t xml:space="preserve"> P</w:t>
      </w:r>
      <w:r w:rsidR="007D2AB8" w:rsidRPr="008054F9">
        <w:rPr>
          <w:sz w:val="26"/>
          <w:szCs w:val="26"/>
        </w:rPr>
        <w:t xml:space="preserve">iemērojot muitas procedūru </w:t>
      </w:r>
      <w:r w:rsidR="007D2AB8" w:rsidRPr="008054F9">
        <w:rPr>
          <w:rFonts w:eastAsia="Times New Roman" w:cs="Times New Roman"/>
          <w:sz w:val="26"/>
          <w:szCs w:val="26"/>
          <w:lang w:eastAsia="lv-LV"/>
        </w:rPr>
        <w:t>–</w:t>
      </w:r>
      <w:r w:rsidRPr="008054F9">
        <w:rPr>
          <w:sz w:val="26"/>
          <w:szCs w:val="26"/>
        </w:rPr>
        <w:t xml:space="preserve"> tranzīts,</w:t>
      </w:r>
      <w:r w:rsidR="009D6318" w:rsidRPr="008054F9">
        <w:rPr>
          <w:sz w:val="26"/>
          <w:szCs w:val="26"/>
        </w:rPr>
        <w:t xml:space="preserve"> muitas parāds nerodas, ja</w:t>
      </w:r>
      <w:r w:rsidRPr="008054F9">
        <w:rPr>
          <w:sz w:val="26"/>
          <w:szCs w:val="26"/>
        </w:rPr>
        <w:t xml:space="preserve"> faktiskā zuduma apmēri (procentos)</w:t>
      </w:r>
      <w:r w:rsidR="009E10E2" w:rsidRPr="008054F9">
        <w:rPr>
          <w:sz w:val="26"/>
          <w:szCs w:val="26"/>
        </w:rPr>
        <w:t xml:space="preserve"> no muitas deklarācijā vai pavaddokumentos norādītā daudzuma nepārsniedz šo noteikumu 3.</w:t>
      </w:r>
      <w:r w:rsidR="000A77DA">
        <w:rPr>
          <w:sz w:val="26"/>
          <w:szCs w:val="26"/>
        </w:rPr>
        <w:t xml:space="preserve"> </w:t>
      </w:r>
      <w:r w:rsidR="00565B87" w:rsidRPr="008054F9">
        <w:rPr>
          <w:sz w:val="26"/>
          <w:szCs w:val="26"/>
        </w:rPr>
        <w:t>pielikuma 5.</w:t>
      </w:r>
      <w:r w:rsidR="00DB4C43" w:rsidRPr="008054F9">
        <w:rPr>
          <w:sz w:val="26"/>
          <w:szCs w:val="26"/>
        </w:rPr>
        <w:t>kol</w:t>
      </w:r>
      <w:r w:rsidR="00565B87" w:rsidRPr="008054F9">
        <w:rPr>
          <w:sz w:val="26"/>
          <w:szCs w:val="26"/>
        </w:rPr>
        <w:t>onnā</w:t>
      </w:r>
      <w:r w:rsidR="00881A07" w:rsidRPr="008054F9">
        <w:rPr>
          <w:sz w:val="26"/>
          <w:szCs w:val="26"/>
        </w:rPr>
        <w:t xml:space="preserve"> noteiktās zuduma normas</w:t>
      </w:r>
      <w:r w:rsidR="009E10E2" w:rsidRPr="008054F9">
        <w:rPr>
          <w:sz w:val="26"/>
          <w:szCs w:val="26"/>
        </w:rPr>
        <w:t>.”</w:t>
      </w:r>
      <w:r w:rsidR="00C67822">
        <w:rPr>
          <w:sz w:val="26"/>
          <w:szCs w:val="26"/>
        </w:rPr>
        <w:t>.</w:t>
      </w:r>
    </w:p>
    <w:p w14:paraId="2F3172E2" w14:textId="2ED404F4" w:rsidR="00897320" w:rsidRPr="008054F9" w:rsidRDefault="00897320" w:rsidP="009E10E2">
      <w:pPr>
        <w:tabs>
          <w:tab w:val="left" w:pos="851"/>
          <w:tab w:val="left" w:pos="993"/>
        </w:tabs>
        <w:ind w:firstLine="426"/>
        <w:jc w:val="both"/>
        <w:rPr>
          <w:sz w:val="26"/>
          <w:szCs w:val="26"/>
        </w:rPr>
      </w:pPr>
    </w:p>
    <w:p w14:paraId="16CECF6C" w14:textId="51A32ED5" w:rsidR="00897320" w:rsidRPr="008054F9" w:rsidRDefault="00DB4C43" w:rsidP="00CF124A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Aizstāt 20.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punktā skaitli un vārdu</w:t>
      </w:r>
      <w:r w:rsidR="00897320" w:rsidRPr="008054F9">
        <w:rPr>
          <w:sz w:val="26"/>
          <w:szCs w:val="26"/>
        </w:rPr>
        <w:t xml:space="preserve"> “19.</w:t>
      </w:r>
      <w:r w:rsidR="000A77DA">
        <w:rPr>
          <w:sz w:val="26"/>
          <w:szCs w:val="26"/>
        </w:rPr>
        <w:t xml:space="preserve"> </w:t>
      </w:r>
      <w:r w:rsidR="00897320" w:rsidRPr="008054F9">
        <w:rPr>
          <w:sz w:val="26"/>
          <w:szCs w:val="26"/>
        </w:rPr>
        <w:t>punktā” ar</w:t>
      </w:r>
      <w:r w:rsidRPr="008054F9">
        <w:rPr>
          <w:sz w:val="26"/>
          <w:szCs w:val="26"/>
        </w:rPr>
        <w:t xml:space="preserve"> skaitļ</w:t>
      </w:r>
      <w:r w:rsidR="00977D88" w:rsidRPr="008054F9">
        <w:rPr>
          <w:sz w:val="26"/>
          <w:szCs w:val="26"/>
        </w:rPr>
        <w:t>i</w:t>
      </w:r>
      <w:r w:rsidRPr="008054F9">
        <w:rPr>
          <w:sz w:val="26"/>
          <w:szCs w:val="26"/>
        </w:rPr>
        <w:t>em un vārdiem “3.pielikuma 5.kolonnā</w:t>
      </w:r>
      <w:r w:rsidR="00897320" w:rsidRPr="008054F9">
        <w:rPr>
          <w:sz w:val="26"/>
          <w:szCs w:val="26"/>
        </w:rPr>
        <w:t>”</w:t>
      </w:r>
      <w:r w:rsidR="00977D88" w:rsidRPr="008054F9">
        <w:rPr>
          <w:sz w:val="26"/>
          <w:szCs w:val="26"/>
        </w:rPr>
        <w:t>.</w:t>
      </w:r>
    </w:p>
    <w:p w14:paraId="170932C9" w14:textId="488EE120" w:rsidR="00393F93" w:rsidRPr="008054F9" w:rsidRDefault="00393F93" w:rsidP="009E10E2">
      <w:pPr>
        <w:tabs>
          <w:tab w:val="left" w:pos="851"/>
          <w:tab w:val="left" w:pos="993"/>
        </w:tabs>
        <w:ind w:firstLine="426"/>
        <w:jc w:val="both"/>
        <w:rPr>
          <w:sz w:val="26"/>
          <w:szCs w:val="26"/>
        </w:rPr>
      </w:pPr>
    </w:p>
    <w:p w14:paraId="2C5F6BC2" w14:textId="3072A0F6" w:rsidR="00393F93" w:rsidRPr="008054F9" w:rsidRDefault="00393F93" w:rsidP="00CF124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hanging="294"/>
        <w:jc w:val="both"/>
        <w:rPr>
          <w:sz w:val="26"/>
          <w:szCs w:val="26"/>
        </w:rPr>
      </w:pPr>
      <w:r w:rsidRPr="008054F9">
        <w:rPr>
          <w:sz w:val="26"/>
          <w:szCs w:val="26"/>
        </w:rPr>
        <w:t>Izteikt 3.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pielikumu šādā redakcijā:</w:t>
      </w:r>
    </w:p>
    <w:p w14:paraId="1EA6C002" w14:textId="6D944942" w:rsidR="00393F93" w:rsidRPr="008054F9" w:rsidRDefault="00393F93" w:rsidP="00393F93">
      <w:pPr>
        <w:pStyle w:val="ListParagraph"/>
        <w:tabs>
          <w:tab w:val="left" w:pos="851"/>
          <w:tab w:val="left" w:pos="993"/>
        </w:tabs>
        <w:jc w:val="right"/>
        <w:rPr>
          <w:sz w:val="26"/>
          <w:szCs w:val="26"/>
        </w:rPr>
      </w:pPr>
      <w:r w:rsidRPr="008054F9">
        <w:rPr>
          <w:sz w:val="26"/>
          <w:szCs w:val="26"/>
        </w:rPr>
        <w:t>“3.</w:t>
      </w:r>
      <w:r w:rsidR="000A77DA">
        <w:rPr>
          <w:sz w:val="26"/>
          <w:szCs w:val="26"/>
        </w:rPr>
        <w:t xml:space="preserve"> </w:t>
      </w:r>
      <w:r w:rsidRPr="008054F9">
        <w:rPr>
          <w:sz w:val="26"/>
          <w:szCs w:val="26"/>
        </w:rPr>
        <w:t>pielikums</w:t>
      </w:r>
    </w:p>
    <w:p w14:paraId="500B676D" w14:textId="77777777" w:rsidR="00393F93" w:rsidRPr="008054F9" w:rsidRDefault="00393F93" w:rsidP="00393F93">
      <w:pPr>
        <w:jc w:val="right"/>
        <w:rPr>
          <w:sz w:val="26"/>
          <w:szCs w:val="26"/>
        </w:rPr>
      </w:pPr>
      <w:r w:rsidRPr="008054F9">
        <w:rPr>
          <w:sz w:val="26"/>
          <w:szCs w:val="26"/>
        </w:rPr>
        <w:t>Ministru kabineta</w:t>
      </w:r>
    </w:p>
    <w:p w14:paraId="608B9065" w14:textId="69881D9B" w:rsidR="00393F93" w:rsidRPr="008054F9" w:rsidRDefault="00393F93" w:rsidP="00393F93">
      <w:pPr>
        <w:tabs>
          <w:tab w:val="left" w:pos="7106"/>
        </w:tabs>
        <w:jc w:val="right"/>
        <w:rPr>
          <w:sz w:val="26"/>
          <w:szCs w:val="26"/>
        </w:rPr>
      </w:pPr>
      <w:r w:rsidRPr="008054F9">
        <w:rPr>
          <w:sz w:val="26"/>
          <w:szCs w:val="26"/>
        </w:rPr>
        <w:t>2016. gada 20.decembra</w:t>
      </w:r>
    </w:p>
    <w:p w14:paraId="652F5DB0" w14:textId="655DAF51" w:rsidR="00393F93" w:rsidRPr="008054F9" w:rsidRDefault="00393F93" w:rsidP="00393F93">
      <w:pPr>
        <w:tabs>
          <w:tab w:val="left" w:pos="7106"/>
        </w:tabs>
        <w:ind w:left="5760"/>
        <w:jc w:val="right"/>
        <w:rPr>
          <w:sz w:val="26"/>
          <w:szCs w:val="26"/>
        </w:rPr>
      </w:pPr>
      <w:r w:rsidRPr="008054F9">
        <w:rPr>
          <w:sz w:val="26"/>
          <w:szCs w:val="26"/>
        </w:rPr>
        <w:t>noteikumiem Nr.861</w:t>
      </w:r>
    </w:p>
    <w:p w14:paraId="1462997F" w14:textId="77777777" w:rsidR="00393F93" w:rsidRPr="008054F9" w:rsidRDefault="00393F93" w:rsidP="00393F93">
      <w:pPr>
        <w:pStyle w:val="ListParagraph"/>
        <w:tabs>
          <w:tab w:val="left" w:pos="851"/>
          <w:tab w:val="left" w:pos="993"/>
        </w:tabs>
        <w:jc w:val="right"/>
        <w:rPr>
          <w:b/>
          <w:sz w:val="26"/>
          <w:szCs w:val="26"/>
        </w:rPr>
      </w:pPr>
    </w:p>
    <w:p w14:paraId="0CD4E841" w14:textId="2D98557F" w:rsidR="00393F93" w:rsidRPr="008054F9" w:rsidRDefault="00393F93" w:rsidP="00393F93">
      <w:pPr>
        <w:pStyle w:val="ListParagraph"/>
        <w:tabs>
          <w:tab w:val="left" w:pos="851"/>
          <w:tab w:val="left" w:pos="993"/>
        </w:tabs>
        <w:jc w:val="center"/>
        <w:rPr>
          <w:sz w:val="26"/>
          <w:szCs w:val="26"/>
        </w:rPr>
      </w:pPr>
      <w:r w:rsidRPr="008054F9">
        <w:rPr>
          <w:b/>
          <w:sz w:val="26"/>
          <w:szCs w:val="26"/>
        </w:rPr>
        <w:t>Pieļaujamās z</w:t>
      </w:r>
      <w:r w:rsidR="00565B87" w:rsidRPr="008054F9">
        <w:rPr>
          <w:b/>
          <w:sz w:val="26"/>
          <w:szCs w:val="26"/>
        </w:rPr>
        <w:t>uduma normas beramām precēm</w:t>
      </w:r>
    </w:p>
    <w:p w14:paraId="261656C9" w14:textId="77777777" w:rsidR="00393F93" w:rsidRPr="00393F93" w:rsidRDefault="00393F93" w:rsidP="00393F93">
      <w:pPr>
        <w:pStyle w:val="ListParagraph"/>
        <w:tabs>
          <w:tab w:val="left" w:pos="851"/>
          <w:tab w:val="left" w:pos="993"/>
        </w:tabs>
        <w:jc w:val="right"/>
        <w:rPr>
          <w:sz w:val="28"/>
          <w:szCs w:val="28"/>
        </w:rPr>
      </w:pPr>
    </w:p>
    <w:tbl>
      <w:tblPr>
        <w:tblW w:w="492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765"/>
        <w:gridCol w:w="1477"/>
        <w:gridCol w:w="1430"/>
        <w:gridCol w:w="1411"/>
      </w:tblGrid>
      <w:tr w:rsidR="006E781C" w:rsidRPr="00393F93" w14:paraId="179344D9" w14:textId="68572D7F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6DE7C" w14:textId="77777777" w:rsidR="00920FF3" w:rsidRPr="00393F93" w:rsidRDefault="00920FF3" w:rsidP="00393F9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Nr.</w:t>
            </w:r>
            <w:r w:rsidRPr="00393F93">
              <w:rPr>
                <w:rFonts w:eastAsia="Times New Roman" w:cs="Times New Roman"/>
              </w:rPr>
              <w:br/>
              <w:t>p.k.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1F4AB" w14:textId="77777777" w:rsidR="00920FF3" w:rsidRPr="00393F93" w:rsidRDefault="00920FF3" w:rsidP="00393F9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Preces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411BF" w14:textId="77777777" w:rsidR="00920FF3" w:rsidRPr="00393F93" w:rsidRDefault="00920FF3" w:rsidP="00920F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Eiropas Savienības kombinētās nomenklatūras preču 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9AD1E" w14:textId="07D28539" w:rsidR="00920FF3" w:rsidRPr="007D7037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7D7037">
              <w:rPr>
                <w:rFonts w:eastAsia="Times New Roman" w:cs="Times New Roman"/>
                <w:szCs w:val="24"/>
              </w:rPr>
              <w:t>Zuduma normas</w:t>
            </w:r>
            <w:r w:rsidR="007D7037" w:rsidRPr="007D7037">
              <w:rPr>
                <w:rFonts w:eastAsia="Times New Roman" w:cs="Times New Roman"/>
                <w:szCs w:val="24"/>
              </w:rPr>
              <w:t>, kuras piemēro 19.punktā noteikt</w:t>
            </w:r>
            <w:r w:rsidR="00881A07">
              <w:rPr>
                <w:rFonts w:eastAsia="Times New Roman" w:cs="Times New Roman"/>
                <w:szCs w:val="24"/>
              </w:rPr>
              <w:t>iem nosacījumiem</w:t>
            </w:r>
          </w:p>
        </w:tc>
        <w:tc>
          <w:tcPr>
            <w:tcW w:w="775" w:type="pct"/>
          </w:tcPr>
          <w:p w14:paraId="57A2C4F3" w14:textId="3759E879" w:rsidR="00920FF3" w:rsidRDefault="00920FF3" w:rsidP="00EF75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</w:p>
          <w:p w14:paraId="73795FEA" w14:textId="165BB528" w:rsidR="00920FF3" w:rsidRPr="00A33B9C" w:rsidRDefault="00920FF3" w:rsidP="00EF7593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4"/>
              </w:rPr>
            </w:pPr>
            <w:r w:rsidRPr="00A33B9C">
              <w:rPr>
                <w:rFonts w:eastAsia="Times New Roman" w:cs="Times New Roman"/>
                <w:szCs w:val="24"/>
              </w:rPr>
              <w:t>Zuduma normas</w:t>
            </w:r>
            <w:r w:rsidR="007D7037" w:rsidRPr="00A33B9C">
              <w:rPr>
                <w:rFonts w:eastAsia="Times New Roman" w:cs="Times New Roman"/>
                <w:szCs w:val="24"/>
              </w:rPr>
              <w:t xml:space="preserve">, kuras piemēro </w:t>
            </w:r>
            <w:r w:rsidR="007D7037" w:rsidRPr="00A33B9C">
              <w:rPr>
                <w:rFonts w:cs="Times New Roman"/>
                <w:szCs w:val="24"/>
              </w:rPr>
              <w:t>19.¹ un 20.punktā noteiktām</w:t>
            </w:r>
            <w:r w:rsidR="00881A07">
              <w:rPr>
                <w:rFonts w:cs="Times New Roman"/>
                <w:szCs w:val="24"/>
              </w:rPr>
              <w:t xml:space="preserve"> muitas</w:t>
            </w:r>
            <w:r w:rsidR="007D7037" w:rsidRPr="00A33B9C">
              <w:rPr>
                <w:rFonts w:cs="Times New Roman"/>
                <w:szCs w:val="24"/>
              </w:rPr>
              <w:t xml:space="preserve"> procedūrām</w:t>
            </w:r>
          </w:p>
        </w:tc>
      </w:tr>
      <w:tr w:rsidR="006E781C" w:rsidRPr="00881A07" w14:paraId="6CB0CF04" w14:textId="40AE5956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73F0F" w14:textId="68977D96" w:rsidR="00920FF3" w:rsidRPr="00AB56B0" w:rsidRDefault="00920FF3" w:rsidP="00393F9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6B0">
              <w:rPr>
                <w:rFonts w:eastAsia="Times New Roman" w:cs="Times New Roman"/>
                <w:b/>
                <w:szCs w:val="24"/>
              </w:rPr>
              <w:t>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1C0F" w14:textId="79190DCF" w:rsidR="00920FF3" w:rsidRPr="00AB56B0" w:rsidRDefault="00920FF3" w:rsidP="00393F9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6B0">
              <w:rPr>
                <w:rFonts w:eastAsia="Times New Roman" w:cs="Times New Roman"/>
                <w:b/>
                <w:szCs w:val="24"/>
              </w:rPr>
              <w:t>2.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3DBA" w14:textId="284E2FCD" w:rsidR="00920FF3" w:rsidRPr="00AB56B0" w:rsidRDefault="00920FF3" w:rsidP="00393F9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6B0">
              <w:rPr>
                <w:rFonts w:eastAsia="Times New Roman" w:cs="Times New Roman"/>
                <w:b/>
                <w:szCs w:val="24"/>
              </w:rPr>
              <w:t>3.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A69E" w14:textId="3BAAA09A" w:rsidR="00920FF3" w:rsidRPr="00AB56B0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6B0">
              <w:rPr>
                <w:rFonts w:eastAsia="Times New Roman" w:cs="Times New Roman"/>
                <w:b/>
                <w:szCs w:val="24"/>
              </w:rPr>
              <w:t>4.</w:t>
            </w:r>
          </w:p>
        </w:tc>
        <w:tc>
          <w:tcPr>
            <w:tcW w:w="775" w:type="pct"/>
          </w:tcPr>
          <w:p w14:paraId="7BA60650" w14:textId="10E57499" w:rsidR="00920FF3" w:rsidRPr="00AB56B0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 w:rsidRPr="00AB56B0">
              <w:rPr>
                <w:rFonts w:eastAsia="Times New Roman" w:cs="Times New Roman"/>
                <w:b/>
                <w:szCs w:val="24"/>
              </w:rPr>
              <w:t>5.</w:t>
            </w:r>
          </w:p>
        </w:tc>
      </w:tr>
      <w:tr w:rsidR="00920FF3" w:rsidRPr="00393F93" w14:paraId="4B4093C7" w14:textId="4C0E4F9A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4F08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0AE0C" w14:textId="3E458D13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Pārtikas un lauksaimniecības preces</w:t>
            </w:r>
          </w:p>
        </w:tc>
      </w:tr>
      <w:tr w:rsidR="003959A1" w:rsidRPr="00393F93" w14:paraId="2F4560E7" w14:textId="073D665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21C80" w14:textId="77777777" w:rsidR="003959A1" w:rsidRPr="00393F93" w:rsidRDefault="003959A1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BDB6A" w14:textId="05A7342A" w:rsidR="003959A1" w:rsidRPr="00393F93" w:rsidRDefault="003959A1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Graudaugi</w:t>
            </w:r>
          </w:p>
        </w:tc>
      </w:tr>
      <w:tr w:rsidR="006E781C" w:rsidRPr="00393F93" w14:paraId="53DD8C74" w14:textId="2F26AD8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3549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1C49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Kvieši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F4EC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E59F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79DBE736" w14:textId="1B07C4A0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22D69297" w14:textId="71455D1F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21B6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lastRenderedPageBreak/>
              <w:t>1.1.2.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303E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Mieži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9B6E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B34D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0,5 %</w:t>
            </w:r>
          </w:p>
        </w:tc>
        <w:tc>
          <w:tcPr>
            <w:tcW w:w="775" w:type="pct"/>
          </w:tcPr>
          <w:p w14:paraId="0D126ED8" w14:textId="092AF821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15CE8FEC" w14:textId="1A0434C3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2821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4D6D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Rudzi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3AC7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BEC2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2E68ECF1" w14:textId="05F4C5F6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A8B9E2A" w14:textId="366CEBB5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13B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5628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Auzas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158A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25AA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0B9B42A4" w14:textId="4D50D903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14D0C975" w14:textId="7E06224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F9CA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1.1.5.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8B17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Griķi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E02E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2CA8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4C5CEB28" w14:textId="0534770E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1818D680" w14:textId="2384E602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D3F5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1.1.6.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371B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Rīsi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DC75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5B40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3C78ABB9" w14:textId="757D95DA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4E1184C6" w14:textId="26A390A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9B17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1.1.7.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8CD5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Kukurūza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B1AB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BAAB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6BF01294" w14:textId="3BC81013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565B87" w:rsidRPr="00393F93" w14:paraId="44BCD5FF" w14:textId="18672E54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F8CA7" w14:textId="77777777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1.2.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8F833" w14:textId="168971A2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Eļļas augi</w:t>
            </w:r>
          </w:p>
        </w:tc>
      </w:tr>
      <w:tr w:rsidR="006E781C" w:rsidRPr="00393F93" w14:paraId="3F8B5C70" w14:textId="262B0CAD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A778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1.2.1.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9138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Saulespuķu sēklas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EB11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D1FD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0,4 %</w:t>
            </w:r>
          </w:p>
        </w:tc>
        <w:tc>
          <w:tcPr>
            <w:tcW w:w="775" w:type="pct"/>
          </w:tcPr>
          <w:p w14:paraId="5C921679" w14:textId="6F70CEB8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7A2973AF" w14:textId="02A84CE3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60CA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1.2.2.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045F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Rapšu sēklas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8489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6272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0,4 %</w:t>
            </w:r>
          </w:p>
        </w:tc>
        <w:tc>
          <w:tcPr>
            <w:tcW w:w="775" w:type="pct"/>
          </w:tcPr>
          <w:p w14:paraId="0D9A5824" w14:textId="1126AFA5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7CB79BA5" w14:textId="692FA2F9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8037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1.2.3.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A1F6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Sojas pupas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2D80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768A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638C2AF5" w14:textId="25F429AD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3C1BD4F6" w14:textId="54917821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B113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1.2.4.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1143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Linsēklas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197F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0911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0,4 %</w:t>
            </w:r>
          </w:p>
        </w:tc>
        <w:tc>
          <w:tcPr>
            <w:tcW w:w="775" w:type="pct"/>
          </w:tcPr>
          <w:p w14:paraId="6BBA59B6" w14:textId="4478FA00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565B87" w:rsidRPr="00393F93" w14:paraId="1AEC0C4B" w14:textId="7EEA9B29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A987" w14:textId="77777777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F633E" w14:textId="5CCBE10B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Graudaugu pārstrādes produkti</w:t>
            </w:r>
          </w:p>
        </w:tc>
      </w:tr>
      <w:tr w:rsidR="006E781C" w:rsidRPr="00393F93" w14:paraId="3C40E3CB" w14:textId="7DB6D7D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05BC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DECE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Nemalts iesals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5833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11.nodaļa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81BD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6A835E3F" w14:textId="6C3468BF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04D9B4E" w14:textId="028E8CD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FB0A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98CB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Milti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8980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11.nodaļa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D4A7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31BCBBA4" w14:textId="7C3E9825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46A43D8B" w14:textId="69C32FDA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BD96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004A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Putraimi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E87E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11.nodaļa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F9216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000FACB8" w14:textId="1D2B267A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2F5C7D13" w14:textId="64F2BAC3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9D86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F0E1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Klijas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CE7D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8031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4EF3C173" w14:textId="5E5A647C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5326F90" w14:textId="61262581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7206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1.3.5.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251A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Kukurūzas rauši un spraukumi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4404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2A2F6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0F79B0F0" w14:textId="596193D9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5B79F614" w14:textId="05C9F80F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EC9F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1.3.6.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7F79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Kukurūzas graudu miziņas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1CE9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F714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303E08C1" w14:textId="109A0DE8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25E576B6" w14:textId="4E751B2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2411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1.3.7.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7274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Cietes ražošanas atlikumi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AC39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EF1F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7D9E8458" w14:textId="20C750F3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2D3B96E7" w14:textId="7D528A46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7DFC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1.3.7.1.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005C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Kviešu lipeklis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B216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11.nodaļa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C378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628FA4A7" w14:textId="47C32CB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A285660" w14:textId="61C4F37C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8F9B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1.3.7.2.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13E4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Kukurūzas lipeklis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FA866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C334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5BBDBB21" w14:textId="0B28575F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565B87" w:rsidRPr="00393F93" w14:paraId="2453AFFC" w14:textId="37AEE774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69F6E" w14:textId="77777777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1.4.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20F3A" w14:textId="57CF4D16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Pākšaugi</w:t>
            </w:r>
          </w:p>
        </w:tc>
      </w:tr>
      <w:tr w:rsidR="006E781C" w:rsidRPr="00393F93" w14:paraId="0357B3BE" w14:textId="2CD0579C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31C8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1.4.1.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A59E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Pupas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8049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07.nodaļa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47FC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4FBDC63A" w14:textId="18D9BAC7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7AB21E7E" w14:textId="14238609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7327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1.4.2.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748FD" w14:textId="77777777" w:rsidR="00920FF3" w:rsidRPr="00393F93" w:rsidRDefault="00920FF3" w:rsidP="00393F93">
            <w:pPr>
              <w:tabs>
                <w:tab w:val="left" w:pos="1200"/>
              </w:tabs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Zirņi</w:t>
            </w:r>
            <w:r w:rsidRPr="00393F93">
              <w:rPr>
                <w:rFonts w:eastAsia="Times New Roman" w:cs="Times New Roman"/>
              </w:rPr>
              <w:tab/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7B1E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07.nodaļa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0DA4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31D9D5CC" w14:textId="5A314598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72AD4725" w14:textId="4973825E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8C62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1.4.3.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796A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Lēcas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C14A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07.nodaļa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1588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6F5D3287" w14:textId="3D7EE4A5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18F6DE3B" w14:textId="6E18750D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F411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1.4.4.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FEEF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Prosa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E24D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8E43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3B4F6CA8" w14:textId="611BE884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198B250C" w14:textId="65F72B4D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83A46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1.4.5.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07C2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Sorgo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7AD26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10.nodaļa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A618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1,2 %</w:t>
            </w:r>
          </w:p>
        </w:tc>
        <w:tc>
          <w:tcPr>
            <w:tcW w:w="775" w:type="pct"/>
          </w:tcPr>
          <w:p w14:paraId="5645177E" w14:textId="0F952925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1,2 %</w:t>
            </w:r>
          </w:p>
        </w:tc>
      </w:tr>
      <w:tr w:rsidR="00565B87" w:rsidRPr="00393F93" w14:paraId="514B86E8" w14:textId="12317C03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90405" w14:textId="77777777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F41A1" w14:textId="074E125D" w:rsidR="00565B87" w:rsidRPr="00393F93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Eļļas augu pārstrādes produkti</w:t>
            </w:r>
          </w:p>
        </w:tc>
      </w:tr>
      <w:tr w:rsidR="006E781C" w:rsidRPr="00393F93" w14:paraId="279BBCA5" w14:textId="30F071BF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53C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145BF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Saulespuķu sēklu rauši un spraukumi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D650F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AE4E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13487931" w14:textId="63998CF7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595604D" w14:textId="5848C97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0DA2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E370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Rapšu sēklu rauši un spraukumi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1E31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25B4C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7B64A773" w14:textId="4C117AC3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27BD71AE" w14:textId="39FD570E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9C672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F173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Linsēklu rauši un spraukumi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9979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8EE5F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470188E8" w14:textId="05785836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BDFF1A2" w14:textId="643A3E48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ED86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0F07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Sojas milti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5C12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9AD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29742BA5" w14:textId="115ACDEF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3085C9D9" w14:textId="6F58E2AE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5BD0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1.5.5.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27676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Attaukoti sojas milti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7656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B21A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3FFD2A0B" w14:textId="0DE32787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6FA2F98F" w14:textId="0FDF99C4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D51B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1.5.6.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3AE3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Sojas rauši un spraukumi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E8529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75D4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101AA97B" w14:textId="574F76E5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5EEF10B6" w14:textId="7FF997DD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CD1B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1.6.</w:t>
            </w:r>
          </w:p>
        </w:tc>
        <w:tc>
          <w:tcPr>
            <w:tcW w:w="372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55F1F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Sakņaugu pārstrādes produkti</w:t>
            </w:r>
          </w:p>
        </w:tc>
        <w:tc>
          <w:tcPr>
            <w:tcW w:w="775" w:type="pct"/>
          </w:tcPr>
          <w:p w14:paraId="2543F6D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</w:p>
        </w:tc>
      </w:tr>
      <w:tr w:rsidR="006E781C" w:rsidRPr="00393F93" w14:paraId="73BCF5D4" w14:textId="49073ED8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0F7E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1.6.1.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30DF7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Cukurbiešu graizījumi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BADA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188E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3602CBF2" w14:textId="07DA9809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5D36A1B2" w14:textId="327C9401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FBAE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1.6.2.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2178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Jēlcukurs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E115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C8C1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0,3 %</w:t>
            </w:r>
          </w:p>
        </w:tc>
        <w:tc>
          <w:tcPr>
            <w:tcW w:w="775" w:type="pct"/>
          </w:tcPr>
          <w:p w14:paraId="7046B00B" w14:textId="6139A6B1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80078B" w:rsidRPr="00393F93" w14:paraId="177FA62E" w14:textId="7777777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36E56" w14:textId="46722212" w:rsidR="0080078B" w:rsidRPr="00C8787F" w:rsidRDefault="0080078B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C8787F">
              <w:rPr>
                <w:rFonts w:eastAsia="Times New Roman" w:cs="Times New Roman"/>
              </w:rPr>
              <w:t>1.7.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56FD2" w14:textId="5ADE0407" w:rsidR="0080078B" w:rsidRPr="00C8787F" w:rsidRDefault="0080078B" w:rsidP="00711482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u w:val="single"/>
              </w:rPr>
            </w:pPr>
            <w:r w:rsidRPr="00C8787F">
              <w:rPr>
                <w:rFonts w:eastAsia="Times New Roman" w:cs="Times New Roman"/>
                <w:u w:val="single"/>
              </w:rPr>
              <w:t>Kakao pupiņas</w:t>
            </w:r>
            <w:r w:rsidR="00A00FD4" w:rsidRPr="00C8787F">
              <w:rPr>
                <w:rFonts w:eastAsia="Times New Roman" w:cs="Times New Roman"/>
              </w:rPr>
              <w:t xml:space="preserve"> un atlikumi</w:t>
            </w:r>
          </w:p>
        </w:tc>
      </w:tr>
      <w:tr w:rsidR="003A02EE" w:rsidRPr="00393F93" w14:paraId="6E004648" w14:textId="7777777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34C4F" w14:textId="48DE1060" w:rsidR="003A02EE" w:rsidRPr="00C8787F" w:rsidRDefault="003A02EE" w:rsidP="0080078B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C8787F">
              <w:rPr>
                <w:rFonts w:eastAsia="Times New Roman" w:cs="Times New Roman"/>
              </w:rPr>
              <w:t>1.</w:t>
            </w:r>
            <w:r w:rsidR="0080078B" w:rsidRPr="00C8787F">
              <w:rPr>
                <w:rFonts w:eastAsia="Times New Roman" w:cs="Times New Roman"/>
              </w:rPr>
              <w:t>7</w:t>
            </w:r>
            <w:r w:rsidRPr="00C8787F">
              <w:rPr>
                <w:rFonts w:eastAsia="Times New Roman" w:cs="Times New Roman"/>
              </w:rPr>
              <w:t>.</w:t>
            </w:r>
            <w:r w:rsidR="0080078B" w:rsidRPr="00C8787F">
              <w:rPr>
                <w:rFonts w:eastAsia="Times New Roman" w:cs="Times New Roman"/>
              </w:rPr>
              <w:t>1</w:t>
            </w:r>
            <w:r w:rsidRPr="00C8787F">
              <w:rPr>
                <w:rFonts w:eastAsia="Times New Roman" w:cs="Times New Roman"/>
              </w:rPr>
              <w:t>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35EF9" w14:textId="3E94868F" w:rsidR="003A02EE" w:rsidRPr="00C8787F" w:rsidRDefault="003A02EE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C8787F">
              <w:rPr>
                <w:rFonts w:eastAsia="Times New Roman" w:cs="Times New Roman"/>
              </w:rPr>
              <w:t>Kakao pupiņas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F3BFE" w14:textId="1E0B0CFE" w:rsidR="003A02EE" w:rsidRPr="00C8787F" w:rsidRDefault="003A02EE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C8787F">
              <w:rPr>
                <w:rFonts w:eastAsia="Times New Roman" w:cs="Times New Roman"/>
              </w:rPr>
              <w:t>18.nodaļa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D4853" w14:textId="2D1EF029" w:rsidR="003A02EE" w:rsidRPr="00C8787F" w:rsidRDefault="007D703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C8787F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58FC9C2D" w14:textId="4B00BE21" w:rsidR="003A02EE" w:rsidRPr="00C8787F" w:rsidRDefault="007D703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C8787F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80078B" w:rsidRPr="00393F93" w14:paraId="1C69FF2D" w14:textId="7777777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51A65" w14:textId="108BD37A" w:rsidR="0080078B" w:rsidRPr="00C8787F" w:rsidRDefault="0080078B" w:rsidP="0080078B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C8787F">
              <w:rPr>
                <w:rFonts w:eastAsia="Times New Roman" w:cs="Times New Roman"/>
              </w:rPr>
              <w:t>1.7.2.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27893" w14:textId="3C603F6F" w:rsidR="0080078B" w:rsidRPr="00C8787F" w:rsidRDefault="0080078B" w:rsidP="0080078B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C8787F">
              <w:rPr>
                <w:rFonts w:eastAsia="Times New Roman" w:cs="Times New Roman"/>
              </w:rPr>
              <w:t>Kakao pupiņu čaumalas, apvalki, miziņas un citi kakao atlikumi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857C0" w14:textId="06803663" w:rsidR="0080078B" w:rsidRPr="00C8787F" w:rsidRDefault="0080078B" w:rsidP="0080078B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C8787F">
              <w:t>18.nodaļa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B2B02" w14:textId="7FB3341A" w:rsidR="0080078B" w:rsidRPr="00C8787F" w:rsidRDefault="0080078B" w:rsidP="0080078B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C8787F">
              <w:t>&lt; 0,9 %</w:t>
            </w:r>
          </w:p>
        </w:tc>
        <w:tc>
          <w:tcPr>
            <w:tcW w:w="775" w:type="pct"/>
          </w:tcPr>
          <w:p w14:paraId="65CD9F6D" w14:textId="18E2CCDD" w:rsidR="0080078B" w:rsidRPr="00C8787F" w:rsidRDefault="0080078B" w:rsidP="0080078B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C8787F">
              <w:t>&lt; 1 %</w:t>
            </w:r>
          </w:p>
        </w:tc>
      </w:tr>
      <w:tr w:rsidR="006E781C" w:rsidRPr="00393F93" w14:paraId="18C7B89D" w14:textId="430DB93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61FFB" w14:textId="7A9E1538" w:rsidR="006E781C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451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649F2" w14:textId="2DE8435F" w:rsidR="006E781C" w:rsidRPr="00393F93" w:rsidRDefault="006E781C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Nepārtikas un nelauksaimnieciskās preces</w:t>
            </w:r>
          </w:p>
        </w:tc>
      </w:tr>
      <w:tr w:rsidR="006E781C" w:rsidRPr="00393F93" w14:paraId="5248CC23" w14:textId="4625CB84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2223F" w14:textId="277573B5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="00920FF3" w:rsidRPr="00393F93">
              <w:rPr>
                <w:rFonts w:eastAsia="Times New Roman" w:cs="Times New Roman"/>
              </w:rPr>
              <w:t>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8A21B" w14:textId="77777777" w:rsidR="00920FF3" w:rsidRPr="00393F93" w:rsidRDefault="00920FF3" w:rsidP="006E781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Minerālie vai ķīmiskie mēslošanas līdzekļi un to sastāvdaļas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FA9C5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31.nodaļa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0BAB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  <w:tc>
          <w:tcPr>
            <w:tcW w:w="775" w:type="pct"/>
          </w:tcPr>
          <w:p w14:paraId="32FD6A9C" w14:textId="042D4EAB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</w:tr>
      <w:tr w:rsidR="006E781C" w:rsidRPr="00393F93" w14:paraId="6A4DE279" w14:textId="0BB89AF1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C2EA2" w14:textId="3895E819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2.</w:t>
            </w:r>
            <w:r w:rsidR="00C57C3D">
              <w:rPr>
                <w:rFonts w:eastAsia="Times New Roman" w:cs="Times New Roman"/>
              </w:rPr>
              <w:t>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5E77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Kūdra un kūdras briketes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DF90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6725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  <w:tc>
          <w:tcPr>
            <w:tcW w:w="775" w:type="pct"/>
          </w:tcPr>
          <w:p w14:paraId="441CC221" w14:textId="6B7A6A85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</w:tr>
      <w:tr w:rsidR="006E781C" w:rsidRPr="00393F93" w14:paraId="23CE3475" w14:textId="0651E1B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63EDB" w14:textId="3545A5B2" w:rsidR="00920FF3" w:rsidRPr="00393F93" w:rsidRDefault="00C57C3D" w:rsidP="00C57C3D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63DE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proofErr w:type="spellStart"/>
            <w:r w:rsidRPr="00393F93">
              <w:rPr>
                <w:rFonts w:eastAsia="Times New Roman" w:cs="Times New Roman"/>
              </w:rPr>
              <w:t>Kokskaidu</w:t>
            </w:r>
            <w:proofErr w:type="spellEnd"/>
            <w:r w:rsidRPr="00393F93">
              <w:rPr>
                <w:rFonts w:eastAsia="Times New Roman" w:cs="Times New Roman"/>
              </w:rPr>
              <w:t xml:space="preserve"> granulas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1F22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44.nodaļa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2B7B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  <w:tc>
          <w:tcPr>
            <w:tcW w:w="775" w:type="pct"/>
          </w:tcPr>
          <w:p w14:paraId="0E4BC04F" w14:textId="5A753D53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</w:tr>
      <w:tr w:rsidR="006E781C" w:rsidRPr="00393F93" w14:paraId="627DCDCF" w14:textId="7C2C839B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F2B98" w14:textId="7E600DE0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20FF3" w:rsidRPr="00393F93">
              <w:rPr>
                <w:rFonts w:eastAsia="Times New Roman" w:cs="Times New Roman"/>
              </w:rPr>
              <w:t>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83DD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Akmeņogles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8150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A82E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  <w:tc>
          <w:tcPr>
            <w:tcW w:w="775" w:type="pct"/>
          </w:tcPr>
          <w:p w14:paraId="52C1C213" w14:textId="25EB0585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</w:tr>
      <w:tr w:rsidR="006E781C" w:rsidRPr="00393F93" w14:paraId="538BC7EC" w14:textId="0AC66E20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D66E1" w14:textId="31C9C6A2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20FF3" w:rsidRPr="00393F93">
              <w:rPr>
                <w:rFonts w:eastAsia="Times New Roman" w:cs="Times New Roman"/>
              </w:rPr>
              <w:t>.5.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06FB3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Kokss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9F514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27.nodaļa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BCBF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  <w:tc>
          <w:tcPr>
            <w:tcW w:w="775" w:type="pct"/>
          </w:tcPr>
          <w:p w14:paraId="797B8B47" w14:textId="2E3F0611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0,85 %</w:t>
            </w:r>
          </w:p>
        </w:tc>
      </w:tr>
      <w:tr w:rsidR="006E781C" w:rsidRPr="00393F93" w14:paraId="591667B0" w14:textId="3F082013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18DBD" w14:textId="0BEF91C9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20FF3" w:rsidRPr="00393F93">
              <w:rPr>
                <w:rFonts w:eastAsia="Times New Roman" w:cs="Times New Roman"/>
              </w:rPr>
              <w:t>.6.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75FC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Vilna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33B0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51.nodaļa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B4EA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6 %</w:t>
            </w:r>
          </w:p>
        </w:tc>
        <w:tc>
          <w:tcPr>
            <w:tcW w:w="775" w:type="pct"/>
          </w:tcPr>
          <w:p w14:paraId="35C350DE" w14:textId="1793C67B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6 %</w:t>
            </w:r>
          </w:p>
        </w:tc>
      </w:tr>
      <w:tr w:rsidR="006E781C" w:rsidRPr="00393F93" w14:paraId="5B61614A" w14:textId="6D2872C9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4BC27" w14:textId="566CF927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20FF3" w:rsidRPr="00393F93">
              <w:rPr>
                <w:rFonts w:eastAsia="Times New Roman" w:cs="Times New Roman"/>
              </w:rPr>
              <w:t>.7.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30F9E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Saulespuķu sēklu miziņas pēc lobīšanas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AE602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14.nodaļa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6AAC1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43C8743E" w14:textId="725CC62E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0437262D" w14:textId="7D1D6E1C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E300B" w14:textId="20817095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20FF3" w:rsidRPr="00393F93">
              <w:rPr>
                <w:rFonts w:eastAsia="Times New Roman" w:cs="Times New Roman"/>
              </w:rPr>
              <w:t>.8.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5FFE0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Saulespuķu sēklu miziņu atlikums pēc eļļas iegūšanas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5DABD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23.nodaļa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55E7F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0,9 %</w:t>
            </w:r>
          </w:p>
        </w:tc>
        <w:tc>
          <w:tcPr>
            <w:tcW w:w="775" w:type="pct"/>
          </w:tcPr>
          <w:p w14:paraId="6D1622FA" w14:textId="22F03308" w:rsidR="00920FF3" w:rsidRPr="00393F93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1A52F17C" w14:textId="53DE3811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03F86" w14:textId="16EB7E28" w:rsidR="00920FF3" w:rsidRPr="00393F93" w:rsidRDefault="00C57C3D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20FF3" w:rsidRPr="00393F93">
              <w:rPr>
                <w:rFonts w:eastAsia="Times New Roman" w:cs="Times New Roman"/>
              </w:rPr>
              <w:t>.9.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1D3D8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Kokvilna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8C8FB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393F93">
              <w:rPr>
                <w:rFonts w:eastAsia="Times New Roman" w:cs="Times New Roman"/>
              </w:rPr>
              <w:t>52.nodaļa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311EA" w14:textId="77777777" w:rsidR="00920FF3" w:rsidRPr="00393F93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6 %</w:t>
            </w:r>
          </w:p>
        </w:tc>
        <w:tc>
          <w:tcPr>
            <w:tcW w:w="775" w:type="pct"/>
          </w:tcPr>
          <w:p w14:paraId="0F19C0A4" w14:textId="1DBABF2C" w:rsidR="00920FF3" w:rsidRPr="00393F93" w:rsidRDefault="006E781C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393F93">
              <w:rPr>
                <w:rFonts w:eastAsia="Times New Roman" w:cs="Times New Roman"/>
                <w:u w:val="single"/>
              </w:rPr>
              <w:t>&lt; 6 %</w:t>
            </w:r>
          </w:p>
        </w:tc>
      </w:tr>
      <w:tr w:rsidR="00565B87" w:rsidRPr="0076521B" w14:paraId="6C8981EA" w14:textId="506EF495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2B1FE" w14:textId="7EF510A3" w:rsidR="00565B87" w:rsidRPr="0076521B" w:rsidRDefault="00565B87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512" w:type="pct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9DBC8" w14:textId="1BD10F6F" w:rsidR="00565B87" w:rsidRPr="0076521B" w:rsidRDefault="00565B87" w:rsidP="00565B87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u w:val="single"/>
              </w:rPr>
            </w:pPr>
            <w:r w:rsidRPr="0076521B">
              <w:rPr>
                <w:rFonts w:eastAsia="Times New Roman" w:cs="Times New Roman"/>
              </w:rPr>
              <w:t>Citas preces</w:t>
            </w:r>
          </w:p>
        </w:tc>
      </w:tr>
      <w:tr w:rsidR="006E781C" w:rsidRPr="00B840A6" w14:paraId="7E2B2415" w14:textId="0C3EB046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C83A5" w14:textId="17EF2009" w:rsidR="00920FF3" w:rsidRPr="0076521B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76521B">
              <w:rPr>
                <w:rFonts w:eastAsia="Times New Roman" w:cs="Times New Roman"/>
              </w:rPr>
              <w:t>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319FF" w14:textId="0D6F5B09" w:rsidR="00920FF3" w:rsidRPr="0076521B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 w:rsidRPr="0076521B">
              <w:rPr>
                <w:rFonts w:eastAsia="Times New Roman" w:cs="Times New Roman"/>
                <w:szCs w:val="24"/>
                <w:lang w:eastAsia="lv-LV"/>
              </w:rPr>
              <w:t>Rūdas un koncentrāti, kas satur pirītu vai mangāna rūdu un koncentrāti, kas satur dzelzi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ACA02" w14:textId="6D9EB8E9" w:rsidR="00920FF3" w:rsidRPr="0076521B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76521B">
              <w:rPr>
                <w:rFonts w:eastAsia="Times New Roman" w:cs="Times New Roman"/>
              </w:rPr>
              <w:t>26.nodaļa</w:t>
            </w:r>
          </w:p>
          <w:p w14:paraId="04F9294D" w14:textId="7808A8A5" w:rsidR="00920FF3" w:rsidRPr="0076521B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22465" w14:textId="596EB14A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76521B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5BFD2001" w14:textId="28008B33" w:rsidR="00920FF3" w:rsidRPr="0076521B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4C658920" w14:textId="5AA9B45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05EB3" w14:textId="07BC15EB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B840A6">
              <w:rPr>
                <w:rFonts w:eastAsia="Times New Roman" w:cs="Times New Roman"/>
              </w:rPr>
              <w:t>.2.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DBAE4" w14:textId="4B47647F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ārstrādes čuguns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789B4" w14:textId="655164B0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AA62A" w14:textId="696C5F49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3B785DB3" w14:textId="0F12594E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5BCBC404" w14:textId="4BC2A8E8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7CF43" w14:textId="1CF7A116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B840A6">
              <w:rPr>
                <w:rFonts w:eastAsia="Times New Roman" w:cs="Times New Roman"/>
              </w:rPr>
              <w:t>.3.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72A96" w14:textId="51B352FF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F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erosakausējumi (granulās)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98FE4" w14:textId="71E9294D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1D7AD" w14:textId="73E7812D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05D6BD0D" w14:textId="5B568F21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418A84FC" w14:textId="404D70C2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FA469" w14:textId="652A2350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B840A6">
              <w:rPr>
                <w:rFonts w:eastAsia="Times New Roman" w:cs="Times New Roman"/>
              </w:rPr>
              <w:t>.4.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33AC4" w14:textId="55040B83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zelzsrūdas tiešā reducēšanā iegūtie produkti un citi porainās dzelzs produkti granulās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25D52" w14:textId="3A0C2249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3171E" w14:textId="580E6C03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75EB9040" w14:textId="685AB2C1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4EC8B8EF" w14:textId="39607D26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EA340" w14:textId="73BF6CB4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5.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9D054" w14:textId="1B497A41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ietuves čuguna atkritumi un lūžņi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9E695" w14:textId="1B288C1E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FA138" w14:textId="3C5665B3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45AE0068" w14:textId="405808A3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48C7BB2D" w14:textId="5A516442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4CE09" w14:textId="2E1F2DCB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6.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11BB0" w14:textId="6FC8673F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eģētā tērauda atgriezumi un lūžņi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028C5" w14:textId="123092F3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8F4E5" w14:textId="299AC9E5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7F801AA7" w14:textId="76E81C69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0374A846" w14:textId="32EDA612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319B6" w14:textId="4F2FB59B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7.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E3B8E" w14:textId="6D724143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Lūžņi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F615E" w14:textId="4772EE96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7487D" w14:textId="1B8EC57A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6208D4AF" w14:textId="3182CA63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2EE8E43F" w14:textId="6E793057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BD0AF" w14:textId="5C269F83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8.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17CD3" w14:textId="63E28AE7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lvotās dzelzs vai tērauda atgriezumi un lūžņi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E8DC8" w14:textId="2899697E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21768" w14:textId="0C6F24C2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3A407816" w14:textId="0BAEAF72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71D6A973" w14:textId="307F7FEB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B16AB" w14:textId="4B20EB1C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9.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16E5F" w14:textId="7A1772B6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rupināti, griezti lūžņi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3FA98" w14:textId="20C5006F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16905" w14:textId="1E47F053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265B1FFB" w14:textId="18BC55A6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B840A6" w14:paraId="5871505C" w14:textId="7D02BACA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1F7EB" w14:textId="76035D41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10.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0CF0F" w14:textId="1B0B238F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Č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 xml:space="preserve">uguna, </w:t>
            </w:r>
            <w:proofErr w:type="spellStart"/>
            <w:r w:rsidRPr="00B840A6">
              <w:rPr>
                <w:rFonts w:eastAsia="Times New Roman" w:cs="Times New Roman"/>
                <w:szCs w:val="24"/>
                <w:lang w:eastAsia="lv-LV"/>
              </w:rPr>
              <w:t>spoguļčuguna</w:t>
            </w:r>
            <w:proofErr w:type="spellEnd"/>
            <w:r w:rsidRPr="00B840A6">
              <w:rPr>
                <w:rFonts w:eastAsia="Times New Roman" w:cs="Times New Roman"/>
                <w:szCs w:val="24"/>
                <w:lang w:eastAsia="lv-LV"/>
              </w:rPr>
              <w:t>, dzelzs vai tērauda granulas un pulveris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44060" w14:textId="5F0B60A7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72.nodaļa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6791E" w14:textId="414DC4F3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6CC4D9E8" w14:textId="673B255B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  <w:tr w:rsidR="006E781C" w:rsidRPr="00393F93" w14:paraId="4366AFBA" w14:textId="31022213" w:rsidTr="0080078B">
        <w:trPr>
          <w:trHeight w:val="60"/>
          <w:tblCellSpacing w:w="7" w:type="dxa"/>
        </w:trPr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1B0F6" w14:textId="5945BDF9" w:rsidR="00920FF3" w:rsidRPr="00B840A6" w:rsidRDefault="00920FF3" w:rsidP="00393F93">
            <w:pPr>
              <w:spacing w:before="100" w:beforeAutospacing="1" w:after="100" w:afterAutospacing="1" w:line="6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B840A6">
              <w:rPr>
                <w:rFonts w:eastAsia="Times New Roman" w:cs="Times New Roman"/>
              </w:rPr>
              <w:t>11.</w:t>
            </w:r>
          </w:p>
        </w:tc>
        <w:tc>
          <w:tcPr>
            <w:tcW w:w="21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EA44A" w14:textId="274646C5" w:rsidR="00920FF3" w:rsidRPr="00B840A6" w:rsidRDefault="00920FF3" w:rsidP="0005006F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</w:t>
            </w:r>
            <w:r w:rsidRPr="00B840A6">
              <w:rPr>
                <w:rFonts w:eastAsia="Times New Roman" w:cs="Times New Roman"/>
                <w:szCs w:val="24"/>
                <w:lang w:eastAsia="lv-LV"/>
              </w:rPr>
              <w:t>itādi sulfāti (magnija, alumīnija, niķeļa, vara un bārija)</w:t>
            </w:r>
          </w:p>
        </w:tc>
        <w:tc>
          <w:tcPr>
            <w:tcW w:w="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152F9" w14:textId="11830A8B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</w:rPr>
            </w:pPr>
            <w:r w:rsidRPr="00B840A6">
              <w:rPr>
                <w:rFonts w:eastAsia="Times New Roman" w:cs="Times New Roman"/>
              </w:rPr>
              <w:t>28.nodaļa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8D4C1" w14:textId="229EA227" w:rsidR="00920FF3" w:rsidRPr="00B840A6" w:rsidRDefault="00920FF3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  <w:tc>
          <w:tcPr>
            <w:tcW w:w="775" w:type="pct"/>
          </w:tcPr>
          <w:p w14:paraId="39E20B78" w14:textId="63A7C10D" w:rsidR="00920FF3" w:rsidRPr="00B840A6" w:rsidRDefault="00565B87" w:rsidP="00393F9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u w:val="single"/>
              </w:rPr>
            </w:pPr>
            <w:r w:rsidRPr="00B840A6">
              <w:rPr>
                <w:rFonts w:eastAsia="Times New Roman" w:cs="Times New Roman"/>
                <w:u w:val="single"/>
              </w:rPr>
              <w:t>&lt; 1 %</w:t>
            </w:r>
          </w:p>
        </w:tc>
      </w:tr>
    </w:tbl>
    <w:p w14:paraId="7B06F3B7" w14:textId="06CB66CF" w:rsidR="00393F93" w:rsidRPr="00393F93" w:rsidRDefault="000B5C23" w:rsidP="000B5C23">
      <w:pPr>
        <w:spacing w:after="200" w:line="276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”</w:t>
      </w:r>
    </w:p>
    <w:p w14:paraId="18AF05EC" w14:textId="77777777" w:rsidR="00DD061F" w:rsidRDefault="00DD061F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8DE0FB" w14:textId="3D3E4377" w:rsidR="00156D6C" w:rsidRPr="00B607EC" w:rsidRDefault="00156D6C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607EC">
        <w:rPr>
          <w:sz w:val="28"/>
          <w:szCs w:val="28"/>
        </w:rPr>
        <w:t>Minis</w:t>
      </w:r>
      <w:r w:rsidR="00165222">
        <w:rPr>
          <w:sz w:val="28"/>
          <w:szCs w:val="28"/>
        </w:rPr>
        <w:t xml:space="preserve">tru prezidents  </w:t>
      </w:r>
      <w:r w:rsidR="00165222">
        <w:rPr>
          <w:sz w:val="28"/>
          <w:szCs w:val="28"/>
        </w:rPr>
        <w:tab/>
      </w:r>
      <w:r w:rsidR="00291F1B">
        <w:rPr>
          <w:sz w:val="28"/>
          <w:szCs w:val="28"/>
        </w:rPr>
        <w:t>A.K.</w:t>
      </w:r>
      <w:r w:rsidR="00F7396C">
        <w:rPr>
          <w:sz w:val="28"/>
          <w:szCs w:val="28"/>
        </w:rPr>
        <w:t xml:space="preserve"> Kariņš</w:t>
      </w:r>
    </w:p>
    <w:p w14:paraId="4CFCD8BF" w14:textId="20A3CBF6" w:rsidR="00156D6C" w:rsidRPr="00B607EC" w:rsidRDefault="00156D6C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EBF434A" w14:textId="2E3D7EC7" w:rsidR="00183B1D" w:rsidRDefault="00183B1D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8355F54" w14:textId="7DEBDC54" w:rsidR="008054F9" w:rsidRDefault="008054F9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708C88" w14:textId="77777777" w:rsidR="008054F9" w:rsidRDefault="008054F9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CE75362" w14:textId="0199A799" w:rsidR="00156D6C" w:rsidRPr="00B607EC" w:rsidRDefault="00165222" w:rsidP="00156D6C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 </w:t>
      </w:r>
      <w:r>
        <w:rPr>
          <w:sz w:val="28"/>
          <w:szCs w:val="28"/>
        </w:rPr>
        <w:tab/>
        <w:t>J</w:t>
      </w:r>
      <w:r w:rsidR="00291F1B">
        <w:rPr>
          <w:sz w:val="28"/>
          <w:szCs w:val="28"/>
        </w:rPr>
        <w:t>.</w:t>
      </w:r>
      <w:r w:rsidR="00F7396C">
        <w:rPr>
          <w:sz w:val="28"/>
          <w:szCs w:val="28"/>
        </w:rPr>
        <w:t xml:space="preserve"> Reirs</w:t>
      </w:r>
    </w:p>
    <w:sectPr w:rsidR="00156D6C" w:rsidRPr="00B607EC" w:rsidSect="0022309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28EB" w14:textId="77777777" w:rsidR="00285977" w:rsidRDefault="00285977" w:rsidP="001033D8">
      <w:r>
        <w:separator/>
      </w:r>
    </w:p>
  </w:endnote>
  <w:endnote w:type="continuationSeparator" w:id="0">
    <w:p w14:paraId="13F5C3E3" w14:textId="77777777" w:rsidR="00285977" w:rsidRDefault="00285977" w:rsidP="001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4ED2" w14:textId="79BC01A2" w:rsidR="000555BC" w:rsidRPr="000555BC" w:rsidRDefault="007A5778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E6A4B">
      <w:rPr>
        <w:noProof/>
        <w:sz w:val="20"/>
        <w:szCs w:val="20"/>
      </w:rPr>
      <w:t>FMNot_0606</w:t>
    </w:r>
    <w:r w:rsidR="00A33B9C">
      <w:rPr>
        <w:noProof/>
        <w:sz w:val="20"/>
        <w:szCs w:val="20"/>
      </w:rPr>
      <w:t>19_mk_861.docx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D637" w14:textId="2404B2B6" w:rsidR="00223091" w:rsidRPr="00223091" w:rsidRDefault="007A5778">
    <w:pPr>
      <w:pStyle w:val="Footer"/>
      <w:rPr>
        <w:sz w:val="20"/>
      </w:rPr>
    </w:pPr>
    <w:r w:rsidRPr="00223091">
      <w:rPr>
        <w:sz w:val="20"/>
      </w:rPr>
      <w:fldChar w:fldCharType="begin"/>
    </w:r>
    <w:r w:rsidRPr="00223091">
      <w:rPr>
        <w:sz w:val="20"/>
      </w:rPr>
      <w:instrText xml:space="preserve"> FILENAME   \* MERGEFORMAT </w:instrText>
    </w:r>
    <w:r w:rsidRPr="00223091">
      <w:rPr>
        <w:sz w:val="20"/>
      </w:rPr>
      <w:fldChar w:fldCharType="separate"/>
    </w:r>
    <w:r w:rsidR="004E6A4B">
      <w:rPr>
        <w:noProof/>
        <w:sz w:val="20"/>
      </w:rPr>
      <w:t>FMNot_0606</w:t>
    </w:r>
    <w:r w:rsidR="00A33B9C">
      <w:rPr>
        <w:noProof/>
        <w:sz w:val="20"/>
      </w:rPr>
      <w:t>19_mk_861.docx</w:t>
    </w:r>
    <w:r w:rsidRPr="002230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E97A" w14:textId="77777777" w:rsidR="00285977" w:rsidRDefault="00285977" w:rsidP="001033D8">
      <w:r>
        <w:separator/>
      </w:r>
    </w:p>
  </w:footnote>
  <w:footnote w:type="continuationSeparator" w:id="0">
    <w:p w14:paraId="020EBDD6" w14:textId="77777777" w:rsidR="00285977" w:rsidRDefault="00285977" w:rsidP="0010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29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47DDCC" w14:textId="75739A50" w:rsidR="00223091" w:rsidRDefault="007A5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4B21A" w14:textId="77777777" w:rsidR="00F11E02" w:rsidRDefault="005275B8">
    <w:pPr>
      <w:pStyle w:val="Header"/>
    </w:pPr>
  </w:p>
  <w:p w14:paraId="492C1A54" w14:textId="77777777" w:rsidR="000C30F6" w:rsidRDefault="000C30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BBF"/>
    <w:multiLevelType w:val="hybridMultilevel"/>
    <w:tmpl w:val="5CF0F67A"/>
    <w:lvl w:ilvl="0" w:tplc="7F2894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67AA5"/>
    <w:multiLevelType w:val="multilevel"/>
    <w:tmpl w:val="A4AE5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6701AE"/>
    <w:multiLevelType w:val="hybridMultilevel"/>
    <w:tmpl w:val="E4B45506"/>
    <w:lvl w:ilvl="0" w:tplc="5AAA7E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6C"/>
    <w:rsid w:val="00006629"/>
    <w:rsid w:val="00036B43"/>
    <w:rsid w:val="00045E58"/>
    <w:rsid w:val="0005006F"/>
    <w:rsid w:val="00060E59"/>
    <w:rsid w:val="00073017"/>
    <w:rsid w:val="00081321"/>
    <w:rsid w:val="000967CB"/>
    <w:rsid w:val="000A77DA"/>
    <w:rsid w:val="000B5C23"/>
    <w:rsid w:val="000C30F6"/>
    <w:rsid w:val="000F205A"/>
    <w:rsid w:val="000F5CE4"/>
    <w:rsid w:val="000F5E9B"/>
    <w:rsid w:val="001033D8"/>
    <w:rsid w:val="00125CDE"/>
    <w:rsid w:val="001333F0"/>
    <w:rsid w:val="00156D6C"/>
    <w:rsid w:val="00165222"/>
    <w:rsid w:val="00177CAC"/>
    <w:rsid w:val="00183B1D"/>
    <w:rsid w:val="0018727C"/>
    <w:rsid w:val="002031BA"/>
    <w:rsid w:val="002438D5"/>
    <w:rsid w:val="00285977"/>
    <w:rsid w:val="00285994"/>
    <w:rsid w:val="00290A22"/>
    <w:rsid w:val="00291F1B"/>
    <w:rsid w:val="002A5A5A"/>
    <w:rsid w:val="002E76F0"/>
    <w:rsid w:val="00364132"/>
    <w:rsid w:val="0037338E"/>
    <w:rsid w:val="00393F93"/>
    <w:rsid w:val="003959A1"/>
    <w:rsid w:val="00396A09"/>
    <w:rsid w:val="003A02EE"/>
    <w:rsid w:val="003A5E0B"/>
    <w:rsid w:val="003B2C06"/>
    <w:rsid w:val="0040455D"/>
    <w:rsid w:val="0041533B"/>
    <w:rsid w:val="0044739F"/>
    <w:rsid w:val="004A6184"/>
    <w:rsid w:val="004E6A4B"/>
    <w:rsid w:val="005067A9"/>
    <w:rsid w:val="00515FD4"/>
    <w:rsid w:val="0052172E"/>
    <w:rsid w:val="005275B8"/>
    <w:rsid w:val="00556542"/>
    <w:rsid w:val="00556A07"/>
    <w:rsid w:val="00565B87"/>
    <w:rsid w:val="005674AB"/>
    <w:rsid w:val="0059005C"/>
    <w:rsid w:val="005A6445"/>
    <w:rsid w:val="005B19EF"/>
    <w:rsid w:val="005F67C0"/>
    <w:rsid w:val="006678B2"/>
    <w:rsid w:val="00692E31"/>
    <w:rsid w:val="00696991"/>
    <w:rsid w:val="006C229C"/>
    <w:rsid w:val="006E36B6"/>
    <w:rsid w:val="006E781C"/>
    <w:rsid w:val="006E7B1E"/>
    <w:rsid w:val="007069D0"/>
    <w:rsid w:val="00711482"/>
    <w:rsid w:val="007206F6"/>
    <w:rsid w:val="0074187A"/>
    <w:rsid w:val="00756DF5"/>
    <w:rsid w:val="007629A8"/>
    <w:rsid w:val="0076521B"/>
    <w:rsid w:val="00770A52"/>
    <w:rsid w:val="0077343F"/>
    <w:rsid w:val="007A191B"/>
    <w:rsid w:val="007A2C85"/>
    <w:rsid w:val="007A3258"/>
    <w:rsid w:val="007A5778"/>
    <w:rsid w:val="007B3642"/>
    <w:rsid w:val="007D2AB8"/>
    <w:rsid w:val="007D7037"/>
    <w:rsid w:val="007E6B04"/>
    <w:rsid w:val="0080078B"/>
    <w:rsid w:val="008054F9"/>
    <w:rsid w:val="00840B04"/>
    <w:rsid w:val="00845776"/>
    <w:rsid w:val="00860708"/>
    <w:rsid w:val="008672E3"/>
    <w:rsid w:val="00874E89"/>
    <w:rsid w:val="00881A07"/>
    <w:rsid w:val="00897320"/>
    <w:rsid w:val="008A6436"/>
    <w:rsid w:val="008B1398"/>
    <w:rsid w:val="008B5BFE"/>
    <w:rsid w:val="008E0D3A"/>
    <w:rsid w:val="008F48DD"/>
    <w:rsid w:val="008F6E5C"/>
    <w:rsid w:val="00920FF3"/>
    <w:rsid w:val="0095619F"/>
    <w:rsid w:val="00977D88"/>
    <w:rsid w:val="009B733D"/>
    <w:rsid w:val="009C5A76"/>
    <w:rsid w:val="009D6318"/>
    <w:rsid w:val="009E10E2"/>
    <w:rsid w:val="00A00FD4"/>
    <w:rsid w:val="00A16FFA"/>
    <w:rsid w:val="00A24555"/>
    <w:rsid w:val="00A33B9C"/>
    <w:rsid w:val="00A35DBA"/>
    <w:rsid w:val="00A7381C"/>
    <w:rsid w:val="00A86131"/>
    <w:rsid w:val="00A877E8"/>
    <w:rsid w:val="00A909E7"/>
    <w:rsid w:val="00AB56B0"/>
    <w:rsid w:val="00AE5C99"/>
    <w:rsid w:val="00AF57DA"/>
    <w:rsid w:val="00B052D2"/>
    <w:rsid w:val="00B230F1"/>
    <w:rsid w:val="00B34725"/>
    <w:rsid w:val="00B66F89"/>
    <w:rsid w:val="00B840A6"/>
    <w:rsid w:val="00B9753C"/>
    <w:rsid w:val="00BC7FE7"/>
    <w:rsid w:val="00BD5ED7"/>
    <w:rsid w:val="00C449B5"/>
    <w:rsid w:val="00C57C3D"/>
    <w:rsid w:val="00C67822"/>
    <w:rsid w:val="00C71106"/>
    <w:rsid w:val="00C71F4C"/>
    <w:rsid w:val="00C76098"/>
    <w:rsid w:val="00C8787F"/>
    <w:rsid w:val="00CA3E39"/>
    <w:rsid w:val="00CF124A"/>
    <w:rsid w:val="00D134CF"/>
    <w:rsid w:val="00D23999"/>
    <w:rsid w:val="00DB1478"/>
    <w:rsid w:val="00DB4C43"/>
    <w:rsid w:val="00DD061F"/>
    <w:rsid w:val="00DD3749"/>
    <w:rsid w:val="00E11F7B"/>
    <w:rsid w:val="00E340F9"/>
    <w:rsid w:val="00E65490"/>
    <w:rsid w:val="00E70052"/>
    <w:rsid w:val="00ED1184"/>
    <w:rsid w:val="00EF7593"/>
    <w:rsid w:val="00F17B42"/>
    <w:rsid w:val="00F238A4"/>
    <w:rsid w:val="00F27285"/>
    <w:rsid w:val="00F50485"/>
    <w:rsid w:val="00F57891"/>
    <w:rsid w:val="00F7396C"/>
    <w:rsid w:val="00F81A88"/>
    <w:rsid w:val="00FB752A"/>
    <w:rsid w:val="00FC3D16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30B9E"/>
  <w15:chartTrackingRefBased/>
  <w15:docId w15:val="{E2F952C5-3666-498E-BEBE-E2110ADE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6C"/>
    <w:rPr>
      <w:rFonts w:ascii="Times New Roman" w:hAnsi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156D6C"/>
    <w:pPr>
      <w:keepNext/>
      <w:spacing w:before="200"/>
      <w:jc w:val="center"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D6C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">
    <w:name w:val="Body Text"/>
    <w:basedOn w:val="Normal"/>
    <w:link w:val="BodyTextChar"/>
    <w:rsid w:val="00156D6C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156D6C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56D6C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6D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6C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56D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6C"/>
    <w:rPr>
      <w:rFonts w:ascii="Times New Roman" w:hAnsi="Times New Roman"/>
      <w:sz w:val="24"/>
      <w:lang w:val="lv-LV"/>
    </w:rPr>
  </w:style>
  <w:style w:type="paragraph" w:customStyle="1" w:styleId="naisf">
    <w:name w:val="naisf"/>
    <w:basedOn w:val="Normal"/>
    <w:rsid w:val="00156D6C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styleId="NormalWeb">
    <w:name w:val="Normal (Web)"/>
    <w:basedOn w:val="Normal"/>
    <w:uiPriority w:val="99"/>
    <w:rsid w:val="00156D6C"/>
    <w:pPr>
      <w:ind w:firstLine="567"/>
      <w:jc w:val="both"/>
    </w:pPr>
    <w:rPr>
      <w:rFonts w:eastAsia="Times New Roman" w:cs="Times New Roman"/>
      <w:szCs w:val="24"/>
    </w:rPr>
  </w:style>
  <w:style w:type="paragraph" w:customStyle="1" w:styleId="tv2132">
    <w:name w:val="tv2132"/>
    <w:basedOn w:val="Normal"/>
    <w:rsid w:val="003B2C06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E58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E58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06F8-4C76-4DBA-A47B-D2B80832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4305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2016.gada 20.decembra noteikumos Nr.861 "Zudumu apmēru noteikšanas kārtība muitas uzraudzībā esošajām nefasētajām precēm""</vt:lpstr>
    </vt:vector>
  </TitlesOfParts>
  <Manager>NND</Manager>
  <Company>Finanšu ministrija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2016.gada 20.decembra noteikumos Nr.861 "Zudumu apmēru noteikšanas kārtība muitas uzraudzībā esošajām nefasētajām precēm""</dc:title>
  <dc:subject>Ministru kabineta noteikumu projekts</dc:subject>
  <dc:creator>Ella Hartmane</dc:creator>
  <cp:keywords/>
  <dc:description>Ella.Hartmane@fm.gov.lv, 67095525</dc:description>
  <cp:lastModifiedBy>Ella Hartmane</cp:lastModifiedBy>
  <cp:revision>30</cp:revision>
  <cp:lastPrinted>2019-05-27T13:39:00Z</cp:lastPrinted>
  <dcterms:created xsi:type="dcterms:W3CDTF">2019-05-28T12:22:00Z</dcterms:created>
  <dcterms:modified xsi:type="dcterms:W3CDTF">2019-06-17T07:25:00Z</dcterms:modified>
</cp:coreProperties>
</file>