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17CB" w14:textId="77777777" w:rsidR="00437EC6" w:rsidRPr="00F63B7B" w:rsidRDefault="00437EC6" w:rsidP="00437EC6">
      <w:pPr>
        <w:jc w:val="center"/>
        <w:rPr>
          <w:b/>
          <w:sz w:val="26"/>
          <w:szCs w:val="26"/>
        </w:rPr>
      </w:pPr>
      <w:r w:rsidRPr="00F63B7B">
        <w:rPr>
          <w:b/>
          <w:sz w:val="26"/>
          <w:szCs w:val="26"/>
        </w:rPr>
        <w:t xml:space="preserve">Informatīvais ziņojums </w:t>
      </w:r>
    </w:p>
    <w:p w14:paraId="36DAA934" w14:textId="17CBC9CF" w:rsidR="00437EC6" w:rsidRPr="00F32C33" w:rsidRDefault="00437EC6" w:rsidP="00437EC6">
      <w:pPr>
        <w:jc w:val="center"/>
        <w:rPr>
          <w:rFonts w:cs="Times New Roman"/>
          <w:b/>
          <w:sz w:val="26"/>
          <w:szCs w:val="26"/>
        </w:rPr>
      </w:pPr>
      <w:r w:rsidRPr="00F63B7B">
        <w:rPr>
          <w:b/>
          <w:sz w:val="26"/>
          <w:szCs w:val="26"/>
        </w:rPr>
        <w:t>“</w:t>
      </w:r>
      <w:r w:rsidRPr="00F63B7B">
        <w:rPr>
          <w:rFonts w:cs="Times New Roman"/>
          <w:b/>
          <w:sz w:val="26"/>
          <w:szCs w:val="26"/>
        </w:rPr>
        <w:t xml:space="preserve">Par </w:t>
      </w:r>
      <w:r w:rsidR="00420275" w:rsidRPr="00F63B7B">
        <w:rPr>
          <w:rFonts w:cs="Times New Roman"/>
          <w:b/>
          <w:sz w:val="26"/>
          <w:szCs w:val="26"/>
        </w:rPr>
        <w:t>pašvaldību</w:t>
      </w:r>
      <w:r w:rsidR="00EA31CC" w:rsidRPr="00F63B7B">
        <w:rPr>
          <w:rFonts w:cs="Times New Roman"/>
          <w:b/>
          <w:sz w:val="26"/>
          <w:szCs w:val="26"/>
        </w:rPr>
        <w:t xml:space="preserve"> aizņēmumiem</w:t>
      </w:r>
      <w:r w:rsidR="00EA31CC" w:rsidRPr="00F63B7B">
        <w:rPr>
          <w:rFonts w:eastAsia="Calibri" w:cs="Times New Roman"/>
          <w:b/>
          <w:bCs/>
          <w:sz w:val="26"/>
          <w:szCs w:val="26"/>
          <w:lang w:eastAsia="lv-LV"/>
        </w:rPr>
        <w:t xml:space="preserve"> Eiropas Savienības </w:t>
      </w:r>
      <w:r w:rsidR="00420275" w:rsidRPr="00F63B7B">
        <w:rPr>
          <w:rFonts w:eastAsia="Calibri" w:cs="Times New Roman"/>
          <w:b/>
          <w:bCs/>
          <w:sz w:val="26"/>
          <w:szCs w:val="26"/>
          <w:lang w:eastAsia="lv-LV"/>
        </w:rPr>
        <w:t xml:space="preserve">līdzfinansētajiem </w:t>
      </w:r>
      <w:r w:rsidR="00EA31CC" w:rsidRPr="00F63B7B">
        <w:rPr>
          <w:rFonts w:eastAsia="Calibri" w:cs="Times New Roman"/>
          <w:b/>
          <w:bCs/>
          <w:sz w:val="26"/>
          <w:szCs w:val="26"/>
          <w:lang w:eastAsia="lv-LV"/>
        </w:rPr>
        <w:t>izglītības</w:t>
      </w:r>
      <w:r w:rsidR="00420275" w:rsidRPr="00F63B7B">
        <w:rPr>
          <w:rFonts w:eastAsia="Calibri" w:cs="Times New Roman"/>
          <w:b/>
          <w:bCs/>
          <w:sz w:val="26"/>
          <w:szCs w:val="26"/>
          <w:lang w:eastAsia="lv-LV"/>
        </w:rPr>
        <w:t xml:space="preserve"> iestāžu</w:t>
      </w:r>
      <w:r w:rsidR="00B6667E" w:rsidRPr="00F63B7B">
        <w:rPr>
          <w:rFonts w:eastAsia="Calibri" w:cs="Times New Roman"/>
          <w:b/>
          <w:bCs/>
          <w:sz w:val="26"/>
          <w:szCs w:val="26"/>
          <w:lang w:eastAsia="lv-LV"/>
        </w:rPr>
        <w:t xml:space="preserve"> </w:t>
      </w:r>
      <w:r w:rsidR="00420275" w:rsidRPr="00F63B7B">
        <w:rPr>
          <w:rFonts w:eastAsia="Calibri" w:cs="Times New Roman"/>
          <w:b/>
          <w:bCs/>
          <w:sz w:val="26"/>
          <w:szCs w:val="26"/>
          <w:lang w:eastAsia="lv-LV"/>
        </w:rPr>
        <w:t>investīciju projektiem</w:t>
      </w:r>
      <w:r w:rsidR="00F32C33" w:rsidRPr="00F63B7B">
        <w:rPr>
          <w:rFonts w:eastAsia="Calibri" w:cs="Times New Roman"/>
          <w:b/>
          <w:bCs/>
          <w:sz w:val="26"/>
          <w:szCs w:val="26"/>
          <w:lang w:eastAsia="lv-LV"/>
        </w:rPr>
        <w:t xml:space="preserve"> un</w:t>
      </w:r>
      <w:r w:rsidR="00F32C33" w:rsidRPr="00F63B7B">
        <w:rPr>
          <w:rFonts w:cs="Times New Roman"/>
          <w:b/>
          <w:sz w:val="26"/>
          <w:szCs w:val="26"/>
        </w:rPr>
        <w:t xml:space="preserve"> ārkārtas situācijas izglītības iestādes investīciju</w:t>
      </w:r>
      <w:r w:rsidR="00590C07" w:rsidRPr="00F63B7B">
        <w:rPr>
          <w:rFonts w:cs="Times New Roman"/>
          <w:b/>
          <w:sz w:val="26"/>
          <w:szCs w:val="26"/>
        </w:rPr>
        <w:t xml:space="preserve">  projektam</w:t>
      </w:r>
      <w:r w:rsidRPr="00F63B7B">
        <w:rPr>
          <w:rFonts w:cs="Times New Roman"/>
          <w:b/>
          <w:sz w:val="26"/>
          <w:szCs w:val="26"/>
        </w:rPr>
        <w:t>”</w:t>
      </w:r>
    </w:p>
    <w:p w14:paraId="7D99FD4A" w14:textId="77777777" w:rsidR="00437EC6" w:rsidRPr="00C72236" w:rsidRDefault="00437EC6" w:rsidP="00437EC6">
      <w:pPr>
        <w:ind w:right="-370" w:firstLine="567"/>
        <w:jc w:val="both"/>
        <w:rPr>
          <w:sz w:val="26"/>
          <w:szCs w:val="26"/>
        </w:rPr>
      </w:pPr>
    </w:p>
    <w:p w14:paraId="0945A453" w14:textId="7E8D2F9C" w:rsidR="00EA31CC" w:rsidRDefault="00EA31CC" w:rsidP="00EA31CC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1F685DA9" w14:textId="60713111" w:rsidR="00B56F71" w:rsidRDefault="00115CB2" w:rsidP="00B56F71">
      <w:pPr>
        <w:pStyle w:val="ListParagraph"/>
        <w:ind w:left="0" w:firstLine="567"/>
        <w:jc w:val="both"/>
        <w:rPr>
          <w:sz w:val="26"/>
          <w:szCs w:val="26"/>
        </w:rPr>
      </w:pPr>
      <w:r w:rsidRPr="00B94D9C">
        <w:rPr>
          <w:sz w:val="26"/>
          <w:szCs w:val="26"/>
        </w:rPr>
        <w:t>Eiropas Savienības</w:t>
      </w:r>
      <w:r w:rsidR="003A0DE0">
        <w:rPr>
          <w:sz w:val="26"/>
          <w:szCs w:val="26"/>
        </w:rPr>
        <w:t xml:space="preserve"> </w:t>
      </w:r>
      <w:r w:rsidRPr="00B94D9C">
        <w:rPr>
          <w:sz w:val="26"/>
          <w:szCs w:val="26"/>
        </w:rPr>
        <w:t>un citas ārvalstu fi</w:t>
      </w:r>
      <w:r>
        <w:rPr>
          <w:sz w:val="26"/>
          <w:szCs w:val="26"/>
        </w:rPr>
        <w:t>nanšu palīdzības līdzfinans</w:t>
      </w:r>
      <w:r w:rsidR="004B7DD5">
        <w:rPr>
          <w:sz w:val="26"/>
          <w:szCs w:val="26"/>
        </w:rPr>
        <w:t xml:space="preserve">ēto  </w:t>
      </w:r>
      <w:r w:rsidR="004B7DD5">
        <w:rPr>
          <w:rFonts w:eastAsia="Calibri" w:cs="Times New Roman"/>
          <w:bCs/>
          <w:sz w:val="26"/>
          <w:szCs w:val="26"/>
          <w:lang w:eastAsia="lv-LV"/>
        </w:rPr>
        <w:t>projektu</w:t>
      </w:r>
      <w:r w:rsidR="004B7DD5" w:rsidRPr="004B7DD5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4B7DD5">
        <w:rPr>
          <w:rFonts w:eastAsia="Calibri" w:cs="Times New Roman"/>
          <w:bCs/>
          <w:sz w:val="26"/>
          <w:szCs w:val="26"/>
          <w:lang w:eastAsia="lv-LV"/>
        </w:rPr>
        <w:t>aizņēmumi</w:t>
      </w:r>
      <w:r w:rsidR="00420275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420275">
        <w:rPr>
          <w:sz w:val="26"/>
          <w:szCs w:val="26"/>
        </w:rPr>
        <w:t>(turpmāk – ES projekti )</w:t>
      </w:r>
      <w:r w:rsidR="004B7DD5">
        <w:rPr>
          <w:rFonts w:eastAsia="Calibri" w:cs="Times New Roman"/>
          <w:bCs/>
          <w:sz w:val="26"/>
          <w:szCs w:val="26"/>
          <w:lang w:eastAsia="lv-LV"/>
        </w:rPr>
        <w:t xml:space="preserve"> attiecināmo izmaksu apjomā</w:t>
      </w:r>
      <w:r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Pr="007543CA">
        <w:rPr>
          <w:rFonts w:eastAsia="Calibri" w:cs="Times New Roman"/>
          <w:bCs/>
          <w:sz w:val="26"/>
          <w:szCs w:val="26"/>
          <w:lang w:eastAsia="lv-LV"/>
        </w:rPr>
        <w:t>ir noteikti kā prio</w:t>
      </w:r>
      <w:r>
        <w:rPr>
          <w:rFonts w:eastAsia="Calibri" w:cs="Times New Roman"/>
          <w:bCs/>
          <w:sz w:val="26"/>
          <w:szCs w:val="26"/>
          <w:lang w:eastAsia="lv-LV"/>
        </w:rPr>
        <w:t>ritāte likuma “Par valsts budžetu 2019.gadam” 15.panta sestajā daļā</w:t>
      </w:r>
      <w:r w:rsidR="00AC0878">
        <w:rPr>
          <w:rFonts w:eastAsia="Calibri" w:cs="Times New Roman"/>
          <w:bCs/>
          <w:sz w:val="26"/>
          <w:szCs w:val="26"/>
          <w:lang w:eastAsia="lv-LV"/>
        </w:rPr>
        <w:t xml:space="preserve">, Ministru kabineta </w:t>
      </w:r>
      <w:r>
        <w:rPr>
          <w:rFonts w:eastAsia="Calibri" w:cs="Times New Roman"/>
          <w:bCs/>
          <w:sz w:val="26"/>
          <w:szCs w:val="26"/>
          <w:lang w:eastAsia="lv-LV"/>
        </w:rPr>
        <w:t xml:space="preserve">un Latvijas Pašvaldību savienības </w:t>
      </w:r>
      <w:r w:rsidRPr="007543CA">
        <w:rPr>
          <w:rFonts w:eastAsia="Calibri" w:cs="Times New Roman"/>
          <w:bCs/>
          <w:sz w:val="26"/>
          <w:szCs w:val="26"/>
          <w:lang w:eastAsia="lv-LV"/>
        </w:rPr>
        <w:t xml:space="preserve">domstarpību un vienošanās </w:t>
      </w:r>
      <w:r w:rsidR="00B94E5A">
        <w:rPr>
          <w:rFonts w:eastAsia="Calibri" w:cs="Times New Roman"/>
          <w:bCs/>
          <w:sz w:val="26"/>
          <w:szCs w:val="26"/>
          <w:lang w:eastAsia="lv-LV"/>
        </w:rPr>
        <w:t>protokolā par 2019.gada budžetu</w:t>
      </w:r>
      <w:r w:rsidRPr="007543CA">
        <w:rPr>
          <w:rFonts w:eastAsia="Calibri" w:cs="Times New Roman"/>
          <w:bCs/>
          <w:sz w:val="26"/>
          <w:szCs w:val="26"/>
          <w:lang w:eastAsia="lv-LV"/>
        </w:rPr>
        <w:t xml:space="preserve"> un </w:t>
      </w:r>
      <w:r>
        <w:rPr>
          <w:rFonts w:eastAsia="Calibri" w:cs="Times New Roman"/>
          <w:bCs/>
          <w:sz w:val="26"/>
          <w:szCs w:val="26"/>
          <w:lang w:eastAsia="lv-LV"/>
        </w:rPr>
        <w:t xml:space="preserve">Ministru kabineta  </w:t>
      </w:r>
      <w:r w:rsidRPr="00B94D9C">
        <w:rPr>
          <w:sz w:val="26"/>
          <w:szCs w:val="26"/>
        </w:rPr>
        <w:t>2019.gada 11.</w:t>
      </w:r>
      <w:r>
        <w:rPr>
          <w:sz w:val="26"/>
          <w:szCs w:val="26"/>
        </w:rPr>
        <w:t xml:space="preserve">jūnija </w:t>
      </w:r>
      <w:r w:rsidR="00327683">
        <w:rPr>
          <w:sz w:val="26"/>
          <w:szCs w:val="26"/>
        </w:rPr>
        <w:t xml:space="preserve"> sēdes </w:t>
      </w:r>
      <w:proofErr w:type="spellStart"/>
      <w:r w:rsidR="00327683">
        <w:rPr>
          <w:sz w:val="26"/>
          <w:szCs w:val="26"/>
        </w:rPr>
        <w:t>protokollēmumā</w:t>
      </w:r>
      <w:proofErr w:type="spellEnd"/>
      <w:r w:rsidR="00327683">
        <w:rPr>
          <w:sz w:val="26"/>
          <w:szCs w:val="26"/>
        </w:rPr>
        <w:t xml:space="preserve">  </w:t>
      </w:r>
      <w:r w:rsidR="00B94E5A">
        <w:rPr>
          <w:sz w:val="26"/>
          <w:szCs w:val="26"/>
        </w:rPr>
        <w:t>Nr.</w:t>
      </w:r>
      <w:r w:rsidRPr="00B94D9C">
        <w:rPr>
          <w:sz w:val="26"/>
          <w:szCs w:val="26"/>
        </w:rPr>
        <w:t xml:space="preserve">28 </w:t>
      </w:r>
      <w:r w:rsidRPr="00B94D9C">
        <w:rPr>
          <w:rFonts w:eastAsia="Times New Roman" w:cs="Times New Roman"/>
          <w:sz w:val="26"/>
          <w:szCs w:val="26"/>
          <w:lang w:eastAsia="lv-LV"/>
        </w:rPr>
        <w:t>34.§ “Infor</w:t>
      </w:r>
      <w:r w:rsidR="00B94E5A">
        <w:rPr>
          <w:rFonts w:eastAsia="Times New Roman" w:cs="Times New Roman"/>
          <w:sz w:val="26"/>
          <w:szCs w:val="26"/>
          <w:lang w:eastAsia="lv-LV"/>
        </w:rPr>
        <w:t>matīvais ziņojums “</w:t>
      </w:r>
      <w:r w:rsidRPr="00B94D9C">
        <w:rPr>
          <w:rFonts w:eastAsia="Times New Roman" w:cs="Times New Roman"/>
          <w:sz w:val="26"/>
          <w:szCs w:val="26"/>
          <w:lang w:eastAsia="lv-LV"/>
        </w:rPr>
        <w:t>Par 2019.gada kopējo pašvaldību aizņēmumu limitu un pašval</w:t>
      </w:r>
      <w:r w:rsidR="00327683">
        <w:rPr>
          <w:rFonts w:eastAsia="Times New Roman" w:cs="Times New Roman"/>
          <w:sz w:val="26"/>
          <w:szCs w:val="26"/>
          <w:lang w:eastAsia="lv-LV"/>
        </w:rPr>
        <w:t>dību aizņēmumu pieprasījumiem”” (</w:t>
      </w:r>
      <w:r w:rsidR="00852643">
        <w:rPr>
          <w:rFonts w:eastAsia="Times New Roman" w:cs="Times New Roman"/>
          <w:sz w:val="26"/>
          <w:szCs w:val="26"/>
          <w:lang w:eastAsia="lv-LV"/>
        </w:rPr>
        <w:t xml:space="preserve">turpmāk - </w:t>
      </w:r>
      <w:r w:rsidR="00327683">
        <w:rPr>
          <w:rFonts w:eastAsia="Times New Roman" w:cs="Times New Roman"/>
          <w:sz w:val="26"/>
          <w:szCs w:val="26"/>
          <w:lang w:eastAsia="lv-LV"/>
        </w:rPr>
        <w:t xml:space="preserve">MK sēdes </w:t>
      </w:r>
      <w:r w:rsidR="00327683">
        <w:rPr>
          <w:sz w:val="26"/>
          <w:szCs w:val="26"/>
        </w:rPr>
        <w:t xml:space="preserve">protokollēmums). </w:t>
      </w:r>
    </w:p>
    <w:p w14:paraId="33C746C2" w14:textId="77777777" w:rsidR="00B56F71" w:rsidRDefault="00B56F71" w:rsidP="00B56F71">
      <w:pPr>
        <w:pStyle w:val="ListParagraph"/>
        <w:ind w:left="0" w:firstLine="567"/>
        <w:jc w:val="both"/>
        <w:rPr>
          <w:sz w:val="26"/>
          <w:szCs w:val="26"/>
        </w:rPr>
      </w:pPr>
    </w:p>
    <w:p w14:paraId="134E2991" w14:textId="13919DAF" w:rsidR="00B56F71" w:rsidRDefault="00327683" w:rsidP="00B56F71">
      <w:pPr>
        <w:pStyle w:val="ListParagraph"/>
        <w:ind w:left="0" w:firstLine="567"/>
        <w:jc w:val="both"/>
        <w:rPr>
          <w:sz w:val="26"/>
          <w:szCs w:val="26"/>
        </w:rPr>
      </w:pPr>
      <w:r w:rsidRPr="00B56F71">
        <w:rPr>
          <w:sz w:val="26"/>
          <w:szCs w:val="26"/>
        </w:rPr>
        <w:t xml:space="preserve">Informāciju par </w:t>
      </w:r>
      <w:r w:rsidR="005255FB" w:rsidRPr="00B56F71">
        <w:rPr>
          <w:sz w:val="26"/>
          <w:szCs w:val="26"/>
        </w:rPr>
        <w:t xml:space="preserve">2019.gada kopējo pašvaldību aizņēmumu limitu </w:t>
      </w:r>
      <w:r w:rsidRPr="00B56F71">
        <w:rPr>
          <w:sz w:val="26"/>
          <w:szCs w:val="26"/>
        </w:rPr>
        <w:t xml:space="preserve">un pašvaldību aizņēmuma pieprasījumu apjomiem Finanšu ministrija sniedza </w:t>
      </w:r>
      <w:r w:rsidRPr="00B56F71">
        <w:rPr>
          <w:rFonts w:eastAsia="Times New Roman" w:cs="Times New Roman"/>
          <w:sz w:val="26"/>
          <w:szCs w:val="26"/>
          <w:lang w:eastAsia="lv-LV"/>
        </w:rPr>
        <w:t>i</w:t>
      </w:r>
      <w:r w:rsidR="005255FB" w:rsidRPr="00B56F71">
        <w:rPr>
          <w:rFonts w:eastAsia="Times New Roman" w:cs="Times New Roman"/>
          <w:sz w:val="26"/>
          <w:szCs w:val="26"/>
          <w:lang w:eastAsia="lv-LV"/>
        </w:rPr>
        <w:t>nformatīvajā</w:t>
      </w:r>
      <w:r w:rsidRPr="00B56F71">
        <w:rPr>
          <w:rFonts w:eastAsia="Times New Roman" w:cs="Times New Roman"/>
          <w:sz w:val="26"/>
          <w:szCs w:val="26"/>
          <w:lang w:eastAsia="lv-LV"/>
        </w:rPr>
        <w:t xml:space="preserve"> ziņojumā </w:t>
      </w:r>
      <w:r w:rsidR="00B56F71">
        <w:rPr>
          <w:rFonts w:eastAsia="Times New Roman" w:cs="Times New Roman"/>
          <w:sz w:val="26"/>
          <w:szCs w:val="26"/>
          <w:lang w:eastAsia="lv-LV"/>
        </w:rPr>
        <w:t>“</w:t>
      </w:r>
      <w:r w:rsidRPr="00B56F71">
        <w:rPr>
          <w:rFonts w:eastAsia="Times New Roman" w:cs="Times New Roman"/>
          <w:sz w:val="26"/>
          <w:szCs w:val="26"/>
          <w:lang w:eastAsia="lv-LV"/>
        </w:rPr>
        <w:t xml:space="preserve">Par 2019.gada kopējo pašvaldību aizņēmumu limitu un pašvaldību aizņēmumu pieprasījumiem”, kas tika izskatīts un atbalstīts ar MK sēdes </w:t>
      </w:r>
      <w:r w:rsidRPr="00B56F71">
        <w:rPr>
          <w:sz w:val="26"/>
          <w:szCs w:val="26"/>
        </w:rPr>
        <w:t>protokollēmumu.  Finanšu ministrija ir izpild</w:t>
      </w:r>
      <w:r w:rsidR="00B56F71">
        <w:rPr>
          <w:sz w:val="26"/>
          <w:szCs w:val="26"/>
        </w:rPr>
        <w:t>ījusi</w:t>
      </w:r>
      <w:r w:rsidRPr="00B56F71">
        <w:rPr>
          <w:sz w:val="26"/>
          <w:szCs w:val="26"/>
        </w:rPr>
        <w:t xml:space="preserve"> </w:t>
      </w:r>
      <w:r w:rsidRPr="00B56F71">
        <w:rPr>
          <w:rFonts w:eastAsia="Times New Roman" w:cs="Times New Roman"/>
          <w:sz w:val="26"/>
          <w:szCs w:val="26"/>
          <w:lang w:eastAsia="lv-LV"/>
        </w:rPr>
        <w:t xml:space="preserve">MK sēdes </w:t>
      </w:r>
      <w:r w:rsidRPr="00B56F71">
        <w:rPr>
          <w:sz w:val="26"/>
          <w:szCs w:val="26"/>
        </w:rPr>
        <w:t>protokollēmuma noteikto uzdevumu par aizņ</w:t>
      </w:r>
      <w:r w:rsidR="005255FB" w:rsidRPr="00B56F71">
        <w:rPr>
          <w:sz w:val="26"/>
          <w:szCs w:val="26"/>
        </w:rPr>
        <w:t>ēmumiem</w:t>
      </w:r>
      <w:r w:rsidRPr="00B56F71">
        <w:rPr>
          <w:sz w:val="26"/>
          <w:szCs w:val="26"/>
        </w:rPr>
        <w:t xml:space="preserve"> 2018.gadā uzsākto valsts budžeta līdzfinansēto  projektu pabeigšanai. </w:t>
      </w:r>
    </w:p>
    <w:p w14:paraId="3209BF39" w14:textId="77777777" w:rsidR="00B56F71" w:rsidRDefault="00B56F71" w:rsidP="00B56F71">
      <w:pPr>
        <w:pStyle w:val="ListParagraph"/>
        <w:ind w:left="0" w:firstLine="567"/>
        <w:jc w:val="both"/>
        <w:rPr>
          <w:sz w:val="26"/>
          <w:szCs w:val="26"/>
        </w:rPr>
      </w:pPr>
    </w:p>
    <w:p w14:paraId="019D9D07" w14:textId="73CCF363" w:rsidR="00B56F71" w:rsidRDefault="006871CC" w:rsidP="00B56F71">
      <w:pPr>
        <w:pStyle w:val="ListParagraph"/>
        <w:ind w:left="0" w:firstLine="567"/>
        <w:jc w:val="both"/>
        <w:rPr>
          <w:rFonts w:eastAsia="Calibri" w:cs="Times New Roman"/>
          <w:sz w:val="26"/>
          <w:szCs w:val="26"/>
        </w:rPr>
      </w:pPr>
      <w:r w:rsidRPr="00B56F71">
        <w:rPr>
          <w:sz w:val="26"/>
          <w:szCs w:val="26"/>
        </w:rPr>
        <w:t xml:space="preserve">Izvērtējot pašvaldību iesniegtos aizņēmuma pieprasījumus, secināms, ka </w:t>
      </w:r>
      <w:r w:rsidR="00852643">
        <w:rPr>
          <w:sz w:val="26"/>
          <w:szCs w:val="26"/>
        </w:rPr>
        <w:t xml:space="preserve">tie ir iesniegti </w:t>
      </w:r>
      <w:r w:rsidR="00AC0878" w:rsidRPr="00B56F71">
        <w:rPr>
          <w:sz w:val="26"/>
          <w:szCs w:val="26"/>
        </w:rPr>
        <w:t xml:space="preserve">dažādiem  </w:t>
      </w:r>
      <w:r w:rsidR="004B7DD5" w:rsidRPr="00B56F71">
        <w:rPr>
          <w:sz w:val="26"/>
          <w:szCs w:val="26"/>
        </w:rPr>
        <w:t xml:space="preserve">ES </w:t>
      </w:r>
      <w:r w:rsidR="00AC0878" w:rsidRPr="00B56F71">
        <w:rPr>
          <w:sz w:val="26"/>
          <w:szCs w:val="26"/>
        </w:rPr>
        <w:t xml:space="preserve">projektiem, tajā skaitā arī </w:t>
      </w:r>
      <w:r w:rsidR="00420275" w:rsidRPr="00B56F71">
        <w:rPr>
          <w:sz w:val="26"/>
          <w:szCs w:val="26"/>
        </w:rPr>
        <w:t>Eiropas Savienības</w:t>
      </w:r>
      <w:r w:rsidR="00AC0878" w:rsidRPr="00B56F71">
        <w:rPr>
          <w:sz w:val="26"/>
          <w:szCs w:val="26"/>
        </w:rPr>
        <w:t xml:space="preserve"> </w:t>
      </w:r>
      <w:r w:rsidR="00E6647B" w:rsidRPr="00B56F71">
        <w:rPr>
          <w:sz w:val="26"/>
          <w:szCs w:val="26"/>
        </w:rPr>
        <w:t>līdzfinansētajiem</w:t>
      </w:r>
      <w:r w:rsidR="00420275" w:rsidRPr="00B56F71">
        <w:rPr>
          <w:sz w:val="26"/>
          <w:szCs w:val="26"/>
        </w:rPr>
        <w:t xml:space="preserve"> </w:t>
      </w:r>
      <w:r w:rsidR="004B7DD5" w:rsidRPr="00B56F71">
        <w:rPr>
          <w:rFonts w:eastAsia="Calibri" w:cs="Times New Roman"/>
          <w:sz w:val="26"/>
          <w:szCs w:val="26"/>
        </w:rPr>
        <w:t xml:space="preserve">izglītības </w:t>
      </w:r>
      <w:r w:rsidR="00420275" w:rsidRPr="00B56F71">
        <w:rPr>
          <w:rFonts w:eastAsia="Calibri" w:cs="Times New Roman"/>
          <w:sz w:val="26"/>
          <w:szCs w:val="26"/>
        </w:rPr>
        <w:t>iestāžu</w:t>
      </w:r>
      <w:r w:rsidR="00306B42" w:rsidRPr="00B56F71">
        <w:rPr>
          <w:rFonts w:eastAsia="Calibri" w:cs="Times New Roman"/>
          <w:sz w:val="26"/>
          <w:szCs w:val="26"/>
        </w:rPr>
        <w:t xml:space="preserve"> </w:t>
      </w:r>
      <w:r w:rsidR="004B7DD5" w:rsidRPr="00B56F71">
        <w:rPr>
          <w:rFonts w:eastAsia="Calibri" w:cs="Times New Roman"/>
          <w:sz w:val="26"/>
          <w:szCs w:val="26"/>
        </w:rPr>
        <w:t>investīciju projektiem</w:t>
      </w:r>
      <w:r w:rsidR="00420275" w:rsidRPr="00B56F71">
        <w:rPr>
          <w:rFonts w:eastAsia="Calibri" w:cs="Times New Roman"/>
          <w:sz w:val="26"/>
          <w:szCs w:val="26"/>
        </w:rPr>
        <w:t xml:space="preserve"> (turpmāk – ES </w:t>
      </w:r>
      <w:r w:rsidR="00420275" w:rsidRPr="00B56F71">
        <w:rPr>
          <w:rFonts w:cs="Times New Roman"/>
          <w:sz w:val="26"/>
          <w:szCs w:val="26"/>
        </w:rPr>
        <w:t>izglītības iestāžu investīciju projekti</w:t>
      </w:r>
      <w:r w:rsidR="00420275" w:rsidRPr="00B56F71">
        <w:rPr>
          <w:rFonts w:eastAsia="Calibri" w:cs="Times New Roman"/>
          <w:sz w:val="26"/>
          <w:szCs w:val="26"/>
        </w:rPr>
        <w:t>),</w:t>
      </w:r>
      <w:r w:rsidR="00AC0878" w:rsidRPr="00B56F71">
        <w:rPr>
          <w:rFonts w:eastAsia="Calibri" w:cs="Times New Roman"/>
          <w:sz w:val="26"/>
          <w:szCs w:val="26"/>
        </w:rPr>
        <w:t xml:space="preserve"> </w:t>
      </w:r>
      <w:r w:rsidR="00B94E5A">
        <w:rPr>
          <w:rFonts w:eastAsia="Calibri" w:cs="Times New Roman"/>
          <w:sz w:val="26"/>
          <w:szCs w:val="26"/>
        </w:rPr>
        <w:t>kas ir uzsākti, lai skolēniem</w:t>
      </w:r>
      <w:r w:rsidRPr="00B56F71">
        <w:rPr>
          <w:rFonts w:eastAsia="Calibri" w:cs="Times New Roman"/>
          <w:sz w:val="26"/>
          <w:szCs w:val="26"/>
        </w:rPr>
        <w:t xml:space="preserve"> nodrošinātu mācību procesu, </w:t>
      </w:r>
      <w:r w:rsidR="00AC0878" w:rsidRPr="00B56F71">
        <w:rPr>
          <w:rFonts w:eastAsia="Calibri" w:cs="Times New Roman"/>
          <w:sz w:val="26"/>
          <w:szCs w:val="26"/>
        </w:rPr>
        <w:t>atsevišķo gadījumos jau 2019.gada septembrī.</w:t>
      </w:r>
      <w:r w:rsidR="004B7DD5" w:rsidRPr="00B56F71">
        <w:rPr>
          <w:rFonts w:eastAsia="Calibri" w:cs="Times New Roman"/>
          <w:sz w:val="26"/>
          <w:szCs w:val="26"/>
        </w:rPr>
        <w:t xml:space="preserve"> </w:t>
      </w:r>
    </w:p>
    <w:p w14:paraId="20178460" w14:textId="77777777" w:rsidR="00B56F71" w:rsidRDefault="00B56F71" w:rsidP="00B56F71">
      <w:pPr>
        <w:pStyle w:val="ListParagraph"/>
        <w:ind w:left="0" w:firstLine="567"/>
        <w:jc w:val="both"/>
        <w:rPr>
          <w:rFonts w:eastAsia="Calibri" w:cs="Times New Roman"/>
          <w:sz w:val="26"/>
          <w:szCs w:val="26"/>
        </w:rPr>
      </w:pPr>
    </w:p>
    <w:p w14:paraId="54921A19" w14:textId="646D490C" w:rsidR="006871CC" w:rsidRPr="00B56F71" w:rsidRDefault="004540E3" w:rsidP="00B56F71">
      <w:pPr>
        <w:pStyle w:val="ListParagraph"/>
        <w:ind w:left="0" w:firstLine="567"/>
        <w:jc w:val="both"/>
        <w:rPr>
          <w:sz w:val="26"/>
          <w:szCs w:val="26"/>
        </w:rPr>
      </w:pPr>
      <w:r w:rsidRPr="00B56F71">
        <w:rPr>
          <w:rFonts w:eastAsia="Calibri" w:cs="Times New Roman"/>
          <w:sz w:val="26"/>
          <w:szCs w:val="26"/>
        </w:rPr>
        <w:t>I</w:t>
      </w:r>
      <w:r w:rsidRPr="00B56F71">
        <w:rPr>
          <w:rFonts w:cs="Times New Roman"/>
          <w:sz w:val="26"/>
          <w:szCs w:val="26"/>
        </w:rPr>
        <w:t>nformācija par</w:t>
      </w:r>
      <w:r w:rsidRPr="00B56F71">
        <w:rPr>
          <w:sz w:val="26"/>
          <w:szCs w:val="26"/>
        </w:rPr>
        <w:t xml:space="preserve"> pašvaldību iesniegto ES projektu aizņēmumu</w:t>
      </w:r>
      <w:r>
        <w:rPr>
          <w:rStyle w:val="FootnoteReference"/>
          <w:sz w:val="26"/>
          <w:szCs w:val="26"/>
        </w:rPr>
        <w:footnoteReference w:id="1"/>
      </w:r>
      <w:r w:rsidRPr="00B56F71">
        <w:rPr>
          <w:sz w:val="26"/>
          <w:szCs w:val="26"/>
        </w:rPr>
        <w:t xml:space="preserve"> pieprasījumu, kam nav saņemti aizņēmumi</w:t>
      </w:r>
      <w:r w:rsidR="00E6647B" w:rsidRPr="00B56F71">
        <w:rPr>
          <w:sz w:val="26"/>
          <w:szCs w:val="26"/>
        </w:rPr>
        <w:t xml:space="preserve">, </w:t>
      </w:r>
      <w:r w:rsidRPr="00B56F71">
        <w:rPr>
          <w:sz w:val="26"/>
          <w:szCs w:val="26"/>
        </w:rPr>
        <w:t xml:space="preserve">kopējo </w:t>
      </w:r>
      <w:r w:rsidR="0087604A" w:rsidRPr="00B56F71">
        <w:rPr>
          <w:sz w:val="26"/>
          <w:szCs w:val="26"/>
        </w:rPr>
        <w:t>apmēru</w:t>
      </w:r>
      <w:r w:rsidRPr="00B56F71">
        <w:rPr>
          <w:sz w:val="26"/>
          <w:szCs w:val="26"/>
        </w:rPr>
        <w:t xml:space="preserve"> ietverta</w:t>
      </w:r>
      <w:r w:rsidR="007A4EF9">
        <w:rPr>
          <w:sz w:val="26"/>
          <w:szCs w:val="26"/>
        </w:rPr>
        <w:t xml:space="preserve"> zemāk minētajā  tabulā: </w:t>
      </w:r>
    </w:p>
    <w:p w14:paraId="1A525608" w14:textId="77777777" w:rsidR="00B56F71" w:rsidRDefault="00B56F71" w:rsidP="004540E3">
      <w:pPr>
        <w:jc w:val="right"/>
        <w:rPr>
          <w:sz w:val="26"/>
          <w:szCs w:val="26"/>
        </w:rPr>
      </w:pPr>
    </w:p>
    <w:p w14:paraId="49953352" w14:textId="1E988AA9" w:rsidR="004540E3" w:rsidRDefault="004540E3" w:rsidP="004540E3">
      <w:pPr>
        <w:jc w:val="center"/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Pašvaldību aizņēmumu pieprasījumi  ES projektiem </w:t>
      </w:r>
      <w:r w:rsidRPr="007E3654">
        <w:rPr>
          <w:b/>
          <w:bCs/>
          <w:color w:val="000000"/>
          <w:sz w:val="26"/>
          <w:szCs w:val="26"/>
        </w:rPr>
        <w:t>uz 2019.</w:t>
      </w:r>
      <w:r w:rsidR="007A4EF9"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gada 26</w:t>
      </w:r>
      <w:r>
        <w:rPr>
          <w:rFonts w:eastAsiaTheme="minorEastAsia"/>
          <w:b/>
          <w:bCs/>
          <w:color w:val="000000" w:themeColor="text1"/>
          <w:kern w:val="24"/>
          <w:sz w:val="26"/>
          <w:szCs w:val="26"/>
        </w:rPr>
        <w:t>.jūniju,</w:t>
      </w:r>
      <w:r w:rsidRPr="007E3654"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  <w:t xml:space="preserve"> </w:t>
      </w:r>
    </w:p>
    <w:p w14:paraId="7BDEB244" w14:textId="56593347" w:rsidR="004540E3" w:rsidRDefault="004540E3" w:rsidP="004540E3">
      <w:pPr>
        <w:jc w:val="center"/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</w:pPr>
      <w:r w:rsidRPr="007E3654"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  <w:t>milj. EUR</w:t>
      </w:r>
    </w:p>
    <w:p w14:paraId="37110096" w14:textId="77777777" w:rsidR="00327683" w:rsidRDefault="00327683" w:rsidP="004540E3">
      <w:pPr>
        <w:jc w:val="center"/>
        <w:rPr>
          <w:rFonts w:eastAsiaTheme="minorEastAsia"/>
          <w:b/>
          <w:bCs/>
          <w:i/>
          <w:color w:val="000000" w:themeColor="text1"/>
          <w:kern w:val="24"/>
          <w:sz w:val="26"/>
          <w:szCs w:val="26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678"/>
        <w:gridCol w:w="1418"/>
        <w:gridCol w:w="1275"/>
        <w:gridCol w:w="1560"/>
      </w:tblGrid>
      <w:tr w:rsidR="004540E3" w14:paraId="2B1E11B9" w14:textId="77777777" w:rsidTr="0087604A">
        <w:tc>
          <w:tcPr>
            <w:tcW w:w="4678" w:type="dxa"/>
            <w:shd w:val="clear" w:color="auto" w:fill="D9D9D9" w:themeFill="background1" w:themeFillShade="D9"/>
          </w:tcPr>
          <w:p w14:paraId="5ECE9321" w14:textId="77777777" w:rsidR="004540E3" w:rsidRPr="00B56F71" w:rsidRDefault="004540E3" w:rsidP="00B7297F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Mērķis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EF4D6E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Kopā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87A32C7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FAD083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2020</w:t>
            </w:r>
          </w:p>
        </w:tc>
      </w:tr>
      <w:tr w:rsidR="004540E3" w:rsidRPr="00103437" w14:paraId="4CE345FB" w14:textId="77777777" w:rsidTr="0087604A">
        <w:trPr>
          <w:trHeight w:val="236"/>
        </w:trPr>
        <w:tc>
          <w:tcPr>
            <w:tcW w:w="4678" w:type="dxa"/>
          </w:tcPr>
          <w:p w14:paraId="3B9AC1C5" w14:textId="77777777" w:rsidR="004540E3" w:rsidRPr="00B56F71" w:rsidRDefault="004540E3" w:rsidP="00B7297F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rPr>
                <w:rFonts w:cs="Times New Roman"/>
                <w:sz w:val="26"/>
                <w:szCs w:val="26"/>
              </w:rPr>
            </w:pPr>
            <w:r w:rsidRPr="00B56F71">
              <w:rPr>
                <w:rFonts w:cs="Times New Roman"/>
                <w:sz w:val="26"/>
                <w:szCs w:val="26"/>
              </w:rPr>
              <w:t>ES izglītības iestāžu investīciju projekti</w:t>
            </w:r>
            <w:r w:rsidRPr="00B56F71">
              <w:rPr>
                <w:rStyle w:val="FootnoteReference"/>
                <w:rFonts w:cs="Times New Roman"/>
                <w:sz w:val="26"/>
                <w:szCs w:val="26"/>
              </w:rPr>
              <w:footnoteReference w:id="2"/>
            </w:r>
          </w:p>
        </w:tc>
        <w:tc>
          <w:tcPr>
            <w:tcW w:w="1418" w:type="dxa"/>
          </w:tcPr>
          <w:p w14:paraId="3B087B0F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31,5</w:t>
            </w:r>
          </w:p>
        </w:tc>
        <w:tc>
          <w:tcPr>
            <w:tcW w:w="1275" w:type="dxa"/>
          </w:tcPr>
          <w:p w14:paraId="4F65B5C8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sz w:val="26"/>
                <w:szCs w:val="26"/>
              </w:rPr>
            </w:pPr>
            <w:r w:rsidRPr="00B56F71">
              <w:rPr>
                <w:rFonts w:cs="Times New Roman"/>
                <w:sz w:val="26"/>
                <w:szCs w:val="26"/>
              </w:rPr>
              <w:t>17,7</w:t>
            </w:r>
          </w:p>
        </w:tc>
        <w:tc>
          <w:tcPr>
            <w:tcW w:w="1560" w:type="dxa"/>
          </w:tcPr>
          <w:p w14:paraId="0BFB9080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sz w:val="26"/>
                <w:szCs w:val="26"/>
              </w:rPr>
            </w:pPr>
            <w:r w:rsidRPr="00B56F71">
              <w:rPr>
                <w:rFonts w:cs="Times New Roman"/>
                <w:sz w:val="26"/>
                <w:szCs w:val="26"/>
              </w:rPr>
              <w:t>13,8</w:t>
            </w:r>
          </w:p>
        </w:tc>
      </w:tr>
      <w:tr w:rsidR="004540E3" w:rsidRPr="00103437" w14:paraId="58F89978" w14:textId="77777777" w:rsidTr="0087604A">
        <w:trPr>
          <w:trHeight w:val="284"/>
        </w:trPr>
        <w:tc>
          <w:tcPr>
            <w:tcW w:w="4678" w:type="dxa"/>
          </w:tcPr>
          <w:p w14:paraId="460092F6" w14:textId="77777777" w:rsidR="004540E3" w:rsidRPr="00B56F71" w:rsidRDefault="004540E3" w:rsidP="00B7297F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rPr>
                <w:rFonts w:cs="Times New Roman"/>
                <w:sz w:val="26"/>
                <w:szCs w:val="26"/>
              </w:rPr>
            </w:pPr>
            <w:r w:rsidRPr="00B56F71">
              <w:rPr>
                <w:rFonts w:cs="Times New Roman"/>
                <w:sz w:val="26"/>
                <w:szCs w:val="26"/>
              </w:rPr>
              <w:t xml:space="preserve">Pārējie ES projekti </w:t>
            </w:r>
          </w:p>
        </w:tc>
        <w:tc>
          <w:tcPr>
            <w:tcW w:w="1418" w:type="dxa"/>
          </w:tcPr>
          <w:p w14:paraId="1F12CCF9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43,9</w:t>
            </w:r>
          </w:p>
        </w:tc>
        <w:tc>
          <w:tcPr>
            <w:tcW w:w="1275" w:type="dxa"/>
          </w:tcPr>
          <w:p w14:paraId="2F4E2B9F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sz w:val="26"/>
                <w:szCs w:val="26"/>
              </w:rPr>
            </w:pPr>
            <w:r w:rsidRPr="00B56F71">
              <w:rPr>
                <w:rFonts w:cs="Times New Roman"/>
                <w:sz w:val="26"/>
                <w:szCs w:val="26"/>
              </w:rPr>
              <w:t>28,2</w:t>
            </w:r>
          </w:p>
        </w:tc>
        <w:tc>
          <w:tcPr>
            <w:tcW w:w="1560" w:type="dxa"/>
          </w:tcPr>
          <w:p w14:paraId="64EC5152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sz w:val="26"/>
                <w:szCs w:val="26"/>
              </w:rPr>
            </w:pPr>
            <w:r w:rsidRPr="00B56F71">
              <w:rPr>
                <w:rFonts w:cs="Times New Roman"/>
                <w:sz w:val="26"/>
                <w:szCs w:val="26"/>
              </w:rPr>
              <w:t>15,7</w:t>
            </w:r>
          </w:p>
        </w:tc>
      </w:tr>
      <w:tr w:rsidR="004540E3" w:rsidRPr="00103437" w14:paraId="5340ED04" w14:textId="77777777" w:rsidTr="0087604A">
        <w:tc>
          <w:tcPr>
            <w:tcW w:w="4678" w:type="dxa"/>
          </w:tcPr>
          <w:p w14:paraId="542472E6" w14:textId="77777777" w:rsidR="004540E3" w:rsidRPr="00B56F71" w:rsidRDefault="004540E3" w:rsidP="00B7297F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left="22" w:right="-370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 xml:space="preserve">Kopā: </w:t>
            </w:r>
          </w:p>
        </w:tc>
        <w:tc>
          <w:tcPr>
            <w:tcW w:w="1418" w:type="dxa"/>
          </w:tcPr>
          <w:p w14:paraId="1558C763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75,4</w:t>
            </w:r>
          </w:p>
        </w:tc>
        <w:tc>
          <w:tcPr>
            <w:tcW w:w="1275" w:type="dxa"/>
          </w:tcPr>
          <w:p w14:paraId="09E5CEAD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45,9</w:t>
            </w:r>
          </w:p>
        </w:tc>
        <w:tc>
          <w:tcPr>
            <w:tcW w:w="1560" w:type="dxa"/>
          </w:tcPr>
          <w:p w14:paraId="50366EAE" w14:textId="77777777" w:rsidR="004540E3" w:rsidRPr="00B56F71" w:rsidRDefault="004540E3" w:rsidP="0087604A">
            <w:pPr>
              <w:pStyle w:val="BodyText2"/>
              <w:tabs>
                <w:tab w:val="left" w:pos="-5387"/>
                <w:tab w:val="left" w:pos="426"/>
                <w:tab w:val="left" w:pos="851"/>
              </w:tabs>
              <w:spacing w:after="0" w:line="240" w:lineRule="auto"/>
              <w:ind w:right="-37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56F71">
              <w:rPr>
                <w:rFonts w:cs="Times New Roman"/>
                <w:b/>
                <w:sz w:val="26"/>
                <w:szCs w:val="26"/>
              </w:rPr>
              <w:t>29,5</w:t>
            </w:r>
          </w:p>
        </w:tc>
      </w:tr>
    </w:tbl>
    <w:p w14:paraId="7CD18A31" w14:textId="72ADC89F" w:rsidR="004540E3" w:rsidRDefault="004540E3" w:rsidP="004540E3">
      <w:pPr>
        <w:pStyle w:val="ListParagraph"/>
        <w:ind w:left="0"/>
        <w:jc w:val="both"/>
        <w:rPr>
          <w:rFonts w:eastAsia="Calibri" w:cs="Times New Roman"/>
          <w:sz w:val="26"/>
          <w:szCs w:val="26"/>
        </w:rPr>
      </w:pPr>
    </w:p>
    <w:p w14:paraId="3911DE36" w14:textId="6BAF7AE6" w:rsidR="00EE27B9" w:rsidRDefault="006871CC" w:rsidP="00EE27B9">
      <w:pPr>
        <w:pStyle w:val="ListParagraph"/>
        <w:ind w:left="0" w:firstLine="567"/>
        <w:jc w:val="both"/>
        <w:rPr>
          <w:rFonts w:cs="Times New Roman"/>
          <w:bCs/>
          <w:sz w:val="26"/>
          <w:szCs w:val="26"/>
        </w:rPr>
      </w:pPr>
      <w:r w:rsidRPr="00420275">
        <w:rPr>
          <w:sz w:val="26"/>
          <w:szCs w:val="26"/>
        </w:rPr>
        <w:lastRenderedPageBreak/>
        <w:t xml:space="preserve">No pašvaldību iesniegtajiem aizņēmuma pieprasījumiem </w:t>
      </w:r>
      <w:r w:rsidR="00B94E5A">
        <w:rPr>
          <w:sz w:val="26"/>
          <w:szCs w:val="26"/>
        </w:rPr>
        <w:t>uz 2019.gada 26</w:t>
      </w:r>
      <w:r w:rsidR="00E6647B">
        <w:rPr>
          <w:sz w:val="26"/>
          <w:szCs w:val="26"/>
        </w:rPr>
        <w:t xml:space="preserve">.jūniju </w:t>
      </w:r>
      <w:r w:rsidRPr="00420275">
        <w:rPr>
          <w:sz w:val="26"/>
          <w:szCs w:val="26"/>
        </w:rPr>
        <w:t xml:space="preserve">ir apkopota informācija par nepieciešamajiem 2019.gada </w:t>
      </w:r>
      <w:r w:rsidR="00DF7301">
        <w:rPr>
          <w:sz w:val="26"/>
          <w:szCs w:val="26"/>
        </w:rPr>
        <w:t>un vidējā termiņa</w:t>
      </w:r>
      <w:r w:rsidR="00B94E5A">
        <w:rPr>
          <w:sz w:val="26"/>
          <w:szCs w:val="26"/>
        </w:rPr>
        <w:t xml:space="preserve"> </w:t>
      </w:r>
      <w:r w:rsidRPr="00420275">
        <w:rPr>
          <w:rFonts w:eastAsia="Calibri" w:cs="Times New Roman"/>
          <w:bCs/>
          <w:sz w:val="26"/>
          <w:szCs w:val="26"/>
          <w:lang w:eastAsia="lv-LV"/>
        </w:rPr>
        <w:t xml:space="preserve">ES izglītības iestāžu investīciju projektu aizņēmumiem, par kuriem ir noslēgta vienošanās </w:t>
      </w:r>
      <w:r w:rsidRPr="00566B8D">
        <w:rPr>
          <w:rFonts w:eastAsia="Calibri" w:cs="Times New Roman"/>
          <w:bCs/>
          <w:sz w:val="26"/>
          <w:szCs w:val="26"/>
          <w:lang w:eastAsia="lv-LV"/>
        </w:rPr>
        <w:t xml:space="preserve">ar Centrālo finanšu un līgumu aģentūru par ES projekta īstenošanu un kuri tiek </w:t>
      </w:r>
      <w:r w:rsidR="00B538CA" w:rsidRPr="00566B8D">
        <w:rPr>
          <w:rFonts w:eastAsia="Calibri" w:cs="Times New Roman"/>
          <w:bCs/>
          <w:sz w:val="26"/>
          <w:szCs w:val="26"/>
          <w:lang w:eastAsia="lv-LV"/>
        </w:rPr>
        <w:t>īstenoti</w:t>
      </w:r>
      <w:r w:rsidRPr="00566B8D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566B8D" w:rsidRPr="00566B8D">
        <w:rPr>
          <w:sz w:val="26"/>
          <w:szCs w:val="26"/>
        </w:rPr>
        <w:t xml:space="preserve">Eiropas Savienības struktūrfondu un Kohēzijas fonda 2014.–2020.gada plānošanas perioda </w:t>
      </w:r>
      <w:r w:rsidRPr="00566B8D">
        <w:rPr>
          <w:rFonts w:cs="Times New Roman"/>
          <w:bCs/>
          <w:sz w:val="26"/>
          <w:szCs w:val="26"/>
        </w:rPr>
        <w:t xml:space="preserve">darbības </w:t>
      </w:r>
      <w:r w:rsidRPr="00420275">
        <w:rPr>
          <w:rFonts w:cs="Times New Roman"/>
          <w:bCs/>
          <w:sz w:val="26"/>
          <w:szCs w:val="26"/>
        </w:rPr>
        <w:t xml:space="preserve">programmas "Izaugsme un nodarbinātība" 8.1.2.specifiskā atbalsta mērķa "Uzlabot vispārējās izglītības </w:t>
      </w:r>
      <w:r w:rsidR="00B94E5A">
        <w:rPr>
          <w:rFonts w:cs="Times New Roman"/>
          <w:bCs/>
          <w:sz w:val="26"/>
          <w:szCs w:val="26"/>
        </w:rPr>
        <w:t>iestāžu mācību vidi" un  4.2.2.</w:t>
      </w:r>
      <w:r w:rsidRPr="00420275">
        <w:rPr>
          <w:rFonts w:cs="Times New Roman"/>
          <w:bCs/>
          <w:sz w:val="26"/>
          <w:szCs w:val="26"/>
        </w:rPr>
        <w:t>specifiskā atbalsta mērķa "Atbilstoši pašvaldības integrētajām attīstības programmām sekmēt energo</w:t>
      </w:r>
      <w:r w:rsidR="00852643">
        <w:rPr>
          <w:rFonts w:cs="Times New Roman"/>
          <w:bCs/>
          <w:sz w:val="26"/>
          <w:szCs w:val="26"/>
        </w:rPr>
        <w:t xml:space="preserve">efektivitātes paaugstināšanu un </w:t>
      </w:r>
      <w:r w:rsidRPr="00420275">
        <w:rPr>
          <w:rFonts w:cs="Times New Roman"/>
          <w:bCs/>
          <w:sz w:val="26"/>
          <w:szCs w:val="26"/>
        </w:rPr>
        <w:t>atjaunojamo energoresur</w:t>
      </w:r>
      <w:r>
        <w:rPr>
          <w:rFonts w:cs="Times New Roman"/>
          <w:bCs/>
          <w:sz w:val="26"/>
          <w:szCs w:val="26"/>
        </w:rPr>
        <w:t xml:space="preserve">su izmantošanu pašvaldību ēkās" ietvaros. </w:t>
      </w:r>
    </w:p>
    <w:p w14:paraId="77405EC5" w14:textId="77777777" w:rsidR="00EE27B9" w:rsidRDefault="00EE27B9" w:rsidP="00EE27B9">
      <w:pPr>
        <w:pStyle w:val="ListParagraph"/>
        <w:ind w:left="0" w:firstLine="567"/>
        <w:jc w:val="both"/>
        <w:rPr>
          <w:rFonts w:cs="Times New Roman"/>
          <w:bCs/>
          <w:sz w:val="26"/>
          <w:szCs w:val="26"/>
        </w:rPr>
      </w:pPr>
    </w:p>
    <w:p w14:paraId="35CDEE81" w14:textId="4C7A6993" w:rsidR="00B56F71" w:rsidRDefault="0087604A" w:rsidP="00EE27B9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  <w:r w:rsidRPr="00B56F71">
        <w:rPr>
          <w:rFonts w:cs="Times New Roman"/>
          <w:sz w:val="26"/>
          <w:szCs w:val="26"/>
        </w:rPr>
        <w:t>M</w:t>
      </w:r>
      <w:r w:rsidR="006871CC" w:rsidRPr="00B56F71">
        <w:rPr>
          <w:rFonts w:cs="Times New Roman"/>
          <w:sz w:val="26"/>
          <w:szCs w:val="26"/>
        </w:rPr>
        <w:t xml:space="preserve">inētajiem </w:t>
      </w:r>
      <w:r w:rsidR="006871CC" w:rsidRPr="00B56F71">
        <w:rPr>
          <w:bCs/>
          <w:sz w:val="26"/>
          <w:szCs w:val="26"/>
        </w:rPr>
        <w:t xml:space="preserve">projektiem kopējais </w:t>
      </w:r>
      <w:r w:rsidR="00313616" w:rsidRPr="00B56F71">
        <w:rPr>
          <w:bCs/>
          <w:sz w:val="26"/>
          <w:szCs w:val="26"/>
        </w:rPr>
        <w:t xml:space="preserve">nepieciešamais </w:t>
      </w:r>
      <w:r w:rsidR="006871CC" w:rsidRPr="00B56F71">
        <w:rPr>
          <w:rFonts w:cs="Times New Roman"/>
          <w:sz w:val="26"/>
          <w:szCs w:val="26"/>
        </w:rPr>
        <w:t xml:space="preserve">aizņēmuma apmērs, </w:t>
      </w:r>
      <w:r w:rsidR="006871CC" w:rsidRPr="00B56F71">
        <w:rPr>
          <w:sz w:val="26"/>
          <w:szCs w:val="26"/>
        </w:rPr>
        <w:t xml:space="preserve">kas nepārsniedz attiecināmo izmaksu apjomu, ir 31,5 milj. EUR, tajā skaitā 2019.gadā </w:t>
      </w:r>
      <w:r w:rsidR="00313616" w:rsidRPr="00B56F71">
        <w:rPr>
          <w:sz w:val="26"/>
          <w:szCs w:val="26"/>
        </w:rPr>
        <w:t>17,7 milj. EUR, 2020.gadā 13,8 milj. EUR.</w:t>
      </w:r>
      <w:r w:rsidR="00EE27B9">
        <w:rPr>
          <w:sz w:val="26"/>
          <w:szCs w:val="26"/>
        </w:rPr>
        <w:t xml:space="preserve"> </w:t>
      </w:r>
      <w:r w:rsidR="004540E3" w:rsidRPr="00B56F71">
        <w:rPr>
          <w:bCs/>
          <w:sz w:val="26"/>
          <w:szCs w:val="26"/>
        </w:rPr>
        <w:t xml:space="preserve">Informācija par katra šī 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 xml:space="preserve">projekta </w:t>
      </w:r>
      <w:r w:rsidR="004540E3" w:rsidRPr="00B56F71">
        <w:rPr>
          <w:bCs/>
          <w:sz w:val="26"/>
          <w:szCs w:val="26"/>
        </w:rPr>
        <w:t>maksim</w:t>
      </w:r>
      <w:r w:rsidR="00B94E5A">
        <w:rPr>
          <w:bCs/>
          <w:sz w:val="26"/>
          <w:szCs w:val="26"/>
        </w:rPr>
        <w:t xml:space="preserve">āli pieļaujamo aizņēmuma apmēru ir </w:t>
      </w:r>
      <w:r w:rsidR="004540E3" w:rsidRPr="00B56F71">
        <w:rPr>
          <w:bCs/>
          <w:sz w:val="26"/>
          <w:szCs w:val="26"/>
        </w:rPr>
        <w:t>ietverta informatīvā ziņojuma pielikumā.</w:t>
      </w:r>
      <w:r w:rsidR="00EE27B9" w:rsidRPr="00EE27B9">
        <w:rPr>
          <w:rFonts w:cs="Times New Roman"/>
          <w:sz w:val="26"/>
          <w:szCs w:val="26"/>
        </w:rPr>
        <w:t xml:space="preserve"> </w:t>
      </w:r>
      <w:r w:rsidR="00EE27B9">
        <w:rPr>
          <w:sz w:val="26"/>
          <w:szCs w:val="26"/>
        </w:rPr>
        <w:t>A</w:t>
      </w:r>
      <w:r w:rsidR="00EE27B9" w:rsidRPr="004D2053">
        <w:rPr>
          <w:rFonts w:cs="Times New Roman"/>
          <w:sz w:val="26"/>
          <w:szCs w:val="26"/>
        </w:rPr>
        <w:t xml:space="preserve">izņēmumu pieteikumu </w:t>
      </w:r>
      <w:r w:rsidR="007A4EF9">
        <w:rPr>
          <w:rFonts w:cs="Times New Roman"/>
          <w:sz w:val="26"/>
          <w:szCs w:val="26"/>
        </w:rPr>
        <w:t>izvērtēšanas</w:t>
      </w:r>
      <w:r w:rsidR="00EE27B9" w:rsidRPr="004D2053">
        <w:rPr>
          <w:rFonts w:cs="Times New Roman"/>
          <w:sz w:val="26"/>
          <w:szCs w:val="26"/>
        </w:rPr>
        <w:t xml:space="preserve"> procesā</w:t>
      </w:r>
      <w:r w:rsidR="00EE27B9">
        <w:rPr>
          <w:rFonts w:cs="Times New Roman"/>
          <w:sz w:val="26"/>
          <w:szCs w:val="26"/>
        </w:rPr>
        <w:t>, i</w:t>
      </w:r>
      <w:r w:rsidR="00EE27B9" w:rsidRPr="004D2053">
        <w:rPr>
          <w:rFonts w:cs="Times New Roman"/>
          <w:sz w:val="26"/>
          <w:szCs w:val="26"/>
          <w:lang w:eastAsia="lv-LV"/>
        </w:rPr>
        <w:t xml:space="preserve">evērojot </w:t>
      </w:r>
      <w:r w:rsidR="00EE27B9" w:rsidRPr="004D2053">
        <w:rPr>
          <w:rFonts w:cs="Times New Roman"/>
          <w:sz w:val="26"/>
          <w:szCs w:val="26"/>
        </w:rPr>
        <w:t>normatīvajos aktos noteikto</w:t>
      </w:r>
      <w:r w:rsidR="00EE27B9" w:rsidRPr="004D2053">
        <w:rPr>
          <w:sz w:val="26"/>
          <w:szCs w:val="26"/>
        </w:rPr>
        <w:t>s</w:t>
      </w:r>
      <w:r w:rsidR="00EE27B9" w:rsidRPr="004D2053">
        <w:rPr>
          <w:rFonts w:cs="Times New Roman"/>
          <w:sz w:val="26"/>
          <w:szCs w:val="26"/>
        </w:rPr>
        <w:t xml:space="preserve"> pašvaldību aizņemšanās </w:t>
      </w:r>
      <w:r w:rsidR="00EE27B9" w:rsidRPr="004D2053">
        <w:rPr>
          <w:sz w:val="26"/>
          <w:szCs w:val="26"/>
        </w:rPr>
        <w:t>nosacījumus un kārtību</w:t>
      </w:r>
      <w:r w:rsidR="00EE27B9">
        <w:rPr>
          <w:sz w:val="26"/>
          <w:szCs w:val="26"/>
        </w:rPr>
        <w:t xml:space="preserve">, </w:t>
      </w:r>
      <w:r w:rsidR="00EE27B9">
        <w:rPr>
          <w:rFonts w:cs="Times New Roman"/>
          <w:sz w:val="26"/>
          <w:szCs w:val="26"/>
        </w:rPr>
        <w:t>a</w:t>
      </w:r>
      <w:r w:rsidR="00EE27B9" w:rsidRPr="004D2053">
        <w:rPr>
          <w:rFonts w:cs="Times New Roman"/>
          <w:sz w:val="26"/>
          <w:szCs w:val="26"/>
        </w:rPr>
        <w:t>izņē</w:t>
      </w:r>
      <w:r w:rsidR="00EE27B9">
        <w:rPr>
          <w:rFonts w:cs="Times New Roman"/>
          <w:sz w:val="26"/>
          <w:szCs w:val="26"/>
        </w:rPr>
        <w:t>mum</w:t>
      </w:r>
      <w:r w:rsidR="00133742">
        <w:rPr>
          <w:rFonts w:cs="Times New Roman"/>
          <w:sz w:val="26"/>
          <w:szCs w:val="26"/>
        </w:rPr>
        <w:t xml:space="preserve">u apmērs var tikt samazināts, kā arī </w:t>
      </w:r>
      <w:r w:rsidR="00EE27B9">
        <w:rPr>
          <w:rFonts w:cs="Times New Roman"/>
          <w:sz w:val="26"/>
          <w:szCs w:val="26"/>
          <w:lang w:eastAsia="lv-LV"/>
        </w:rPr>
        <w:t xml:space="preserve">precizēts tā izņemšanas sadalījums vidējā termiņā </w:t>
      </w:r>
      <w:r w:rsidR="00EE27B9">
        <w:rPr>
          <w:rFonts w:eastAsia="Times New Roman" w:cs="Times New Roman"/>
          <w:bCs/>
          <w:sz w:val="26"/>
          <w:szCs w:val="26"/>
        </w:rPr>
        <w:t xml:space="preserve">atbilstoši projektu </w:t>
      </w:r>
      <w:r w:rsidR="00133742">
        <w:rPr>
          <w:rFonts w:eastAsia="Times New Roman" w:cs="Times New Roman"/>
          <w:bCs/>
          <w:sz w:val="26"/>
          <w:szCs w:val="26"/>
        </w:rPr>
        <w:t xml:space="preserve">plānotajiem </w:t>
      </w:r>
      <w:r w:rsidR="00EE27B9">
        <w:rPr>
          <w:rFonts w:eastAsia="Times New Roman" w:cs="Times New Roman"/>
          <w:bCs/>
          <w:sz w:val="26"/>
          <w:szCs w:val="26"/>
        </w:rPr>
        <w:t>izpildes grafikiem</w:t>
      </w:r>
      <w:r w:rsidR="00EE27B9">
        <w:rPr>
          <w:rFonts w:cs="Times New Roman"/>
          <w:sz w:val="26"/>
          <w:szCs w:val="26"/>
        </w:rPr>
        <w:t xml:space="preserve">. </w:t>
      </w:r>
    </w:p>
    <w:p w14:paraId="0F30FA42" w14:textId="6C6AAA5E" w:rsidR="00F84144" w:rsidRDefault="00F84144" w:rsidP="00EE27B9">
      <w:pPr>
        <w:pStyle w:val="ListParagraph"/>
        <w:ind w:left="0" w:firstLine="567"/>
        <w:jc w:val="both"/>
        <w:rPr>
          <w:rFonts w:cs="Times New Roman"/>
          <w:sz w:val="26"/>
          <w:szCs w:val="26"/>
        </w:rPr>
      </w:pPr>
    </w:p>
    <w:p w14:paraId="32B0E3FF" w14:textId="3E375817" w:rsidR="005F2E4B" w:rsidRPr="00F63B7B" w:rsidRDefault="000C2B2E" w:rsidP="005F2E4B">
      <w:pPr>
        <w:pStyle w:val="ListParagraph"/>
        <w:ind w:left="0" w:firstLine="567"/>
        <w:jc w:val="both"/>
        <w:rPr>
          <w:rFonts w:eastAsia="Calibri" w:cs="Times New Roman"/>
          <w:bCs/>
          <w:sz w:val="26"/>
          <w:szCs w:val="26"/>
          <w:lang w:eastAsia="lv-LV"/>
        </w:rPr>
      </w:pPr>
      <w:r w:rsidRPr="00F63B7B">
        <w:rPr>
          <w:sz w:val="26"/>
          <w:szCs w:val="26"/>
        </w:rPr>
        <w:t>Lai Alojas skolas skolēni jau 2019.gada  1.septembrī varētu atsākt māc</w:t>
      </w:r>
      <w:r w:rsidR="000C448B" w:rsidRPr="00F63B7B">
        <w:rPr>
          <w:sz w:val="26"/>
          <w:szCs w:val="26"/>
        </w:rPr>
        <w:t>ī</w:t>
      </w:r>
      <w:r w:rsidR="005F2E4B" w:rsidRPr="00F63B7B">
        <w:rPr>
          <w:sz w:val="26"/>
          <w:szCs w:val="26"/>
        </w:rPr>
        <w:t>bas tām paredzētajās telpās, kā</w:t>
      </w:r>
      <w:r w:rsidR="000C448B" w:rsidRPr="00F63B7B">
        <w:rPr>
          <w:sz w:val="26"/>
          <w:szCs w:val="26"/>
        </w:rPr>
        <w:t xml:space="preserve"> arī </w:t>
      </w:r>
      <w:r w:rsidRPr="00F63B7B">
        <w:rPr>
          <w:sz w:val="26"/>
          <w:szCs w:val="26"/>
        </w:rPr>
        <w:t xml:space="preserve">pedagogiem tiktu nodrošināta sakārtota darba vide, ir nepieciešams prioritāri atbalstīt aizņēmumu  </w:t>
      </w:r>
      <w:r w:rsidR="000C448B" w:rsidRPr="00F63B7B">
        <w:rPr>
          <w:rFonts w:cs="Times New Roman"/>
          <w:sz w:val="26"/>
          <w:szCs w:val="26"/>
        </w:rPr>
        <w:t>1,3 milj. EUR apmērā projekta</w:t>
      </w:r>
      <w:r w:rsidRPr="00F63B7B">
        <w:rPr>
          <w:rFonts w:cs="Times New Roman"/>
          <w:sz w:val="26"/>
          <w:szCs w:val="26"/>
        </w:rPr>
        <w:t xml:space="preserve"> “</w:t>
      </w:r>
      <w:r w:rsidRPr="00F63B7B">
        <w:rPr>
          <w:sz w:val="26"/>
          <w:szCs w:val="26"/>
        </w:rPr>
        <w:t>Alojas Ausekļa vidusskolas Lielās skolas ēkas pārbūve</w:t>
      </w:r>
      <w:r w:rsidR="005F2E4B" w:rsidRPr="00F63B7B">
        <w:rPr>
          <w:rFonts w:eastAsia="Calibri"/>
          <w:sz w:val="26"/>
          <w:szCs w:val="26"/>
        </w:rPr>
        <w:t>” īstenošanai</w:t>
      </w:r>
      <w:r w:rsidR="005F2E4B" w:rsidRPr="00F63B7B">
        <w:rPr>
          <w:rFonts w:eastAsia="Calibri" w:cs="Times New Roman"/>
          <w:sz w:val="26"/>
          <w:szCs w:val="26"/>
        </w:rPr>
        <w:t xml:space="preserve">. </w:t>
      </w:r>
    </w:p>
    <w:p w14:paraId="3C45F1F7" w14:textId="77777777" w:rsidR="005F2E4B" w:rsidRPr="00F63B7B" w:rsidRDefault="000C448B" w:rsidP="000C448B">
      <w:pPr>
        <w:ind w:firstLine="567"/>
        <w:jc w:val="both"/>
        <w:rPr>
          <w:rFonts w:eastAsia="Calibri"/>
          <w:sz w:val="26"/>
          <w:szCs w:val="26"/>
        </w:rPr>
      </w:pPr>
      <w:r w:rsidRPr="00F63B7B">
        <w:rPr>
          <w:rFonts w:eastAsia="Calibri"/>
          <w:sz w:val="26"/>
          <w:szCs w:val="26"/>
        </w:rPr>
        <w:t xml:space="preserve"> </w:t>
      </w:r>
    </w:p>
    <w:p w14:paraId="3F56D0B7" w14:textId="4DDD2779" w:rsidR="000C2B2E" w:rsidRPr="00F63B7B" w:rsidRDefault="000C448B" w:rsidP="000C448B">
      <w:pPr>
        <w:ind w:firstLine="567"/>
        <w:jc w:val="both"/>
        <w:rPr>
          <w:sz w:val="26"/>
          <w:szCs w:val="26"/>
        </w:rPr>
      </w:pPr>
      <w:r w:rsidRPr="00F63B7B">
        <w:rPr>
          <w:sz w:val="26"/>
          <w:szCs w:val="26"/>
        </w:rPr>
        <w:t xml:space="preserve">Ņemot vērā </w:t>
      </w:r>
      <w:r w:rsidRPr="00F63B7B">
        <w:rPr>
          <w:rFonts w:cs="Times New Roman"/>
          <w:sz w:val="26"/>
          <w:szCs w:val="26"/>
        </w:rPr>
        <w:t xml:space="preserve">Alojas novada domes 2019.gada 21.maija lēmumu  Nr. 174 “Par Alojas Ausekļa </w:t>
      </w:r>
      <w:r w:rsidR="005F2E4B" w:rsidRPr="00F63B7B">
        <w:rPr>
          <w:rFonts w:cs="Times New Roman"/>
          <w:sz w:val="26"/>
          <w:szCs w:val="26"/>
        </w:rPr>
        <w:t>vidusskolas attīstību nākotnē”</w:t>
      </w:r>
      <w:r w:rsidRPr="00F63B7B">
        <w:rPr>
          <w:rFonts w:cs="Times New Roman"/>
          <w:sz w:val="26"/>
          <w:szCs w:val="26"/>
        </w:rPr>
        <w:t xml:space="preserve"> p</w:t>
      </w:r>
      <w:r w:rsidR="000C2B2E" w:rsidRPr="00F63B7B">
        <w:rPr>
          <w:rFonts w:eastAsia="Calibri" w:cs="Times New Roman"/>
          <w:sz w:val="26"/>
          <w:szCs w:val="26"/>
        </w:rPr>
        <w:t xml:space="preserve">ar projekta ilgtspēju ir sniegts </w:t>
      </w:r>
      <w:r w:rsidR="000C2B2E" w:rsidRPr="00F63B7B">
        <w:rPr>
          <w:rFonts w:cs="Times New Roman"/>
          <w:sz w:val="26"/>
          <w:szCs w:val="26"/>
        </w:rPr>
        <w:t xml:space="preserve">Vides aizsardzības un reģionālas attīstības ministrijas </w:t>
      </w:r>
      <w:r w:rsidR="000C2B2E" w:rsidRPr="00F63B7B">
        <w:rPr>
          <w:rFonts w:eastAsia="Calibri" w:cs="Times New Roman"/>
          <w:sz w:val="26"/>
          <w:szCs w:val="26"/>
        </w:rPr>
        <w:t xml:space="preserve">un Izglītības un zinātnes ministrijas pozitīvs atzinums par skolas </w:t>
      </w:r>
      <w:r w:rsidR="000C2B2E" w:rsidRPr="00F63B7B">
        <w:rPr>
          <w:sz w:val="26"/>
          <w:szCs w:val="26"/>
        </w:rPr>
        <w:t>nepieciešamību izglītības pakalpojuma nodrošināšanai un ieguldījumu ilgtspēju izg</w:t>
      </w:r>
      <w:r w:rsidRPr="00F63B7B">
        <w:rPr>
          <w:sz w:val="26"/>
          <w:szCs w:val="26"/>
        </w:rPr>
        <w:t xml:space="preserve">lītības funkciju nodrošināšanā. </w:t>
      </w:r>
    </w:p>
    <w:p w14:paraId="38403AA7" w14:textId="77777777" w:rsidR="005F2E4B" w:rsidRPr="00F63B7B" w:rsidRDefault="005F2E4B" w:rsidP="000C448B">
      <w:pPr>
        <w:ind w:firstLine="567"/>
        <w:jc w:val="both"/>
        <w:rPr>
          <w:rFonts w:cs="Times New Roman"/>
          <w:sz w:val="26"/>
          <w:szCs w:val="26"/>
        </w:rPr>
      </w:pPr>
    </w:p>
    <w:p w14:paraId="4C52135F" w14:textId="41BC6C44" w:rsidR="000C2B2E" w:rsidRDefault="00F84144" w:rsidP="00983BDB">
      <w:pPr>
        <w:ind w:firstLine="567"/>
        <w:jc w:val="both"/>
        <w:rPr>
          <w:sz w:val="26"/>
          <w:szCs w:val="26"/>
        </w:rPr>
      </w:pPr>
      <w:r w:rsidRPr="00F63B7B">
        <w:rPr>
          <w:sz w:val="26"/>
          <w:szCs w:val="26"/>
        </w:rPr>
        <w:t xml:space="preserve">Šobrīd </w:t>
      </w:r>
      <w:r w:rsidR="000C2B2E" w:rsidRPr="00F63B7B">
        <w:rPr>
          <w:sz w:val="26"/>
          <w:szCs w:val="26"/>
        </w:rPr>
        <w:t xml:space="preserve">ir indikācijas par iespējamām nelikumībām Alojas novada domes priekšsēdētaja rīcībā, līdz ar to Vides aizsardzības un reģionālas attīstības ministrija, </w:t>
      </w:r>
      <w:r w:rsidR="000C2B2E" w:rsidRPr="00F63B7B">
        <w:rPr>
          <w:rFonts w:eastAsia="Calibri" w:cs="Times New Roman"/>
          <w:sz w:val="26"/>
          <w:szCs w:val="26"/>
        </w:rPr>
        <w:t xml:space="preserve">Izglītības un zinātnes ministrija, Finanšu ministrija un Valsts kontrole atbilstoši kompetencei </w:t>
      </w:r>
      <w:r w:rsidR="00983BDB" w:rsidRPr="00F63B7B">
        <w:rPr>
          <w:rFonts w:eastAsia="Calibri" w:cs="Times New Roman"/>
          <w:sz w:val="26"/>
          <w:szCs w:val="26"/>
        </w:rPr>
        <w:t xml:space="preserve">veiks </w:t>
      </w:r>
      <w:r w:rsidR="000C2B2E" w:rsidRPr="00F63B7B">
        <w:rPr>
          <w:sz w:val="26"/>
          <w:szCs w:val="26"/>
        </w:rPr>
        <w:t>Alojas nov</w:t>
      </w:r>
      <w:r w:rsidR="00983BDB" w:rsidRPr="00F63B7B">
        <w:rPr>
          <w:sz w:val="26"/>
          <w:szCs w:val="26"/>
        </w:rPr>
        <w:t xml:space="preserve">ada pašvaldības </w:t>
      </w:r>
      <w:r w:rsidR="00983BDB" w:rsidRPr="00F63B7B">
        <w:rPr>
          <w:rFonts w:eastAsia="Calibri" w:cs="Times New Roman"/>
          <w:sz w:val="26"/>
          <w:szCs w:val="26"/>
        </w:rPr>
        <w:t>pastiprinātu uzraudzību.</w:t>
      </w:r>
      <w:r w:rsidR="00983BDB">
        <w:rPr>
          <w:rFonts w:eastAsia="Calibri" w:cs="Times New Roman"/>
          <w:sz w:val="26"/>
          <w:szCs w:val="26"/>
        </w:rPr>
        <w:t xml:space="preserve"> </w:t>
      </w:r>
    </w:p>
    <w:p w14:paraId="49BE7A54" w14:textId="070E57FC" w:rsidR="000C2B2E" w:rsidRPr="000C2B2E" w:rsidRDefault="000C2B2E" w:rsidP="000C2B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69E04E7" w14:textId="35B53480" w:rsidR="00B56F71" w:rsidRDefault="007641C5" w:rsidP="00B56F71">
      <w:pPr>
        <w:pStyle w:val="ListParagraph"/>
        <w:ind w:left="0" w:firstLine="567"/>
        <w:jc w:val="both"/>
        <w:rPr>
          <w:rFonts w:eastAsia="Calibri" w:cs="Times New Roman"/>
          <w:bCs/>
          <w:sz w:val="26"/>
          <w:szCs w:val="26"/>
          <w:lang w:eastAsia="lv-LV"/>
        </w:rPr>
      </w:pPr>
      <w:r w:rsidRPr="00B56F71">
        <w:rPr>
          <w:rFonts w:eastAsia="Calibri" w:cs="Times New Roman"/>
          <w:sz w:val="26"/>
          <w:szCs w:val="26"/>
        </w:rPr>
        <w:t xml:space="preserve">Iespējamais resurss augstāk minēto aizņēmumu operatīvākai nodrošināšanai ir  aizņēmumu limita pārdale </w:t>
      </w:r>
      <w:r w:rsidR="00370535" w:rsidRPr="00B56F71">
        <w:rPr>
          <w:rFonts w:eastAsia="Verdana"/>
          <w:color w:val="000000" w:themeColor="text1"/>
          <w:kern w:val="24"/>
          <w:sz w:val="26"/>
          <w:szCs w:val="26"/>
        </w:rPr>
        <w:t>valsts budžeta aizdevumu kopējā palielinājuma</w:t>
      </w:r>
      <w:r w:rsidR="00370535" w:rsidRPr="00B56F71">
        <w:rPr>
          <w:rFonts w:eastAsia="Calibri" w:cs="Times New Roman"/>
          <w:sz w:val="26"/>
          <w:szCs w:val="26"/>
        </w:rPr>
        <w:t xml:space="preserve"> </w:t>
      </w:r>
      <w:r w:rsidRPr="00B56F71">
        <w:rPr>
          <w:rFonts w:eastAsia="Calibri" w:cs="Times New Roman"/>
          <w:sz w:val="26"/>
          <w:szCs w:val="26"/>
        </w:rPr>
        <w:t xml:space="preserve">ietvaros.  </w:t>
      </w:r>
      <w:r w:rsidR="00420275" w:rsidRPr="00B56F71">
        <w:rPr>
          <w:rFonts w:eastAsia="Calibri" w:cs="Times New Roman"/>
          <w:sz w:val="26"/>
          <w:szCs w:val="26"/>
        </w:rPr>
        <w:t xml:space="preserve">Finanšu ministrija regulāri seko </w:t>
      </w:r>
      <w:r w:rsidR="00420275" w:rsidRPr="00B56F71">
        <w:rPr>
          <w:rFonts w:eastAsia="Verdana"/>
          <w:color w:val="000000" w:themeColor="text1"/>
          <w:kern w:val="24"/>
          <w:sz w:val="26"/>
          <w:szCs w:val="26"/>
        </w:rPr>
        <w:t xml:space="preserve">valsts budžeta aizdevumu izpildei </w:t>
      </w:r>
      <w:r w:rsidR="004540E3" w:rsidRPr="00B56F71">
        <w:rPr>
          <w:sz w:val="26"/>
          <w:szCs w:val="26"/>
        </w:rPr>
        <w:t>u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>n</w:t>
      </w:r>
      <w:r w:rsidR="00094259">
        <w:rPr>
          <w:rFonts w:eastAsia="Calibri" w:cs="Times New Roman"/>
          <w:bCs/>
          <w:sz w:val="26"/>
          <w:szCs w:val="26"/>
          <w:lang w:eastAsia="lv-LV"/>
        </w:rPr>
        <w:t xml:space="preserve"> </w:t>
      </w:r>
      <w:r w:rsidR="00420275" w:rsidRPr="00B56F71">
        <w:rPr>
          <w:sz w:val="26"/>
          <w:szCs w:val="26"/>
        </w:rPr>
        <w:t>meklē</w:t>
      </w:r>
      <w:r w:rsidRPr="00B56F71">
        <w:rPr>
          <w:sz w:val="26"/>
          <w:szCs w:val="26"/>
        </w:rPr>
        <w:t xml:space="preserve">s </w:t>
      </w:r>
      <w:r w:rsidR="00420275" w:rsidRPr="00B56F71">
        <w:rPr>
          <w:sz w:val="26"/>
          <w:szCs w:val="26"/>
        </w:rPr>
        <w:t>risinājumu aizņēmuma limita</w:t>
      </w:r>
      <w:r w:rsidR="00566B8D" w:rsidRPr="00B56F71">
        <w:rPr>
          <w:sz w:val="26"/>
          <w:szCs w:val="26"/>
        </w:rPr>
        <w:t xml:space="preserve"> </w:t>
      </w:r>
      <w:r w:rsidR="00420275" w:rsidRPr="00B56F71">
        <w:rPr>
          <w:sz w:val="26"/>
          <w:szCs w:val="26"/>
        </w:rPr>
        <w:t>pārdalei</w:t>
      </w:r>
      <w:r w:rsidRPr="00B56F71">
        <w:rPr>
          <w:sz w:val="26"/>
          <w:szCs w:val="26"/>
        </w:rPr>
        <w:t xml:space="preserve">, </w:t>
      </w:r>
      <w:r w:rsidR="00566B8D" w:rsidRPr="00B56F71">
        <w:rPr>
          <w:rFonts w:eastAsia="Verdana"/>
          <w:color w:val="000000" w:themeColor="text1"/>
          <w:kern w:val="24"/>
          <w:sz w:val="26"/>
          <w:szCs w:val="26"/>
        </w:rPr>
        <w:t>analiz</w:t>
      </w:r>
      <w:r w:rsidR="00D24F90" w:rsidRPr="00B56F71">
        <w:rPr>
          <w:rFonts w:eastAsia="Verdana"/>
          <w:color w:val="000000" w:themeColor="text1"/>
          <w:kern w:val="24"/>
          <w:sz w:val="26"/>
          <w:szCs w:val="26"/>
        </w:rPr>
        <w:t>ējot</w:t>
      </w:r>
      <w:r w:rsidRPr="00B56F71">
        <w:rPr>
          <w:rFonts w:eastAsia="Verdana"/>
          <w:color w:val="000000" w:themeColor="text1"/>
          <w:kern w:val="24"/>
          <w:sz w:val="26"/>
          <w:szCs w:val="26"/>
        </w:rPr>
        <w:t xml:space="preserve"> iespējas </w:t>
      </w:r>
      <w:r w:rsidR="00420275" w:rsidRPr="00B56F71">
        <w:rPr>
          <w:rFonts w:eastAsia="Verdana"/>
          <w:color w:val="000000" w:themeColor="text1"/>
          <w:kern w:val="24"/>
          <w:sz w:val="26"/>
          <w:szCs w:val="26"/>
        </w:rPr>
        <w:t xml:space="preserve">pārdalīt </w:t>
      </w:r>
      <w:r w:rsidR="00094259">
        <w:rPr>
          <w:rFonts w:eastAsia="Verdana"/>
          <w:color w:val="000000" w:themeColor="text1"/>
          <w:kern w:val="24"/>
          <w:sz w:val="26"/>
          <w:szCs w:val="26"/>
        </w:rPr>
        <w:t xml:space="preserve">resursus </w:t>
      </w:r>
      <w:r w:rsidR="00420275" w:rsidRPr="00B56F71">
        <w:rPr>
          <w:rFonts w:eastAsia="Verdana"/>
          <w:color w:val="000000" w:themeColor="text1"/>
          <w:kern w:val="24"/>
          <w:sz w:val="26"/>
          <w:szCs w:val="26"/>
        </w:rPr>
        <w:t xml:space="preserve">no pārējiem valsts budžeta aizņēmējiem - </w:t>
      </w:r>
      <w:r w:rsidR="00420275" w:rsidRPr="00B56F71">
        <w:rPr>
          <w:sz w:val="26"/>
          <w:szCs w:val="26"/>
        </w:rPr>
        <w:t>valsts un pašvaldību kapitālsabiedrībām, citām atvasinātām publiskām</w:t>
      </w:r>
      <w:r w:rsidR="00313616" w:rsidRPr="00B56F71">
        <w:rPr>
          <w:sz w:val="26"/>
          <w:szCs w:val="26"/>
        </w:rPr>
        <w:t xml:space="preserve"> personām (augstskolas, ostas)</w:t>
      </w:r>
      <w:r w:rsidR="004540E3" w:rsidRPr="00B56F71">
        <w:rPr>
          <w:sz w:val="26"/>
          <w:szCs w:val="26"/>
        </w:rPr>
        <w:t xml:space="preserve">, lai </w:t>
      </w:r>
      <w:r w:rsidR="005255FB" w:rsidRPr="00B56F71">
        <w:rPr>
          <w:sz w:val="26"/>
          <w:szCs w:val="26"/>
        </w:rPr>
        <w:t xml:space="preserve">operatīvi </w:t>
      </w:r>
      <w:r w:rsidR="004540E3" w:rsidRPr="00B56F71">
        <w:rPr>
          <w:sz w:val="26"/>
          <w:szCs w:val="26"/>
        </w:rPr>
        <w:t xml:space="preserve">nodrošinātu aizņēmumus 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>ES izglītības iestāžu in</w:t>
      </w:r>
      <w:r w:rsidR="005255FB" w:rsidRPr="00B56F71">
        <w:rPr>
          <w:rFonts w:eastAsia="Calibri" w:cs="Times New Roman"/>
          <w:bCs/>
          <w:sz w:val="26"/>
          <w:szCs w:val="26"/>
          <w:lang w:eastAsia="lv-LV"/>
        </w:rPr>
        <w:t>vestīci</w:t>
      </w:r>
      <w:r w:rsidR="00B56F71" w:rsidRPr="00B56F71">
        <w:rPr>
          <w:rFonts w:eastAsia="Calibri" w:cs="Times New Roman"/>
          <w:bCs/>
          <w:sz w:val="26"/>
          <w:szCs w:val="26"/>
          <w:lang w:eastAsia="lv-LV"/>
        </w:rPr>
        <w:t xml:space="preserve">ju projektu īstenošanai, kas uzskatāmi par </w:t>
      </w:r>
      <w:r w:rsidR="00852643">
        <w:rPr>
          <w:rFonts w:eastAsia="Calibri" w:cs="Times New Roman"/>
          <w:bCs/>
          <w:sz w:val="26"/>
          <w:szCs w:val="26"/>
          <w:lang w:eastAsia="lv-LV"/>
        </w:rPr>
        <w:t xml:space="preserve">nozīmīgas </w:t>
      </w:r>
      <w:r w:rsidR="005255FB" w:rsidRPr="00B56F71">
        <w:rPr>
          <w:rFonts w:eastAsia="Calibri" w:cs="Times New Roman"/>
          <w:bCs/>
          <w:sz w:val="26"/>
          <w:szCs w:val="26"/>
          <w:lang w:eastAsia="lv-LV"/>
        </w:rPr>
        <w:t xml:space="preserve">prioritātes </w:t>
      </w:r>
      <w:r w:rsidR="00F84144">
        <w:rPr>
          <w:rFonts w:eastAsia="Calibri" w:cs="Times New Roman"/>
          <w:bCs/>
          <w:sz w:val="26"/>
          <w:szCs w:val="26"/>
          <w:lang w:eastAsia="lv-LV"/>
        </w:rPr>
        <w:t xml:space="preserve">projektiem un </w:t>
      </w:r>
      <w:r w:rsidR="00F84144" w:rsidRPr="0011600C">
        <w:rPr>
          <w:rFonts w:cs="Times New Roman"/>
          <w:sz w:val="26"/>
          <w:szCs w:val="26"/>
        </w:rPr>
        <w:t>izglītības iestādes investīciju  projekta “Alojas Ausekļa vidusskolas Lielās skolas ēkas pārbūve</w:t>
      </w:r>
      <w:r w:rsidR="00F84144" w:rsidRPr="0011600C">
        <w:rPr>
          <w:rFonts w:eastAsia="Calibri" w:cs="Times New Roman"/>
          <w:sz w:val="26"/>
          <w:szCs w:val="26"/>
        </w:rPr>
        <w:t>” ārkārtas situācijas sakārtošanai un skolas funkcionalitātes nodrošināšanai 2019.gadā</w:t>
      </w:r>
      <w:r w:rsidR="00F84144">
        <w:rPr>
          <w:rFonts w:eastAsia="Calibri" w:cs="Times New Roman"/>
          <w:sz w:val="26"/>
          <w:szCs w:val="26"/>
        </w:rPr>
        <w:t xml:space="preserve">. </w:t>
      </w:r>
    </w:p>
    <w:p w14:paraId="719EA932" w14:textId="77777777" w:rsidR="00B56F71" w:rsidRDefault="00B56F71" w:rsidP="00B56F71">
      <w:pPr>
        <w:pStyle w:val="ListParagraph"/>
        <w:ind w:left="0" w:firstLine="567"/>
        <w:jc w:val="both"/>
        <w:rPr>
          <w:rFonts w:eastAsia="Calibri" w:cs="Times New Roman"/>
          <w:bCs/>
          <w:sz w:val="26"/>
          <w:szCs w:val="26"/>
          <w:lang w:eastAsia="lv-LV"/>
        </w:rPr>
      </w:pPr>
    </w:p>
    <w:p w14:paraId="745A9B0A" w14:textId="63DEAA57" w:rsidR="00B56F71" w:rsidRDefault="00B56F71" w:rsidP="00B56F71">
      <w:pPr>
        <w:pStyle w:val="ListParagraph"/>
        <w:ind w:left="0" w:firstLine="567"/>
        <w:jc w:val="both"/>
        <w:rPr>
          <w:rFonts w:eastAsia="Calibri"/>
          <w:sz w:val="26"/>
          <w:szCs w:val="26"/>
        </w:rPr>
      </w:pPr>
      <w:r w:rsidRPr="00B56F71">
        <w:rPr>
          <w:rFonts w:eastAsia="Calibri" w:cs="Times New Roman"/>
          <w:bCs/>
          <w:sz w:val="26"/>
          <w:szCs w:val="26"/>
          <w:lang w:eastAsia="lv-LV"/>
        </w:rPr>
        <w:lastRenderedPageBreak/>
        <w:t>Pārējie pašvaldību aizņēmuma pie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 xml:space="preserve">prasījumi ES projektiem tiek izskatīti </w:t>
      </w:r>
      <w:r w:rsidR="00313616" w:rsidRPr="00B56F71">
        <w:rPr>
          <w:rFonts w:eastAsia="Calibri"/>
          <w:sz w:val="26"/>
          <w:szCs w:val="26"/>
        </w:rPr>
        <w:t>vispār</w:t>
      </w:r>
      <w:r w:rsidR="00B94E5A">
        <w:rPr>
          <w:rFonts w:eastAsia="Calibri"/>
          <w:sz w:val="26"/>
          <w:szCs w:val="26"/>
        </w:rPr>
        <w:t>ējā kārtībā ienākošā secībā atbi</w:t>
      </w:r>
      <w:r w:rsidR="00313616" w:rsidRPr="00B56F71">
        <w:rPr>
          <w:rFonts w:eastAsia="Calibri"/>
          <w:sz w:val="26"/>
          <w:szCs w:val="26"/>
        </w:rPr>
        <w:t>lstoši papildus aizņēmuma limitam - pašvaldību aizņēmuma pirmstermiņa atmaksām, k</w:t>
      </w:r>
      <w:r w:rsidR="005255FB" w:rsidRPr="00B56F71">
        <w:rPr>
          <w:rFonts w:eastAsia="Calibri"/>
          <w:sz w:val="26"/>
          <w:szCs w:val="26"/>
        </w:rPr>
        <w:t xml:space="preserve">as katru mēnesi tiek precizētas. </w:t>
      </w:r>
    </w:p>
    <w:p w14:paraId="2A6DCDEA" w14:textId="77777777" w:rsidR="00B56F71" w:rsidRDefault="00B56F71" w:rsidP="00B56F71">
      <w:pPr>
        <w:pStyle w:val="ListParagraph"/>
        <w:ind w:left="0" w:firstLine="567"/>
        <w:jc w:val="both"/>
        <w:rPr>
          <w:rFonts w:eastAsia="Calibri"/>
          <w:sz w:val="26"/>
          <w:szCs w:val="26"/>
        </w:rPr>
      </w:pPr>
    </w:p>
    <w:p w14:paraId="227A60A3" w14:textId="77777777" w:rsidR="00EE27B9" w:rsidRDefault="00313616" w:rsidP="00EE27B9">
      <w:pPr>
        <w:pStyle w:val="ListParagraph"/>
        <w:ind w:left="0" w:firstLine="567"/>
        <w:jc w:val="both"/>
        <w:rPr>
          <w:rFonts w:eastAsia="Calibri"/>
          <w:sz w:val="26"/>
          <w:szCs w:val="26"/>
        </w:rPr>
      </w:pPr>
      <w:r w:rsidRPr="00B56F71">
        <w:rPr>
          <w:rFonts w:eastAsia="Calibri"/>
          <w:sz w:val="26"/>
          <w:szCs w:val="26"/>
        </w:rPr>
        <w:t>Šobrīd Valsts kase</w:t>
      </w:r>
      <w:r w:rsidR="004540E3" w:rsidRPr="00B56F71">
        <w:rPr>
          <w:rFonts w:eastAsia="Calibri"/>
          <w:sz w:val="26"/>
          <w:szCs w:val="26"/>
        </w:rPr>
        <w:t xml:space="preserve">, sadarbojoties ar </w:t>
      </w:r>
      <w:r w:rsidR="004540E3" w:rsidRPr="00B56F71">
        <w:rPr>
          <w:rFonts w:eastAsia="Calibri" w:cs="Times New Roman"/>
          <w:bCs/>
          <w:sz w:val="26"/>
          <w:szCs w:val="26"/>
          <w:lang w:eastAsia="lv-LV"/>
        </w:rPr>
        <w:t>Centrālo finanšu un līgumu aģentūru un atbildīgajām nozares ministrijām</w:t>
      </w:r>
      <w:r w:rsidR="00B538CA" w:rsidRPr="00B56F71">
        <w:rPr>
          <w:rFonts w:eastAsia="Calibri" w:cs="Times New Roman"/>
          <w:bCs/>
          <w:sz w:val="26"/>
          <w:szCs w:val="26"/>
          <w:lang w:eastAsia="lv-LV"/>
        </w:rPr>
        <w:t>,</w:t>
      </w:r>
      <w:r w:rsidR="00B538CA" w:rsidRPr="00B56F71">
        <w:rPr>
          <w:rFonts w:eastAsia="Calibri"/>
          <w:sz w:val="26"/>
          <w:szCs w:val="26"/>
        </w:rPr>
        <w:t xml:space="preserve"> </w:t>
      </w:r>
      <w:r w:rsidR="00B56F71">
        <w:rPr>
          <w:rFonts w:eastAsia="Calibri"/>
          <w:sz w:val="26"/>
          <w:szCs w:val="26"/>
        </w:rPr>
        <w:t>intensīvi strādā un veic</w:t>
      </w:r>
      <w:r w:rsidRPr="00B56F71">
        <w:rPr>
          <w:rFonts w:eastAsia="Calibri"/>
          <w:sz w:val="26"/>
          <w:szCs w:val="26"/>
        </w:rPr>
        <w:t xml:space="preserve"> </w:t>
      </w:r>
      <w:r w:rsidR="00B538CA" w:rsidRPr="00B56F71">
        <w:rPr>
          <w:rFonts w:eastAsia="Calibri"/>
          <w:sz w:val="26"/>
          <w:szCs w:val="26"/>
        </w:rPr>
        <w:t xml:space="preserve">pastiprinātu </w:t>
      </w:r>
      <w:r w:rsidRPr="00B56F71">
        <w:rPr>
          <w:rFonts w:eastAsia="Calibri"/>
          <w:sz w:val="26"/>
          <w:szCs w:val="26"/>
        </w:rPr>
        <w:t>pārbaudi  pašvaldību pirmst</w:t>
      </w:r>
      <w:r w:rsidR="004540E3" w:rsidRPr="00B56F71">
        <w:rPr>
          <w:rFonts w:eastAsia="Calibri"/>
          <w:sz w:val="26"/>
          <w:szCs w:val="26"/>
        </w:rPr>
        <w:t>ermiņa aizņēmumu atmaksām pēc Eiropas Savienības</w:t>
      </w:r>
      <w:r w:rsidRPr="00B56F71">
        <w:rPr>
          <w:rFonts w:eastAsia="Calibri"/>
          <w:sz w:val="26"/>
          <w:szCs w:val="26"/>
        </w:rPr>
        <w:t xml:space="preserve"> finansējuma saņemša</w:t>
      </w:r>
      <w:r w:rsidR="00D24F90" w:rsidRPr="00B56F71">
        <w:rPr>
          <w:rFonts w:eastAsia="Calibri"/>
          <w:sz w:val="26"/>
          <w:szCs w:val="26"/>
        </w:rPr>
        <w:t xml:space="preserve">nas, lai </w:t>
      </w:r>
      <w:r w:rsidRPr="00B56F71">
        <w:rPr>
          <w:rFonts w:eastAsia="Calibri"/>
          <w:sz w:val="26"/>
          <w:szCs w:val="26"/>
        </w:rPr>
        <w:t>nodrošinātu</w:t>
      </w:r>
      <w:r w:rsidR="00094259">
        <w:rPr>
          <w:rFonts w:eastAsia="Calibri"/>
          <w:sz w:val="26"/>
          <w:szCs w:val="26"/>
        </w:rPr>
        <w:t xml:space="preserve"> pašvaldībām</w:t>
      </w:r>
      <w:r w:rsidRPr="00B56F71">
        <w:rPr>
          <w:rFonts w:eastAsia="Calibri"/>
          <w:sz w:val="26"/>
          <w:szCs w:val="26"/>
        </w:rPr>
        <w:t xml:space="preserve"> iespēju</w:t>
      </w:r>
      <w:r w:rsidR="00D24F90" w:rsidRPr="00B56F71">
        <w:rPr>
          <w:rFonts w:eastAsia="Calibri"/>
          <w:sz w:val="26"/>
          <w:szCs w:val="26"/>
        </w:rPr>
        <w:t xml:space="preserve"> </w:t>
      </w:r>
      <w:r w:rsidRPr="00B56F71">
        <w:rPr>
          <w:rFonts w:eastAsia="Calibri"/>
          <w:sz w:val="26"/>
          <w:szCs w:val="26"/>
        </w:rPr>
        <w:t>izsniegt jaunus aizņēmumus</w:t>
      </w:r>
      <w:r w:rsidR="00094259" w:rsidRPr="00094259">
        <w:rPr>
          <w:rFonts w:eastAsia="Calibri"/>
          <w:sz w:val="26"/>
          <w:szCs w:val="26"/>
        </w:rPr>
        <w:t xml:space="preserve"> </w:t>
      </w:r>
      <w:r w:rsidR="00094259" w:rsidRPr="00B56F71">
        <w:rPr>
          <w:rFonts w:eastAsia="Calibri"/>
          <w:sz w:val="26"/>
          <w:szCs w:val="26"/>
        </w:rPr>
        <w:t>pārējo ES projektu īstenošanai</w:t>
      </w:r>
      <w:r w:rsidR="00D24F90" w:rsidRPr="00B56F71">
        <w:rPr>
          <w:rFonts w:eastAsia="Calibri"/>
          <w:sz w:val="26"/>
          <w:szCs w:val="26"/>
        </w:rPr>
        <w:t xml:space="preserve">, </w:t>
      </w:r>
      <w:r w:rsidR="00D24F90" w:rsidRPr="00B56F71">
        <w:rPr>
          <w:sz w:val="26"/>
          <w:szCs w:val="26"/>
        </w:rPr>
        <w:t>nepārsniedzot attiecināmo izmaksu apjomu</w:t>
      </w:r>
      <w:r w:rsidR="00D24F90" w:rsidRPr="00B56F71">
        <w:rPr>
          <w:rFonts w:eastAsia="Calibri"/>
          <w:sz w:val="26"/>
          <w:szCs w:val="26"/>
        </w:rPr>
        <w:t xml:space="preserve">. </w:t>
      </w:r>
    </w:p>
    <w:p w14:paraId="11247191" w14:textId="77777777" w:rsidR="00EE27B9" w:rsidRDefault="00EE27B9" w:rsidP="00EE27B9">
      <w:pPr>
        <w:pStyle w:val="ListParagraph"/>
        <w:ind w:left="0" w:firstLine="567"/>
        <w:jc w:val="both"/>
        <w:rPr>
          <w:rFonts w:eastAsia="Calibri"/>
          <w:sz w:val="26"/>
          <w:szCs w:val="26"/>
        </w:rPr>
      </w:pPr>
    </w:p>
    <w:p w14:paraId="30B89736" w14:textId="59DD12BB" w:rsidR="00313616" w:rsidRPr="00EE27B9" w:rsidRDefault="00327683" w:rsidP="00EE27B9">
      <w:pPr>
        <w:pStyle w:val="ListParagraph"/>
        <w:ind w:left="0" w:firstLine="567"/>
        <w:jc w:val="both"/>
        <w:rPr>
          <w:rFonts w:eastAsia="Calibri"/>
          <w:sz w:val="26"/>
          <w:szCs w:val="26"/>
        </w:rPr>
      </w:pPr>
      <w:r w:rsidRPr="00B56F71">
        <w:rPr>
          <w:rFonts w:eastAsia="Calibri"/>
          <w:sz w:val="26"/>
          <w:szCs w:val="26"/>
        </w:rPr>
        <w:t xml:space="preserve">Vienlaikus </w:t>
      </w:r>
      <w:r w:rsidR="005255FB" w:rsidRPr="00B56F71">
        <w:rPr>
          <w:rFonts w:eastAsia="Calibri"/>
          <w:sz w:val="26"/>
          <w:szCs w:val="26"/>
        </w:rPr>
        <w:t>Finanšu</w:t>
      </w:r>
      <w:r w:rsidRPr="00B56F71">
        <w:rPr>
          <w:rFonts w:eastAsia="Calibri"/>
          <w:sz w:val="26"/>
          <w:szCs w:val="26"/>
        </w:rPr>
        <w:t xml:space="preserve"> ministrija</w:t>
      </w:r>
      <w:r w:rsidR="00EE27B9">
        <w:rPr>
          <w:rFonts w:eastAsia="Calibri"/>
          <w:sz w:val="26"/>
          <w:szCs w:val="26"/>
        </w:rPr>
        <w:t xml:space="preserve"> meklē</w:t>
      </w:r>
      <w:r w:rsidR="005255FB" w:rsidRPr="00B56F71">
        <w:rPr>
          <w:rFonts w:eastAsia="Calibri"/>
          <w:sz w:val="26"/>
          <w:szCs w:val="26"/>
        </w:rPr>
        <w:t xml:space="preserve"> fiskāli atbild</w:t>
      </w:r>
      <w:r w:rsidR="00B56F71">
        <w:rPr>
          <w:rFonts w:eastAsia="Calibri"/>
          <w:sz w:val="26"/>
          <w:szCs w:val="26"/>
        </w:rPr>
        <w:t>īgu</w:t>
      </w:r>
      <w:r w:rsidR="005255FB" w:rsidRPr="00B56F71">
        <w:rPr>
          <w:rFonts w:eastAsia="Calibri"/>
          <w:sz w:val="26"/>
          <w:szCs w:val="26"/>
        </w:rPr>
        <w:t xml:space="preserve"> risin</w:t>
      </w:r>
      <w:r w:rsidR="00B56F71">
        <w:rPr>
          <w:rFonts w:eastAsia="Calibri"/>
          <w:sz w:val="26"/>
          <w:szCs w:val="26"/>
        </w:rPr>
        <w:t xml:space="preserve">ājumu </w:t>
      </w:r>
      <w:r w:rsidR="005255FB" w:rsidRPr="00B56F71">
        <w:rPr>
          <w:rFonts w:eastAsia="Calibri"/>
          <w:sz w:val="26"/>
          <w:szCs w:val="26"/>
        </w:rPr>
        <w:t>kā operatīvi nodrošināt aizņēmumus  pašvaldībām</w:t>
      </w:r>
      <w:r w:rsidR="00094259">
        <w:rPr>
          <w:rFonts w:eastAsia="Calibri"/>
          <w:sz w:val="26"/>
          <w:szCs w:val="26"/>
        </w:rPr>
        <w:t xml:space="preserve"> arī citiem </w:t>
      </w:r>
      <w:r w:rsidR="00B56F71">
        <w:rPr>
          <w:rFonts w:eastAsia="Calibri"/>
          <w:sz w:val="26"/>
          <w:szCs w:val="26"/>
        </w:rPr>
        <w:t>nozīm</w:t>
      </w:r>
      <w:r w:rsidR="00094259">
        <w:rPr>
          <w:rFonts w:eastAsia="Calibri"/>
          <w:sz w:val="26"/>
          <w:szCs w:val="26"/>
        </w:rPr>
        <w:t>īgas</w:t>
      </w:r>
      <w:r w:rsidR="00B56F71">
        <w:rPr>
          <w:rFonts w:eastAsia="Calibri"/>
          <w:sz w:val="26"/>
          <w:szCs w:val="26"/>
        </w:rPr>
        <w:t xml:space="preserve"> </w:t>
      </w:r>
      <w:r w:rsidR="005255FB" w:rsidRPr="00B56F71">
        <w:rPr>
          <w:rFonts w:eastAsia="Calibri"/>
          <w:sz w:val="26"/>
          <w:szCs w:val="26"/>
        </w:rPr>
        <w:t xml:space="preserve">prioritātes </w:t>
      </w:r>
      <w:r w:rsidR="00094259">
        <w:rPr>
          <w:rFonts w:eastAsia="Calibri"/>
          <w:sz w:val="26"/>
          <w:szCs w:val="26"/>
        </w:rPr>
        <w:t xml:space="preserve"> </w:t>
      </w:r>
      <w:r w:rsidR="005255FB" w:rsidRPr="00B56F71">
        <w:rPr>
          <w:rFonts w:eastAsia="Calibri"/>
          <w:sz w:val="26"/>
          <w:szCs w:val="26"/>
        </w:rPr>
        <w:t xml:space="preserve">ES projektiem, ievērojot  </w:t>
      </w:r>
      <w:r w:rsidR="005255FB" w:rsidRPr="00B56F71">
        <w:rPr>
          <w:rFonts w:cs="Times New Roman"/>
          <w:sz w:val="26"/>
          <w:szCs w:val="26"/>
        </w:rPr>
        <w:t>normatīvajos aktos noteikto</w:t>
      </w:r>
      <w:r w:rsidR="005255FB" w:rsidRPr="00B56F71">
        <w:rPr>
          <w:sz w:val="26"/>
          <w:szCs w:val="26"/>
        </w:rPr>
        <w:t>s</w:t>
      </w:r>
      <w:r w:rsidR="005255FB" w:rsidRPr="00B56F71">
        <w:rPr>
          <w:rFonts w:cs="Times New Roman"/>
          <w:sz w:val="26"/>
          <w:szCs w:val="26"/>
        </w:rPr>
        <w:t xml:space="preserve"> pašvaldību aizņemšanās </w:t>
      </w:r>
      <w:r w:rsidR="005255FB" w:rsidRPr="00B56F71">
        <w:rPr>
          <w:sz w:val="26"/>
          <w:szCs w:val="26"/>
        </w:rPr>
        <w:t xml:space="preserve">nosacījumus un kārtību. </w:t>
      </w:r>
    </w:p>
    <w:p w14:paraId="6F804871" w14:textId="32E658F0" w:rsidR="00EE27B9" w:rsidRDefault="00EE27B9" w:rsidP="00437EC6">
      <w:pPr>
        <w:ind w:right="-370" w:firstLine="567"/>
        <w:contextualSpacing/>
        <w:jc w:val="both"/>
        <w:rPr>
          <w:sz w:val="26"/>
          <w:szCs w:val="26"/>
        </w:rPr>
      </w:pPr>
    </w:p>
    <w:p w14:paraId="5DA1A4CA" w14:textId="77777777" w:rsidR="00F84144" w:rsidRPr="000322C0" w:rsidRDefault="00F84144" w:rsidP="00F84144">
      <w:pPr>
        <w:ind w:firstLine="567"/>
        <w:jc w:val="both"/>
        <w:rPr>
          <w:rFonts w:eastAsia="Times New Roman" w:cs="Times New Roman"/>
          <w:sz w:val="26"/>
          <w:szCs w:val="26"/>
          <w:lang w:eastAsia="lv-LV"/>
        </w:rPr>
      </w:pPr>
      <w:r>
        <w:rPr>
          <w:sz w:val="26"/>
          <w:szCs w:val="26"/>
        </w:rPr>
        <w:t>I</w:t>
      </w:r>
      <w:r w:rsidRPr="00CE4B1B">
        <w:rPr>
          <w:rFonts w:cs="Times New Roman"/>
          <w:sz w:val="26"/>
          <w:szCs w:val="26"/>
          <w:lang w:eastAsia="lv-LV"/>
        </w:rPr>
        <w:t xml:space="preserve">evērojot </w:t>
      </w:r>
      <w:r w:rsidRPr="00CE4B1B">
        <w:rPr>
          <w:rFonts w:cs="Times New Roman"/>
          <w:sz w:val="26"/>
          <w:szCs w:val="26"/>
        </w:rPr>
        <w:t>normatīvajos aktos noteikto</w:t>
      </w:r>
      <w:r w:rsidRPr="00CE4B1B">
        <w:rPr>
          <w:sz w:val="26"/>
          <w:szCs w:val="26"/>
        </w:rPr>
        <w:t>s</w:t>
      </w:r>
      <w:r w:rsidRPr="00CE4B1B">
        <w:rPr>
          <w:rFonts w:cs="Times New Roman"/>
          <w:sz w:val="26"/>
          <w:szCs w:val="26"/>
        </w:rPr>
        <w:t xml:space="preserve"> pašvaldību aizņemšanās </w:t>
      </w:r>
      <w:r w:rsidRPr="00CE4B1B">
        <w:rPr>
          <w:sz w:val="26"/>
          <w:szCs w:val="26"/>
        </w:rPr>
        <w:t xml:space="preserve">nosacījumus un kārtību, </w:t>
      </w:r>
      <w:r>
        <w:rPr>
          <w:sz w:val="26"/>
          <w:szCs w:val="26"/>
        </w:rPr>
        <w:t xml:space="preserve">no </w:t>
      </w:r>
      <w:r w:rsidRPr="00CE4B1B">
        <w:rPr>
          <w:sz w:val="26"/>
          <w:szCs w:val="26"/>
        </w:rPr>
        <w:t>2019.gada aizņēmuma limita pārdales</w:t>
      </w:r>
      <w:r>
        <w:rPr>
          <w:sz w:val="26"/>
          <w:szCs w:val="26"/>
        </w:rPr>
        <w:t xml:space="preserve"> </w:t>
      </w:r>
      <w:r w:rsidRPr="007253AE">
        <w:rPr>
          <w:rFonts w:eastAsia="Verdana"/>
          <w:color w:val="000000" w:themeColor="text1"/>
          <w:kern w:val="24"/>
          <w:sz w:val="26"/>
          <w:szCs w:val="26"/>
        </w:rPr>
        <w:t xml:space="preserve">valsts budžeta aizdevumu kopējā palielinājuma </w:t>
      </w:r>
      <w:r>
        <w:rPr>
          <w:rFonts w:eastAsia="Verdana"/>
          <w:color w:val="000000" w:themeColor="text1"/>
          <w:kern w:val="24"/>
          <w:sz w:val="26"/>
          <w:szCs w:val="26"/>
        </w:rPr>
        <w:t xml:space="preserve">ietvaros </w:t>
      </w:r>
      <w:r w:rsidRPr="00CE4B1B">
        <w:rPr>
          <w:sz w:val="26"/>
          <w:szCs w:val="26"/>
        </w:rPr>
        <w:t xml:space="preserve">atbilstoši </w:t>
      </w:r>
      <w:r w:rsidRPr="00CE4B1B">
        <w:rPr>
          <w:sz w:val="26"/>
          <w:szCs w:val="26"/>
          <w:lang w:eastAsia="lv-LV"/>
        </w:rPr>
        <w:t xml:space="preserve">likuma “Par valsts budžetu 2019.gadam” 15.panta sestajā daļā </w:t>
      </w:r>
      <w:r w:rsidRPr="00CE4B1B">
        <w:rPr>
          <w:sz w:val="26"/>
          <w:szCs w:val="26"/>
        </w:rPr>
        <w:t>noteiktajiem nosacījumiem</w:t>
      </w:r>
      <w:r w:rsidRPr="00CE4B1B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tiek </w:t>
      </w:r>
      <w:r>
        <w:rPr>
          <w:sz w:val="26"/>
          <w:szCs w:val="26"/>
        </w:rPr>
        <w:t>izsniegti aizņēmumi:</w:t>
      </w:r>
    </w:p>
    <w:p w14:paraId="1D3BC0C9" w14:textId="77777777" w:rsidR="00F84144" w:rsidRPr="00F63B7B" w:rsidRDefault="00F84144" w:rsidP="00F84144">
      <w:pPr>
        <w:pStyle w:val="ListParagraph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ES izglītības iestāžu investīciju projektiem, kas tiek īstenoti </w:t>
      </w:r>
      <w:r w:rsidRPr="00566B8D">
        <w:rPr>
          <w:sz w:val="26"/>
          <w:szCs w:val="26"/>
        </w:rPr>
        <w:t>Eiropas Savienības struktūrfondu un Kohēzijas fonda 2014.–2020.gada plānošanas perioda</w:t>
      </w:r>
      <w:r w:rsidRPr="00CE4B1B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darbības programmas “</w:t>
      </w:r>
      <w:r w:rsidRPr="00CE4B1B">
        <w:rPr>
          <w:rFonts w:cs="Times New Roman"/>
          <w:bCs/>
          <w:sz w:val="26"/>
          <w:szCs w:val="26"/>
        </w:rPr>
        <w:t>Izaugsme un nodarbinātība" 8</w:t>
      </w:r>
      <w:r>
        <w:rPr>
          <w:rFonts w:cs="Times New Roman"/>
          <w:bCs/>
          <w:sz w:val="26"/>
          <w:szCs w:val="26"/>
        </w:rPr>
        <w:t>.1.2.specifiskā atbalsta mērķa “</w:t>
      </w:r>
      <w:r w:rsidRPr="00CE4B1B">
        <w:rPr>
          <w:rFonts w:cs="Times New Roman"/>
          <w:bCs/>
          <w:sz w:val="26"/>
          <w:szCs w:val="26"/>
        </w:rPr>
        <w:t xml:space="preserve">Uzlabot vispārējās izglītības </w:t>
      </w:r>
      <w:r>
        <w:rPr>
          <w:rFonts w:cs="Times New Roman"/>
          <w:bCs/>
          <w:sz w:val="26"/>
          <w:szCs w:val="26"/>
        </w:rPr>
        <w:t>iestāžu mācību vidi" un  4.2.2.specifiskā atbalsta mērķa “</w:t>
      </w:r>
      <w:r w:rsidRPr="00CE4B1B">
        <w:rPr>
          <w:rFonts w:cs="Times New Roman"/>
          <w:bCs/>
          <w:sz w:val="26"/>
          <w:szCs w:val="26"/>
        </w:rPr>
        <w:t>Atbilstoši pašvaldības integrētajām attīstības programmām sekmēt energoefektivitātes paaugstināšanu un atjaunojamo energoresursu izmant</w:t>
      </w:r>
      <w:r>
        <w:rPr>
          <w:rFonts w:cs="Times New Roman"/>
          <w:bCs/>
          <w:sz w:val="26"/>
          <w:szCs w:val="26"/>
        </w:rPr>
        <w:t xml:space="preserve">ošanu pašvaldību ēkās" ietvaros </w:t>
      </w:r>
      <w:r>
        <w:rPr>
          <w:sz w:val="26"/>
          <w:szCs w:val="26"/>
        </w:rPr>
        <w:t xml:space="preserve">ar aizņēmuma apmēru, </w:t>
      </w:r>
      <w:r w:rsidRPr="00CE4B1B">
        <w:rPr>
          <w:sz w:val="26"/>
          <w:szCs w:val="26"/>
        </w:rPr>
        <w:t xml:space="preserve">kas </w:t>
      </w:r>
      <w:r w:rsidRPr="00CE4B1B">
        <w:rPr>
          <w:rFonts w:eastAsia="Calibri"/>
          <w:color w:val="000000"/>
          <w:sz w:val="26"/>
          <w:szCs w:val="26"/>
        </w:rPr>
        <w:t xml:space="preserve">nepārsniedz </w:t>
      </w:r>
      <w:r w:rsidRPr="00F63B7B">
        <w:rPr>
          <w:rFonts w:eastAsia="Calibri"/>
          <w:color w:val="000000"/>
          <w:sz w:val="26"/>
          <w:szCs w:val="26"/>
        </w:rPr>
        <w:t>projekta  attiecināmo izmaksu kopsummu,</w:t>
      </w:r>
      <w:r w:rsidRPr="00F63B7B">
        <w:rPr>
          <w:sz w:val="26"/>
          <w:szCs w:val="26"/>
        </w:rPr>
        <w:t xml:space="preserve"> atbilstoši informatīvā ziņojuma pielikumam.</w:t>
      </w:r>
    </w:p>
    <w:p w14:paraId="185FABF9" w14:textId="75A2C77A" w:rsidR="00F84144" w:rsidRPr="00F63B7B" w:rsidRDefault="00F84144" w:rsidP="00F84144">
      <w:pPr>
        <w:pStyle w:val="ListParagraph"/>
        <w:numPr>
          <w:ilvl w:val="0"/>
          <w:numId w:val="31"/>
        </w:numPr>
        <w:jc w:val="both"/>
        <w:rPr>
          <w:sz w:val="26"/>
          <w:szCs w:val="26"/>
        </w:rPr>
      </w:pPr>
      <w:r w:rsidRPr="00F63B7B">
        <w:rPr>
          <w:rFonts w:cs="Times New Roman"/>
          <w:sz w:val="26"/>
          <w:szCs w:val="26"/>
        </w:rPr>
        <w:t>izglītības iestādes investīciju  projekta “Alojas Ausekļa vidusskolas Lielās skolas ēkas pārbūve</w:t>
      </w:r>
      <w:r w:rsidRPr="00F63B7B">
        <w:rPr>
          <w:rFonts w:eastAsia="Calibri" w:cs="Times New Roman"/>
          <w:sz w:val="26"/>
          <w:szCs w:val="26"/>
        </w:rPr>
        <w:t>” ārkārtas situācijas sakārtošanai un skolas funkcionalitātes nodrošināšanai 2019.gadā</w:t>
      </w:r>
      <w:r w:rsidRPr="00F63B7B">
        <w:rPr>
          <w:rFonts w:cs="Times New Roman"/>
          <w:color w:val="000000"/>
          <w:sz w:val="26"/>
          <w:szCs w:val="26"/>
        </w:rPr>
        <w:t xml:space="preserve"> atbilstoši </w:t>
      </w:r>
      <w:r w:rsidRPr="00F63B7B">
        <w:rPr>
          <w:rFonts w:cs="Times New Roman"/>
          <w:bCs/>
          <w:sz w:val="26"/>
          <w:szCs w:val="26"/>
        </w:rPr>
        <w:t xml:space="preserve">informatīvā ziņojuma </w:t>
      </w:r>
      <w:r w:rsidRPr="00F63B7B">
        <w:rPr>
          <w:rFonts w:cs="Times New Roman"/>
          <w:sz w:val="26"/>
          <w:szCs w:val="26"/>
        </w:rPr>
        <w:t xml:space="preserve">pielikumam,  </w:t>
      </w:r>
      <w:r w:rsidRPr="00F63B7B">
        <w:rPr>
          <w:rFonts w:eastAsia="Times New Roman"/>
          <w:sz w:val="26"/>
          <w:szCs w:val="26"/>
        </w:rPr>
        <w:t xml:space="preserve">ja </w:t>
      </w:r>
      <w:r w:rsidRPr="00F63B7B">
        <w:rPr>
          <w:rFonts w:cs="Times New Roman"/>
          <w:sz w:val="26"/>
          <w:szCs w:val="26"/>
        </w:rPr>
        <w:t xml:space="preserve">Alojas novada dome </w:t>
      </w:r>
      <w:r w:rsidR="000C448B" w:rsidRPr="00F63B7B">
        <w:rPr>
          <w:rFonts w:eastAsia="Times New Roman"/>
          <w:sz w:val="26"/>
          <w:szCs w:val="26"/>
        </w:rPr>
        <w:t>nodrošinās</w:t>
      </w:r>
      <w:r w:rsidRPr="00F63B7B">
        <w:rPr>
          <w:rFonts w:eastAsia="Times New Roman"/>
          <w:sz w:val="26"/>
          <w:szCs w:val="26"/>
        </w:rPr>
        <w:t xml:space="preserve"> skolas atbilstību normatīvajos aktos noteiktajiem kritērijiem par vidusskolu vai arī reorganizē</w:t>
      </w:r>
      <w:r w:rsidR="000C448B" w:rsidRPr="00F63B7B">
        <w:rPr>
          <w:rFonts w:eastAsia="Times New Roman"/>
          <w:sz w:val="26"/>
          <w:szCs w:val="26"/>
        </w:rPr>
        <w:t>s</w:t>
      </w:r>
      <w:r w:rsidRPr="00F63B7B">
        <w:rPr>
          <w:rFonts w:eastAsia="Times New Roman"/>
          <w:sz w:val="26"/>
          <w:szCs w:val="26"/>
        </w:rPr>
        <w:t xml:space="preserve"> to par pamatskolu. </w:t>
      </w:r>
    </w:p>
    <w:p w14:paraId="51AEB6BD" w14:textId="77777777" w:rsidR="00437EC6" w:rsidRDefault="00437EC6" w:rsidP="00437EC6">
      <w:pPr>
        <w:jc w:val="both"/>
        <w:rPr>
          <w:sz w:val="26"/>
          <w:szCs w:val="26"/>
        </w:rPr>
      </w:pPr>
    </w:p>
    <w:p w14:paraId="1CF9F0DC" w14:textId="77777777" w:rsidR="00852643" w:rsidRDefault="00852643" w:rsidP="00437EC6">
      <w:pPr>
        <w:ind w:right="-539"/>
        <w:jc w:val="both"/>
        <w:rPr>
          <w:sz w:val="26"/>
          <w:szCs w:val="26"/>
        </w:rPr>
      </w:pPr>
    </w:p>
    <w:p w14:paraId="160AAE44" w14:textId="77777777" w:rsidR="00B56F71" w:rsidRDefault="00B56F71" w:rsidP="00437EC6">
      <w:pPr>
        <w:ind w:right="-539"/>
        <w:jc w:val="both"/>
        <w:rPr>
          <w:sz w:val="26"/>
          <w:szCs w:val="26"/>
        </w:rPr>
      </w:pPr>
    </w:p>
    <w:p w14:paraId="36A54182" w14:textId="37525A73" w:rsidR="00437EC6" w:rsidRDefault="00437EC6" w:rsidP="00437EC6">
      <w:pPr>
        <w:ind w:right="-539"/>
        <w:jc w:val="both"/>
        <w:rPr>
          <w:rFonts w:eastAsia="Calibri" w:cs="Times New Roman"/>
          <w:sz w:val="26"/>
          <w:szCs w:val="26"/>
        </w:rPr>
      </w:pPr>
      <w:r w:rsidRPr="00930B6A">
        <w:rPr>
          <w:sz w:val="26"/>
          <w:szCs w:val="26"/>
        </w:rPr>
        <w:t>Finanšu</w:t>
      </w:r>
      <w:r>
        <w:rPr>
          <w:rFonts w:eastAsia="Calibri" w:cs="Times New Roman"/>
          <w:sz w:val="26"/>
          <w:szCs w:val="26"/>
        </w:rPr>
        <w:t xml:space="preserve"> ministrs 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 xml:space="preserve">          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 xml:space="preserve">                               </w:t>
      </w:r>
      <w:proofErr w:type="spellStart"/>
      <w:r>
        <w:rPr>
          <w:rFonts w:eastAsia="Calibri" w:cs="Times New Roman"/>
          <w:sz w:val="26"/>
          <w:szCs w:val="26"/>
        </w:rPr>
        <w:t>J.Reirs</w:t>
      </w:r>
      <w:proofErr w:type="spellEnd"/>
      <w:r w:rsidR="00BD00B8">
        <w:rPr>
          <w:rFonts w:eastAsia="Calibri" w:cs="Times New Roman"/>
          <w:sz w:val="26"/>
          <w:szCs w:val="26"/>
        </w:rPr>
        <w:tab/>
      </w:r>
    </w:p>
    <w:p w14:paraId="7CCEF1B0" w14:textId="32826EB5" w:rsidR="00437EC6" w:rsidRDefault="00437EC6" w:rsidP="00437EC6">
      <w:pPr>
        <w:jc w:val="both"/>
        <w:rPr>
          <w:rFonts w:eastAsia="Calibri" w:cs="Times New Roman"/>
          <w:sz w:val="26"/>
          <w:szCs w:val="26"/>
        </w:rPr>
      </w:pPr>
    </w:p>
    <w:p w14:paraId="73FE06DF" w14:textId="466C0945" w:rsidR="00B56F71" w:rsidRDefault="00B56F71" w:rsidP="00437EC6">
      <w:pPr>
        <w:jc w:val="both"/>
        <w:rPr>
          <w:rFonts w:eastAsia="Calibri" w:cs="Times New Roman"/>
          <w:sz w:val="26"/>
          <w:szCs w:val="26"/>
        </w:rPr>
      </w:pPr>
    </w:p>
    <w:p w14:paraId="39AC67D2" w14:textId="54D5E303" w:rsidR="00B56F71" w:rsidRDefault="00B56F71" w:rsidP="00437EC6">
      <w:pPr>
        <w:jc w:val="both"/>
        <w:rPr>
          <w:rFonts w:eastAsia="Calibri" w:cs="Times New Roman"/>
          <w:sz w:val="26"/>
          <w:szCs w:val="26"/>
        </w:rPr>
      </w:pPr>
    </w:p>
    <w:p w14:paraId="2C72BFBC" w14:textId="49F573E5" w:rsidR="00B56F71" w:rsidRDefault="00B56F71" w:rsidP="00437EC6">
      <w:pPr>
        <w:jc w:val="both"/>
        <w:rPr>
          <w:rFonts w:eastAsia="Calibri" w:cs="Times New Roman"/>
          <w:sz w:val="26"/>
          <w:szCs w:val="26"/>
        </w:rPr>
      </w:pPr>
    </w:p>
    <w:p w14:paraId="01606EE8" w14:textId="77777777" w:rsidR="00B56F71" w:rsidRDefault="00B56F71" w:rsidP="00437EC6">
      <w:pPr>
        <w:jc w:val="both"/>
        <w:rPr>
          <w:rFonts w:eastAsia="Calibri" w:cs="Times New Roman"/>
          <w:sz w:val="26"/>
          <w:szCs w:val="26"/>
        </w:rPr>
      </w:pPr>
    </w:p>
    <w:p w14:paraId="063AE9D6" w14:textId="77777777" w:rsidR="00437EC6" w:rsidRDefault="00437EC6" w:rsidP="00437EC6">
      <w:pPr>
        <w:ind w:firstLine="360"/>
        <w:jc w:val="both"/>
      </w:pPr>
    </w:p>
    <w:p w14:paraId="1D297037" w14:textId="77777777" w:rsidR="00437EC6" w:rsidRDefault="00437EC6" w:rsidP="00437EC6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Tisenkopfa </w:t>
      </w:r>
      <w:r>
        <w:rPr>
          <w:rFonts w:eastAsia="Calibri" w:cs="Times New Roman"/>
          <w:sz w:val="20"/>
          <w:szCs w:val="20"/>
        </w:rPr>
        <w:t>67095467</w:t>
      </w:r>
    </w:p>
    <w:p w14:paraId="4C7797DF" w14:textId="49D34303" w:rsidR="00437EC6" w:rsidRPr="00EE6BEE" w:rsidRDefault="00437EC6" w:rsidP="00EE6BEE">
      <w:pPr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baiba.tisenkopfa@fm.gov.lv</w:t>
      </w:r>
    </w:p>
    <w:p w14:paraId="56614B76" w14:textId="1151E184" w:rsidR="00437EC6" w:rsidRDefault="00437EC6" w:rsidP="00437EC6">
      <w:pPr>
        <w:tabs>
          <w:tab w:val="left" w:pos="2625"/>
        </w:tabs>
      </w:pPr>
    </w:p>
    <w:sectPr w:rsidR="00437EC6" w:rsidSect="00C82D23">
      <w:headerReference w:type="default" r:id="rId8"/>
      <w:footerReference w:type="default" r:id="rId9"/>
      <w:footerReference w:type="first" r:id="rId10"/>
      <w:pgSz w:w="11906" w:h="16838"/>
      <w:pgMar w:top="1361" w:right="1416" w:bottom="1361" w:left="153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8C2E1" w14:textId="77777777" w:rsidR="00624200" w:rsidRDefault="00624200" w:rsidP="004B4E3F">
      <w:r>
        <w:separator/>
      </w:r>
    </w:p>
  </w:endnote>
  <w:endnote w:type="continuationSeparator" w:id="0">
    <w:p w14:paraId="4F6C6845" w14:textId="77777777" w:rsidR="00624200" w:rsidRDefault="00624200" w:rsidP="004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C72C" w14:textId="05D7B7C9" w:rsidR="004B4E3F" w:rsidRPr="006D541A" w:rsidRDefault="00313616">
    <w:pPr>
      <w:pStyle w:val="Footer"/>
      <w:rPr>
        <w:sz w:val="20"/>
        <w:szCs w:val="20"/>
      </w:rPr>
    </w:pPr>
    <w:r>
      <w:rPr>
        <w:sz w:val="20"/>
        <w:szCs w:val="20"/>
      </w:rPr>
      <w:t>FMzin_26</w:t>
    </w:r>
    <w:r w:rsidR="001B1CBA">
      <w:rPr>
        <w:sz w:val="20"/>
        <w:szCs w:val="20"/>
      </w:rPr>
      <w:t>06</w:t>
    </w:r>
    <w:r w:rsidR="00CA2686">
      <w:rPr>
        <w:sz w:val="20"/>
        <w:szCs w:val="20"/>
      </w:rPr>
      <w:t>19</w:t>
    </w:r>
    <w:r w:rsidR="004B4E3F" w:rsidRPr="006D541A">
      <w:rPr>
        <w:sz w:val="20"/>
        <w:szCs w:val="20"/>
      </w:rPr>
      <w:t>_</w:t>
    </w:r>
    <w:r w:rsidR="00FB1343">
      <w:rPr>
        <w:sz w:val="20"/>
        <w:szCs w:val="20"/>
      </w:rPr>
      <w:t>aizne</w:t>
    </w:r>
    <w:r w:rsidR="00AA2DD4">
      <w:rPr>
        <w:sz w:val="20"/>
        <w:szCs w:val="20"/>
      </w:rPr>
      <w:t>mumi</w:t>
    </w:r>
    <w:r w:rsidR="00203601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FEA6" w14:textId="043CFEFE" w:rsidR="00AB4AA5" w:rsidRPr="006D541A" w:rsidRDefault="001910C8" w:rsidP="00AB4AA5">
    <w:pPr>
      <w:pStyle w:val="Footer"/>
      <w:rPr>
        <w:sz w:val="20"/>
        <w:szCs w:val="20"/>
      </w:rPr>
    </w:pPr>
    <w:r>
      <w:rPr>
        <w:sz w:val="20"/>
        <w:szCs w:val="20"/>
      </w:rPr>
      <w:t>FMzin_26</w:t>
    </w:r>
    <w:r w:rsidR="001B1CBA">
      <w:rPr>
        <w:sz w:val="20"/>
        <w:szCs w:val="20"/>
      </w:rPr>
      <w:t>06</w:t>
    </w:r>
    <w:r w:rsidR="0014780F">
      <w:rPr>
        <w:sz w:val="20"/>
        <w:szCs w:val="20"/>
      </w:rPr>
      <w:t>19</w:t>
    </w:r>
    <w:r w:rsidR="00AB4AA5" w:rsidRPr="006D541A">
      <w:rPr>
        <w:sz w:val="20"/>
        <w:szCs w:val="20"/>
      </w:rPr>
      <w:t>_</w:t>
    </w:r>
    <w:r w:rsidR="00FB1343">
      <w:rPr>
        <w:sz w:val="20"/>
        <w:szCs w:val="20"/>
      </w:rPr>
      <w:t>aizne</w:t>
    </w:r>
    <w:r w:rsidR="00D52840">
      <w:rPr>
        <w:sz w:val="20"/>
        <w:szCs w:val="20"/>
      </w:rPr>
      <w:t xml:space="preserve">mumi </w:t>
    </w:r>
  </w:p>
  <w:p w14:paraId="613F2382" w14:textId="77777777" w:rsidR="00AB4AA5" w:rsidRDefault="00AB4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B9AEB" w14:textId="77777777" w:rsidR="00624200" w:rsidRDefault="00624200" w:rsidP="004B4E3F">
      <w:r>
        <w:separator/>
      </w:r>
    </w:p>
  </w:footnote>
  <w:footnote w:type="continuationSeparator" w:id="0">
    <w:p w14:paraId="628A2480" w14:textId="77777777" w:rsidR="00624200" w:rsidRDefault="00624200" w:rsidP="004B4E3F">
      <w:r>
        <w:continuationSeparator/>
      </w:r>
    </w:p>
  </w:footnote>
  <w:footnote w:id="1">
    <w:p w14:paraId="2815FE9E" w14:textId="4C4CD8CB" w:rsidR="004540E3" w:rsidRPr="0087604A" w:rsidRDefault="004540E3" w:rsidP="0087604A">
      <w:pPr>
        <w:pStyle w:val="BodyText2"/>
        <w:tabs>
          <w:tab w:val="left" w:pos="-5387"/>
          <w:tab w:val="left" w:pos="284"/>
          <w:tab w:val="left" w:pos="851"/>
        </w:tabs>
        <w:spacing w:after="0" w:line="240" w:lineRule="auto"/>
        <w:ind w:right="-1"/>
        <w:jc w:val="both"/>
        <w:rPr>
          <w:i/>
          <w:sz w:val="18"/>
          <w:szCs w:val="18"/>
        </w:rPr>
      </w:pPr>
      <w:r w:rsidRPr="0087604A">
        <w:rPr>
          <w:rStyle w:val="FootnoteReference"/>
          <w:i/>
          <w:sz w:val="18"/>
          <w:szCs w:val="18"/>
        </w:rPr>
        <w:footnoteRef/>
      </w:r>
      <w:r w:rsidRPr="0087604A">
        <w:rPr>
          <w:i/>
          <w:sz w:val="18"/>
          <w:szCs w:val="18"/>
        </w:rPr>
        <w:t xml:space="preserve"> </w:t>
      </w:r>
      <w:r w:rsidRPr="0087604A">
        <w:rPr>
          <w:i/>
          <w:sz w:val="18"/>
          <w:szCs w:val="18"/>
          <w:lang w:eastAsia="lv-LV"/>
        </w:rPr>
        <w:t>aizņēmuma apm</w:t>
      </w:r>
      <w:r w:rsidRPr="0087604A">
        <w:rPr>
          <w:i/>
          <w:sz w:val="18"/>
          <w:szCs w:val="18"/>
        </w:rPr>
        <w:t xml:space="preserve">ērs, kas </w:t>
      </w:r>
      <w:r w:rsidRPr="0087604A">
        <w:rPr>
          <w:rFonts w:eastAsia="Calibri"/>
          <w:i/>
          <w:sz w:val="18"/>
          <w:szCs w:val="18"/>
        </w:rPr>
        <w:t>nepārsniedz projekta  attiecināmo izmaksu kopsummu</w:t>
      </w:r>
      <w:r w:rsidR="00B94E5A">
        <w:rPr>
          <w:rFonts w:eastAsia="Calibri"/>
          <w:i/>
          <w:sz w:val="18"/>
          <w:szCs w:val="18"/>
        </w:rPr>
        <w:t>.</w:t>
      </w:r>
    </w:p>
    <w:p w14:paraId="6ED5C811" w14:textId="77777777" w:rsidR="004540E3" w:rsidRPr="0087604A" w:rsidRDefault="004540E3" w:rsidP="0087604A">
      <w:pPr>
        <w:pStyle w:val="FootnoteText"/>
        <w:rPr>
          <w:sz w:val="18"/>
          <w:szCs w:val="18"/>
        </w:rPr>
      </w:pPr>
    </w:p>
  </w:footnote>
  <w:footnote w:id="2">
    <w:p w14:paraId="0DAF6E8B" w14:textId="39033239" w:rsidR="004540E3" w:rsidRPr="00B56F71" w:rsidRDefault="004540E3" w:rsidP="0087604A">
      <w:pPr>
        <w:jc w:val="both"/>
        <w:rPr>
          <w:rFonts w:cs="Times New Roman"/>
          <w:i/>
          <w:sz w:val="18"/>
          <w:szCs w:val="18"/>
        </w:rPr>
      </w:pPr>
      <w:r w:rsidRPr="0087604A">
        <w:rPr>
          <w:rStyle w:val="FootnoteReference"/>
          <w:sz w:val="18"/>
          <w:szCs w:val="18"/>
        </w:rPr>
        <w:footnoteRef/>
      </w:r>
      <w:r w:rsidRPr="0087604A">
        <w:rPr>
          <w:sz w:val="18"/>
          <w:szCs w:val="18"/>
        </w:rPr>
        <w:t xml:space="preserve"> </w:t>
      </w:r>
      <w:r w:rsidRPr="00B56F71">
        <w:rPr>
          <w:rFonts w:cs="Times New Roman"/>
          <w:i/>
          <w:sz w:val="18"/>
          <w:szCs w:val="18"/>
        </w:rPr>
        <w:t xml:space="preserve">ES izglītības iestāžu investīciju projekti, kas tiek īstenoti </w:t>
      </w:r>
      <w:r w:rsidR="00566B8D" w:rsidRPr="00B56F71">
        <w:rPr>
          <w:i/>
          <w:sz w:val="18"/>
          <w:szCs w:val="18"/>
        </w:rPr>
        <w:t>Eiropas Savienības struktūrfondu un Kohēzijas fonda 2014.–2020.gada plānošanas perioda</w:t>
      </w:r>
      <w:r w:rsidRPr="00B56F71">
        <w:rPr>
          <w:i/>
          <w:sz w:val="18"/>
          <w:szCs w:val="18"/>
        </w:rPr>
        <w:t xml:space="preserve"> </w:t>
      </w:r>
      <w:r w:rsidRPr="00B56F71">
        <w:rPr>
          <w:rFonts w:cs="Times New Roman"/>
          <w:bCs/>
          <w:i/>
          <w:sz w:val="18"/>
          <w:szCs w:val="18"/>
        </w:rPr>
        <w:t>darbības programmas "Izaugsme un nodarbinātība" 8</w:t>
      </w:r>
      <w:r w:rsidR="00A23D6D">
        <w:rPr>
          <w:rFonts w:cs="Times New Roman"/>
          <w:bCs/>
          <w:i/>
          <w:sz w:val="18"/>
          <w:szCs w:val="18"/>
        </w:rPr>
        <w:t>.1.2.specifiskā atbalsta mērķa “</w:t>
      </w:r>
      <w:r w:rsidRPr="00B56F71">
        <w:rPr>
          <w:rFonts w:cs="Times New Roman"/>
          <w:bCs/>
          <w:i/>
          <w:sz w:val="18"/>
          <w:szCs w:val="18"/>
        </w:rPr>
        <w:t xml:space="preserve">Uzlabot vispārējās izglītības </w:t>
      </w:r>
      <w:r w:rsidR="00A23D6D">
        <w:rPr>
          <w:rFonts w:cs="Times New Roman"/>
          <w:bCs/>
          <w:i/>
          <w:sz w:val="18"/>
          <w:szCs w:val="18"/>
        </w:rPr>
        <w:t>iestāžu mācību vidi”</w:t>
      </w:r>
      <w:r w:rsidR="00B94E5A">
        <w:rPr>
          <w:rFonts w:cs="Times New Roman"/>
          <w:bCs/>
          <w:i/>
          <w:sz w:val="18"/>
          <w:szCs w:val="18"/>
        </w:rPr>
        <w:t xml:space="preserve"> un  4.2.2.</w:t>
      </w:r>
      <w:r w:rsidR="00A23D6D">
        <w:rPr>
          <w:rFonts w:cs="Times New Roman"/>
          <w:bCs/>
          <w:i/>
          <w:sz w:val="18"/>
          <w:szCs w:val="18"/>
        </w:rPr>
        <w:t>specifiskā atbalsta mērķa “</w:t>
      </w:r>
      <w:r w:rsidRPr="00B56F71">
        <w:rPr>
          <w:rFonts w:cs="Times New Roman"/>
          <w:bCs/>
          <w:i/>
          <w:sz w:val="18"/>
          <w:szCs w:val="18"/>
        </w:rPr>
        <w:t xml:space="preserve">Atbilstoši pašvaldības integrētajām attīstības programmām sekmēt energoefektivitātes paaugstināšanu un atjaunojamo energoresursu izmantošanu pašvaldību ēkās" ietvaros. </w:t>
      </w:r>
    </w:p>
    <w:p w14:paraId="1E307DF9" w14:textId="77777777" w:rsidR="004540E3" w:rsidRPr="0087604A" w:rsidRDefault="004540E3" w:rsidP="004540E3">
      <w:pPr>
        <w:pStyle w:val="FootnoteText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8562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E6241" w14:textId="5FA13D06" w:rsidR="009D5C1C" w:rsidRDefault="009D5C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B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6C5233" w14:textId="77777777" w:rsidR="009D5C1C" w:rsidRPr="006D541A" w:rsidRDefault="009D5C1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341"/>
    <w:multiLevelType w:val="hybridMultilevel"/>
    <w:tmpl w:val="EC7AAFE4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B2399"/>
    <w:multiLevelType w:val="hybridMultilevel"/>
    <w:tmpl w:val="A07E68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F70E33"/>
    <w:multiLevelType w:val="hybridMultilevel"/>
    <w:tmpl w:val="77649BC2"/>
    <w:lvl w:ilvl="0" w:tplc="D41CC2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6EF"/>
    <w:multiLevelType w:val="hybridMultilevel"/>
    <w:tmpl w:val="9D9C006E"/>
    <w:lvl w:ilvl="0" w:tplc="042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803DCC"/>
    <w:multiLevelType w:val="hybridMultilevel"/>
    <w:tmpl w:val="BD90F75E"/>
    <w:lvl w:ilvl="0" w:tplc="5BF07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2BF8"/>
    <w:multiLevelType w:val="hybridMultilevel"/>
    <w:tmpl w:val="85B86D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6333"/>
    <w:multiLevelType w:val="hybridMultilevel"/>
    <w:tmpl w:val="85268AB4"/>
    <w:lvl w:ilvl="0" w:tplc="96FCD5D2">
      <w:start w:val="2019"/>
      <w:numFmt w:val="bullet"/>
      <w:lvlText w:val="-"/>
      <w:lvlJc w:val="left"/>
      <w:pPr>
        <w:ind w:left="98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1F890522"/>
    <w:multiLevelType w:val="hybridMultilevel"/>
    <w:tmpl w:val="109458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3C16"/>
    <w:multiLevelType w:val="hybridMultilevel"/>
    <w:tmpl w:val="951AB348"/>
    <w:lvl w:ilvl="0" w:tplc="0426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785D9C"/>
    <w:multiLevelType w:val="hybridMultilevel"/>
    <w:tmpl w:val="42CCF5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AC2"/>
    <w:multiLevelType w:val="hybridMultilevel"/>
    <w:tmpl w:val="C9880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342CB"/>
    <w:multiLevelType w:val="hybridMultilevel"/>
    <w:tmpl w:val="56404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0248C"/>
    <w:multiLevelType w:val="hybridMultilevel"/>
    <w:tmpl w:val="0024CB4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378C4"/>
    <w:multiLevelType w:val="hybridMultilevel"/>
    <w:tmpl w:val="3CE6D6B2"/>
    <w:lvl w:ilvl="0" w:tplc="7382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17" w15:restartNumberingAfterBreak="0">
    <w:nsid w:val="49C12836"/>
    <w:multiLevelType w:val="hybridMultilevel"/>
    <w:tmpl w:val="963ADCF6"/>
    <w:lvl w:ilvl="0" w:tplc="75A836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77EF"/>
    <w:multiLevelType w:val="hybridMultilevel"/>
    <w:tmpl w:val="A626AA2A"/>
    <w:lvl w:ilvl="0" w:tplc="D21ABF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B1515"/>
    <w:multiLevelType w:val="hybridMultilevel"/>
    <w:tmpl w:val="A40CF0FC"/>
    <w:lvl w:ilvl="0" w:tplc="C9D46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9C368F"/>
    <w:multiLevelType w:val="hybridMultilevel"/>
    <w:tmpl w:val="85B86D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A6A0B"/>
    <w:multiLevelType w:val="hybridMultilevel"/>
    <w:tmpl w:val="9ED869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7A92"/>
    <w:multiLevelType w:val="hybridMultilevel"/>
    <w:tmpl w:val="EC2A8738"/>
    <w:lvl w:ilvl="0" w:tplc="C0B67D4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56CA7"/>
    <w:multiLevelType w:val="hybridMultilevel"/>
    <w:tmpl w:val="FC40C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A156B"/>
    <w:multiLevelType w:val="hybridMultilevel"/>
    <w:tmpl w:val="A0BCDC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95EF7"/>
    <w:multiLevelType w:val="hybridMultilevel"/>
    <w:tmpl w:val="9ED02ED8"/>
    <w:lvl w:ilvl="0" w:tplc="7B7843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E3C90"/>
    <w:multiLevelType w:val="hybridMultilevel"/>
    <w:tmpl w:val="0FC416E0"/>
    <w:lvl w:ilvl="0" w:tplc="9F5AAFA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316594C"/>
    <w:multiLevelType w:val="hybridMultilevel"/>
    <w:tmpl w:val="09A08F3C"/>
    <w:lvl w:ilvl="0" w:tplc="3B78D7B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7AB34C0"/>
    <w:multiLevelType w:val="hybridMultilevel"/>
    <w:tmpl w:val="274C1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9041C"/>
    <w:multiLevelType w:val="hybridMultilevel"/>
    <w:tmpl w:val="81A659F8"/>
    <w:lvl w:ilvl="0" w:tplc="042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24"/>
  </w:num>
  <w:num w:numId="5">
    <w:abstractNumId w:val="7"/>
  </w:num>
  <w:num w:numId="6">
    <w:abstractNumId w:val="27"/>
  </w:num>
  <w:num w:numId="7">
    <w:abstractNumId w:val="15"/>
  </w:num>
  <w:num w:numId="8">
    <w:abstractNumId w:val="2"/>
  </w:num>
  <w:num w:numId="9">
    <w:abstractNumId w:val="0"/>
  </w:num>
  <w:num w:numId="10">
    <w:abstractNumId w:val="18"/>
  </w:num>
  <w:num w:numId="11">
    <w:abstractNumId w:val="25"/>
  </w:num>
  <w:num w:numId="12">
    <w:abstractNumId w:val="19"/>
  </w:num>
  <w:num w:numId="13">
    <w:abstractNumId w:val="9"/>
  </w:num>
  <w:num w:numId="14">
    <w:abstractNumId w:val="21"/>
  </w:num>
  <w:num w:numId="15">
    <w:abstractNumId w:val="1"/>
  </w:num>
  <w:num w:numId="16">
    <w:abstractNumId w:val="23"/>
  </w:num>
  <w:num w:numId="17">
    <w:abstractNumId w:val="11"/>
  </w:num>
  <w:num w:numId="18">
    <w:abstractNumId w:val="12"/>
  </w:num>
  <w:num w:numId="19">
    <w:abstractNumId w:val="3"/>
  </w:num>
  <w:num w:numId="20">
    <w:abstractNumId w:val="6"/>
  </w:num>
  <w:num w:numId="21">
    <w:abstractNumId w:val="17"/>
  </w:num>
  <w:num w:numId="22">
    <w:abstractNumId w:val="10"/>
  </w:num>
  <w:num w:numId="23">
    <w:abstractNumId w:val="4"/>
  </w:num>
  <w:num w:numId="24">
    <w:abstractNumId w:val="16"/>
  </w:num>
  <w:num w:numId="25">
    <w:abstractNumId w:val="22"/>
  </w:num>
  <w:num w:numId="26">
    <w:abstractNumId w:val="14"/>
  </w:num>
  <w:num w:numId="27">
    <w:abstractNumId w:val="13"/>
  </w:num>
  <w:num w:numId="28">
    <w:abstractNumId w:val="28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FA"/>
    <w:rsid w:val="000100F8"/>
    <w:rsid w:val="00014B05"/>
    <w:rsid w:val="00015CD8"/>
    <w:rsid w:val="00020D37"/>
    <w:rsid w:val="000215BE"/>
    <w:rsid w:val="00030D92"/>
    <w:rsid w:val="00032FA4"/>
    <w:rsid w:val="00033562"/>
    <w:rsid w:val="00036259"/>
    <w:rsid w:val="000420A5"/>
    <w:rsid w:val="00045329"/>
    <w:rsid w:val="00046204"/>
    <w:rsid w:val="00047F91"/>
    <w:rsid w:val="0006702C"/>
    <w:rsid w:val="00073159"/>
    <w:rsid w:val="0008256C"/>
    <w:rsid w:val="00083C83"/>
    <w:rsid w:val="00091E16"/>
    <w:rsid w:val="00093E96"/>
    <w:rsid w:val="00094259"/>
    <w:rsid w:val="000967CC"/>
    <w:rsid w:val="000A6C12"/>
    <w:rsid w:val="000B0D02"/>
    <w:rsid w:val="000B221B"/>
    <w:rsid w:val="000B30FA"/>
    <w:rsid w:val="000C0F6B"/>
    <w:rsid w:val="000C2B2E"/>
    <w:rsid w:val="000C2BF3"/>
    <w:rsid w:val="000C448B"/>
    <w:rsid w:val="000C4B5C"/>
    <w:rsid w:val="000C5102"/>
    <w:rsid w:val="000C541B"/>
    <w:rsid w:val="000C6238"/>
    <w:rsid w:val="000D0695"/>
    <w:rsid w:val="000D071C"/>
    <w:rsid w:val="000D7C84"/>
    <w:rsid w:val="000E4627"/>
    <w:rsid w:val="000E5CE9"/>
    <w:rsid w:val="000F7184"/>
    <w:rsid w:val="000F7B86"/>
    <w:rsid w:val="00103437"/>
    <w:rsid w:val="00106967"/>
    <w:rsid w:val="00110A6B"/>
    <w:rsid w:val="001128EF"/>
    <w:rsid w:val="00115CB2"/>
    <w:rsid w:val="0011600C"/>
    <w:rsid w:val="00117C4A"/>
    <w:rsid w:val="001202CC"/>
    <w:rsid w:val="00124613"/>
    <w:rsid w:val="00132910"/>
    <w:rsid w:val="00133742"/>
    <w:rsid w:val="00134DEF"/>
    <w:rsid w:val="0014780F"/>
    <w:rsid w:val="00154FD1"/>
    <w:rsid w:val="001552FD"/>
    <w:rsid w:val="0015631A"/>
    <w:rsid w:val="00171975"/>
    <w:rsid w:val="001719E7"/>
    <w:rsid w:val="00174A53"/>
    <w:rsid w:val="001765A2"/>
    <w:rsid w:val="0017705F"/>
    <w:rsid w:val="00177D46"/>
    <w:rsid w:val="00180D31"/>
    <w:rsid w:val="001901E0"/>
    <w:rsid w:val="001910C8"/>
    <w:rsid w:val="00193253"/>
    <w:rsid w:val="00194ECA"/>
    <w:rsid w:val="001A04DF"/>
    <w:rsid w:val="001A5450"/>
    <w:rsid w:val="001A5FEB"/>
    <w:rsid w:val="001B0BA1"/>
    <w:rsid w:val="001B1789"/>
    <w:rsid w:val="001B1CBA"/>
    <w:rsid w:val="001B2ED8"/>
    <w:rsid w:val="001B7AF5"/>
    <w:rsid w:val="001C112B"/>
    <w:rsid w:val="001D2829"/>
    <w:rsid w:val="001D2BAD"/>
    <w:rsid w:val="001D7C46"/>
    <w:rsid w:val="001E0A74"/>
    <w:rsid w:val="001E3567"/>
    <w:rsid w:val="001F1E6E"/>
    <w:rsid w:val="001F28D6"/>
    <w:rsid w:val="00203601"/>
    <w:rsid w:val="00222B11"/>
    <w:rsid w:val="00222B74"/>
    <w:rsid w:val="00224233"/>
    <w:rsid w:val="002336D3"/>
    <w:rsid w:val="00234A02"/>
    <w:rsid w:val="002440C2"/>
    <w:rsid w:val="002447DD"/>
    <w:rsid w:val="00244A82"/>
    <w:rsid w:val="002467F7"/>
    <w:rsid w:val="00246815"/>
    <w:rsid w:val="00247830"/>
    <w:rsid w:val="00256CF0"/>
    <w:rsid w:val="00266856"/>
    <w:rsid w:val="002759D3"/>
    <w:rsid w:val="00276C42"/>
    <w:rsid w:val="00280E77"/>
    <w:rsid w:val="0028510C"/>
    <w:rsid w:val="002929F2"/>
    <w:rsid w:val="002954C1"/>
    <w:rsid w:val="00295C0B"/>
    <w:rsid w:val="002B2D57"/>
    <w:rsid w:val="002B3168"/>
    <w:rsid w:val="002B3E14"/>
    <w:rsid w:val="002B4354"/>
    <w:rsid w:val="002B6E74"/>
    <w:rsid w:val="002C16BB"/>
    <w:rsid w:val="002D52C9"/>
    <w:rsid w:val="002E335F"/>
    <w:rsid w:val="002E6288"/>
    <w:rsid w:val="002F01B9"/>
    <w:rsid w:val="002F0378"/>
    <w:rsid w:val="002F324E"/>
    <w:rsid w:val="002F498A"/>
    <w:rsid w:val="00300F11"/>
    <w:rsid w:val="00300F80"/>
    <w:rsid w:val="00303660"/>
    <w:rsid w:val="0030538A"/>
    <w:rsid w:val="00306B42"/>
    <w:rsid w:val="00310325"/>
    <w:rsid w:val="00313616"/>
    <w:rsid w:val="00313BDD"/>
    <w:rsid w:val="0031539A"/>
    <w:rsid w:val="003172DF"/>
    <w:rsid w:val="00321EDA"/>
    <w:rsid w:val="00327683"/>
    <w:rsid w:val="0033194B"/>
    <w:rsid w:val="003323D1"/>
    <w:rsid w:val="00347690"/>
    <w:rsid w:val="003515F4"/>
    <w:rsid w:val="003528C4"/>
    <w:rsid w:val="00352CAC"/>
    <w:rsid w:val="00353D0E"/>
    <w:rsid w:val="00357A39"/>
    <w:rsid w:val="0037015D"/>
    <w:rsid w:val="00370535"/>
    <w:rsid w:val="003767E5"/>
    <w:rsid w:val="00377476"/>
    <w:rsid w:val="00377AD9"/>
    <w:rsid w:val="00384947"/>
    <w:rsid w:val="0038655A"/>
    <w:rsid w:val="003A0DE0"/>
    <w:rsid w:val="003A7E14"/>
    <w:rsid w:val="003B2FFF"/>
    <w:rsid w:val="003B355C"/>
    <w:rsid w:val="003B4376"/>
    <w:rsid w:val="003C13A1"/>
    <w:rsid w:val="003C15C4"/>
    <w:rsid w:val="003D2EBD"/>
    <w:rsid w:val="003F3747"/>
    <w:rsid w:val="003F3C37"/>
    <w:rsid w:val="003F4701"/>
    <w:rsid w:val="00400A1C"/>
    <w:rsid w:val="00401D36"/>
    <w:rsid w:val="00403248"/>
    <w:rsid w:val="004120C6"/>
    <w:rsid w:val="00420275"/>
    <w:rsid w:val="004233F6"/>
    <w:rsid w:val="00424C52"/>
    <w:rsid w:val="00424CF7"/>
    <w:rsid w:val="004321CB"/>
    <w:rsid w:val="004332A2"/>
    <w:rsid w:val="004375D2"/>
    <w:rsid w:val="00437EC6"/>
    <w:rsid w:val="00442973"/>
    <w:rsid w:val="0044644D"/>
    <w:rsid w:val="004540E3"/>
    <w:rsid w:val="00455D41"/>
    <w:rsid w:val="004606CC"/>
    <w:rsid w:val="004678D9"/>
    <w:rsid w:val="00470AF8"/>
    <w:rsid w:val="00477AB8"/>
    <w:rsid w:val="00483EB6"/>
    <w:rsid w:val="0048475F"/>
    <w:rsid w:val="00490D3A"/>
    <w:rsid w:val="0049266B"/>
    <w:rsid w:val="00492FEF"/>
    <w:rsid w:val="00494F83"/>
    <w:rsid w:val="0049651C"/>
    <w:rsid w:val="004972EE"/>
    <w:rsid w:val="004A1917"/>
    <w:rsid w:val="004A67B9"/>
    <w:rsid w:val="004A740C"/>
    <w:rsid w:val="004B4E3F"/>
    <w:rsid w:val="004B7613"/>
    <w:rsid w:val="004B7CD0"/>
    <w:rsid w:val="004B7DD5"/>
    <w:rsid w:val="004C0F5B"/>
    <w:rsid w:val="004C27AE"/>
    <w:rsid w:val="004C2C5A"/>
    <w:rsid w:val="004C4C53"/>
    <w:rsid w:val="004C5769"/>
    <w:rsid w:val="004C658E"/>
    <w:rsid w:val="004D2053"/>
    <w:rsid w:val="004D6293"/>
    <w:rsid w:val="004E0679"/>
    <w:rsid w:val="004E5D8C"/>
    <w:rsid w:val="004E7DFA"/>
    <w:rsid w:val="004E7E5E"/>
    <w:rsid w:val="004F1954"/>
    <w:rsid w:val="004F5B37"/>
    <w:rsid w:val="0050529D"/>
    <w:rsid w:val="00515F65"/>
    <w:rsid w:val="00517E4E"/>
    <w:rsid w:val="0052017C"/>
    <w:rsid w:val="0052382D"/>
    <w:rsid w:val="005255FB"/>
    <w:rsid w:val="0053032E"/>
    <w:rsid w:val="005362A2"/>
    <w:rsid w:val="00542FA7"/>
    <w:rsid w:val="00552612"/>
    <w:rsid w:val="00557804"/>
    <w:rsid w:val="00561709"/>
    <w:rsid w:val="0056603A"/>
    <w:rsid w:val="00566B8D"/>
    <w:rsid w:val="005712A6"/>
    <w:rsid w:val="0057320A"/>
    <w:rsid w:val="00577812"/>
    <w:rsid w:val="005817A1"/>
    <w:rsid w:val="00590C07"/>
    <w:rsid w:val="00594320"/>
    <w:rsid w:val="005A15FD"/>
    <w:rsid w:val="005A6B5F"/>
    <w:rsid w:val="005B481A"/>
    <w:rsid w:val="005B4AA6"/>
    <w:rsid w:val="005C5A26"/>
    <w:rsid w:val="005C5C35"/>
    <w:rsid w:val="005C6BEA"/>
    <w:rsid w:val="005D18B5"/>
    <w:rsid w:val="005D27FB"/>
    <w:rsid w:val="005D6061"/>
    <w:rsid w:val="005D6250"/>
    <w:rsid w:val="005D6F4C"/>
    <w:rsid w:val="005E2ED3"/>
    <w:rsid w:val="005F2E4B"/>
    <w:rsid w:val="005F5257"/>
    <w:rsid w:val="005F5CC6"/>
    <w:rsid w:val="005F6FCD"/>
    <w:rsid w:val="005F71FC"/>
    <w:rsid w:val="006160AB"/>
    <w:rsid w:val="00617B7B"/>
    <w:rsid w:val="00617BFA"/>
    <w:rsid w:val="00620FBE"/>
    <w:rsid w:val="0062229A"/>
    <w:rsid w:val="00624200"/>
    <w:rsid w:val="00637FD7"/>
    <w:rsid w:val="006413FF"/>
    <w:rsid w:val="00641FAB"/>
    <w:rsid w:val="006471BA"/>
    <w:rsid w:val="00651DC4"/>
    <w:rsid w:val="00652111"/>
    <w:rsid w:val="00657620"/>
    <w:rsid w:val="006608EE"/>
    <w:rsid w:val="006642B8"/>
    <w:rsid w:val="0066599E"/>
    <w:rsid w:val="00666C5A"/>
    <w:rsid w:val="00667B04"/>
    <w:rsid w:val="00673035"/>
    <w:rsid w:val="00674C0C"/>
    <w:rsid w:val="0067633C"/>
    <w:rsid w:val="006863A9"/>
    <w:rsid w:val="006870DA"/>
    <w:rsid w:val="006871CC"/>
    <w:rsid w:val="00690863"/>
    <w:rsid w:val="00695B4B"/>
    <w:rsid w:val="00696015"/>
    <w:rsid w:val="006A0BE5"/>
    <w:rsid w:val="006B082A"/>
    <w:rsid w:val="006B2C4C"/>
    <w:rsid w:val="006B6108"/>
    <w:rsid w:val="006B6896"/>
    <w:rsid w:val="006C0317"/>
    <w:rsid w:val="006C57E7"/>
    <w:rsid w:val="006D541A"/>
    <w:rsid w:val="006E24C6"/>
    <w:rsid w:val="006E4782"/>
    <w:rsid w:val="006E55D2"/>
    <w:rsid w:val="006F62CC"/>
    <w:rsid w:val="00705686"/>
    <w:rsid w:val="00706C9E"/>
    <w:rsid w:val="00707274"/>
    <w:rsid w:val="00716084"/>
    <w:rsid w:val="00717179"/>
    <w:rsid w:val="007253AE"/>
    <w:rsid w:val="00726556"/>
    <w:rsid w:val="00731C46"/>
    <w:rsid w:val="0073288E"/>
    <w:rsid w:val="00733327"/>
    <w:rsid w:val="00733E3D"/>
    <w:rsid w:val="00734DD3"/>
    <w:rsid w:val="00751C1B"/>
    <w:rsid w:val="0075218E"/>
    <w:rsid w:val="00754AA9"/>
    <w:rsid w:val="00760EDF"/>
    <w:rsid w:val="0076215F"/>
    <w:rsid w:val="00762C5A"/>
    <w:rsid w:val="00763E32"/>
    <w:rsid w:val="007641C5"/>
    <w:rsid w:val="0076549F"/>
    <w:rsid w:val="00766EC8"/>
    <w:rsid w:val="007725D7"/>
    <w:rsid w:val="00774B56"/>
    <w:rsid w:val="007761A7"/>
    <w:rsid w:val="00781843"/>
    <w:rsid w:val="00781B5C"/>
    <w:rsid w:val="00792D2F"/>
    <w:rsid w:val="00794174"/>
    <w:rsid w:val="007960FE"/>
    <w:rsid w:val="007A4EF9"/>
    <w:rsid w:val="007A6C6F"/>
    <w:rsid w:val="007B27DB"/>
    <w:rsid w:val="007C10A2"/>
    <w:rsid w:val="007D3ACD"/>
    <w:rsid w:val="007D3F73"/>
    <w:rsid w:val="007D590A"/>
    <w:rsid w:val="007E3654"/>
    <w:rsid w:val="007E3872"/>
    <w:rsid w:val="007F4E99"/>
    <w:rsid w:val="007F549F"/>
    <w:rsid w:val="007F59E8"/>
    <w:rsid w:val="007F5BA4"/>
    <w:rsid w:val="00810AC3"/>
    <w:rsid w:val="008148BB"/>
    <w:rsid w:val="00816BC2"/>
    <w:rsid w:val="0082238B"/>
    <w:rsid w:val="0082397D"/>
    <w:rsid w:val="00827E07"/>
    <w:rsid w:val="00831264"/>
    <w:rsid w:val="00844538"/>
    <w:rsid w:val="00852643"/>
    <w:rsid w:val="0085414E"/>
    <w:rsid w:val="00861AF6"/>
    <w:rsid w:val="008652EF"/>
    <w:rsid w:val="00873648"/>
    <w:rsid w:val="00874380"/>
    <w:rsid w:val="008756C5"/>
    <w:rsid w:val="0087604A"/>
    <w:rsid w:val="008765A1"/>
    <w:rsid w:val="0087713E"/>
    <w:rsid w:val="00880ACB"/>
    <w:rsid w:val="0088495A"/>
    <w:rsid w:val="00884F2D"/>
    <w:rsid w:val="008858C7"/>
    <w:rsid w:val="008913AF"/>
    <w:rsid w:val="008954FD"/>
    <w:rsid w:val="00896959"/>
    <w:rsid w:val="008A1776"/>
    <w:rsid w:val="008A60E5"/>
    <w:rsid w:val="008A6F24"/>
    <w:rsid w:val="008B164F"/>
    <w:rsid w:val="008B34F4"/>
    <w:rsid w:val="008C02CE"/>
    <w:rsid w:val="008D5100"/>
    <w:rsid w:val="008E07DB"/>
    <w:rsid w:val="008E3134"/>
    <w:rsid w:val="008E4E68"/>
    <w:rsid w:val="008E7579"/>
    <w:rsid w:val="008F16C6"/>
    <w:rsid w:val="008F2813"/>
    <w:rsid w:val="008F69F0"/>
    <w:rsid w:val="008F7DF6"/>
    <w:rsid w:val="00904BCA"/>
    <w:rsid w:val="00911FE7"/>
    <w:rsid w:val="00921322"/>
    <w:rsid w:val="00921360"/>
    <w:rsid w:val="00921370"/>
    <w:rsid w:val="00921719"/>
    <w:rsid w:val="00930B6A"/>
    <w:rsid w:val="00931D5A"/>
    <w:rsid w:val="00933261"/>
    <w:rsid w:val="009365C6"/>
    <w:rsid w:val="00940EDE"/>
    <w:rsid w:val="009513E0"/>
    <w:rsid w:val="00953837"/>
    <w:rsid w:val="009568E1"/>
    <w:rsid w:val="00966AD1"/>
    <w:rsid w:val="0097052F"/>
    <w:rsid w:val="009736AF"/>
    <w:rsid w:val="00973E21"/>
    <w:rsid w:val="00982043"/>
    <w:rsid w:val="00983BDB"/>
    <w:rsid w:val="009858B6"/>
    <w:rsid w:val="00996DF1"/>
    <w:rsid w:val="009A089B"/>
    <w:rsid w:val="009A1105"/>
    <w:rsid w:val="009A409A"/>
    <w:rsid w:val="009A6C72"/>
    <w:rsid w:val="009A6D87"/>
    <w:rsid w:val="009B1FB0"/>
    <w:rsid w:val="009B2EBA"/>
    <w:rsid w:val="009C40DD"/>
    <w:rsid w:val="009C74B8"/>
    <w:rsid w:val="009D24C6"/>
    <w:rsid w:val="009D2D78"/>
    <w:rsid w:val="009D5C1C"/>
    <w:rsid w:val="009E6524"/>
    <w:rsid w:val="009F2184"/>
    <w:rsid w:val="00A040DE"/>
    <w:rsid w:val="00A07896"/>
    <w:rsid w:val="00A12955"/>
    <w:rsid w:val="00A2007E"/>
    <w:rsid w:val="00A23D6D"/>
    <w:rsid w:val="00A43027"/>
    <w:rsid w:val="00A45C12"/>
    <w:rsid w:val="00A45DEC"/>
    <w:rsid w:val="00A45ECA"/>
    <w:rsid w:val="00A45EF1"/>
    <w:rsid w:val="00A51439"/>
    <w:rsid w:val="00A577C1"/>
    <w:rsid w:val="00A85531"/>
    <w:rsid w:val="00A92D0A"/>
    <w:rsid w:val="00A94DDB"/>
    <w:rsid w:val="00A95466"/>
    <w:rsid w:val="00AA06EE"/>
    <w:rsid w:val="00AA2DD4"/>
    <w:rsid w:val="00AA3251"/>
    <w:rsid w:val="00AA4DC9"/>
    <w:rsid w:val="00AB0C8C"/>
    <w:rsid w:val="00AB2B3B"/>
    <w:rsid w:val="00AB35BE"/>
    <w:rsid w:val="00AB4AA5"/>
    <w:rsid w:val="00AB5F00"/>
    <w:rsid w:val="00AC0878"/>
    <w:rsid w:val="00AC138C"/>
    <w:rsid w:val="00AC5890"/>
    <w:rsid w:val="00AE66D6"/>
    <w:rsid w:val="00AF03C1"/>
    <w:rsid w:val="00AF7379"/>
    <w:rsid w:val="00B010C0"/>
    <w:rsid w:val="00B019C0"/>
    <w:rsid w:val="00B04740"/>
    <w:rsid w:val="00B04BD2"/>
    <w:rsid w:val="00B1769E"/>
    <w:rsid w:val="00B17A32"/>
    <w:rsid w:val="00B300A5"/>
    <w:rsid w:val="00B31FB8"/>
    <w:rsid w:val="00B34412"/>
    <w:rsid w:val="00B37E88"/>
    <w:rsid w:val="00B44242"/>
    <w:rsid w:val="00B44E93"/>
    <w:rsid w:val="00B47D23"/>
    <w:rsid w:val="00B538CA"/>
    <w:rsid w:val="00B566A0"/>
    <w:rsid w:val="00B5674D"/>
    <w:rsid w:val="00B56F71"/>
    <w:rsid w:val="00B6667E"/>
    <w:rsid w:val="00B676FD"/>
    <w:rsid w:val="00B67F1B"/>
    <w:rsid w:val="00B703A7"/>
    <w:rsid w:val="00B72979"/>
    <w:rsid w:val="00B7748D"/>
    <w:rsid w:val="00B8270A"/>
    <w:rsid w:val="00B82E55"/>
    <w:rsid w:val="00B83577"/>
    <w:rsid w:val="00B86922"/>
    <w:rsid w:val="00B94781"/>
    <w:rsid w:val="00B94E5A"/>
    <w:rsid w:val="00B96868"/>
    <w:rsid w:val="00BA3B33"/>
    <w:rsid w:val="00BB054D"/>
    <w:rsid w:val="00BC18B8"/>
    <w:rsid w:val="00BC2192"/>
    <w:rsid w:val="00BC57A5"/>
    <w:rsid w:val="00BC6FD1"/>
    <w:rsid w:val="00BD00B8"/>
    <w:rsid w:val="00BD0590"/>
    <w:rsid w:val="00BE1348"/>
    <w:rsid w:val="00BE4408"/>
    <w:rsid w:val="00BF2039"/>
    <w:rsid w:val="00BF485C"/>
    <w:rsid w:val="00BF673B"/>
    <w:rsid w:val="00BF6A20"/>
    <w:rsid w:val="00C01974"/>
    <w:rsid w:val="00C05F00"/>
    <w:rsid w:val="00C0706D"/>
    <w:rsid w:val="00C203C4"/>
    <w:rsid w:val="00C23F80"/>
    <w:rsid w:val="00C26FEF"/>
    <w:rsid w:val="00C36A8A"/>
    <w:rsid w:val="00C41BF7"/>
    <w:rsid w:val="00C45CE0"/>
    <w:rsid w:val="00C46D7F"/>
    <w:rsid w:val="00C538A7"/>
    <w:rsid w:val="00C56FA7"/>
    <w:rsid w:val="00C64695"/>
    <w:rsid w:val="00C67B0A"/>
    <w:rsid w:val="00C72236"/>
    <w:rsid w:val="00C72797"/>
    <w:rsid w:val="00C80CA6"/>
    <w:rsid w:val="00C81FDB"/>
    <w:rsid w:val="00C82D23"/>
    <w:rsid w:val="00C8429E"/>
    <w:rsid w:val="00C865B9"/>
    <w:rsid w:val="00C911C6"/>
    <w:rsid w:val="00C91709"/>
    <w:rsid w:val="00C91B8A"/>
    <w:rsid w:val="00CA2686"/>
    <w:rsid w:val="00CA775F"/>
    <w:rsid w:val="00CB728A"/>
    <w:rsid w:val="00CC1B57"/>
    <w:rsid w:val="00CC32B4"/>
    <w:rsid w:val="00CD155D"/>
    <w:rsid w:val="00CD45A4"/>
    <w:rsid w:val="00CE2A98"/>
    <w:rsid w:val="00CE3040"/>
    <w:rsid w:val="00CE4B1B"/>
    <w:rsid w:val="00CE7E88"/>
    <w:rsid w:val="00CF33FF"/>
    <w:rsid w:val="00CF46A0"/>
    <w:rsid w:val="00CF6367"/>
    <w:rsid w:val="00D06D0B"/>
    <w:rsid w:val="00D149BA"/>
    <w:rsid w:val="00D1748F"/>
    <w:rsid w:val="00D20172"/>
    <w:rsid w:val="00D20801"/>
    <w:rsid w:val="00D24F90"/>
    <w:rsid w:val="00D25D6A"/>
    <w:rsid w:val="00D335C0"/>
    <w:rsid w:val="00D369DD"/>
    <w:rsid w:val="00D47176"/>
    <w:rsid w:val="00D47A60"/>
    <w:rsid w:val="00D520F2"/>
    <w:rsid w:val="00D52840"/>
    <w:rsid w:val="00D54008"/>
    <w:rsid w:val="00D62A41"/>
    <w:rsid w:val="00D852CD"/>
    <w:rsid w:val="00D908F9"/>
    <w:rsid w:val="00D918DE"/>
    <w:rsid w:val="00D97835"/>
    <w:rsid w:val="00DA72B4"/>
    <w:rsid w:val="00DB33CE"/>
    <w:rsid w:val="00DC00FC"/>
    <w:rsid w:val="00DC5309"/>
    <w:rsid w:val="00DD7DD5"/>
    <w:rsid w:val="00DE19CC"/>
    <w:rsid w:val="00DE4CBC"/>
    <w:rsid w:val="00DE614A"/>
    <w:rsid w:val="00DE6D78"/>
    <w:rsid w:val="00DF10BC"/>
    <w:rsid w:val="00DF67C2"/>
    <w:rsid w:val="00DF7301"/>
    <w:rsid w:val="00DF75E3"/>
    <w:rsid w:val="00E02203"/>
    <w:rsid w:val="00E03022"/>
    <w:rsid w:val="00E10F35"/>
    <w:rsid w:val="00E13176"/>
    <w:rsid w:val="00E13204"/>
    <w:rsid w:val="00E17997"/>
    <w:rsid w:val="00E2144E"/>
    <w:rsid w:val="00E3105F"/>
    <w:rsid w:val="00E34FBD"/>
    <w:rsid w:val="00E350CA"/>
    <w:rsid w:val="00E37B4E"/>
    <w:rsid w:val="00E37D57"/>
    <w:rsid w:val="00E433DD"/>
    <w:rsid w:val="00E5291B"/>
    <w:rsid w:val="00E65EFD"/>
    <w:rsid w:val="00E6647B"/>
    <w:rsid w:val="00E73117"/>
    <w:rsid w:val="00E7669A"/>
    <w:rsid w:val="00E7723F"/>
    <w:rsid w:val="00E8311A"/>
    <w:rsid w:val="00E836E1"/>
    <w:rsid w:val="00E84720"/>
    <w:rsid w:val="00E93097"/>
    <w:rsid w:val="00E94679"/>
    <w:rsid w:val="00E95A8E"/>
    <w:rsid w:val="00EA31CC"/>
    <w:rsid w:val="00EA7483"/>
    <w:rsid w:val="00EB20E9"/>
    <w:rsid w:val="00EB43BE"/>
    <w:rsid w:val="00EB4410"/>
    <w:rsid w:val="00EB662A"/>
    <w:rsid w:val="00EB66FB"/>
    <w:rsid w:val="00EC4D2E"/>
    <w:rsid w:val="00EC54FE"/>
    <w:rsid w:val="00ED0A69"/>
    <w:rsid w:val="00ED6C47"/>
    <w:rsid w:val="00EE27B9"/>
    <w:rsid w:val="00EE48A5"/>
    <w:rsid w:val="00EE592F"/>
    <w:rsid w:val="00EE6BEE"/>
    <w:rsid w:val="00EF710D"/>
    <w:rsid w:val="00F001A3"/>
    <w:rsid w:val="00F015FD"/>
    <w:rsid w:val="00F035D0"/>
    <w:rsid w:val="00F06C3D"/>
    <w:rsid w:val="00F06DFC"/>
    <w:rsid w:val="00F14567"/>
    <w:rsid w:val="00F263B1"/>
    <w:rsid w:val="00F2698E"/>
    <w:rsid w:val="00F324E4"/>
    <w:rsid w:val="00F32C33"/>
    <w:rsid w:val="00F4319F"/>
    <w:rsid w:val="00F5104D"/>
    <w:rsid w:val="00F54E0F"/>
    <w:rsid w:val="00F56C09"/>
    <w:rsid w:val="00F63B7B"/>
    <w:rsid w:val="00F714E0"/>
    <w:rsid w:val="00F750D1"/>
    <w:rsid w:val="00F803B6"/>
    <w:rsid w:val="00F83674"/>
    <w:rsid w:val="00F84144"/>
    <w:rsid w:val="00F91192"/>
    <w:rsid w:val="00F9258E"/>
    <w:rsid w:val="00FB1343"/>
    <w:rsid w:val="00FB2EFF"/>
    <w:rsid w:val="00FB4BD7"/>
    <w:rsid w:val="00FB5117"/>
    <w:rsid w:val="00FB6F4C"/>
    <w:rsid w:val="00FC0EDF"/>
    <w:rsid w:val="00FC2579"/>
    <w:rsid w:val="00FD0867"/>
    <w:rsid w:val="00FD1DF7"/>
    <w:rsid w:val="00FD4A76"/>
    <w:rsid w:val="00FD5C7B"/>
    <w:rsid w:val="00FE04A9"/>
    <w:rsid w:val="00FE342D"/>
    <w:rsid w:val="00FE6FD1"/>
    <w:rsid w:val="00FF4B69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62ADA6A9"/>
  <w15:chartTrackingRefBased/>
  <w15:docId w15:val="{676ADEF0-CF24-4AB6-A777-6BBA002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C6"/>
  </w:style>
  <w:style w:type="paragraph" w:styleId="Heading2">
    <w:name w:val="heading 2"/>
    <w:basedOn w:val="Normal"/>
    <w:next w:val="Normal"/>
    <w:link w:val="Heading2Char"/>
    <w:qFormat/>
    <w:rsid w:val="00F14567"/>
    <w:pPr>
      <w:keepNext/>
      <w:jc w:val="both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,OBC Bullet"/>
    <w:basedOn w:val="Normal"/>
    <w:link w:val="ListParagraphChar"/>
    <w:uiPriority w:val="34"/>
    <w:qFormat/>
    <w:rsid w:val="000B3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3F"/>
  </w:style>
  <w:style w:type="paragraph" w:styleId="Footer">
    <w:name w:val="footer"/>
    <w:basedOn w:val="Normal"/>
    <w:link w:val="FooterChar"/>
    <w:uiPriority w:val="99"/>
    <w:unhideWhenUsed/>
    <w:rsid w:val="004B4E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3F"/>
  </w:style>
  <w:style w:type="paragraph" w:styleId="BalloonText">
    <w:name w:val="Balloon Text"/>
    <w:basedOn w:val="Normal"/>
    <w:link w:val="BalloonTextChar"/>
    <w:uiPriority w:val="99"/>
    <w:semiHidden/>
    <w:unhideWhenUsed/>
    <w:rsid w:val="004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159"/>
    <w:rPr>
      <w:b/>
      <w:bCs/>
      <w:sz w:val="20"/>
      <w:szCs w:val="20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303660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"/>
    <w:basedOn w:val="Normal"/>
    <w:link w:val="FootnoteTextChar"/>
    <w:uiPriority w:val="99"/>
    <w:unhideWhenUsed/>
    <w:rsid w:val="00492FEF"/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"/>
    <w:basedOn w:val="DefaultParagraphFont"/>
    <w:link w:val="FootnoteText"/>
    <w:uiPriority w:val="99"/>
    <w:rsid w:val="00492FEF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492FEF"/>
    <w:rPr>
      <w:vertAlign w:val="superscript"/>
    </w:rPr>
  </w:style>
  <w:style w:type="paragraph" w:styleId="NoSpacing">
    <w:name w:val="No Spacing"/>
    <w:uiPriority w:val="1"/>
    <w:qFormat/>
    <w:rsid w:val="00492FEF"/>
  </w:style>
  <w:style w:type="paragraph" w:customStyle="1" w:styleId="pamatteksts">
    <w:name w:val="pamatteksts"/>
    <w:link w:val="pamattekstsChar"/>
    <w:uiPriority w:val="99"/>
    <w:rsid w:val="00D52840"/>
    <w:pPr>
      <w:spacing w:before="100" w:after="120" w:line="276" w:lineRule="auto"/>
      <w:jc w:val="both"/>
    </w:pPr>
    <w:rPr>
      <w:rFonts w:asciiTheme="minorHAnsi" w:eastAsia="Calibri" w:hAnsiTheme="minorHAnsi" w:cs="Times New Roman"/>
      <w:sz w:val="20"/>
      <w:szCs w:val="20"/>
    </w:rPr>
  </w:style>
  <w:style w:type="character" w:customStyle="1" w:styleId="pamattekstsChar">
    <w:name w:val="pamatteksts Char"/>
    <w:basedOn w:val="DefaultParagraphFont"/>
    <w:link w:val="pamatteksts"/>
    <w:uiPriority w:val="99"/>
    <w:rsid w:val="00D52840"/>
    <w:rPr>
      <w:rFonts w:asciiTheme="minorHAnsi" w:eastAsia="Calibri" w:hAnsiTheme="minorHAnsi" w:cs="Times New Roman"/>
      <w:sz w:val="20"/>
      <w:szCs w:val="20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2840"/>
    <w:pPr>
      <w:spacing w:before="100" w:after="160" w:line="240" w:lineRule="exact"/>
      <w:jc w:val="both"/>
      <w:textAlignment w:val="baseline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360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455D41"/>
    <w:pPr>
      <w:ind w:firstLine="720"/>
      <w:jc w:val="both"/>
    </w:pPr>
    <w:rPr>
      <w:rFonts w:eastAsia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5D41"/>
    <w:rPr>
      <w:rFonts w:eastAsia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A11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1105"/>
  </w:style>
  <w:style w:type="character" w:styleId="Hyperlink">
    <w:name w:val="Hyperlink"/>
    <w:basedOn w:val="DefaultParagraphFont"/>
    <w:uiPriority w:val="99"/>
    <w:semiHidden/>
    <w:unhideWhenUsed/>
    <w:rsid w:val="00754AA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F14567"/>
    <w:rPr>
      <w:rFonts w:eastAsia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0E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1D25-3B3F-49CC-B878-2DE2467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4723</Words>
  <Characters>2693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Papašvaldību aizņēmumiem Eiropas Savienības līdzfinansētajiem izglītības iestāžu investīciju projektiem un ārkārtas situācijas izglītības iestādes investīciju projektam</vt:lpstr>
    </vt:vector>
  </TitlesOfParts>
  <Company>Finanšu ministrija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Papašvaldību aizņēmumiem Eiropas Savienības līdzfinansētajiem izglītības iestāžu investīciju projektiem un ārkārtas situācijas izglītības iestādes investīciju projektam</dc:title>
  <dc:subject>Informatīvā ziņojuma projekts</dc:subject>
  <dc:creator>baiba.tisenkopfa@fm.gov.lv</dc:creator>
  <cp:keywords/>
  <dc:description>baiba.tisenkopfa@fm.gov.lv, 67095467</dc:description>
  <cp:lastModifiedBy>Baiba Tisenkopfa</cp:lastModifiedBy>
  <cp:revision>9</cp:revision>
  <cp:lastPrinted>2019-06-27T08:52:00Z</cp:lastPrinted>
  <dcterms:created xsi:type="dcterms:W3CDTF">2019-06-27T07:39:00Z</dcterms:created>
  <dcterms:modified xsi:type="dcterms:W3CDTF">2019-06-27T08:52:00Z</dcterms:modified>
</cp:coreProperties>
</file>