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Par nacionālās sporta bāzes statusa piešķiršanu sporta bāzei “Jauno jātnieku skola””</w:t>
      </w:r>
      <w:r w:rsidRPr="00F93DBB">
        <w:rPr>
          <w:b/>
          <w:sz w:val="26"/>
          <w:szCs w:val="26"/>
        </w:rPr>
        <w:t xml:space="preserve">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317B6A" w:rsidTr="00A02240">
        <w:tc>
          <w:tcPr>
            <w:tcW w:w="10201"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A02240">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945" w:type="dxa"/>
            <w:tcBorders>
              <w:bottom w:val="single" w:sz="4" w:space="0" w:color="auto"/>
            </w:tcBorders>
          </w:tcPr>
          <w:p w:rsidR="00377A82" w:rsidRPr="00894F93" w:rsidRDefault="002F1581" w:rsidP="00EC0A07">
            <w:pPr>
              <w:ind w:left="82" w:right="141"/>
              <w:jc w:val="both"/>
            </w:pPr>
            <w:r w:rsidRPr="00894F93">
              <w:t>Projekta mērķis ir</w:t>
            </w:r>
            <w:r w:rsidR="00800605" w:rsidRPr="00894F93">
              <w:t xml:space="preserve"> nacionālās sporta bāzes statusa piešķiršana sporta bāzei “Jauno jātnieku skola”</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w:t>
            </w:r>
            <w:r w:rsidR="00E96065">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A02240">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A02240">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E61BA1">
            <w:pPr>
              <w:pStyle w:val="ListParagraph"/>
              <w:numPr>
                <w:ilvl w:val="0"/>
                <w:numId w:val="26"/>
              </w:numPr>
              <w:ind w:right="127"/>
              <w:jc w:val="both"/>
            </w:pPr>
            <w:r w:rsidRPr="00F93DBB">
              <w:t>Latvija</w:t>
            </w:r>
            <w:r>
              <w:t xml:space="preserve">s </w:t>
            </w:r>
            <w:r w:rsidRPr="00B97DEA">
              <w:t xml:space="preserve">Nacionālās sporta padomes 2018.gada </w:t>
            </w:r>
            <w:r w:rsidR="00394FAD" w:rsidRPr="00B97DEA">
              <w:t>12</w:t>
            </w:r>
            <w:r w:rsidRPr="00B97DEA">
              <w:t>.</w:t>
            </w:r>
            <w:r w:rsidR="00394FAD" w:rsidRPr="00B97DEA">
              <w:t>decembra sēdē nolemtais (prot Nr.5</w:t>
            </w:r>
            <w:r w:rsidR="000E6280" w:rsidRPr="00B97DEA">
              <w:t xml:space="preserve"> </w:t>
            </w:r>
            <w:r w:rsidR="00E61BA1">
              <w:t>6</w:t>
            </w:r>
            <w:r w:rsidR="00394FAD" w:rsidRPr="00B97DEA">
              <w:t>.§,</w:t>
            </w:r>
            <w:r w:rsidR="00B97DEA">
              <w:t xml:space="preserve"> </w:t>
            </w:r>
            <w:r w:rsidR="00E61BA1">
              <w:t>6</w:t>
            </w:r>
            <w:r w:rsidR="000E6280" w:rsidRPr="00B97DEA">
              <w:t>.</w:t>
            </w:r>
            <w:r w:rsidR="00217A67">
              <w:t>3</w:t>
            </w:r>
            <w:r w:rsidR="000E6280" w:rsidRPr="00B97DEA">
              <w:t>.apakšpunkts).</w:t>
            </w:r>
          </w:p>
        </w:tc>
      </w:tr>
      <w:tr w:rsidR="00585B7B" w:rsidRPr="00317B6A" w:rsidTr="00A02240">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0A3881" w:rsidRDefault="00D966F2" w:rsidP="00646321">
            <w:pPr>
              <w:ind w:left="141" w:right="142" w:firstLine="426"/>
              <w:jc w:val="both"/>
            </w:pPr>
            <w:r>
              <w:t>Atbilstoši Likuma 6.panta pirmajā daļā noteiktajam</w:t>
            </w:r>
            <w:r w:rsidR="003925C9">
              <w:t>,</w:t>
            </w:r>
            <w:r>
              <w:t xml:space="preserve">  </w:t>
            </w:r>
            <w:r w:rsidR="003925C9">
              <w:t>biedrība „Jauno jātnieku skola</w:t>
            </w:r>
            <w:r>
              <w:t>”</w:t>
            </w:r>
            <w:r w:rsidR="003925C9">
              <w:t xml:space="preserve"> (turpmāk – Biedrība)</w:t>
            </w:r>
            <w:r>
              <w:t xml:space="preserve"> </w:t>
            </w:r>
            <w:r w:rsidR="003925C9">
              <w:t>2017.gada 7.martā</w:t>
            </w:r>
            <w:r w:rsidR="003925C9" w:rsidRPr="003925C9">
              <w:t xml:space="preserve"> (papildināts 2018.gada 9.maijā) </w:t>
            </w:r>
            <w:r>
              <w:t xml:space="preserve"> ir iesniegusi Izglītības un zinātnes ministrijā</w:t>
            </w:r>
            <w:r w:rsidR="003925C9">
              <w:t xml:space="preserve"> (turpmāk – Ministrija)</w:t>
            </w:r>
            <w:r>
              <w:t xml:space="preserve"> iesniegumu par nacionālās sporta bāzes statusa piešķiršanu un dokumentu</w:t>
            </w:r>
            <w:r w:rsidR="009C7215">
              <w:t xml:space="preserve">s, kas apliecina </w:t>
            </w:r>
            <w:r w:rsidR="003925C9">
              <w:t xml:space="preserve">sporta centra “Jauno jātnieku skola” (turpmāk – Sporta bāze) </w:t>
            </w:r>
            <w:r>
              <w:t>atbilstību Likuma 5.pantā minētajiem nacionālās sporta bāzes statusa piešķiršanas nosacījumiem.</w:t>
            </w:r>
            <w:r w:rsidR="000A3881">
              <w:t xml:space="preserve"> Sporta bāze </w:t>
            </w:r>
            <w:r w:rsidR="00BF208C">
              <w:t>atrodas</w:t>
            </w:r>
            <w:r w:rsidR="000A3881">
              <w:t xml:space="preserve"> Biedrības valdījumā, kurai tādas tiesības ir piešķirtas ar 2008.gada 28.janvāra līgumu Nr.02-2008, kas noslēgts starp Biedrību un SIA “Lautas”</w:t>
            </w:r>
            <w:r w:rsidR="00231D8D">
              <w:t xml:space="preserve"> (2012.gadā </w:t>
            </w:r>
            <w:r w:rsidR="0082262E">
              <w:t>saistības pārņem</w:t>
            </w:r>
            <w:r w:rsidR="00231D8D">
              <w:t xml:space="preserve"> SIA “PRANO”)</w:t>
            </w:r>
            <w:r w:rsidR="000A3881">
              <w:t>.</w:t>
            </w:r>
            <w:r w:rsidR="00BF208C">
              <w:t xml:space="preserve"> </w:t>
            </w:r>
            <w:r w:rsidR="0082262E">
              <w:t>Jātnieku skola</w:t>
            </w:r>
            <w:r w:rsidR="00BF208C" w:rsidRPr="00BF208C">
              <w:t xml:space="preserve"> </w:t>
            </w:r>
            <w:r w:rsidR="00BF208C">
              <w:t>ir izveidota</w:t>
            </w:r>
            <w:r w:rsidR="00BF208C" w:rsidRPr="00BF208C">
              <w:t xml:space="preserve"> 2007.gadā, tās dibinātājs ir </w:t>
            </w:r>
            <w:r w:rsidR="00BF208C">
              <w:t>Biedrība</w:t>
            </w:r>
            <w:r w:rsidR="00BF208C" w:rsidRPr="00BF208C">
              <w:t xml:space="preserve">. </w:t>
            </w:r>
            <w:r w:rsidR="00BF208C">
              <w:t xml:space="preserve">Sporta bāzi veido </w:t>
            </w:r>
            <w:r w:rsidR="00BF208C" w:rsidRPr="00BF208C">
              <w:t>izjādes laukumi, manēža</w:t>
            </w:r>
            <w:r w:rsidR="00C77A8F">
              <w:t>s</w:t>
            </w:r>
            <w:r w:rsidR="00BF208C" w:rsidRPr="00BF208C">
              <w:t xml:space="preserve">, zirgu staļļi un palīgēkas, kas kalpo </w:t>
            </w:r>
            <w:r w:rsidR="00C77A8F">
              <w:t>jātnieku</w:t>
            </w:r>
            <w:r w:rsidR="00BF208C" w:rsidRPr="00BF208C">
              <w:t xml:space="preserve"> sporta vajadzībām</w:t>
            </w:r>
            <w:r w:rsidR="00BF208C">
              <w:t>.</w:t>
            </w:r>
          </w:p>
          <w:p w:rsidR="00896953" w:rsidRDefault="000A3881" w:rsidP="0037662E">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B429A4">
              <w:t>2017.gada</w:t>
            </w:r>
            <w:r w:rsidR="0082262E">
              <w:t xml:space="preserve"> 27.aprīlī veica Sporta bāzes sākotnējo pārbaudi. </w:t>
            </w:r>
            <w:r w:rsidR="00E61FE2">
              <w:t xml:space="preserve">Pārbaudes laikā tika secināts, </w:t>
            </w:r>
            <w:r w:rsidR="00E61FE2" w:rsidRPr="0037662E">
              <w:t xml:space="preserve">ka </w:t>
            </w:r>
            <w:r w:rsidR="00894F93" w:rsidRPr="0037662E">
              <w:t xml:space="preserve">Sporta bāze sastāv no: </w:t>
            </w:r>
          </w:p>
          <w:p w:rsidR="00896953" w:rsidRDefault="00894F93" w:rsidP="0037662E">
            <w:pPr>
              <w:ind w:left="141" w:right="142" w:firstLine="426"/>
              <w:jc w:val="both"/>
            </w:pPr>
            <w:r w:rsidRPr="0037662E">
              <w:t xml:space="preserve">(1) </w:t>
            </w:r>
            <w:r w:rsidR="0037662E">
              <w:t xml:space="preserve"> </w:t>
            </w:r>
            <w:r w:rsidR="0037662E" w:rsidRPr="0037662E">
              <w:t>nekustamā īpašuma (nekustamā īpašuma kadastra Nr. 8064 006 0810) „Jaunzustrenes” – zemes vienības 10,89 ha platībā un sešām būvēm (</w:t>
            </w:r>
            <w:r w:rsidR="0037662E">
              <w:t>būvju kadastra apzīmējumi: 80640060078</w:t>
            </w:r>
            <w:r w:rsidR="0037662E" w:rsidRPr="0037662E">
              <w:t>001 (dzīvojamā māja); 80640060810001 (sanitārais stallis); 80640060810002 (sanitārais stallis); 80640060810003 (pirts); 80640060810006 (manēža ar staļļiem) un 80640060810008 (manēža)) Inčukalna pagastā, Inčukalna novadā (ierakstīts Inčukalna pagasta zemesgrāmatas nodalījumā Nr.100000116311 uz SIA “Prano” (adrese – Mārupes iela 4, Rīga, LV  1002, reģistrācijas Nr.40002081792) vārda)</w:t>
            </w:r>
            <w:r w:rsidR="0037662E">
              <w:t xml:space="preserve">; un </w:t>
            </w:r>
          </w:p>
          <w:p w:rsidR="00BC4984" w:rsidRDefault="0037662E" w:rsidP="00BC4984">
            <w:pPr>
              <w:ind w:left="141" w:right="142" w:firstLine="426"/>
              <w:jc w:val="both"/>
              <w:rPr>
                <w:highlight w:val="yellow"/>
              </w:rPr>
            </w:pPr>
            <w:r>
              <w:t xml:space="preserve">(2)  </w:t>
            </w:r>
            <w:r w:rsidRPr="0037662E">
              <w:t>nekustamā īpašuma (nekustamā īpašuma kadastra Nr. 8064 006 0078) „Zustrenes” – zemes vienības 3,10 ha platībā (zemes vi</w:t>
            </w:r>
            <w:r>
              <w:t>enības kadastra apzīmējums 8064006</w:t>
            </w:r>
            <w:r w:rsidRPr="0037662E">
              <w:t xml:space="preserve">0078) un zemes vienības 7,80 </w:t>
            </w:r>
            <w:r w:rsidRPr="0037662E">
              <w:lastRenderedPageBreak/>
              <w:t>ha platībā (zemes vi</w:t>
            </w:r>
            <w:r>
              <w:t>enības kadastra apzīmējums 8064007</w:t>
            </w:r>
            <w:r w:rsidRPr="0037662E">
              <w:t>0002) Inčukalna pagastā, Inčukalna novadā (ierakstīts Inčukalna pagasta zemesgrāmatas nodalījumā Nr.121 uz SIA “Prano” (adrese – Mārupes iela 4, Rīga, LV  1002, reģis</w:t>
            </w:r>
            <w:r>
              <w:t>trācijas Nr.40002081792) vārda).</w:t>
            </w:r>
          </w:p>
          <w:p w:rsidR="00BC4984" w:rsidRPr="00B53D98" w:rsidRDefault="00BC4984" w:rsidP="00BC4984">
            <w:pPr>
              <w:ind w:left="141" w:right="142" w:firstLine="426"/>
              <w:jc w:val="both"/>
            </w:pPr>
            <w:r w:rsidRPr="009E519A">
              <w:t xml:space="preserve">Saskaņā ar Nekustamā īpašuma valsts kadastra informācijas sistēmas datiem uz nekustamā īpašuma „Jaunzustrenes” atrodas vēl arī </w:t>
            </w:r>
            <w:r w:rsidR="002F77AF">
              <w:t>trīs</w:t>
            </w:r>
            <w:r w:rsidRPr="009E519A">
              <w:t xml:space="preserve"> pirmsreģistrētas būves (būvju kadastra apzīmējumi </w:t>
            </w:r>
            <w:r w:rsidR="002F77AF">
              <w:t xml:space="preserve">8064 006 0810 004, </w:t>
            </w:r>
            <w:r w:rsidRPr="009E519A">
              <w:t>8064 006 0810 005 un 8064 006 0810 009) ar nosaukumu “ēka” un vēl viena pirmsreģistrēta būve (būves kadastra apzīmējums 8064 006 0810 007) ar nosaukumu “sūkņu māja”. Ēkas ar kadastra apzīmējumiem</w:t>
            </w:r>
            <w:r w:rsidR="00B53D98" w:rsidRPr="009E519A">
              <w:t xml:space="preserve"> </w:t>
            </w:r>
            <w:r w:rsidRPr="009E519A">
              <w:t>8064 006 0810 005 un 8064 006 0810 009 ir pagaidu moduļi (konteineri) attiecīgi jātnieku sporta sacensību tiesnešiem un instrumentu un inventāra novietošanai, un funkcionāli ir nepiecie</w:t>
            </w:r>
            <w:r w:rsidR="009D294E" w:rsidRPr="009E519A">
              <w:t>šamas</w:t>
            </w:r>
            <w:r w:rsidRPr="009E519A">
              <w:t xml:space="preserve"> Sporta bāzes darbībai. </w:t>
            </w:r>
            <w:r w:rsidR="00E62184" w:rsidRPr="009E519A">
              <w:t xml:space="preserve"> Moduļi (konteineri) </w:t>
            </w:r>
            <w:r w:rsidR="00E62184">
              <w:t xml:space="preserve">ir SIA “Prano” īpašums. </w:t>
            </w:r>
            <w:r w:rsidR="009D294E" w:rsidRPr="009E519A">
              <w:t>Šīm ēkām saskaņā ar būvnormatīviem dokumentācija nav nepieciešama, līdz ar to tās nav ierakstītas Zemesgrāmatā.</w:t>
            </w:r>
            <w:r w:rsidRPr="009E519A">
              <w:t xml:space="preserve"> </w:t>
            </w:r>
            <w:r w:rsidR="009D294E" w:rsidRPr="009E519A">
              <w:t xml:space="preserve"> Ēka ar </w:t>
            </w:r>
            <w:r w:rsidR="00495757" w:rsidRPr="009E519A">
              <w:t>kadastra apzīmējumu</w:t>
            </w:r>
            <w:r w:rsidR="002F77AF">
              <w:t xml:space="preserve"> 8064 006 0810 004 ir katlumāja, savukārt ēka ar </w:t>
            </w:r>
            <w:r w:rsidR="009D294E" w:rsidRPr="009E519A">
              <w:t xml:space="preserve"> </w:t>
            </w:r>
            <w:r w:rsidR="002F77AF" w:rsidRPr="009E519A">
              <w:t>kadastra apzīmējumu</w:t>
            </w:r>
            <w:r w:rsidR="002F77AF">
              <w:t xml:space="preserve"> </w:t>
            </w:r>
            <w:r w:rsidR="00495757" w:rsidRPr="009E519A">
              <w:t>8064 006 0810 007</w:t>
            </w:r>
            <w:r w:rsidR="002F77AF">
              <w:t xml:space="preserve"> ir sūkņu māja</w:t>
            </w:r>
            <w:r w:rsidR="009D294E" w:rsidRPr="009E519A">
              <w:t xml:space="preserve">. </w:t>
            </w:r>
            <w:r w:rsidR="002F77AF">
              <w:t>Katlumāja un s</w:t>
            </w:r>
            <w:r w:rsidR="009D294E" w:rsidRPr="009E519A">
              <w:t>ūkņu māja</w:t>
            </w:r>
            <w:r w:rsidR="002F77AF">
              <w:t>, kas perspektīvā kalpos Sporta bāzes funkciju nodrošināšanai,</w:t>
            </w:r>
            <w:r w:rsidR="009D294E" w:rsidRPr="009E519A">
              <w:t xml:space="preserve"> vēl nav nodota</w:t>
            </w:r>
            <w:r w:rsidR="002F77AF">
              <w:t>s</w:t>
            </w:r>
            <w:r w:rsidR="009D294E" w:rsidRPr="009E519A">
              <w:t xml:space="preserve"> ekspluatācijā, jo tiek kārtotas </w:t>
            </w:r>
            <w:r w:rsidR="00495757" w:rsidRPr="009E519A">
              <w:t xml:space="preserve">formalitātes pašvaldības būvvaldē </w:t>
            </w:r>
            <w:r w:rsidR="009D294E" w:rsidRPr="009E519A">
              <w:t xml:space="preserve">tās kadastrālai uzmērīšanai. Pēc </w:t>
            </w:r>
            <w:r w:rsidR="002F77AF">
              <w:t xml:space="preserve">to </w:t>
            </w:r>
            <w:r w:rsidR="009D294E" w:rsidRPr="009E519A">
              <w:t xml:space="preserve">nodošanas ekspluatācijā </w:t>
            </w:r>
            <w:r w:rsidR="002F77AF">
              <w:t xml:space="preserve">katlumāja un </w:t>
            </w:r>
            <w:r w:rsidR="009D294E" w:rsidRPr="009E519A">
              <w:t xml:space="preserve">sūkņu māju </w:t>
            </w:r>
            <w:r w:rsidR="00E62184">
              <w:t xml:space="preserve">plānots ierakstīt Zemesgrāmatā uz </w:t>
            </w:r>
            <w:r w:rsidR="009E519A">
              <w:t xml:space="preserve">SIA “Prano” </w:t>
            </w:r>
            <w:r w:rsidR="00E62184">
              <w:t>vārda</w:t>
            </w:r>
            <w:r w:rsidR="002F77AF">
              <w:t xml:space="preserve">, t.sk. </w:t>
            </w:r>
            <w:r w:rsidR="00B43EE1">
              <w:t xml:space="preserve">Ministru kabinetam </w:t>
            </w:r>
            <w:r w:rsidR="002F77AF">
              <w:t xml:space="preserve">atsevišķi </w:t>
            </w:r>
            <w:r w:rsidR="00B43EE1">
              <w:t>izskatot jautājumu par nekustamā īpašuma objektu</w:t>
            </w:r>
            <w:r w:rsidR="00B43EE1" w:rsidRPr="00B43EE1">
              <w:t xml:space="preserve"> iekļaušanu nacionālās sporta bāzes</w:t>
            </w:r>
            <w:r w:rsidR="00B43EE1">
              <w:t xml:space="preserve"> sastāvā.</w:t>
            </w:r>
            <w:r w:rsidR="00B43EE1" w:rsidRPr="00B43EE1">
              <w:t xml:space="preserve"> </w:t>
            </w:r>
            <w:r w:rsidR="002F77AF">
              <w:t xml:space="preserve">  </w:t>
            </w:r>
          </w:p>
          <w:p w:rsidR="00E513DF" w:rsidRDefault="00E61FE2" w:rsidP="00C77A8F">
            <w:pPr>
              <w:ind w:left="141" w:right="142" w:firstLine="426"/>
              <w:jc w:val="both"/>
            </w:pPr>
            <w:r>
              <w:t xml:space="preserve">Vienlaikus pārbaudes  laikā tika secināts, </w:t>
            </w:r>
            <w:r w:rsidRPr="00E513DF">
              <w:t xml:space="preserve"> </w:t>
            </w:r>
            <w:r>
              <w:t>ka Sporta bāzē tiek būvēta jauna būve, kurai plānota sporta funkcija (manēža</w:t>
            </w:r>
            <w:r w:rsidR="0037662E">
              <w:t xml:space="preserve"> ar staļļiem</w:t>
            </w:r>
            <w:r>
              <w:t>), līdz ar to</w:t>
            </w:r>
            <w:r w:rsidR="00C77A8F">
              <w:t xml:space="preserve">, lai Sporta bāzi vērtētu </w:t>
            </w:r>
            <w:r w:rsidR="0035778F">
              <w:t xml:space="preserve">vērtēt </w:t>
            </w:r>
            <w:r w:rsidR="00C77A8F">
              <w:t xml:space="preserve">kā vienotu un pabeigtu </w:t>
            </w:r>
            <w:r w:rsidR="0035778F">
              <w:t xml:space="preserve">sporta </w:t>
            </w:r>
            <w:r w:rsidR="00C77A8F">
              <w:t>kompleksu,</w:t>
            </w:r>
            <w:r>
              <w:t xml:space="preserve"> M</w:t>
            </w:r>
            <w:r w:rsidRPr="000A3881">
              <w:t>inistrija</w:t>
            </w:r>
            <w:r>
              <w:t>s pārstāvji lēma veikt Sporta bāzes atkārtotu pārbaudi.</w:t>
            </w:r>
            <w:r w:rsidR="00C77A8F">
              <w:t xml:space="preserve"> Atkārtotā pārbaude, ņemot vērā Biedrības papildināto 2018.gada 9.maija iesniegumu, tika veikta </w:t>
            </w:r>
            <w:r w:rsidR="00324B44">
              <w:t>2018.gada 11.jūnijā, lai pārliecinātos par iesniegtajos dokumentos minēto informāciju</w:t>
            </w:r>
            <w:r w:rsidR="000A3881">
              <w:t xml:space="preserve">. </w:t>
            </w:r>
          </w:p>
          <w:p w:rsidR="003B120B" w:rsidRDefault="003B120B" w:rsidP="00117BF6">
            <w:pPr>
              <w:ind w:left="141" w:right="142" w:firstLine="426"/>
              <w:jc w:val="both"/>
            </w:pPr>
            <w:r w:rsidRPr="003B120B">
              <w:t xml:space="preserve">Sporta bāzē esošās būves (dzīvojamā māja, staļļi, pirts, </w:t>
            </w:r>
            <w:r w:rsidR="0037662E">
              <w:t xml:space="preserve">manēža un </w:t>
            </w:r>
            <w:r w:rsidRPr="003B120B">
              <w:t>manēža</w:t>
            </w:r>
            <w:r>
              <w:t>s</w:t>
            </w:r>
            <w:r w:rsidR="0037662E">
              <w:t xml:space="preserve"> ar staļļiem</w:t>
            </w:r>
            <w:r w:rsidRPr="003B120B">
              <w:t xml:space="preserve">) ir celtas no jauna un speciāli radītas </w:t>
            </w:r>
            <w:r>
              <w:t>jātnieku</w:t>
            </w:r>
            <w:r w:rsidRPr="003B120B">
              <w:t xml:space="preserve"> sportam. Sporta bāzes teritorijā ir ierīkota arī autostāvvieta, vairāki atsevišķi, ar koka konstrukciju  norobežoti izjādes lakumi </w:t>
            </w:r>
            <w:r>
              <w:t>jātnieku</w:t>
            </w:r>
            <w:r w:rsidRPr="003B120B">
              <w:t xml:space="preserve"> sporta sacensību vajadzībām</w:t>
            </w:r>
            <w:r w:rsidR="004F2E24">
              <w:t xml:space="preserve">, </w:t>
            </w:r>
            <w:r w:rsidRPr="003B120B">
              <w:t>pārvietojamās tribīnes un zirgu pastaigu laukumi.</w:t>
            </w:r>
            <w:r>
              <w:t xml:space="preserve"> </w:t>
            </w:r>
            <w:r w:rsidR="00117BF6">
              <w:t xml:space="preserve">Kaut arī </w:t>
            </w:r>
            <w:r w:rsidR="00C90803" w:rsidRPr="00894F93">
              <w:t xml:space="preserve">Nekustamā īpašuma valsts kadastra informācijas sistēmā </w:t>
            </w:r>
            <w:r w:rsidR="00117BF6" w:rsidRPr="00894F93">
              <w:t>norādīts, ka Sporta</w:t>
            </w:r>
            <w:r w:rsidR="00117BF6">
              <w:t xml:space="preserve"> bāzes teritorijā ir dzīvojamā māja, t</w:t>
            </w:r>
            <w:r w:rsidR="004F2E24">
              <w:t xml:space="preserve">ā kalpo </w:t>
            </w:r>
            <w:r w:rsidRPr="003B120B">
              <w:t>saimniecības daļas vadītājam un zirgkopjiem, kā arī tajā ir piemērotas telpas noliktavai un telpas, kuras tiek izmantotas sacensību vajadzībām. Pirts mājā ir pielāgotas telpas sacensību tiesnešu uzņemšanai un izmitināšanai, kā arī ar sacensību organizēšanu saistītu sanāksmju sarīkošanai</w:t>
            </w:r>
            <w:r>
              <w:t>.</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Latvijas Nacionālās sporta padomes 2018.gada 12.decem</w:t>
            </w:r>
            <w:r w:rsidR="00A15BF4">
              <w:t>b</w:t>
            </w:r>
            <w:r w:rsidR="000A3881">
              <w:t>ra</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9C7215">
              <w:t>2018</w:t>
            </w:r>
            <w:r>
              <w:t xml:space="preserve">.gada </w:t>
            </w:r>
            <w:r w:rsidR="009C7215">
              <w:t>12</w:t>
            </w:r>
            <w:r>
              <w:t>.</w:t>
            </w:r>
            <w:r w:rsidR="009C7215">
              <w:t>decem</w:t>
            </w:r>
            <w:r w:rsidR="00CE1CB1">
              <w:t>b</w:t>
            </w:r>
            <w:r w:rsidR="009C7215">
              <w:t>ra</w:t>
            </w:r>
            <w:r>
              <w:t xml:space="preserve"> sēdes </w:t>
            </w:r>
            <w:r w:rsidR="009C7215">
              <w:t>(prot. Nr. 5 6.§, 6.2</w:t>
            </w:r>
            <w:r>
              <w:t>.apakšpunkts)</w:t>
            </w:r>
            <w:r w:rsidR="009C7215">
              <w:t xml:space="preserve"> atzinums par Sporta bāzes</w:t>
            </w:r>
            <w:r w:rsidR="00CE1CB1">
              <w:t xml:space="preserve"> atbilstību Likuma </w:t>
            </w:r>
            <w:r w:rsidR="00CE1CB1">
              <w:lastRenderedPageBreak/>
              <w:t>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D966F2" w:rsidRDefault="00324B44" w:rsidP="00BF208C">
            <w:pPr>
              <w:ind w:left="141" w:right="142" w:firstLine="567"/>
              <w:jc w:val="both"/>
            </w:pPr>
            <w:r>
              <w:t xml:space="preserve">Saskaņā ar Likuma 5.panta trešajā daļa noteikto  sporta bāzes atbilstību Likuma 5.panta </w:t>
            </w:r>
            <w:r w:rsidRPr="00324B44">
              <w:t>pirmās daļas 5.punktā minētajam nosacījumam apliecina vismaz viena attiecīgā starptautiskā sporta federācija vai šīs federācijas vārdā tam pilnvarota Sporta likumā noteiktajā kārtībā atzīta attiecīgā sporta federācija</w:t>
            </w:r>
            <w:r>
              <w:t>.</w:t>
            </w:r>
            <w:r w:rsidRPr="00324B44">
              <w:t xml:space="preserve"> </w:t>
            </w:r>
            <w:r>
              <w:t xml:space="preserve">Biedrība iesniegumam ir pievienojusi </w:t>
            </w:r>
            <w:r w:rsidRPr="00324B44">
              <w:t>biedrība</w:t>
            </w:r>
            <w:r>
              <w:t>s “Latvijas Jātnieku federācija” 2017.gada 27.februāra vēstuli (apliecinājumu) Nr.48-17</w:t>
            </w:r>
            <w:r w:rsidRPr="00324B44">
              <w:t xml:space="preserve"> un Starptautiskā Jātnieku sporta federācija</w:t>
            </w:r>
            <w:r>
              <w:t>s</w:t>
            </w:r>
            <w:r w:rsidRPr="00324B44">
              <w:t xml:space="preserve"> (</w:t>
            </w:r>
            <w:r w:rsidRPr="00324B44">
              <w:rPr>
                <w:i/>
              </w:rPr>
              <w:t>Federation Equestre Internationale</w:t>
            </w:r>
            <w:r>
              <w:t>)</w:t>
            </w:r>
            <w:r w:rsidRPr="00324B44">
              <w:t xml:space="preserve"> </w:t>
            </w:r>
            <w:r>
              <w:t>2017.gada 22.februāra vēstuli  (apliecinājumu)</w:t>
            </w:r>
            <w:r w:rsidR="00BF208C">
              <w:t>.</w:t>
            </w:r>
          </w:p>
          <w:p w:rsidR="00D966F2" w:rsidRDefault="00CE1CB1" w:rsidP="00646321">
            <w:pPr>
              <w:ind w:left="141" w:right="142" w:firstLine="567"/>
              <w:jc w:val="both"/>
            </w:pPr>
            <w:r>
              <w:t>Sporta bāzē regulāri tiek rīkotas starptautiskās sacensības jātnieku sportā,</w:t>
            </w:r>
            <w:r w:rsidR="00BF208C" w:rsidRPr="00BF208C">
              <w:t xml:space="preserve"> Jauno jātnieku skolas turnīri (šķēršļu pārvarēšanā) un Vislatvijas zirgu dienas (t.sk. ar sacensībām profesionāļiem, amatieriem un bērniem un jauniešiem), kuras ir iekļautas biedrības “Latvijas Jātnieku federācija” (Sporta likumā noteiktā kārtībā atzītā sporta federācija jātnieku sportā) </w:t>
            </w:r>
            <w:r w:rsidR="00BF208C">
              <w:t xml:space="preserve">oficiālajā sacensību kalendārā.  </w:t>
            </w:r>
            <w:r w:rsidR="00BF208C" w:rsidRPr="00BF208C">
              <w:t>Pēc Biedrības sniegtās informācijas Sporta bāzē ar sportu saistītie pasākumi veido 100 procentus no faktiskā Sporta bāzes noslogojuma</w:t>
            </w:r>
            <w:r w:rsidR="00BF208C">
              <w:t>.</w:t>
            </w:r>
            <w:r w:rsidR="00D966F2">
              <w:t xml:space="preserve"> </w:t>
            </w:r>
          </w:p>
          <w:p w:rsidR="0008442F" w:rsidRDefault="00D966F2" w:rsidP="00646321">
            <w:pPr>
              <w:ind w:left="141" w:right="142" w:firstLine="567"/>
              <w:jc w:val="both"/>
            </w:pPr>
            <w:r>
              <w:t>Sporta bāze ir komplekss veidojums, kas savas funkcijas sporta jomā var nodrošināt tikai tad, ja tās sastāvā ir atbilstošas un sporta funkciju tieši vai p</w:t>
            </w:r>
            <w:r w:rsidR="00BF208C">
              <w:t>astarpināti nodrošinošas būves.</w:t>
            </w:r>
          </w:p>
          <w:p w:rsidR="009956FF" w:rsidRPr="00E61BA1" w:rsidRDefault="00936FAB" w:rsidP="00646321">
            <w:pPr>
              <w:ind w:left="141" w:right="142" w:firstLine="567"/>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(Organizācijas iesnieguma</w:t>
            </w:r>
            <w:r>
              <w:t xml:space="preserve"> par nacionālās sporta bāzes statusa piešķiršanu</w:t>
            </w:r>
            <w:r w:rsidRPr="001328DB">
              <w:t xml:space="preserve"> un ar to saistīto pielikumu, sporta bāzes pārbaudes akta, Zemesgrāmatu apliecības un ar nacionālās sporta bāzes darbību saistītu dokumentu kopijas).</w:t>
            </w:r>
            <w:r>
              <w:t xml:space="preserve"> Paskaidrojošie materiāli satur ierobežotas pieejamības informāciju (personas datus)</w:t>
            </w:r>
            <w:r w:rsidR="002C0F5E" w:rsidRPr="002C0F5E">
              <w:t xml:space="preserve">. </w:t>
            </w:r>
            <w:r w:rsidR="009956FF">
              <w:t xml:space="preserve"> </w:t>
            </w:r>
          </w:p>
        </w:tc>
      </w:tr>
      <w:tr w:rsidR="00585B7B" w:rsidRPr="00317B6A" w:rsidTr="00A02240">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A02240">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2D5B95" w:rsidRDefault="00BB3C51" w:rsidP="00646321">
            <w:pPr>
              <w:ind w:left="114" w:right="127" w:firstLine="594"/>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rsidR="00D966F2" w:rsidRDefault="00D966F2" w:rsidP="00646321">
            <w:pPr>
              <w:ind w:left="114" w:right="127" w:firstLine="594"/>
              <w:jc w:val="both"/>
            </w:pPr>
            <w:r>
              <w:t>Nacionālās sporta bāzes īpašniekam (tai skaitā privātpersonai) no Likuma 5.panta pirmās daļas izriet pienākums</w:t>
            </w:r>
            <w:r w:rsidR="00117BF6">
              <w:t xml:space="preserve"> nodrošināt, ka</w:t>
            </w:r>
            <w:r>
              <w:t xml:space="preserve"> </w:t>
            </w:r>
            <w:r w:rsidR="00117BF6" w:rsidRPr="00117BF6">
              <w:t>tās darbība un tehniskais stāvoklis atbilst normatīvo aktu prasībām</w:t>
            </w:r>
            <w:r>
              <w:t xml:space="preserve">. Par </w:t>
            </w:r>
            <w:r>
              <w:lastRenderedPageBreak/>
              <w:t>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4E4909" w:rsidRPr="00317B6A" w:rsidRDefault="00D966F2" w:rsidP="00936FAB">
            <w:pPr>
              <w:ind w:left="114" w:right="127" w:firstLine="594"/>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898"/>
        <w:gridCol w:w="6685"/>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Default="00DA2486" w:rsidP="004E4909">
            <w:pPr>
              <w:ind w:left="144"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t xml:space="preserve">, Biedrība ar 2019.gada </w:t>
            </w:r>
            <w:r w:rsidR="00D30EB0" w:rsidRPr="00D30EB0">
              <w:t>2.</w:t>
            </w:r>
            <w:r w:rsidR="00B352DE" w:rsidRPr="00D30EB0">
              <w:t xml:space="preserve">aprīļa iesniegumu </w:t>
            </w:r>
            <w:r w:rsidR="004C0F70" w:rsidRPr="00D30EB0">
              <w:t xml:space="preserve">par Rīkojuma projekta būtību (nacionālās sporta bāzes statusa piešķiršana) </w:t>
            </w:r>
            <w:r w:rsidR="00B352DE" w:rsidRPr="00D30EB0">
              <w:t>ir vērsusies Inčukalna novada domē.</w:t>
            </w:r>
            <w:r w:rsidR="004C0F70" w:rsidRPr="00D30EB0">
              <w:t xml:space="preserve"> Biedrības iesniegumam par nacionālās sporta bāzes statusa piešķiršanu ir pievienots papildus materiāls – Inčukalna novada domes </w:t>
            </w:r>
            <w:r w:rsidR="00832915">
              <w:t>lēmums (</w:t>
            </w:r>
            <w:r w:rsidR="004C0F70" w:rsidRPr="00D30EB0">
              <w:t xml:space="preserve">2019.gada </w:t>
            </w:r>
            <w:r w:rsidR="00D30EB0" w:rsidRPr="00D30EB0">
              <w:t>22</w:t>
            </w:r>
            <w:r w:rsidR="004C0F70" w:rsidRPr="00D30EB0">
              <w:t>.</w:t>
            </w:r>
            <w:r w:rsidR="00D30EB0" w:rsidRPr="00D30EB0">
              <w:t>maija</w:t>
            </w:r>
            <w:r w:rsidR="004C0F70" w:rsidRPr="00D30EB0">
              <w:t xml:space="preserve"> sēdes </w:t>
            </w:r>
            <w:r w:rsidR="00D30EB0" w:rsidRPr="00D30EB0">
              <w:t xml:space="preserve">Nr.8 </w:t>
            </w:r>
            <w:r w:rsidR="004C0F70" w:rsidRPr="00D30EB0">
              <w:t>protokola izraksts</w:t>
            </w:r>
            <w:r w:rsidR="00832915">
              <w:t>)</w:t>
            </w:r>
            <w:r w:rsidR="004C0F70" w:rsidRPr="00D30EB0">
              <w:t>, kas apliecina, ka pašval</w:t>
            </w:r>
            <w:r w:rsidR="004C0F70" w:rsidRPr="00C904E3">
              <w:t xml:space="preserve">dība </w:t>
            </w:r>
            <w:r w:rsidR="004C0F70">
              <w:t>neiebilst,</w:t>
            </w:r>
            <w:r w:rsidR="004C0F70" w:rsidRPr="00C904E3">
              <w:t xml:space="preserve"> ka </w:t>
            </w:r>
            <w:r w:rsidR="004C0F70">
              <w:t>Sporta bāzei tiek</w:t>
            </w:r>
            <w:r w:rsidR="004C0F70" w:rsidRPr="00C904E3">
              <w:t xml:space="preserve"> piešķirt</w:t>
            </w:r>
            <w:r w:rsidR="004C0F70">
              <w:t>s</w:t>
            </w:r>
            <w:r w:rsidR="004C0F70" w:rsidRPr="00C904E3">
              <w:t xml:space="preserve"> nacionālās sporta bāzes status</w:t>
            </w:r>
            <w:r w:rsidR="004C0F70">
              <w:t xml:space="preserve">s (sk. </w:t>
            </w:r>
            <w:r w:rsidR="004C0F70" w:rsidRPr="004C0F70">
              <w:t>anotāci</w:t>
            </w:r>
            <w:r w:rsidR="004C0F70">
              <w:t>jas</w:t>
            </w:r>
            <w:r w:rsidR="00D30EB0">
              <w:t xml:space="preserve"> raksta paskaidrojošos </w:t>
            </w:r>
            <w:r w:rsidR="002E6ECD">
              <w:t>materiālus</w:t>
            </w:r>
            <w:r w:rsidR="004C0F70">
              <w:t>).</w:t>
            </w:r>
          </w:p>
          <w:p w:rsidR="004142B1" w:rsidRPr="00947C52" w:rsidRDefault="00E837BF" w:rsidP="00E837BF">
            <w:pPr>
              <w:ind w:left="144" w:right="110"/>
              <w:jc w:val="both"/>
            </w:pPr>
            <w:r>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 (SIA “PRANO”).</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655F51" w:rsidRDefault="00655F51"/>
    <w:p w:rsidR="00A02240" w:rsidRDefault="00A02240"/>
    <w:p w:rsidR="00A02240" w:rsidRDefault="00A02240"/>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lastRenderedPageBreak/>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w:t>
            </w:r>
            <w:r w:rsidRPr="0033617F">
              <w:lastRenderedPageBreak/>
              <w:t xml:space="preserve">norāda ar </w:t>
            </w:r>
            <w:r>
              <w:t>„</w:t>
            </w:r>
            <w:r w:rsidRPr="0033617F">
              <w:t>+” zīmi)</w:t>
            </w:r>
          </w:p>
        </w:tc>
        <w:tc>
          <w:tcPr>
            <w:tcW w:w="1243" w:type="dxa"/>
            <w:vMerge w:val="restart"/>
          </w:tcPr>
          <w:p w:rsidR="00183338" w:rsidRPr="00317B6A" w:rsidRDefault="00183338" w:rsidP="00582BD7">
            <w:pPr>
              <w:jc w:val="center"/>
              <w:rPr>
                <w:i/>
              </w:rPr>
            </w:pPr>
            <w:r w:rsidRPr="00317B6A">
              <w:lastRenderedPageBreak/>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rsidR="00DA1997" w:rsidRDefault="00D966F2" w:rsidP="00DA1997">
            <w:pPr>
              <w:ind w:right="34"/>
              <w:jc w:val="both"/>
            </w:pPr>
            <w:r>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108"/>
        <w:gridCol w:w="2338"/>
        <w:gridCol w:w="7047"/>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w:t>
            </w:r>
            <w:r w:rsidRPr="00BC4432">
              <w:lastRenderedPageBreak/>
              <w:t>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lastRenderedPageBreak/>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Default="006A5F1E" w:rsidP="000B53E2">
            <w:pPr>
              <w:ind w:left="69" w:right="136"/>
              <w:jc w:val="both"/>
              <w:rPr>
                <w:rFonts w:eastAsia="Times New Roman"/>
              </w:rPr>
            </w:pPr>
            <w:r w:rsidRPr="00BC4432">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142B1" w:rsidRPr="00DF2BA1">
                <w:rPr>
                  <w:rStyle w:val="Hyperlink"/>
                  <w:rFonts w:eastAsia="Times New Roman"/>
                </w:rPr>
                <w:t>www.vestnesis.lv</w:t>
              </w:r>
            </w:hyperlink>
            <w:r w:rsidRPr="00BC4432">
              <w:rPr>
                <w:rFonts w:eastAsia="Times New Roman"/>
              </w:rPr>
              <w:t>.</w:t>
            </w:r>
          </w:p>
          <w:p w:rsidR="004142B1" w:rsidRPr="00BC4432" w:rsidRDefault="004142B1" w:rsidP="000B53E2">
            <w:pPr>
              <w:ind w:left="69" w:right="136"/>
              <w:jc w:val="both"/>
              <w:rPr>
                <w:rFonts w:eastAsia="Times New Roman"/>
              </w:rPr>
            </w:pPr>
            <w:r w:rsidRPr="0042744D">
              <w:rPr>
                <w:rFonts w:eastAsia="Times New Roman"/>
              </w:rPr>
              <w:t>I</w:t>
            </w:r>
            <w:r>
              <w:rPr>
                <w:rFonts w:eastAsia="Times New Roman"/>
              </w:rPr>
              <w:t xml:space="preserve">nformācija par </w:t>
            </w:r>
            <w:r w:rsidRPr="00894F93">
              <w:t>Min</w:t>
            </w:r>
            <w:r>
              <w:t>istru kabineta rīkojuma projekta</w:t>
            </w:r>
            <w:r w:rsidRPr="00894F93">
              <w:t xml:space="preserve"> spēkā</w:t>
            </w:r>
            <w:r>
              <w:t xml:space="preserve"> stāšanos </w:t>
            </w:r>
            <w:r w:rsidRPr="0042744D">
              <w:rPr>
                <w:rFonts w:eastAsia="Times New Roman"/>
              </w:rPr>
              <w:t>nacionālās sport</w:t>
            </w:r>
            <w:r>
              <w:rPr>
                <w:rFonts w:eastAsia="Times New Roman"/>
              </w:rPr>
              <w:t>a bāzes īpašniekam tiks paziņota</w:t>
            </w:r>
            <w:r w:rsidRPr="0042744D">
              <w:rPr>
                <w:rFonts w:eastAsia="Times New Roman"/>
              </w:rPr>
              <w:t xml:space="preserve"> atbilstoši Administratīvā procesa likumā un Paziņošanas likumā noteiktajai kārtībai.</w:t>
            </w:r>
          </w:p>
        </w:tc>
      </w:tr>
    </w:tbl>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5"/>
        <w:gridCol w:w="4619"/>
        <w:gridCol w:w="5394"/>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0B28C4" w:rsidRDefault="000B28C4" w:rsidP="00A02240">
      <w:pPr>
        <w:autoSpaceDE w:val="0"/>
        <w:autoSpaceDN w:val="0"/>
        <w:adjustRightInd w:val="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w:t>
      </w:r>
      <w:r w:rsidR="00D30EB0">
        <w:rPr>
          <w:color w:val="000000"/>
        </w:rPr>
        <w:t xml:space="preserve">                           I.</w:t>
      </w:r>
      <w:r w:rsidR="007F3AE0">
        <w:rPr>
          <w:color w:val="000000"/>
        </w:rPr>
        <w:t>Šuplinska</w:t>
      </w:r>
    </w:p>
    <w:p w:rsidR="000B28C4" w:rsidRDefault="000B28C4" w:rsidP="009E519A">
      <w:pPr>
        <w:autoSpaceDE w:val="0"/>
        <w:autoSpaceDN w:val="0"/>
        <w:adjustRightInd w:val="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D30EB0">
        <w:rPr>
          <w:color w:val="000000"/>
        </w:rPr>
        <w:t>kretāre</w:t>
      </w:r>
      <w:r w:rsidR="00D30EB0">
        <w:rPr>
          <w:color w:val="000000"/>
        </w:rPr>
        <w:tab/>
      </w:r>
      <w:r w:rsidR="00D30EB0">
        <w:rPr>
          <w:color w:val="000000"/>
        </w:rPr>
        <w:tab/>
      </w:r>
      <w:r w:rsidR="00D30EB0">
        <w:rPr>
          <w:color w:val="000000"/>
        </w:rPr>
        <w:tab/>
      </w:r>
      <w:r w:rsidR="00D30EB0">
        <w:rPr>
          <w:color w:val="000000"/>
        </w:rPr>
        <w:tab/>
      </w:r>
      <w:r w:rsidR="00D30EB0">
        <w:rPr>
          <w:color w:val="000000"/>
        </w:rPr>
        <w:tab/>
      </w:r>
      <w:r w:rsidR="00D30EB0">
        <w:rPr>
          <w:color w:val="000000"/>
        </w:rPr>
        <w:tab/>
        <w:t xml:space="preserve">     </w:t>
      </w:r>
      <w:r w:rsidR="00D30EB0">
        <w:rPr>
          <w:color w:val="000000"/>
        </w:rPr>
        <w:tab/>
        <w:t xml:space="preserve">  L.</w:t>
      </w:r>
      <w:r w:rsidR="000B28C4">
        <w:rPr>
          <w:color w:val="000000"/>
        </w:rPr>
        <w:t>Lejiņa</w:t>
      </w:r>
    </w:p>
    <w:p w:rsidR="003B3143" w:rsidRDefault="003B3143" w:rsidP="00E244D0">
      <w:pPr>
        <w:ind w:left="720"/>
        <w:rPr>
          <w:sz w:val="22"/>
          <w:szCs w:val="22"/>
        </w:rPr>
      </w:pPr>
    </w:p>
    <w:p w:rsidR="000B28C4" w:rsidRDefault="000B28C4" w:rsidP="00B41E1E">
      <w:pPr>
        <w:pStyle w:val="BodyText"/>
        <w:spacing w:after="0"/>
        <w:jc w:val="both"/>
        <w:rPr>
          <w:sz w:val="22"/>
          <w:szCs w:val="22"/>
        </w:rPr>
      </w:pPr>
    </w:p>
    <w:p w:rsidR="000B28C4" w:rsidRDefault="000B28C4" w:rsidP="007F3AE0">
      <w:pPr>
        <w:pStyle w:val="BodyText"/>
        <w:spacing w:after="0"/>
        <w:ind w:firstLine="720"/>
        <w:jc w:val="both"/>
        <w:rPr>
          <w:sz w:val="22"/>
          <w:szCs w:val="22"/>
        </w:rPr>
      </w:pPr>
    </w:p>
    <w:p w:rsidR="007F3AE0" w:rsidRPr="008F556A" w:rsidRDefault="009E519A" w:rsidP="007F3AE0">
      <w:pPr>
        <w:pStyle w:val="BodyText"/>
        <w:spacing w:after="0"/>
        <w:ind w:firstLine="720"/>
        <w:jc w:val="both"/>
        <w:rPr>
          <w:b/>
          <w:bCs/>
          <w:sz w:val="22"/>
          <w:szCs w:val="22"/>
        </w:rPr>
      </w:pPr>
      <w:r>
        <w:rPr>
          <w:sz w:val="22"/>
          <w:szCs w:val="22"/>
        </w:rPr>
        <w:t>05.06.2019 14</w:t>
      </w:r>
      <w:r w:rsidR="007F3AE0" w:rsidRPr="008F556A">
        <w:rPr>
          <w:sz w:val="22"/>
          <w:szCs w:val="22"/>
        </w:rPr>
        <w:t>:</w:t>
      </w:r>
      <w:r>
        <w:rPr>
          <w:sz w:val="22"/>
          <w:szCs w:val="22"/>
        </w:rPr>
        <w:t>07</w:t>
      </w:r>
    </w:p>
    <w:p w:rsidR="007F3AE0" w:rsidRPr="008F556A" w:rsidRDefault="00A02240" w:rsidP="007F3AE0">
      <w:pPr>
        <w:pStyle w:val="BodyText"/>
        <w:spacing w:after="0"/>
        <w:ind w:left="720"/>
        <w:jc w:val="both"/>
        <w:rPr>
          <w:b/>
          <w:bCs/>
          <w:sz w:val="22"/>
          <w:szCs w:val="22"/>
        </w:rPr>
      </w:pPr>
      <w:r>
        <w:rPr>
          <w:sz w:val="22"/>
          <w:szCs w:val="22"/>
        </w:rPr>
        <w:t>2254</w:t>
      </w:r>
      <w:bookmarkStart w:id="3" w:name="_GoBack"/>
      <w:bookmarkEnd w:id="3"/>
    </w:p>
    <w:p w:rsidR="007F3AE0" w:rsidRPr="008F556A" w:rsidRDefault="007F3AE0" w:rsidP="007F3AE0">
      <w:pPr>
        <w:pStyle w:val="BodyText"/>
        <w:spacing w:after="0"/>
        <w:ind w:firstLine="720"/>
        <w:jc w:val="both"/>
        <w:outlineLvl w:val="0"/>
        <w:rPr>
          <w:b/>
          <w:bCs/>
          <w:sz w:val="22"/>
          <w:szCs w:val="22"/>
        </w:rPr>
      </w:pPr>
      <w:r w:rsidRPr="008F556A">
        <w:rPr>
          <w:sz w:val="22"/>
          <w:szCs w:val="22"/>
        </w:rPr>
        <w:t>K.Randohs</w:t>
      </w:r>
    </w:p>
    <w:p w:rsidR="007F3AE0" w:rsidRPr="008F556A" w:rsidRDefault="007F3AE0" w:rsidP="007F3AE0">
      <w:pPr>
        <w:pStyle w:val="BodyText"/>
        <w:spacing w:after="0"/>
        <w:ind w:firstLine="720"/>
        <w:jc w:val="both"/>
        <w:rPr>
          <w:b/>
          <w:sz w:val="22"/>
          <w:szCs w:val="22"/>
        </w:rPr>
      </w:pPr>
      <w:r w:rsidRPr="008F556A">
        <w:rPr>
          <w:sz w:val="22"/>
          <w:szCs w:val="22"/>
        </w:rPr>
        <w:t>67047982, kaspars.randohs@izm.gov.lv</w:t>
      </w:r>
    </w:p>
    <w:p w:rsidR="00763103" w:rsidRPr="002D62A9" w:rsidRDefault="00763103" w:rsidP="007F3AE0">
      <w:pPr>
        <w:ind w:left="720"/>
        <w:rPr>
          <w:sz w:val="22"/>
          <w:szCs w:val="22"/>
        </w:rPr>
      </w:pPr>
    </w:p>
    <w:sectPr w:rsidR="00763103" w:rsidRPr="002D62A9" w:rsidSect="00A02240">
      <w:headerReference w:type="default" r:id="rId9"/>
      <w:footerReference w:type="default" r:id="rId10"/>
      <w:footerReference w:type="first" r:id="rId11"/>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B5" w:rsidRDefault="009F73B5" w:rsidP="00123E9B">
      <w:r>
        <w:separator/>
      </w:r>
    </w:p>
  </w:endnote>
  <w:endnote w:type="continuationSeparator" w:id="0">
    <w:p w:rsidR="009F73B5" w:rsidRDefault="009F73B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Pr="00A44435" w:rsidRDefault="009E519A" w:rsidP="00D966F2">
    <w:pPr>
      <w:pStyle w:val="Footer"/>
      <w:jc w:val="both"/>
    </w:pPr>
    <w:r>
      <w:t>IZMAnot</w:t>
    </w:r>
    <w:r w:rsidRPr="007A74FF">
      <w:t>_</w:t>
    </w:r>
    <w:r>
      <w:t>050619</w:t>
    </w:r>
    <w:r w:rsidRPr="007A74FF">
      <w:t>_</w:t>
    </w:r>
    <w:r>
      <w:t>JJS</w:t>
    </w:r>
    <w:r w:rsidR="00D966F2">
      <w:t>;</w:t>
    </w:r>
    <w:r w:rsidR="00D966F2" w:rsidRPr="007A74FF">
      <w:t xml:space="preserve"> Minis</w:t>
    </w:r>
    <w:r w:rsidR="00D966F2">
      <w:t>tru kabineta rīkojuma projekts “</w:t>
    </w:r>
    <w:r w:rsidR="00D966F2" w:rsidRPr="00BB3097">
      <w:t>Par nacionālās sporta bāzes statusa piešķiršanu sporta bāzei “Jauno jātnieku skola”</w:t>
    </w:r>
    <w:r w:rsidR="00D966F2">
      <w:t xml:space="preserve">” </w:t>
    </w:r>
    <w:r w:rsidR="00D966F2" w:rsidRPr="00D966F2">
      <w:t>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E0" w:rsidRPr="00A44435" w:rsidRDefault="007F3AE0" w:rsidP="007F3AE0">
    <w:pPr>
      <w:pStyle w:val="Footer"/>
      <w:jc w:val="both"/>
    </w:pPr>
    <w:r>
      <w:t>IZMAnot</w:t>
    </w:r>
    <w:r w:rsidRPr="007A74FF">
      <w:t>_</w:t>
    </w:r>
    <w:r w:rsidR="009E519A">
      <w:t>0506</w:t>
    </w:r>
    <w:r>
      <w:t>19</w:t>
    </w:r>
    <w:r w:rsidRPr="007A74FF">
      <w:t>_</w:t>
    </w:r>
    <w:r>
      <w:t>JJS;</w:t>
    </w:r>
    <w:r w:rsidRPr="007A74FF">
      <w:t xml:space="preserve"> Minis</w:t>
    </w:r>
    <w:r>
      <w:t>tru kabineta rīkojuma projekts “</w:t>
    </w:r>
    <w:r w:rsidRPr="00BB3097">
      <w:t>Par nacionālās sporta bāzes statusa piešķiršanu sporta bāzei “Jauno jātnieku skola”</w:t>
    </w:r>
    <w:r>
      <w:t>”</w:t>
    </w:r>
    <w:r w:rsidR="00D966F2">
      <w:t xml:space="preserve"> </w:t>
    </w:r>
    <w:r w:rsidR="00D966F2" w:rsidRPr="00D966F2">
      <w:t>sākotnējās ietekmes novērtējuma ziņojums (anotācija)</w:t>
    </w: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B5" w:rsidRDefault="009F73B5" w:rsidP="00123E9B">
      <w:r>
        <w:separator/>
      </w:r>
    </w:p>
  </w:footnote>
  <w:footnote w:type="continuationSeparator" w:id="0">
    <w:p w:rsidR="009F73B5" w:rsidRDefault="009F73B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A0224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19BC"/>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4992"/>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0F5E"/>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6EC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2F77AF"/>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9C0"/>
    <w:rsid w:val="00405E52"/>
    <w:rsid w:val="00406BFE"/>
    <w:rsid w:val="004076BF"/>
    <w:rsid w:val="0041016A"/>
    <w:rsid w:val="00410F38"/>
    <w:rsid w:val="00411191"/>
    <w:rsid w:val="00411B86"/>
    <w:rsid w:val="00411CF0"/>
    <w:rsid w:val="00411F72"/>
    <w:rsid w:val="00412E8E"/>
    <w:rsid w:val="004142B1"/>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1C10"/>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3D3E"/>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94E"/>
    <w:rsid w:val="009D2B33"/>
    <w:rsid w:val="009D45E8"/>
    <w:rsid w:val="009D482E"/>
    <w:rsid w:val="009D4EC8"/>
    <w:rsid w:val="009D53EB"/>
    <w:rsid w:val="009D54A8"/>
    <w:rsid w:val="009D593E"/>
    <w:rsid w:val="009D5CF1"/>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302C"/>
    <w:rsid w:val="00BB3C51"/>
    <w:rsid w:val="00BB6B0F"/>
    <w:rsid w:val="00BC0B52"/>
    <w:rsid w:val="00BC0D9F"/>
    <w:rsid w:val="00BC10F5"/>
    <w:rsid w:val="00BC19D3"/>
    <w:rsid w:val="00BC45A7"/>
    <w:rsid w:val="00BC4984"/>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0B3D-45AB-48A2-86FD-1AFB308E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11114</Words>
  <Characters>6336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Randohs</cp:lastModifiedBy>
  <cp:revision>55</cp:revision>
  <cp:lastPrinted>2018-03-22T14:28:00Z</cp:lastPrinted>
  <dcterms:created xsi:type="dcterms:W3CDTF">2019-02-07T07:54:00Z</dcterms:created>
  <dcterms:modified xsi:type="dcterms:W3CDTF">2019-06-06T09:56:00Z</dcterms:modified>
</cp:coreProperties>
</file>