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14AA0" w14:textId="77777777" w:rsidR="007356B4" w:rsidRPr="00BB599E" w:rsidRDefault="007356B4" w:rsidP="007356B4">
      <w:pPr>
        <w:pStyle w:val="naisnod"/>
        <w:spacing w:before="0" w:after="0"/>
      </w:pPr>
      <w:r w:rsidRPr="00BB599E">
        <w:t xml:space="preserve">Izziņa par atzinumos sniegtajiem iebildumiem par Ministru kabineta noteikumu projektu </w:t>
      </w:r>
      <w:bookmarkStart w:id="0" w:name="OLE_LINK3"/>
      <w:bookmarkStart w:id="1" w:name="OLE_LINK4"/>
      <w:bookmarkStart w:id="2" w:name="OLE_LINK7"/>
    </w:p>
    <w:p w14:paraId="60122135" w14:textId="77777777" w:rsidR="007356B4" w:rsidRPr="00BB599E" w:rsidRDefault="007356B4" w:rsidP="007356B4">
      <w:pPr>
        <w:pStyle w:val="naisnod"/>
        <w:spacing w:before="0" w:after="0"/>
      </w:pPr>
      <w:r w:rsidRPr="00BB599E">
        <w:t>"</w:t>
      </w:r>
      <w:bookmarkEnd w:id="0"/>
      <w:bookmarkEnd w:id="1"/>
      <w:bookmarkEnd w:id="2"/>
      <w:r w:rsidRPr="00BB599E">
        <w:t xml:space="preserve">Grozījumi Ministru kabineta 2016. gada 12. janvāra noteikumos Nr. 34 "Darbības programmas "Izaugsme un nodarbinātība" </w:t>
      </w:r>
    </w:p>
    <w:p w14:paraId="65D7861F" w14:textId="3290DD00" w:rsidR="007356B4" w:rsidRPr="00BB599E" w:rsidRDefault="007356B4" w:rsidP="007356B4">
      <w:pPr>
        <w:pStyle w:val="naisnod"/>
        <w:spacing w:before="0" w:after="0"/>
      </w:pPr>
      <w:r w:rsidRPr="00BB599E">
        <w:t>1.1.1. specifiskā atbalsta mērķa "Palielināt Latvijas zinātnisko institūciju pētniecisko un inovatīvo kapacitāti un spēju piesaistīt ārējo finansējumu, ieguldot cilvēkresursos un infrastruktūrā" 1.1.1.1. pasākuma "Praktiskas ievirzes pētījumi" īstenošanas noteikumi"</w:t>
      </w:r>
    </w:p>
    <w:p w14:paraId="6F3DCBB9" w14:textId="77777777" w:rsidR="0050794A" w:rsidRPr="00BB599E" w:rsidRDefault="0050794A" w:rsidP="00606379">
      <w:pPr>
        <w:pStyle w:val="naisf"/>
        <w:spacing w:before="0" w:after="0"/>
        <w:rPr>
          <w:b/>
        </w:rPr>
      </w:pPr>
    </w:p>
    <w:p w14:paraId="30BD6108" w14:textId="77777777" w:rsidR="0023626A" w:rsidRPr="00BB599E" w:rsidRDefault="0023626A" w:rsidP="00606379">
      <w:pPr>
        <w:pStyle w:val="naisf"/>
        <w:spacing w:before="0" w:after="0"/>
        <w:rPr>
          <w:b/>
        </w:rPr>
      </w:pPr>
      <w:r w:rsidRPr="00BB599E">
        <w:rPr>
          <w:b/>
        </w:rPr>
        <w:t>I. Jautājumi, par kuriem saskaņošanā vienošanās nav panākta</w:t>
      </w:r>
    </w:p>
    <w:tbl>
      <w:tblPr>
        <w:tblW w:w="518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3041"/>
        <w:gridCol w:w="2736"/>
        <w:gridCol w:w="3169"/>
        <w:gridCol w:w="1695"/>
        <w:gridCol w:w="3189"/>
      </w:tblGrid>
      <w:tr w:rsidR="00F83B42" w:rsidRPr="00BB599E" w14:paraId="67AB741B" w14:textId="77777777" w:rsidTr="006C4AF5">
        <w:trPr>
          <w:trHeight w:val="1230"/>
        </w:trPr>
        <w:tc>
          <w:tcPr>
            <w:tcW w:w="234" w:type="pct"/>
            <w:vAlign w:val="center"/>
          </w:tcPr>
          <w:p w14:paraId="6C404E3D" w14:textId="77777777" w:rsidR="0023626A" w:rsidRPr="00BB599E" w:rsidRDefault="0023626A" w:rsidP="00606379">
            <w:pPr>
              <w:pStyle w:val="naisc"/>
              <w:spacing w:before="0" w:after="0"/>
              <w:jc w:val="both"/>
            </w:pPr>
            <w:r w:rsidRPr="00BB599E">
              <w:t>Nr.</w:t>
            </w:r>
            <w:r w:rsidR="0050794A" w:rsidRPr="00BB599E">
              <w:t xml:space="preserve"> </w:t>
            </w:r>
            <w:r w:rsidRPr="00BB599E">
              <w:t>p.k.</w:t>
            </w:r>
          </w:p>
        </w:tc>
        <w:tc>
          <w:tcPr>
            <w:tcW w:w="1048" w:type="pct"/>
            <w:vAlign w:val="center"/>
          </w:tcPr>
          <w:p w14:paraId="7A066E4C" w14:textId="77777777" w:rsidR="0023626A" w:rsidRPr="00BB599E" w:rsidRDefault="0023626A" w:rsidP="00606379">
            <w:pPr>
              <w:pStyle w:val="naisc"/>
              <w:spacing w:before="0" w:after="0"/>
              <w:jc w:val="both"/>
            </w:pPr>
            <w:r w:rsidRPr="00BB599E">
              <w:t>Saskaņošanai nosūtītā projekta redakcija (konkrēta vērtēšanas kritērija redakcija)</w:t>
            </w:r>
          </w:p>
        </w:tc>
        <w:tc>
          <w:tcPr>
            <w:tcW w:w="943" w:type="pct"/>
            <w:vAlign w:val="center"/>
          </w:tcPr>
          <w:p w14:paraId="63C2486D" w14:textId="77777777" w:rsidR="0023626A" w:rsidRPr="00BB599E" w:rsidRDefault="0023626A" w:rsidP="00606379">
            <w:pPr>
              <w:pStyle w:val="naisc"/>
              <w:spacing w:before="0" w:after="0"/>
              <w:jc w:val="both"/>
            </w:pPr>
            <w:r w:rsidRPr="00BB599E">
              <w:t>Atzinumā norādītais ministrijas (citas institūcijas) iebildums, kā arī saskaņošanā papildus izteiktais iebildums par projekta konkrēto punktu (pantu)</w:t>
            </w:r>
          </w:p>
        </w:tc>
        <w:tc>
          <w:tcPr>
            <w:tcW w:w="1092" w:type="pct"/>
            <w:vAlign w:val="center"/>
          </w:tcPr>
          <w:p w14:paraId="2F617050" w14:textId="77777777" w:rsidR="0023626A" w:rsidRPr="00BB599E" w:rsidRDefault="0023626A" w:rsidP="00606379">
            <w:pPr>
              <w:pStyle w:val="naisc"/>
              <w:spacing w:before="0" w:after="0"/>
              <w:jc w:val="both"/>
            </w:pPr>
            <w:r w:rsidRPr="00BB599E">
              <w:t>Atbildīgās ministrijas pamatojums iebilduma noraidījumam</w:t>
            </w:r>
          </w:p>
        </w:tc>
        <w:tc>
          <w:tcPr>
            <w:tcW w:w="584" w:type="pct"/>
          </w:tcPr>
          <w:p w14:paraId="481E8A6C" w14:textId="77777777" w:rsidR="0023626A" w:rsidRPr="00BB599E" w:rsidRDefault="0023626A" w:rsidP="00606379">
            <w:pPr>
              <w:pStyle w:val="naisc"/>
              <w:spacing w:before="0" w:after="0"/>
              <w:jc w:val="both"/>
            </w:pPr>
            <w:r w:rsidRPr="00BB599E">
              <w:t>Atzinuma sniedzēja uzturētais iebildums, ja tas atšķiras no atzinumā norādītā iebilduma pamatojuma</w:t>
            </w:r>
          </w:p>
        </w:tc>
        <w:tc>
          <w:tcPr>
            <w:tcW w:w="1099" w:type="pct"/>
            <w:vAlign w:val="center"/>
          </w:tcPr>
          <w:p w14:paraId="56B13783" w14:textId="77777777" w:rsidR="0023626A" w:rsidRPr="00BB599E" w:rsidRDefault="0023626A" w:rsidP="00606379">
            <w:pPr>
              <w:pStyle w:val="naisc"/>
              <w:spacing w:before="0" w:after="0"/>
              <w:jc w:val="both"/>
            </w:pPr>
            <w:r w:rsidRPr="00BB599E">
              <w:t>Projekta attiecīgā punkta (panta) galīgā redakcija</w:t>
            </w:r>
          </w:p>
        </w:tc>
      </w:tr>
      <w:tr w:rsidR="00F83B42" w:rsidRPr="00BB599E" w14:paraId="05F33605" w14:textId="77777777" w:rsidTr="00606379">
        <w:trPr>
          <w:trHeight w:val="285"/>
        </w:trPr>
        <w:tc>
          <w:tcPr>
            <w:tcW w:w="234" w:type="pct"/>
            <w:shd w:val="clear" w:color="auto" w:fill="auto"/>
            <w:vAlign w:val="center"/>
          </w:tcPr>
          <w:p w14:paraId="37920FA5" w14:textId="77777777" w:rsidR="0023626A" w:rsidRPr="00BB599E" w:rsidRDefault="0023626A" w:rsidP="00606379">
            <w:pPr>
              <w:pStyle w:val="naisc"/>
              <w:spacing w:before="0" w:after="0"/>
            </w:pPr>
            <w:r w:rsidRPr="00BB599E">
              <w:t>1.</w:t>
            </w:r>
          </w:p>
        </w:tc>
        <w:tc>
          <w:tcPr>
            <w:tcW w:w="1048" w:type="pct"/>
            <w:shd w:val="clear" w:color="auto" w:fill="auto"/>
            <w:vAlign w:val="center"/>
          </w:tcPr>
          <w:p w14:paraId="796EECA1" w14:textId="77777777" w:rsidR="0023626A" w:rsidRPr="00BB599E" w:rsidRDefault="0023626A" w:rsidP="00606379">
            <w:pPr>
              <w:pStyle w:val="naisc"/>
              <w:spacing w:before="0" w:after="0"/>
            </w:pPr>
            <w:r w:rsidRPr="00BB599E">
              <w:t>2.</w:t>
            </w:r>
          </w:p>
        </w:tc>
        <w:tc>
          <w:tcPr>
            <w:tcW w:w="943" w:type="pct"/>
            <w:shd w:val="clear" w:color="auto" w:fill="auto"/>
            <w:vAlign w:val="center"/>
          </w:tcPr>
          <w:p w14:paraId="2F78C577" w14:textId="77777777" w:rsidR="0023626A" w:rsidRPr="00BB599E" w:rsidRDefault="0023626A" w:rsidP="00606379">
            <w:pPr>
              <w:pStyle w:val="naisc"/>
              <w:spacing w:before="0" w:after="0"/>
            </w:pPr>
            <w:r w:rsidRPr="00BB599E">
              <w:t>3.</w:t>
            </w:r>
          </w:p>
        </w:tc>
        <w:tc>
          <w:tcPr>
            <w:tcW w:w="1092" w:type="pct"/>
            <w:shd w:val="clear" w:color="auto" w:fill="auto"/>
            <w:vAlign w:val="center"/>
          </w:tcPr>
          <w:p w14:paraId="473C2C23" w14:textId="77777777" w:rsidR="0023626A" w:rsidRPr="00BB599E" w:rsidRDefault="0023626A" w:rsidP="00606379">
            <w:pPr>
              <w:pStyle w:val="naisc"/>
              <w:spacing w:before="0" w:after="0"/>
            </w:pPr>
            <w:r w:rsidRPr="00BB599E">
              <w:t>4.</w:t>
            </w:r>
          </w:p>
        </w:tc>
        <w:tc>
          <w:tcPr>
            <w:tcW w:w="584" w:type="pct"/>
            <w:shd w:val="clear" w:color="auto" w:fill="auto"/>
          </w:tcPr>
          <w:p w14:paraId="6A76269C" w14:textId="77777777" w:rsidR="0023626A" w:rsidRPr="00BB599E" w:rsidRDefault="0023626A" w:rsidP="00606379">
            <w:pPr>
              <w:pStyle w:val="naisc"/>
              <w:spacing w:before="0" w:after="0"/>
            </w:pPr>
            <w:r w:rsidRPr="00BB599E">
              <w:t>5.</w:t>
            </w:r>
          </w:p>
        </w:tc>
        <w:tc>
          <w:tcPr>
            <w:tcW w:w="1099" w:type="pct"/>
            <w:shd w:val="clear" w:color="auto" w:fill="auto"/>
            <w:vAlign w:val="center"/>
          </w:tcPr>
          <w:p w14:paraId="51B41E17" w14:textId="77777777" w:rsidR="0023626A" w:rsidRPr="00BB599E" w:rsidRDefault="0023626A" w:rsidP="00606379">
            <w:pPr>
              <w:pStyle w:val="naisc"/>
              <w:spacing w:before="0" w:after="0"/>
            </w:pPr>
            <w:r w:rsidRPr="00BB599E">
              <w:t>6.</w:t>
            </w:r>
          </w:p>
        </w:tc>
      </w:tr>
      <w:tr w:rsidR="00F83B42" w:rsidRPr="00BB599E" w14:paraId="75CC7CC9" w14:textId="77777777" w:rsidTr="006C4AF5">
        <w:trPr>
          <w:trHeight w:val="212"/>
        </w:trPr>
        <w:tc>
          <w:tcPr>
            <w:tcW w:w="234" w:type="pct"/>
          </w:tcPr>
          <w:p w14:paraId="5E6C133D" w14:textId="77777777" w:rsidR="00441CD7" w:rsidRPr="00BB599E" w:rsidRDefault="00441CD7" w:rsidP="00A91331">
            <w:pPr>
              <w:pStyle w:val="naisc"/>
              <w:spacing w:before="0" w:after="0"/>
              <w:ind w:left="288"/>
              <w:jc w:val="both"/>
            </w:pPr>
          </w:p>
        </w:tc>
        <w:tc>
          <w:tcPr>
            <w:tcW w:w="1048" w:type="pct"/>
          </w:tcPr>
          <w:p w14:paraId="732AF88D" w14:textId="77777777" w:rsidR="00441CD7" w:rsidRPr="00BB599E" w:rsidRDefault="00441CD7" w:rsidP="00F5504E">
            <w:pPr>
              <w:tabs>
                <w:tab w:val="left" w:pos="993"/>
                <w:tab w:val="left" w:pos="1418"/>
              </w:tabs>
              <w:jc w:val="both"/>
              <w:rPr>
                <w:bCs/>
              </w:rPr>
            </w:pPr>
          </w:p>
        </w:tc>
        <w:tc>
          <w:tcPr>
            <w:tcW w:w="943" w:type="pct"/>
          </w:tcPr>
          <w:p w14:paraId="528E40EB" w14:textId="7A7B0E4E" w:rsidR="001B3824" w:rsidRPr="00BB599E" w:rsidRDefault="001B3824" w:rsidP="00606379">
            <w:pPr>
              <w:jc w:val="both"/>
              <w:rPr>
                <w:i/>
              </w:rPr>
            </w:pPr>
          </w:p>
        </w:tc>
        <w:tc>
          <w:tcPr>
            <w:tcW w:w="1092" w:type="pct"/>
          </w:tcPr>
          <w:p w14:paraId="365D4F6A" w14:textId="77777777" w:rsidR="00441CD7" w:rsidRPr="00BB599E" w:rsidRDefault="00441CD7" w:rsidP="00D76197">
            <w:pPr>
              <w:pStyle w:val="ListParagraph"/>
              <w:ind w:left="0"/>
              <w:jc w:val="both"/>
              <w:rPr>
                <w:rFonts w:ascii="Times New Roman" w:hAnsi="Times New Roman"/>
                <w:sz w:val="24"/>
                <w:szCs w:val="24"/>
              </w:rPr>
            </w:pPr>
          </w:p>
        </w:tc>
        <w:tc>
          <w:tcPr>
            <w:tcW w:w="584" w:type="pct"/>
          </w:tcPr>
          <w:p w14:paraId="34BC5965" w14:textId="77777777" w:rsidR="00441CD7" w:rsidRPr="00BB599E" w:rsidRDefault="00441CD7" w:rsidP="00606379">
            <w:pPr>
              <w:tabs>
                <w:tab w:val="left" w:pos="284"/>
              </w:tabs>
              <w:contextualSpacing/>
              <w:jc w:val="both"/>
            </w:pPr>
          </w:p>
        </w:tc>
        <w:tc>
          <w:tcPr>
            <w:tcW w:w="1099" w:type="pct"/>
          </w:tcPr>
          <w:p w14:paraId="38BE40E6" w14:textId="77777777" w:rsidR="00441CD7" w:rsidRPr="00BB599E" w:rsidRDefault="00441CD7" w:rsidP="00F5504E">
            <w:pPr>
              <w:jc w:val="both"/>
            </w:pPr>
          </w:p>
        </w:tc>
      </w:tr>
    </w:tbl>
    <w:p w14:paraId="40DC24EE" w14:textId="2505F37C" w:rsidR="0023626A" w:rsidRPr="00BB599E" w:rsidRDefault="0023626A" w:rsidP="00606379">
      <w:pPr>
        <w:pStyle w:val="naisf"/>
        <w:spacing w:before="0" w:after="0"/>
        <w:rPr>
          <w:b/>
        </w:rPr>
      </w:pPr>
    </w:p>
    <w:p w14:paraId="58818651" w14:textId="77777777" w:rsidR="0023626A" w:rsidRPr="00BB599E" w:rsidRDefault="0023626A" w:rsidP="00606379">
      <w:pPr>
        <w:pStyle w:val="naisf"/>
        <w:spacing w:before="0" w:after="0"/>
        <w:rPr>
          <w:b/>
        </w:rPr>
      </w:pPr>
      <w:r w:rsidRPr="00BB599E">
        <w:rPr>
          <w:b/>
        </w:rPr>
        <w:t xml:space="preserve">Informācija par </w:t>
      </w:r>
      <w:proofErr w:type="spellStart"/>
      <w:r w:rsidRPr="00BB599E">
        <w:rPr>
          <w:b/>
        </w:rPr>
        <w:t>starpministriju</w:t>
      </w:r>
      <w:proofErr w:type="spellEnd"/>
      <w:r w:rsidRPr="00BB599E">
        <w:rPr>
          <w:b/>
        </w:rPr>
        <w:t xml:space="preserve"> (starpinstitūciju) sanāksmi vai </w:t>
      </w:r>
      <w:r w:rsidRPr="00BB599E">
        <w:rPr>
          <w:b/>
          <w:u w:val="single"/>
        </w:rPr>
        <w:t>elektronisko saskaņošanu</w:t>
      </w:r>
    </w:p>
    <w:p w14:paraId="7C0AB2AE" w14:textId="77777777" w:rsidR="00796743" w:rsidRPr="00BB599E" w:rsidRDefault="00796743" w:rsidP="00606379">
      <w:pPr>
        <w:pStyle w:val="naisf"/>
        <w:spacing w:before="0" w:after="0"/>
        <w:rPr>
          <w:b/>
        </w:rPr>
      </w:pPr>
    </w:p>
    <w:tbl>
      <w:tblPr>
        <w:tblW w:w="14601" w:type="dxa"/>
        <w:tblInd w:w="-459" w:type="dxa"/>
        <w:tblLook w:val="00A0" w:firstRow="1" w:lastRow="0" w:firstColumn="1" w:lastColumn="0" w:noHBand="0" w:noVBand="0"/>
      </w:tblPr>
      <w:tblGrid>
        <w:gridCol w:w="7371"/>
        <w:gridCol w:w="282"/>
        <w:gridCol w:w="6948"/>
      </w:tblGrid>
      <w:tr w:rsidR="00F83B42" w:rsidRPr="00BB599E" w14:paraId="37C197E0" w14:textId="77777777" w:rsidTr="00A91331">
        <w:trPr>
          <w:trHeight w:val="201"/>
        </w:trPr>
        <w:tc>
          <w:tcPr>
            <w:tcW w:w="7371" w:type="dxa"/>
          </w:tcPr>
          <w:p w14:paraId="4175B492" w14:textId="17B41104" w:rsidR="0023626A" w:rsidRPr="00BB599E" w:rsidRDefault="0023626A" w:rsidP="006D0FEC">
            <w:pPr>
              <w:pStyle w:val="naisf"/>
              <w:spacing w:before="0" w:after="0"/>
            </w:pPr>
            <w:r w:rsidRPr="00BB599E">
              <w:t>Datums</w:t>
            </w:r>
            <w:r w:rsidR="00B12E7E" w:rsidRPr="00BB599E">
              <w:t xml:space="preserve"> </w:t>
            </w:r>
            <w:r w:rsidR="006D0FEC">
              <w:t>05</w:t>
            </w:r>
            <w:r w:rsidR="00BF6EE5" w:rsidRPr="007022AF">
              <w:t>.</w:t>
            </w:r>
            <w:r w:rsidR="00611AD8" w:rsidRPr="007022AF">
              <w:t>0</w:t>
            </w:r>
            <w:r w:rsidR="006D0FEC">
              <w:t>6</w:t>
            </w:r>
            <w:r w:rsidR="00BF6EE5" w:rsidRPr="007022AF">
              <w:t>.2019</w:t>
            </w:r>
            <w:r w:rsidR="00032BE2" w:rsidRPr="007022AF">
              <w:t>.</w:t>
            </w:r>
          </w:p>
        </w:tc>
        <w:tc>
          <w:tcPr>
            <w:tcW w:w="7230" w:type="dxa"/>
            <w:gridSpan w:val="2"/>
            <w:tcBorders>
              <w:bottom w:val="single" w:sz="4" w:space="0" w:color="auto"/>
            </w:tcBorders>
          </w:tcPr>
          <w:p w14:paraId="5B9D2C84" w14:textId="77777777" w:rsidR="0023626A" w:rsidRPr="00BB599E" w:rsidRDefault="0023626A" w:rsidP="007F71D8">
            <w:pPr>
              <w:pStyle w:val="NormalWeb"/>
              <w:spacing w:before="0" w:beforeAutospacing="0" w:after="0" w:afterAutospacing="0"/>
              <w:jc w:val="both"/>
            </w:pPr>
          </w:p>
        </w:tc>
      </w:tr>
      <w:tr w:rsidR="00F83B42" w:rsidRPr="00BB599E" w14:paraId="3E00288C" w14:textId="77777777" w:rsidTr="00A91331">
        <w:trPr>
          <w:trHeight w:val="201"/>
        </w:trPr>
        <w:tc>
          <w:tcPr>
            <w:tcW w:w="7371" w:type="dxa"/>
          </w:tcPr>
          <w:p w14:paraId="18EC30A3" w14:textId="77777777" w:rsidR="0023626A" w:rsidRPr="00BB599E" w:rsidRDefault="0023626A" w:rsidP="00606379">
            <w:pPr>
              <w:pStyle w:val="naisf"/>
              <w:spacing w:before="0" w:after="0"/>
            </w:pPr>
          </w:p>
        </w:tc>
        <w:tc>
          <w:tcPr>
            <w:tcW w:w="7230" w:type="dxa"/>
            <w:gridSpan w:val="2"/>
            <w:tcBorders>
              <w:top w:val="single" w:sz="4" w:space="0" w:color="auto"/>
            </w:tcBorders>
          </w:tcPr>
          <w:p w14:paraId="3812A2E6" w14:textId="77777777" w:rsidR="0023626A" w:rsidRPr="00BB599E" w:rsidRDefault="0023626A" w:rsidP="00606379">
            <w:pPr>
              <w:pStyle w:val="NormalWeb"/>
              <w:spacing w:before="0" w:beforeAutospacing="0" w:after="0" w:afterAutospacing="0"/>
              <w:ind w:firstLine="720"/>
              <w:jc w:val="both"/>
            </w:pPr>
          </w:p>
        </w:tc>
      </w:tr>
      <w:tr w:rsidR="00F83B42" w:rsidRPr="00BB599E" w14:paraId="310014DE" w14:textId="77777777" w:rsidTr="00A91331">
        <w:trPr>
          <w:trHeight w:val="201"/>
        </w:trPr>
        <w:tc>
          <w:tcPr>
            <w:tcW w:w="7371" w:type="dxa"/>
          </w:tcPr>
          <w:p w14:paraId="27205848" w14:textId="77777777" w:rsidR="0023626A" w:rsidRPr="00BB599E" w:rsidRDefault="0023626A" w:rsidP="00606379">
            <w:pPr>
              <w:pStyle w:val="naiskr"/>
              <w:spacing w:before="0" w:after="0"/>
              <w:jc w:val="both"/>
            </w:pPr>
            <w:r w:rsidRPr="00BB599E">
              <w:t>Saskaņošanas dalībnieki</w:t>
            </w:r>
            <w:r w:rsidR="00DF26D2" w:rsidRPr="00BB599E">
              <w:t xml:space="preserve"> </w:t>
            </w:r>
          </w:p>
        </w:tc>
        <w:tc>
          <w:tcPr>
            <w:tcW w:w="7230" w:type="dxa"/>
            <w:gridSpan w:val="2"/>
            <w:tcBorders>
              <w:bottom w:val="single" w:sz="4" w:space="0" w:color="auto"/>
            </w:tcBorders>
          </w:tcPr>
          <w:p w14:paraId="1EE77855" w14:textId="13474CA5" w:rsidR="00B14A57" w:rsidRPr="00BB599E" w:rsidRDefault="0008799E" w:rsidP="007356B4">
            <w:pPr>
              <w:pStyle w:val="naiskr"/>
              <w:spacing w:before="0" w:after="0"/>
              <w:ind w:left="-106"/>
              <w:jc w:val="both"/>
            </w:pPr>
            <w:r w:rsidRPr="00BB599E">
              <w:t xml:space="preserve">Tieslietu ministrija, Finanšu ministrija </w:t>
            </w:r>
          </w:p>
        </w:tc>
      </w:tr>
      <w:tr w:rsidR="00F83B42" w:rsidRPr="00BB599E" w14:paraId="38843C9D" w14:textId="77777777" w:rsidTr="00A91331">
        <w:trPr>
          <w:trHeight w:val="210"/>
        </w:trPr>
        <w:tc>
          <w:tcPr>
            <w:tcW w:w="7371" w:type="dxa"/>
          </w:tcPr>
          <w:p w14:paraId="6B2D6721" w14:textId="77777777" w:rsidR="0023626A" w:rsidRPr="00BB599E" w:rsidRDefault="0023626A" w:rsidP="00606379">
            <w:pPr>
              <w:pStyle w:val="naiskr"/>
              <w:spacing w:before="0" w:after="0"/>
              <w:jc w:val="both"/>
            </w:pPr>
          </w:p>
        </w:tc>
        <w:tc>
          <w:tcPr>
            <w:tcW w:w="282" w:type="dxa"/>
          </w:tcPr>
          <w:p w14:paraId="47DA5F10" w14:textId="77777777" w:rsidR="0023626A" w:rsidRPr="00BB599E" w:rsidRDefault="0023626A" w:rsidP="00606379">
            <w:pPr>
              <w:pStyle w:val="naiskr"/>
              <w:spacing w:before="0" w:after="0"/>
              <w:ind w:firstLine="720"/>
              <w:jc w:val="both"/>
            </w:pPr>
          </w:p>
        </w:tc>
        <w:tc>
          <w:tcPr>
            <w:tcW w:w="6948" w:type="dxa"/>
          </w:tcPr>
          <w:p w14:paraId="1F7DCF3E" w14:textId="77777777" w:rsidR="0023626A" w:rsidRPr="00BB599E" w:rsidRDefault="0023626A" w:rsidP="00606379">
            <w:pPr>
              <w:pStyle w:val="naiskr"/>
              <w:spacing w:before="0" w:after="0"/>
              <w:ind w:firstLine="12"/>
              <w:jc w:val="both"/>
            </w:pPr>
          </w:p>
        </w:tc>
      </w:tr>
      <w:tr w:rsidR="00F83B42" w:rsidRPr="00BB599E" w14:paraId="1759B5E5" w14:textId="77777777" w:rsidTr="00A91331">
        <w:trPr>
          <w:trHeight w:val="210"/>
        </w:trPr>
        <w:tc>
          <w:tcPr>
            <w:tcW w:w="7371" w:type="dxa"/>
          </w:tcPr>
          <w:p w14:paraId="44162AA0" w14:textId="77777777" w:rsidR="0023626A" w:rsidRPr="00BB599E" w:rsidRDefault="0023626A" w:rsidP="00606379">
            <w:pPr>
              <w:pStyle w:val="naiskr"/>
              <w:spacing w:before="0" w:after="0"/>
              <w:jc w:val="both"/>
            </w:pPr>
            <w:r w:rsidRPr="00BB599E">
              <w:br w:type="page"/>
              <w:t>Saskaņošanas dalībnieki izskatīja šādu ministriju (citu institūciju) iebildumus</w:t>
            </w:r>
          </w:p>
        </w:tc>
        <w:tc>
          <w:tcPr>
            <w:tcW w:w="282" w:type="dxa"/>
            <w:tcBorders>
              <w:bottom w:val="single" w:sz="4" w:space="0" w:color="auto"/>
            </w:tcBorders>
          </w:tcPr>
          <w:p w14:paraId="216E22EE" w14:textId="77777777" w:rsidR="0023626A" w:rsidRPr="00BB599E" w:rsidRDefault="0023626A" w:rsidP="00606379">
            <w:pPr>
              <w:pStyle w:val="naiskr"/>
              <w:spacing w:before="0" w:after="0"/>
              <w:ind w:firstLine="720"/>
              <w:jc w:val="both"/>
            </w:pPr>
          </w:p>
        </w:tc>
        <w:tc>
          <w:tcPr>
            <w:tcW w:w="6948" w:type="dxa"/>
            <w:tcBorders>
              <w:bottom w:val="single" w:sz="4" w:space="0" w:color="auto"/>
            </w:tcBorders>
            <w:vAlign w:val="bottom"/>
          </w:tcPr>
          <w:p w14:paraId="193EC008" w14:textId="2304FF1A" w:rsidR="00FF1A42" w:rsidRPr="00BB599E" w:rsidRDefault="00265AB7" w:rsidP="007022AF">
            <w:pPr>
              <w:pStyle w:val="naiskr"/>
              <w:spacing w:before="0" w:after="0"/>
              <w:jc w:val="both"/>
            </w:pPr>
            <w:r>
              <w:t>Tieslietu ministrija</w:t>
            </w:r>
            <w:r w:rsidR="006D0FEC">
              <w:t>, Finanšu ministrija</w:t>
            </w:r>
            <w:r w:rsidR="00EA4C95" w:rsidRPr="00BB599E">
              <w:t xml:space="preserve"> </w:t>
            </w:r>
          </w:p>
        </w:tc>
      </w:tr>
      <w:tr w:rsidR="00F83B42" w:rsidRPr="00BB599E" w14:paraId="131C2931" w14:textId="77777777" w:rsidTr="00A91331">
        <w:trPr>
          <w:trHeight w:val="343"/>
        </w:trPr>
        <w:tc>
          <w:tcPr>
            <w:tcW w:w="14601" w:type="dxa"/>
            <w:gridSpan w:val="3"/>
          </w:tcPr>
          <w:p w14:paraId="67A3D480" w14:textId="77777777" w:rsidR="0023626A" w:rsidRPr="00BB599E" w:rsidRDefault="0023626A" w:rsidP="00606379">
            <w:pPr>
              <w:pStyle w:val="naisc"/>
              <w:spacing w:before="0" w:after="0"/>
              <w:jc w:val="both"/>
            </w:pPr>
          </w:p>
        </w:tc>
      </w:tr>
      <w:tr w:rsidR="00F83B42" w:rsidRPr="00BB599E" w14:paraId="54D70F5D" w14:textId="77777777" w:rsidTr="00A91331">
        <w:trPr>
          <w:trHeight w:val="612"/>
        </w:trPr>
        <w:tc>
          <w:tcPr>
            <w:tcW w:w="7371" w:type="dxa"/>
          </w:tcPr>
          <w:p w14:paraId="3A64E57D" w14:textId="77777777" w:rsidR="0023626A" w:rsidRPr="00BB599E" w:rsidRDefault="0023626A" w:rsidP="00606379">
            <w:pPr>
              <w:pStyle w:val="naiskr"/>
              <w:spacing w:before="0" w:after="0"/>
              <w:jc w:val="both"/>
            </w:pPr>
            <w:r w:rsidRPr="00BB599E">
              <w:t>Ministrijas (citas institūcijas), kuras nav ieradušās uz sanāksmi vai kuras nav atbildējušas uz uzaicinājumu piedalīties elektroniskajā saskaņošanā</w:t>
            </w:r>
          </w:p>
        </w:tc>
        <w:tc>
          <w:tcPr>
            <w:tcW w:w="7230" w:type="dxa"/>
            <w:gridSpan w:val="2"/>
            <w:vAlign w:val="bottom"/>
          </w:tcPr>
          <w:p w14:paraId="4BC4B816" w14:textId="5C569F5B" w:rsidR="0023626A" w:rsidRPr="00BB599E" w:rsidRDefault="0023626A" w:rsidP="0036139F">
            <w:pPr>
              <w:pStyle w:val="naiskr"/>
              <w:spacing w:before="0" w:after="0"/>
              <w:jc w:val="both"/>
            </w:pPr>
          </w:p>
        </w:tc>
      </w:tr>
      <w:tr w:rsidR="00F83B42" w:rsidRPr="00BB599E" w14:paraId="2AFEE836" w14:textId="77777777" w:rsidTr="00237834">
        <w:trPr>
          <w:trHeight w:val="210"/>
        </w:trPr>
        <w:tc>
          <w:tcPr>
            <w:tcW w:w="7371" w:type="dxa"/>
          </w:tcPr>
          <w:p w14:paraId="597547CA" w14:textId="77777777" w:rsidR="0023626A" w:rsidRPr="00BB599E" w:rsidRDefault="0023626A" w:rsidP="00606379">
            <w:pPr>
              <w:pStyle w:val="naiskr"/>
              <w:spacing w:before="0" w:after="0"/>
              <w:ind w:firstLine="720"/>
              <w:jc w:val="both"/>
            </w:pPr>
            <w:r w:rsidRPr="00BB599E">
              <w:t>  </w:t>
            </w:r>
          </w:p>
        </w:tc>
        <w:tc>
          <w:tcPr>
            <w:tcW w:w="7230" w:type="dxa"/>
            <w:gridSpan w:val="2"/>
            <w:tcBorders>
              <w:top w:val="single" w:sz="6" w:space="0" w:color="000000"/>
              <w:bottom w:val="single" w:sz="6" w:space="0" w:color="000000"/>
            </w:tcBorders>
          </w:tcPr>
          <w:p w14:paraId="034FE488" w14:textId="77777777" w:rsidR="0023626A" w:rsidRPr="00BB599E" w:rsidRDefault="0023626A" w:rsidP="00606379">
            <w:pPr>
              <w:pStyle w:val="naiskr"/>
              <w:spacing w:before="0" w:after="0"/>
              <w:ind w:firstLine="720"/>
              <w:jc w:val="both"/>
            </w:pPr>
          </w:p>
        </w:tc>
      </w:tr>
    </w:tbl>
    <w:p w14:paraId="7D4812BE" w14:textId="77777777" w:rsidR="002B6C7C" w:rsidRDefault="002B6C7C">
      <w:r>
        <w:br w:type="page"/>
      </w:r>
    </w:p>
    <w:tbl>
      <w:tblPr>
        <w:tblW w:w="14601" w:type="dxa"/>
        <w:tblInd w:w="-459" w:type="dxa"/>
        <w:tblLook w:val="00A0" w:firstRow="1" w:lastRow="0" w:firstColumn="1" w:lastColumn="0" w:noHBand="0" w:noVBand="0"/>
      </w:tblPr>
      <w:tblGrid>
        <w:gridCol w:w="7371"/>
        <w:gridCol w:w="7230"/>
      </w:tblGrid>
      <w:tr w:rsidR="00F83B42" w:rsidRPr="00BB599E" w14:paraId="5CCC2DFD" w14:textId="77777777" w:rsidTr="002B6C7C">
        <w:trPr>
          <w:trHeight w:val="210"/>
        </w:trPr>
        <w:tc>
          <w:tcPr>
            <w:tcW w:w="7371" w:type="dxa"/>
          </w:tcPr>
          <w:p w14:paraId="101F18F1" w14:textId="24C38EC0" w:rsidR="00237834" w:rsidRPr="00BB599E" w:rsidRDefault="00237834" w:rsidP="00606379">
            <w:pPr>
              <w:pStyle w:val="naiskr"/>
              <w:spacing w:before="0" w:after="0"/>
              <w:ind w:firstLine="720"/>
              <w:jc w:val="both"/>
            </w:pPr>
          </w:p>
          <w:p w14:paraId="72E75A52" w14:textId="77777777" w:rsidR="00237834" w:rsidRPr="00BB599E" w:rsidRDefault="00237834" w:rsidP="00606379">
            <w:pPr>
              <w:pStyle w:val="naiskr"/>
              <w:spacing w:before="0" w:after="0"/>
              <w:ind w:firstLine="720"/>
              <w:jc w:val="both"/>
            </w:pPr>
          </w:p>
        </w:tc>
        <w:tc>
          <w:tcPr>
            <w:tcW w:w="7230" w:type="dxa"/>
          </w:tcPr>
          <w:p w14:paraId="3080EB35" w14:textId="77777777" w:rsidR="00237834" w:rsidRPr="00BB599E" w:rsidRDefault="00237834" w:rsidP="00606379">
            <w:pPr>
              <w:pStyle w:val="naiskr"/>
              <w:spacing w:before="0" w:after="0"/>
              <w:ind w:firstLine="720"/>
              <w:jc w:val="both"/>
            </w:pPr>
          </w:p>
        </w:tc>
      </w:tr>
    </w:tbl>
    <w:p w14:paraId="200D25AB" w14:textId="77777777" w:rsidR="007B4C0F" w:rsidRPr="00BB599E" w:rsidRDefault="007B4C0F" w:rsidP="00606379">
      <w:pPr>
        <w:pStyle w:val="naisf"/>
        <w:spacing w:before="0" w:after="0"/>
        <w:ind w:firstLine="0"/>
        <w:rPr>
          <w:b/>
        </w:rPr>
      </w:pPr>
      <w:r w:rsidRPr="00BB599E">
        <w:rPr>
          <w:b/>
        </w:rPr>
        <w:t>II. </w:t>
      </w:r>
      <w:r w:rsidR="00134188" w:rsidRPr="00BB599E">
        <w:rPr>
          <w:b/>
        </w:rPr>
        <w:t>Jautājumi, par kuriem saskaņošanā vienošan</w:t>
      </w:r>
      <w:r w:rsidR="00144622" w:rsidRPr="00BB599E">
        <w:rPr>
          <w:b/>
        </w:rPr>
        <w:t>ā</w:t>
      </w:r>
      <w:r w:rsidR="00134188" w:rsidRPr="00BB599E">
        <w:rPr>
          <w:b/>
        </w:rPr>
        <w:t>s ir panākta</w:t>
      </w:r>
    </w:p>
    <w:tbl>
      <w:tblPr>
        <w:tblpPr w:leftFromText="180" w:rightFromText="180" w:vertAnchor="text" w:tblpX="-123" w:tblpY="1"/>
        <w:tblOverlap w:val="never"/>
        <w:tblW w:w="14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
        <w:gridCol w:w="2766"/>
        <w:gridCol w:w="3243"/>
        <w:gridCol w:w="5183"/>
        <w:gridCol w:w="2954"/>
        <w:gridCol w:w="37"/>
        <w:gridCol w:w="38"/>
      </w:tblGrid>
      <w:tr w:rsidR="008E2CD9" w:rsidRPr="00BB599E" w14:paraId="1AE1E91F" w14:textId="77777777" w:rsidTr="0093084E">
        <w:trPr>
          <w:gridAfter w:val="2"/>
          <w:wAfter w:w="118" w:type="dxa"/>
          <w:trHeight w:val="148"/>
        </w:trPr>
        <w:tc>
          <w:tcPr>
            <w:tcW w:w="703" w:type="dxa"/>
            <w:shd w:val="clear" w:color="auto" w:fill="FFFFFF" w:themeFill="background1"/>
            <w:vAlign w:val="center"/>
          </w:tcPr>
          <w:p w14:paraId="336AD408" w14:textId="77777777" w:rsidR="00134188" w:rsidRPr="00BB599E" w:rsidRDefault="003903CE" w:rsidP="008E2CD9">
            <w:pPr>
              <w:pStyle w:val="naisc"/>
              <w:spacing w:before="0" w:after="0"/>
              <w:ind w:right="-108"/>
              <w:jc w:val="both"/>
            </w:pPr>
            <w:r w:rsidRPr="00BB599E">
              <w:t>Nr.</w:t>
            </w:r>
            <w:r w:rsidR="00690E99" w:rsidRPr="00BB599E">
              <w:t xml:space="preserve"> </w:t>
            </w:r>
            <w:r w:rsidR="00134188" w:rsidRPr="00BB599E">
              <w:t>p.k.</w:t>
            </w:r>
          </w:p>
        </w:tc>
        <w:tc>
          <w:tcPr>
            <w:tcW w:w="2978" w:type="dxa"/>
            <w:vAlign w:val="center"/>
          </w:tcPr>
          <w:p w14:paraId="2455189D" w14:textId="77777777" w:rsidR="00134188" w:rsidRPr="00BB599E" w:rsidRDefault="00134188" w:rsidP="008E2CD9">
            <w:pPr>
              <w:pStyle w:val="naisc"/>
              <w:spacing w:before="0" w:after="0"/>
              <w:ind w:firstLine="12"/>
              <w:jc w:val="both"/>
            </w:pPr>
            <w:r w:rsidRPr="00BB599E">
              <w:t>Saskaņošanai nosūtītā projekta redakcija (konkrēta punkta (panta) redakcija)</w:t>
            </w:r>
          </w:p>
        </w:tc>
        <w:tc>
          <w:tcPr>
            <w:tcW w:w="3830" w:type="dxa"/>
            <w:vAlign w:val="center"/>
          </w:tcPr>
          <w:p w14:paraId="6F9E137A" w14:textId="77777777" w:rsidR="00134188" w:rsidRPr="00BB599E" w:rsidRDefault="00134188" w:rsidP="008E2CD9">
            <w:pPr>
              <w:pStyle w:val="naisc"/>
              <w:spacing w:before="0" w:after="0"/>
              <w:ind w:right="3"/>
              <w:jc w:val="both"/>
            </w:pPr>
            <w:r w:rsidRPr="00BB599E">
              <w:t>Atzinumā norādītais ministrijas (citas institūcijas) iebildums, kā arī saskaņošanā papildus izteiktais iebildums par projekta konkrēto punktu (pantu)</w:t>
            </w:r>
          </w:p>
        </w:tc>
        <w:tc>
          <w:tcPr>
            <w:tcW w:w="3967" w:type="dxa"/>
            <w:vAlign w:val="center"/>
          </w:tcPr>
          <w:p w14:paraId="1E5E245C" w14:textId="77777777" w:rsidR="00134188" w:rsidRPr="00BB599E" w:rsidRDefault="00134188" w:rsidP="008E2CD9">
            <w:pPr>
              <w:pStyle w:val="naisc"/>
              <w:spacing w:before="0" w:after="0"/>
              <w:ind w:firstLine="21"/>
              <w:jc w:val="both"/>
            </w:pPr>
            <w:r w:rsidRPr="00BB599E">
              <w:t>Atbildīgās ministrijas norāde</w:t>
            </w:r>
            <w:r w:rsidR="006C1C48" w:rsidRPr="00BB599E">
              <w:t xml:space="preserve"> par to, ka </w:t>
            </w:r>
            <w:r w:rsidRPr="00BB599E">
              <w:t>iebildums ir ņemts vērā</w:t>
            </w:r>
            <w:r w:rsidR="006455E7" w:rsidRPr="00BB599E">
              <w:t>,</w:t>
            </w:r>
            <w:r w:rsidRPr="00BB599E">
              <w:t xml:space="preserve"> vai </w:t>
            </w:r>
            <w:r w:rsidR="006C1C48" w:rsidRPr="00BB599E">
              <w:t xml:space="preserve">informācija par saskaņošanā </w:t>
            </w:r>
            <w:r w:rsidR="00022B0F" w:rsidRPr="00BB599E">
              <w:t>panākto alternatīvo risinājumu</w:t>
            </w:r>
          </w:p>
        </w:tc>
        <w:tc>
          <w:tcPr>
            <w:tcW w:w="3270" w:type="dxa"/>
            <w:vAlign w:val="center"/>
          </w:tcPr>
          <w:p w14:paraId="1CA5ACC6" w14:textId="77777777" w:rsidR="00134188" w:rsidRPr="00BB599E" w:rsidRDefault="00134188" w:rsidP="008E2CD9">
            <w:pPr>
              <w:jc w:val="both"/>
            </w:pPr>
            <w:r w:rsidRPr="00BB599E">
              <w:t>Projekta attiecīgā punkta (panta) galīgā redakcija</w:t>
            </w:r>
          </w:p>
        </w:tc>
      </w:tr>
      <w:tr w:rsidR="008E2CD9" w:rsidRPr="00BB599E" w14:paraId="270351AB" w14:textId="77777777" w:rsidTr="0093084E">
        <w:trPr>
          <w:gridAfter w:val="2"/>
          <w:wAfter w:w="118" w:type="dxa"/>
          <w:trHeight w:val="283"/>
        </w:trPr>
        <w:tc>
          <w:tcPr>
            <w:tcW w:w="703" w:type="dxa"/>
            <w:shd w:val="clear" w:color="auto" w:fill="FFFFFF" w:themeFill="background1"/>
          </w:tcPr>
          <w:p w14:paraId="67B8FEC9" w14:textId="77777777" w:rsidR="00134188" w:rsidRPr="00BB599E" w:rsidRDefault="003B71E0" w:rsidP="008E2CD9">
            <w:pPr>
              <w:pStyle w:val="naisc"/>
              <w:spacing w:before="0" w:after="0"/>
            </w:pPr>
            <w:r w:rsidRPr="00BB599E">
              <w:t>1</w:t>
            </w:r>
          </w:p>
        </w:tc>
        <w:tc>
          <w:tcPr>
            <w:tcW w:w="2978" w:type="dxa"/>
          </w:tcPr>
          <w:p w14:paraId="3F134B86" w14:textId="77777777" w:rsidR="00134188" w:rsidRPr="00BB599E" w:rsidRDefault="00F34AAB" w:rsidP="008E2CD9">
            <w:pPr>
              <w:pStyle w:val="naisc"/>
              <w:spacing w:before="0" w:after="0"/>
              <w:ind w:firstLine="720"/>
            </w:pPr>
            <w:r w:rsidRPr="00BB599E">
              <w:t>2</w:t>
            </w:r>
          </w:p>
        </w:tc>
        <w:tc>
          <w:tcPr>
            <w:tcW w:w="3830" w:type="dxa"/>
          </w:tcPr>
          <w:p w14:paraId="624519BC" w14:textId="77777777" w:rsidR="00134188" w:rsidRPr="00BB599E" w:rsidRDefault="003B71E0" w:rsidP="008E2CD9">
            <w:pPr>
              <w:pStyle w:val="naisc"/>
              <w:spacing w:before="0" w:after="0"/>
              <w:ind w:firstLine="720"/>
            </w:pPr>
            <w:r w:rsidRPr="00BB599E">
              <w:t>3</w:t>
            </w:r>
          </w:p>
        </w:tc>
        <w:tc>
          <w:tcPr>
            <w:tcW w:w="3967" w:type="dxa"/>
          </w:tcPr>
          <w:p w14:paraId="0FF93B22" w14:textId="77777777" w:rsidR="00134188" w:rsidRPr="00BB599E" w:rsidRDefault="003B71E0" w:rsidP="008E2CD9">
            <w:pPr>
              <w:pStyle w:val="naisc"/>
              <w:spacing w:before="0" w:after="0"/>
            </w:pPr>
            <w:r w:rsidRPr="00BB599E">
              <w:t>4</w:t>
            </w:r>
          </w:p>
        </w:tc>
        <w:tc>
          <w:tcPr>
            <w:tcW w:w="3270" w:type="dxa"/>
          </w:tcPr>
          <w:p w14:paraId="675E482A" w14:textId="77777777" w:rsidR="00134188" w:rsidRPr="00BB599E" w:rsidRDefault="003B71E0" w:rsidP="008E2CD9">
            <w:pPr>
              <w:jc w:val="center"/>
            </w:pPr>
            <w:r w:rsidRPr="00BB599E">
              <w:t>5</w:t>
            </w:r>
          </w:p>
        </w:tc>
      </w:tr>
      <w:tr w:rsidR="00F83B42" w:rsidRPr="00BB599E" w14:paraId="30C5C5D6" w14:textId="77777777" w:rsidTr="0093084E">
        <w:trPr>
          <w:gridAfter w:val="2"/>
          <w:wAfter w:w="118" w:type="dxa"/>
          <w:trHeight w:val="583"/>
        </w:trPr>
        <w:tc>
          <w:tcPr>
            <w:tcW w:w="14748" w:type="dxa"/>
            <w:gridSpan w:val="5"/>
            <w:shd w:val="clear" w:color="auto" w:fill="FFFFFF" w:themeFill="background1"/>
            <w:vAlign w:val="center"/>
          </w:tcPr>
          <w:p w14:paraId="4560E1DD" w14:textId="1A5A39AE" w:rsidR="0066159A" w:rsidRPr="00BB599E" w:rsidRDefault="005807A2" w:rsidP="008E2CD9">
            <w:pPr>
              <w:jc w:val="center"/>
            </w:pPr>
            <w:r w:rsidRPr="00BB599E">
              <w:rPr>
                <w:b/>
              </w:rPr>
              <w:t>Iebildumi par</w:t>
            </w:r>
            <w:r w:rsidR="0066159A" w:rsidRPr="00BB599E">
              <w:rPr>
                <w:b/>
              </w:rPr>
              <w:t xml:space="preserve"> </w:t>
            </w:r>
            <w:r w:rsidR="002E1E81" w:rsidRPr="00BB599E">
              <w:rPr>
                <w:b/>
              </w:rPr>
              <w:t>Ministru kabineta noteikumu</w:t>
            </w:r>
            <w:r w:rsidR="0066159A" w:rsidRPr="00BB599E">
              <w:rPr>
                <w:b/>
              </w:rPr>
              <w:t xml:space="preserve"> projektu</w:t>
            </w:r>
          </w:p>
        </w:tc>
      </w:tr>
      <w:tr w:rsidR="008E2CD9" w:rsidRPr="00BB599E" w14:paraId="4E687E20" w14:textId="77777777" w:rsidTr="0093084E">
        <w:trPr>
          <w:gridAfter w:val="2"/>
          <w:wAfter w:w="118" w:type="dxa"/>
          <w:trHeight w:val="274"/>
        </w:trPr>
        <w:tc>
          <w:tcPr>
            <w:tcW w:w="703" w:type="dxa"/>
            <w:shd w:val="clear" w:color="auto" w:fill="FFFFFF" w:themeFill="background1"/>
          </w:tcPr>
          <w:p w14:paraId="41408132" w14:textId="77777777" w:rsidR="00F96D6E" w:rsidRPr="00BB599E" w:rsidRDefault="00F96D6E" w:rsidP="008E2CD9">
            <w:pPr>
              <w:numPr>
                <w:ilvl w:val="0"/>
                <w:numId w:val="31"/>
              </w:numPr>
              <w:tabs>
                <w:tab w:val="center" w:pos="284"/>
              </w:tabs>
              <w:ind w:left="0" w:firstLine="0"/>
            </w:pPr>
          </w:p>
        </w:tc>
        <w:tc>
          <w:tcPr>
            <w:tcW w:w="2978" w:type="dxa"/>
            <w:shd w:val="clear" w:color="auto" w:fill="auto"/>
          </w:tcPr>
          <w:p w14:paraId="62A94017" w14:textId="77777777" w:rsidR="00F96D6E" w:rsidRPr="00BB599E" w:rsidRDefault="00F96D6E" w:rsidP="008E2CD9">
            <w:pPr>
              <w:jc w:val="both"/>
              <w:rPr>
                <w:shd w:val="clear" w:color="auto" w:fill="FFFFFF"/>
              </w:rPr>
            </w:pPr>
          </w:p>
        </w:tc>
        <w:tc>
          <w:tcPr>
            <w:tcW w:w="3830" w:type="dxa"/>
            <w:shd w:val="clear" w:color="auto" w:fill="auto"/>
          </w:tcPr>
          <w:p w14:paraId="5DBBB1A9" w14:textId="77777777" w:rsidR="00F96D6E" w:rsidRPr="00BB599E" w:rsidRDefault="00F96D6E" w:rsidP="008E2CD9">
            <w:pPr>
              <w:pStyle w:val="Default"/>
              <w:adjustRightInd/>
              <w:jc w:val="both"/>
              <w:rPr>
                <w:color w:val="auto"/>
              </w:rPr>
            </w:pPr>
            <w:r w:rsidRPr="00BB599E">
              <w:rPr>
                <w:color w:val="auto"/>
              </w:rPr>
              <w:t>Finanšu ministrija (FM)</w:t>
            </w:r>
          </w:p>
          <w:p w14:paraId="120CA5E6" w14:textId="18DA0924" w:rsidR="00F96D6E" w:rsidRPr="00BB599E" w:rsidRDefault="00F96D6E" w:rsidP="008E2CD9">
            <w:pPr>
              <w:ind w:left="-3"/>
              <w:contextualSpacing/>
              <w:jc w:val="both"/>
            </w:pPr>
            <w:r w:rsidRPr="00BB599E">
              <w:t xml:space="preserve">Lūdzam papildināt MK noteikumu projektu ar regulējumu, kas noteiktu komercdarbības atbalsta piešķiršanas brīdi (lēmuma par atbalsta piešķiršanu juridisko ietvaru), kad atbalsta pretendentam ir piešķirtas likumīgās tiesības saņemt atbalstu, kas piešķirts saskaņā ar Eiropas Komisijas 2014.gada 17.jūnija Regulu (ES) Nr.651/2014, ar ko noteiktas atbalsta kategorijas atzīst par saderīgām ar iekšējo tirgu, piemērojot Līguma 107. un 108.pantu (turpmāk – </w:t>
            </w:r>
            <w:r w:rsidRPr="00BB599E">
              <w:rPr>
                <w:iCs/>
              </w:rPr>
              <w:t>regula Nr.651/2014</w:t>
            </w:r>
            <w:r w:rsidRPr="00BB599E">
              <w:t xml:space="preserve">), ņemot vērā to, ka MK noteikumos nav skaidri noteikts komercdarbības atbalsta piešķiršanas brīdis. </w:t>
            </w:r>
            <w:r w:rsidRPr="00BB599E">
              <w:lastRenderedPageBreak/>
              <w:t>Vēlamies vērst IZM uzmanību uz 13.03.2019. vēstuli Nr.5.1-12/11-2/1197, kurā FM, ievērojot Revīzijas iestādes audita secinājumus, ir lūgusi visas atbildīgās institūcijas, precizējot Ministru kabineta noteikumus, kas nosaka konkrēto komercdarbības atbalsta programmu nosacījumus,  papildināt ar komercdarbības atbalsta piešķiršanas brīža definējumu.</w:t>
            </w:r>
          </w:p>
        </w:tc>
        <w:tc>
          <w:tcPr>
            <w:tcW w:w="3967" w:type="dxa"/>
            <w:vMerge w:val="restart"/>
            <w:shd w:val="clear" w:color="auto" w:fill="auto"/>
          </w:tcPr>
          <w:p w14:paraId="0E00FB4B" w14:textId="7876EA4B" w:rsidR="00F96D6E" w:rsidRPr="00BB599E" w:rsidRDefault="00F96D6E" w:rsidP="008E2CD9">
            <w:pPr>
              <w:jc w:val="both"/>
              <w:rPr>
                <w:b/>
              </w:rPr>
            </w:pPr>
            <w:r w:rsidRPr="00BB599E">
              <w:rPr>
                <w:b/>
              </w:rPr>
              <w:lastRenderedPageBreak/>
              <w:t>Ņemts vērā.</w:t>
            </w:r>
          </w:p>
          <w:p w14:paraId="0A451F7B" w14:textId="47EDC7BF" w:rsidR="00F96D6E" w:rsidRPr="00BB599E" w:rsidRDefault="00F96D6E" w:rsidP="008E2CD9">
            <w:pPr>
              <w:jc w:val="both"/>
              <w:rPr>
                <w:b/>
              </w:rPr>
            </w:pPr>
          </w:p>
        </w:tc>
        <w:tc>
          <w:tcPr>
            <w:tcW w:w="3270" w:type="dxa"/>
            <w:vMerge w:val="restart"/>
            <w:shd w:val="clear" w:color="auto" w:fill="auto"/>
          </w:tcPr>
          <w:p w14:paraId="7DECA561" w14:textId="77777777" w:rsidR="00F96D6E" w:rsidRPr="00BB599E" w:rsidRDefault="00F96D6E" w:rsidP="008E2CD9">
            <w:pPr>
              <w:jc w:val="both"/>
              <w:rPr>
                <w:shd w:val="clear" w:color="auto" w:fill="FFFFFF"/>
              </w:rPr>
            </w:pPr>
            <w:r w:rsidRPr="00BB599E">
              <w:rPr>
                <w:shd w:val="clear" w:color="auto" w:fill="FFFFFF"/>
              </w:rPr>
              <w:t>Papildināt noteikumus ar 32.3. apakšpunktu šādā redakcijā:</w:t>
            </w:r>
          </w:p>
          <w:p w14:paraId="18D56AA2" w14:textId="7A917438" w:rsidR="00F96D6E" w:rsidRPr="00BB599E" w:rsidRDefault="00F96D6E" w:rsidP="008E2CD9">
            <w:pPr>
              <w:jc w:val="both"/>
              <w:rPr>
                <w:shd w:val="clear" w:color="auto" w:fill="FFFFFF"/>
              </w:rPr>
            </w:pPr>
            <w:r w:rsidRPr="00BB599E">
              <w:rPr>
                <w:shd w:val="clear" w:color="auto" w:fill="FFFFFF"/>
              </w:rPr>
              <w:t>"32.3. atbalstu piešķir ar dienu, kad noslēgts līgums vai vienošanās par projekta īstenošanu."</w:t>
            </w:r>
          </w:p>
        </w:tc>
      </w:tr>
      <w:tr w:rsidR="008E2CD9" w:rsidRPr="00BB599E" w14:paraId="165EF43E" w14:textId="77777777" w:rsidTr="0093084E">
        <w:trPr>
          <w:gridAfter w:val="2"/>
          <w:wAfter w:w="118" w:type="dxa"/>
          <w:trHeight w:val="274"/>
        </w:trPr>
        <w:tc>
          <w:tcPr>
            <w:tcW w:w="703" w:type="dxa"/>
            <w:shd w:val="clear" w:color="auto" w:fill="FFFFFF" w:themeFill="background1"/>
          </w:tcPr>
          <w:p w14:paraId="6AC36741" w14:textId="77777777" w:rsidR="00F96D6E" w:rsidRPr="00BB599E" w:rsidRDefault="00F96D6E" w:rsidP="008E2CD9">
            <w:pPr>
              <w:numPr>
                <w:ilvl w:val="0"/>
                <w:numId w:val="31"/>
              </w:numPr>
              <w:tabs>
                <w:tab w:val="center" w:pos="284"/>
              </w:tabs>
              <w:ind w:left="0" w:firstLine="0"/>
            </w:pPr>
          </w:p>
        </w:tc>
        <w:tc>
          <w:tcPr>
            <w:tcW w:w="2978" w:type="dxa"/>
            <w:shd w:val="clear" w:color="auto" w:fill="auto"/>
          </w:tcPr>
          <w:p w14:paraId="655D1376" w14:textId="77777777" w:rsidR="00F96D6E" w:rsidRPr="00BB599E" w:rsidRDefault="00F96D6E" w:rsidP="008E2CD9">
            <w:pPr>
              <w:jc w:val="both"/>
              <w:rPr>
                <w:shd w:val="clear" w:color="auto" w:fill="FFFFFF"/>
              </w:rPr>
            </w:pPr>
          </w:p>
        </w:tc>
        <w:tc>
          <w:tcPr>
            <w:tcW w:w="3830" w:type="dxa"/>
            <w:shd w:val="clear" w:color="auto" w:fill="auto"/>
          </w:tcPr>
          <w:p w14:paraId="4F3DA3DB" w14:textId="77777777" w:rsidR="00F96D6E" w:rsidRPr="00BB599E" w:rsidRDefault="00F96D6E" w:rsidP="008E2CD9">
            <w:pPr>
              <w:contextualSpacing/>
              <w:jc w:val="both"/>
              <w:rPr>
                <w:b/>
              </w:rPr>
            </w:pPr>
            <w:r w:rsidRPr="00BB599E">
              <w:rPr>
                <w:b/>
              </w:rPr>
              <w:t xml:space="preserve">FM </w:t>
            </w:r>
            <w:r w:rsidRPr="00BB599E">
              <w:t>(23.04.19. iebildums)</w:t>
            </w:r>
          </w:p>
          <w:p w14:paraId="3EC07075" w14:textId="0BB64F84" w:rsidR="00F96D6E" w:rsidRPr="00BB599E" w:rsidRDefault="00F96D6E" w:rsidP="008E2CD9">
            <w:pPr>
              <w:contextualSpacing/>
              <w:jc w:val="both"/>
            </w:pPr>
            <w:r w:rsidRPr="00BB599E">
              <w:t>4.</w:t>
            </w:r>
            <w:r w:rsidRPr="00BB599E">
              <w:tab/>
              <w:t xml:space="preserve">Uzturam FM 2019.gada 26.marta atzinumā Nr.12/A-21/1424 (turpmāk – š.g. 26.marta atzinums) izteikto iebildumu, kas ietverts izziņas 1.punktā, lūdzot papildināt MK noteikumu projektu ar regulējumu, kas noteiktu komercdarbības atbalsta piešķiršanas brīdi. Skaidrojam, ka MK noteikumu projektā ir jānorāda konkrēti, kurš tieši no dokumentiem ir tas, ar kuru atbalsta pretendentam tiek piešķirtas likumīgas tiesības saņemt komercdarbības atbalstu, piemēram, spēkā esošo MK noteikumu Nr.34 58.punktā minētais līgums vai vienošanās vai 69.punktā </w:t>
            </w:r>
            <w:r w:rsidRPr="00BB599E">
              <w:lastRenderedPageBreak/>
              <w:t>minētais lēmums. MK noteikumu projekta 1.punktā ietvertā atsauce uz Komisijas 2014.gada 17.jūnija Regulas Nr.651/2014, ar ko noteiktas atbalsta kategorijas atzīst par saderīgām ar iekšējo tirgu, piemērojot Līguma 107. un 108.pantu, 2.panta 28.punktu pati par sevi neievieš skaidrību par atbalsta piešķiršanas brīdi.</w:t>
            </w:r>
          </w:p>
        </w:tc>
        <w:tc>
          <w:tcPr>
            <w:tcW w:w="3967" w:type="dxa"/>
            <w:vMerge/>
            <w:shd w:val="clear" w:color="auto" w:fill="auto"/>
          </w:tcPr>
          <w:p w14:paraId="77A70321" w14:textId="77777777" w:rsidR="00F96D6E" w:rsidRPr="00BB599E" w:rsidRDefault="00F96D6E" w:rsidP="008E2CD9">
            <w:pPr>
              <w:jc w:val="both"/>
              <w:rPr>
                <w:b/>
              </w:rPr>
            </w:pPr>
          </w:p>
        </w:tc>
        <w:tc>
          <w:tcPr>
            <w:tcW w:w="3270" w:type="dxa"/>
            <w:vMerge/>
            <w:shd w:val="clear" w:color="auto" w:fill="auto"/>
          </w:tcPr>
          <w:p w14:paraId="5D3005E4" w14:textId="77777777" w:rsidR="00F96D6E" w:rsidRPr="00BB599E" w:rsidRDefault="00F96D6E" w:rsidP="008E2CD9">
            <w:pPr>
              <w:jc w:val="both"/>
              <w:rPr>
                <w:shd w:val="clear" w:color="auto" w:fill="FFFFFF"/>
              </w:rPr>
            </w:pPr>
          </w:p>
        </w:tc>
      </w:tr>
      <w:tr w:rsidR="000D42F8" w:rsidRPr="00BB599E" w14:paraId="2FEE61BD" w14:textId="77777777" w:rsidTr="0093084E">
        <w:trPr>
          <w:gridAfter w:val="2"/>
          <w:wAfter w:w="118" w:type="dxa"/>
          <w:trHeight w:val="274"/>
        </w:trPr>
        <w:tc>
          <w:tcPr>
            <w:tcW w:w="703" w:type="dxa"/>
            <w:shd w:val="clear" w:color="auto" w:fill="FFFFFF" w:themeFill="background1"/>
          </w:tcPr>
          <w:p w14:paraId="68A8E758" w14:textId="77777777" w:rsidR="000D42F8" w:rsidRPr="00BB599E" w:rsidRDefault="000D42F8" w:rsidP="008E2CD9">
            <w:pPr>
              <w:numPr>
                <w:ilvl w:val="0"/>
                <w:numId w:val="31"/>
              </w:numPr>
              <w:tabs>
                <w:tab w:val="center" w:pos="284"/>
              </w:tabs>
              <w:ind w:left="0" w:firstLine="0"/>
            </w:pPr>
          </w:p>
        </w:tc>
        <w:tc>
          <w:tcPr>
            <w:tcW w:w="2978" w:type="dxa"/>
            <w:shd w:val="clear" w:color="auto" w:fill="auto"/>
          </w:tcPr>
          <w:p w14:paraId="4B40CE2F" w14:textId="77777777" w:rsidR="000D42F8" w:rsidRDefault="000D42F8" w:rsidP="008E2CD9">
            <w:pPr>
              <w:jc w:val="both"/>
              <w:rPr>
                <w:shd w:val="clear" w:color="auto" w:fill="FFFFFF"/>
              </w:rPr>
            </w:pPr>
            <w:r>
              <w:rPr>
                <w:shd w:val="clear" w:color="auto" w:fill="FFFFFF"/>
              </w:rPr>
              <w:t>MK noteikumi:</w:t>
            </w:r>
          </w:p>
          <w:p w14:paraId="32C00ECF" w14:textId="23659A81" w:rsidR="000D42F8" w:rsidRPr="00BB599E" w:rsidRDefault="000D42F8" w:rsidP="008E2CD9">
            <w:pPr>
              <w:jc w:val="both"/>
            </w:pPr>
            <w:r w:rsidRPr="00BB599E">
              <w:rPr>
                <w:shd w:val="clear" w:color="auto" w:fill="FFFFFF"/>
              </w:rPr>
              <w:t>2.10.</w:t>
            </w:r>
            <w:r w:rsidRPr="00BB599E">
              <w:rPr>
                <w:shd w:val="clear" w:color="auto" w:fill="FFFFFF"/>
                <w:vertAlign w:val="superscript"/>
              </w:rPr>
              <w:t>1</w:t>
            </w:r>
            <w:r w:rsidRPr="00BB599E">
              <w:rPr>
                <w:shd w:val="clear" w:color="auto" w:fill="FFFFFF"/>
              </w:rPr>
              <w:t> jaunu pētnieku skaits atbalstītajās vienībās – tāda pētniecības projekta ietvaros piesaistītā zinātniskā personāla vai zinātnes tehniskā personāla skaits pilna laika ekvivalenta izteiksmē (turpmāk – PLE):</w:t>
            </w:r>
          </w:p>
        </w:tc>
        <w:tc>
          <w:tcPr>
            <w:tcW w:w="3830" w:type="dxa"/>
            <w:shd w:val="clear" w:color="auto" w:fill="auto"/>
          </w:tcPr>
          <w:p w14:paraId="7E73052A" w14:textId="6A2D8076" w:rsidR="000D42F8" w:rsidRPr="00BB599E" w:rsidRDefault="000D42F8" w:rsidP="008E2CD9">
            <w:pPr>
              <w:contextualSpacing/>
              <w:jc w:val="both"/>
              <w:rPr>
                <w:b/>
              </w:rPr>
            </w:pPr>
            <w:r w:rsidRPr="00BB599E">
              <w:rPr>
                <w:b/>
              </w:rPr>
              <w:t>FM</w:t>
            </w:r>
          </w:p>
          <w:p w14:paraId="0D04EE00" w14:textId="69100FCE" w:rsidR="000D42F8" w:rsidRPr="00BB599E" w:rsidRDefault="000D42F8" w:rsidP="008E2CD9">
            <w:pPr>
              <w:contextualSpacing/>
              <w:jc w:val="both"/>
            </w:pPr>
            <w:r w:rsidRPr="00BB599E">
              <w:t xml:space="preserve">Lūdzam papildināt MK noteikumu projektu ar regulējumu, kas paredz aizstāt MK noteikumu 2.10.1apakšpunktā vārdu “ietvaros” ar vārdiem “darbību īstenošanas laikā”, tādā veidā norādot, ka jaunais pētnieks darba attiecības (konkrētajā pozīcijā) ar projekta iesniedzēju uzsāk līdz ar projekta darbību uzsākšanu. Lai arī spēkā esošo MK noteikumu 2.10.1apakšpunktā ir definēts termins “jaunais pētnieks”, projektu iesniedzēji neviennozīmīgi interpretē laika momentu, kurā personai jāuzsāk darba attiecības, lai to definētu kā jaunu pētnieku projekta izpratnē. </w:t>
            </w:r>
          </w:p>
        </w:tc>
        <w:tc>
          <w:tcPr>
            <w:tcW w:w="3967" w:type="dxa"/>
            <w:shd w:val="clear" w:color="auto" w:fill="auto"/>
          </w:tcPr>
          <w:p w14:paraId="65BCDBEE" w14:textId="77777777" w:rsidR="000D42F8" w:rsidRPr="00BB599E" w:rsidRDefault="000D42F8" w:rsidP="008E2CD9">
            <w:pPr>
              <w:jc w:val="both"/>
              <w:rPr>
                <w:b/>
              </w:rPr>
            </w:pPr>
            <w:r w:rsidRPr="00BB599E">
              <w:rPr>
                <w:b/>
              </w:rPr>
              <w:t>Ņemts vērā.</w:t>
            </w:r>
          </w:p>
          <w:p w14:paraId="112B1E77" w14:textId="589CCB81" w:rsidR="000D42F8" w:rsidRPr="00BB599E" w:rsidRDefault="000D42F8" w:rsidP="008E2CD9">
            <w:pPr>
              <w:jc w:val="both"/>
            </w:pPr>
            <w:r w:rsidRPr="00BB599E">
              <w:t xml:space="preserve">Precizēts MK noteikumu </w:t>
            </w:r>
            <w:r w:rsidRPr="00BB599E">
              <w:rPr>
                <w:iCs/>
              </w:rPr>
              <w:t>2.10.</w:t>
            </w:r>
            <w:r w:rsidRPr="00BB599E">
              <w:rPr>
                <w:iCs/>
                <w:vertAlign w:val="superscript"/>
              </w:rPr>
              <w:t>1</w:t>
            </w:r>
            <w:r w:rsidRPr="00BB599E">
              <w:rPr>
                <w:iCs/>
              </w:rPr>
              <w:t>apakšpunkts.</w:t>
            </w:r>
          </w:p>
        </w:tc>
        <w:tc>
          <w:tcPr>
            <w:tcW w:w="3270" w:type="dxa"/>
            <w:vMerge w:val="restart"/>
            <w:shd w:val="clear" w:color="auto" w:fill="auto"/>
          </w:tcPr>
          <w:p w14:paraId="307A90C1" w14:textId="5D6A794C" w:rsidR="000D42F8" w:rsidRPr="002B6C7C" w:rsidRDefault="000D42F8" w:rsidP="008E2CD9">
            <w:pPr>
              <w:jc w:val="both"/>
              <w:rPr>
                <w:shd w:val="clear" w:color="auto" w:fill="FFFFFF"/>
              </w:rPr>
            </w:pPr>
            <w:r w:rsidRPr="002B6C7C">
              <w:rPr>
                <w:shd w:val="clear" w:color="auto" w:fill="FFFFFF"/>
              </w:rPr>
              <w:t>3. Aizstāt 2.10.</w:t>
            </w:r>
            <w:r w:rsidRPr="002B6C7C">
              <w:rPr>
                <w:shd w:val="clear" w:color="auto" w:fill="FFFFFF"/>
                <w:vertAlign w:val="superscript"/>
              </w:rPr>
              <w:t>1</w:t>
            </w:r>
            <w:r w:rsidRPr="002B6C7C">
              <w:rPr>
                <w:shd w:val="clear" w:color="auto" w:fill="FFFFFF"/>
              </w:rPr>
              <w:t xml:space="preserve"> apakšpunkta ievaddaļā vārdu "ietvaros" ar vārdiem "īstenošanas laikā".</w:t>
            </w:r>
          </w:p>
          <w:p w14:paraId="3E3C7201" w14:textId="77777777" w:rsidR="000D42F8" w:rsidRPr="002B6C7C" w:rsidRDefault="000D42F8" w:rsidP="008E2CD9">
            <w:pPr>
              <w:jc w:val="both"/>
              <w:rPr>
                <w:shd w:val="clear" w:color="auto" w:fill="FFFFFF"/>
              </w:rPr>
            </w:pPr>
          </w:p>
        </w:tc>
      </w:tr>
      <w:tr w:rsidR="002B6C7C" w:rsidRPr="00BB599E" w14:paraId="11490D09" w14:textId="77777777" w:rsidTr="0093084E">
        <w:trPr>
          <w:gridAfter w:val="2"/>
          <w:wAfter w:w="118" w:type="dxa"/>
          <w:trHeight w:val="274"/>
        </w:trPr>
        <w:tc>
          <w:tcPr>
            <w:tcW w:w="703" w:type="dxa"/>
            <w:shd w:val="clear" w:color="auto" w:fill="FFFFFF" w:themeFill="background1"/>
          </w:tcPr>
          <w:p w14:paraId="287DF417" w14:textId="1032C0FC" w:rsidR="002B6C7C" w:rsidRPr="00BB599E" w:rsidRDefault="002B6C7C" w:rsidP="008E2CD9">
            <w:pPr>
              <w:numPr>
                <w:ilvl w:val="0"/>
                <w:numId w:val="31"/>
              </w:numPr>
              <w:tabs>
                <w:tab w:val="center" w:pos="284"/>
              </w:tabs>
              <w:ind w:left="0" w:firstLine="0"/>
            </w:pPr>
          </w:p>
        </w:tc>
        <w:tc>
          <w:tcPr>
            <w:tcW w:w="2978" w:type="dxa"/>
            <w:vMerge w:val="restart"/>
            <w:shd w:val="clear" w:color="auto" w:fill="auto"/>
          </w:tcPr>
          <w:p w14:paraId="0309DC58" w14:textId="6526DC26" w:rsidR="002B6C7C" w:rsidRPr="00BB599E" w:rsidRDefault="002B6C7C" w:rsidP="008E2CD9">
            <w:pPr>
              <w:jc w:val="both"/>
            </w:pPr>
            <w:r w:rsidRPr="00BB599E">
              <w:t>3.</w:t>
            </w:r>
            <w:r w:rsidRPr="00BB599E">
              <w:tab/>
              <w:t>Aizstāt 2.10.</w:t>
            </w:r>
            <w:r w:rsidRPr="00BB599E">
              <w:rPr>
                <w:vertAlign w:val="superscript"/>
              </w:rPr>
              <w:t>1</w:t>
            </w:r>
            <w:r w:rsidRPr="00BB599E">
              <w:t xml:space="preserve"> apakšpunkta ievaddaļā vārdu "ietvaros" ar vārdiem "īstenošanas laikā"</w:t>
            </w:r>
          </w:p>
        </w:tc>
        <w:tc>
          <w:tcPr>
            <w:tcW w:w="3830" w:type="dxa"/>
            <w:shd w:val="clear" w:color="auto" w:fill="auto"/>
          </w:tcPr>
          <w:p w14:paraId="3A85C585" w14:textId="401F5B0D" w:rsidR="002B6C7C" w:rsidRPr="00BB599E" w:rsidRDefault="002B6C7C" w:rsidP="008E2CD9">
            <w:pPr>
              <w:contextualSpacing/>
              <w:jc w:val="both"/>
              <w:rPr>
                <w:b/>
              </w:rPr>
            </w:pPr>
            <w:r w:rsidRPr="00BB599E">
              <w:rPr>
                <w:b/>
              </w:rPr>
              <w:t xml:space="preserve">FM </w:t>
            </w:r>
            <w:r w:rsidRPr="00BB599E">
              <w:t>(23.04.19. iebildums)</w:t>
            </w:r>
          </w:p>
          <w:p w14:paraId="2C56C21C" w14:textId="1CDC6285" w:rsidR="002B6C7C" w:rsidRPr="00BB599E" w:rsidRDefault="002B6C7C" w:rsidP="008E2CD9">
            <w:pPr>
              <w:contextualSpacing/>
              <w:jc w:val="both"/>
            </w:pPr>
            <w:r w:rsidRPr="00BB599E">
              <w:t>1.</w:t>
            </w:r>
            <w:r w:rsidRPr="00BB599E">
              <w:tab/>
              <w:t>Lūdzam precizēt MK noteikumu projekta 3.punktu atbilstoši specifiskā atbalsta mērķa “Palielināt Latvijas zinātnisko institūciju pētniecisko un inovatīvo kapacitāti un spēju piesaistīt ārējo finansējumu, ieguldot cilvēkresursos un infrastruktūrā” (turpmāk – SAM 1.1.1.) rādītāju pasē noteiktajam, ka pētnieka amata vieta jāizveido projekta īstenošanas vai pabeigšanas rezultātā.</w:t>
            </w:r>
          </w:p>
        </w:tc>
        <w:tc>
          <w:tcPr>
            <w:tcW w:w="3967" w:type="dxa"/>
            <w:shd w:val="clear" w:color="auto" w:fill="auto"/>
          </w:tcPr>
          <w:p w14:paraId="25BF8E5A" w14:textId="77777777" w:rsidR="006D0FEC" w:rsidRPr="00BB599E" w:rsidRDefault="006D0FEC" w:rsidP="006D0FEC">
            <w:pPr>
              <w:jc w:val="both"/>
              <w:rPr>
                <w:i/>
              </w:rPr>
            </w:pPr>
            <w:r w:rsidRPr="00BB599E">
              <w:rPr>
                <w:i/>
              </w:rPr>
              <w:t>Panākta vienošanās starpinstitūciju elektroniskās saskaņošanas laikā.</w:t>
            </w:r>
          </w:p>
          <w:p w14:paraId="7F71439C" w14:textId="44870307" w:rsidR="002B6C7C" w:rsidRPr="00BB599E" w:rsidRDefault="002B6C7C" w:rsidP="008E2CD9">
            <w:pPr>
              <w:jc w:val="both"/>
            </w:pPr>
            <w:r w:rsidRPr="00BB599E">
              <w:t xml:space="preserve">Skaidrojam, ka atbilstoši </w:t>
            </w:r>
            <w:r w:rsidR="000E541F">
              <w:t>MK</w:t>
            </w:r>
            <w:r w:rsidRPr="00BB599E">
              <w:t xml:space="preserve"> noteikumiem ieguldījumu iznākuma rādītāja </w:t>
            </w:r>
            <w:r w:rsidRPr="00BB599E">
              <w:rPr>
                <w:i/>
              </w:rPr>
              <w:t>„Jaunu pētnieku skaits atbalstītajās vienībās (pilnas slodzes ekvivalents)”</w:t>
            </w:r>
            <w:r w:rsidRPr="00BB599E">
              <w:t xml:space="preserve"> vērtības sasniegšanā sniedz projekta īstenošanai piesaistīti jauni pētnieki (pilna laika ekvivalenta izteiksmē), kuriem izveido jaunu pētnieku amata vietas, nevis projekta pabeigšanas rezultātā izveidota jauna pētnieka amata vieta.</w:t>
            </w:r>
          </w:p>
          <w:p w14:paraId="1FBA186D" w14:textId="6C6F287D" w:rsidR="002B6C7C" w:rsidRPr="00BB599E" w:rsidRDefault="002B6C7C" w:rsidP="008E2CD9">
            <w:pPr>
              <w:jc w:val="both"/>
            </w:pPr>
            <w:r w:rsidRPr="00BB599E">
              <w:t xml:space="preserve">Rādītāju pasē par ieguldījumu prioritātes Nr.1.1. specifiskajiem mērķiem  (turpmāk – rādītāju pase) ietvertā iznākuma rādītāja „Jaunu pētnieku skaits atbalstītajās vienībās (pilnas slodzes ekvivalents)” definīcija ir Eiropas Komisijas kopējā iznākuma rādītāja definīcija, kas noteikta Eiropas Komisijas vadlīnijās par struktūrfondu monitoringu un novērtēšanu. Minētā kopējā iznākuma rādītāja definīcija tādējādi aptver dažāda veida struktūrfondu investīciju programmas un to ietvaros </w:t>
            </w:r>
            <w:proofErr w:type="spellStart"/>
            <w:r w:rsidRPr="00BB599E">
              <w:t>jaunizveidotas</w:t>
            </w:r>
            <w:proofErr w:type="spellEnd"/>
            <w:r w:rsidRPr="00BB599E">
              <w:t xml:space="preserve"> pētnieku amata vietas, tostarp tādas, kuru ieviešanas nosacījumi paredz tās izveidot projekta pabeigšanas rezultātā.  </w:t>
            </w:r>
          </w:p>
          <w:p w14:paraId="1761711C" w14:textId="5F7833CC" w:rsidR="002B6C7C" w:rsidRPr="00BB599E" w:rsidRDefault="002B6C7C" w:rsidP="008E2CD9">
            <w:pPr>
              <w:jc w:val="both"/>
            </w:pPr>
            <w:r w:rsidRPr="00BB599E">
              <w:t>Ievērojot iepriekš minēto uzskatām, ka, precizējot noteikumu projekta 3. punktu atbilstoši rādītāju pasē noteiktajai definīcijai, identificējams risks MK noteikumos ietverto normu neviennozīmīgai un maldīgai interpretācijai.</w:t>
            </w:r>
          </w:p>
        </w:tc>
        <w:tc>
          <w:tcPr>
            <w:tcW w:w="3270" w:type="dxa"/>
            <w:vMerge/>
            <w:shd w:val="clear" w:color="auto" w:fill="auto"/>
          </w:tcPr>
          <w:p w14:paraId="103D0DDA" w14:textId="77777777" w:rsidR="002B6C7C" w:rsidRPr="00BB599E" w:rsidRDefault="002B6C7C" w:rsidP="008E2CD9">
            <w:pPr>
              <w:pStyle w:val="tv2132"/>
              <w:spacing w:line="240" w:lineRule="auto"/>
              <w:ind w:firstLine="0"/>
              <w:rPr>
                <w:color w:val="auto"/>
                <w:sz w:val="24"/>
                <w:szCs w:val="24"/>
                <w:lang w:val="lv-LV" w:eastAsia="lv-LV"/>
              </w:rPr>
            </w:pPr>
          </w:p>
        </w:tc>
      </w:tr>
      <w:tr w:rsidR="002B6C7C" w:rsidRPr="00BB599E" w14:paraId="5E21A196" w14:textId="77777777" w:rsidTr="0093084E">
        <w:trPr>
          <w:gridAfter w:val="2"/>
          <w:wAfter w:w="118" w:type="dxa"/>
          <w:trHeight w:val="274"/>
        </w:trPr>
        <w:tc>
          <w:tcPr>
            <w:tcW w:w="703" w:type="dxa"/>
            <w:shd w:val="clear" w:color="auto" w:fill="FFFFFF" w:themeFill="background1"/>
          </w:tcPr>
          <w:p w14:paraId="1D098B48" w14:textId="77777777" w:rsidR="002B6C7C" w:rsidRPr="001C47FD" w:rsidRDefault="002B6C7C" w:rsidP="008E2CD9">
            <w:pPr>
              <w:numPr>
                <w:ilvl w:val="0"/>
                <w:numId w:val="31"/>
              </w:numPr>
              <w:tabs>
                <w:tab w:val="center" w:pos="284"/>
              </w:tabs>
              <w:ind w:left="0" w:firstLine="0"/>
            </w:pPr>
          </w:p>
        </w:tc>
        <w:tc>
          <w:tcPr>
            <w:tcW w:w="2978" w:type="dxa"/>
            <w:vMerge/>
            <w:shd w:val="clear" w:color="auto" w:fill="auto"/>
          </w:tcPr>
          <w:p w14:paraId="123102B4" w14:textId="77777777" w:rsidR="002B6C7C" w:rsidRPr="00BB599E" w:rsidRDefault="002B6C7C" w:rsidP="008E2CD9">
            <w:pPr>
              <w:jc w:val="both"/>
            </w:pPr>
          </w:p>
        </w:tc>
        <w:tc>
          <w:tcPr>
            <w:tcW w:w="3830" w:type="dxa"/>
            <w:shd w:val="clear" w:color="auto" w:fill="auto"/>
          </w:tcPr>
          <w:p w14:paraId="6A32476E" w14:textId="77777777" w:rsidR="002B6C7C" w:rsidRDefault="002B6C7C" w:rsidP="008E2CD9">
            <w:pPr>
              <w:spacing w:after="160" w:line="252" w:lineRule="auto"/>
              <w:contextualSpacing/>
              <w:jc w:val="both"/>
            </w:pPr>
            <w:r w:rsidRPr="000D42F8">
              <w:rPr>
                <w:b/>
              </w:rPr>
              <w:t xml:space="preserve">FM </w:t>
            </w:r>
            <w:r>
              <w:t>(09.05.2019. iebildums)</w:t>
            </w:r>
          </w:p>
          <w:p w14:paraId="7D417A0B" w14:textId="0AD81383" w:rsidR="002B6C7C" w:rsidRPr="000D42F8" w:rsidRDefault="002B6C7C" w:rsidP="008E2CD9">
            <w:pPr>
              <w:spacing w:after="160" w:line="252" w:lineRule="auto"/>
              <w:contextualSpacing/>
              <w:jc w:val="both"/>
              <w:rPr>
                <w:b/>
              </w:rPr>
            </w:pPr>
            <w:r w:rsidRPr="000D42F8">
              <w:t xml:space="preserve">Uzturam FM 2019.gada 23.aprīļa atzinumā Nr.12/A-21/1910 (turpmāk – š.g. 23.aprīļa atzinums) izteikto iebildumu, kas ietverts izziņas </w:t>
            </w:r>
            <w:r w:rsidRPr="000D42F8">
              <w:lastRenderedPageBreak/>
              <w:t>4.punktā</w:t>
            </w:r>
            <w:r w:rsidRPr="000D42F8">
              <w:rPr>
                <w:bCs/>
              </w:rPr>
              <w:t xml:space="preserve">, lūdzot precizēt MK noteikumu projekta 3.punktu atbilstoši </w:t>
            </w:r>
            <w:r w:rsidRPr="000D42F8">
              <w:rPr>
                <w:rFonts w:eastAsiaTheme="minorEastAsia"/>
              </w:rPr>
              <w:t xml:space="preserve">specifiskā atbalsta mērķa “Palielināt Latvijas zinātnisko institūciju pētniecisko un inovatīvo kapacitāti un spēju piesaistīt ārējo finansējumu, ieguldot cilvēkresursos un infrastruktūrā” (turpmāk – SAM 1.1.1.) rādītāju pasē noteiktajam, ka </w:t>
            </w:r>
            <w:r w:rsidRPr="000D42F8">
              <w:t xml:space="preserve">pētnieka amata vieta jāizveido projekta īstenošanas vai pabeigšanas rezultātā. Skaidrojam, ka SAM 1.1.1. rādītāju pasē nav atrunāti atšķirīgi nosacījumi rādītāja definīcijas piemērošanā attiecībā uz 1.1.1.1. pasākumu, tāpēc Ministru kabineta 2016. gada 12.janvāra noteikumu Nr.34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(turpmāk – spēkā </w:t>
            </w:r>
            <w:r w:rsidRPr="000D42F8">
              <w:lastRenderedPageBreak/>
              <w:t>esošo MK noteikumu) 2.10.</w:t>
            </w:r>
            <w:r w:rsidRPr="000D42F8">
              <w:rPr>
                <w:vertAlign w:val="superscript"/>
              </w:rPr>
              <w:t xml:space="preserve">1 </w:t>
            </w:r>
            <w:r w:rsidRPr="000D42F8">
              <w:t>apakšpunkta terminam ir jābūt saskaņā ar SAM 1.1.1. rādītāju pasē noteikto definīciju, jo spēkā esošo MK noteikumu 6.1.1.1. un 6.1.2.1.apakšpunktā noteiktie rādītāji tiek ziņoti Eiropas Komisijai saskaņā ar SAM 1.1.1. rādītāju pasē noteikto. Papildus vēršam uzmanību, ka spēkā esošo MK noteikumu 2.10.</w:t>
            </w:r>
            <w:r w:rsidRPr="000D42F8">
              <w:rPr>
                <w:vertAlign w:val="superscript"/>
              </w:rPr>
              <w:t>1</w:t>
            </w:r>
            <w:r w:rsidRPr="000D42F8">
              <w:t xml:space="preserve"> 2.apakšpunktā ir noteikts, ka jaunu pētnieku skaits atbalstītajās vienībās tiek skaitīts arī pēc iesaistes, t.i. pēc pabeigšanas.</w:t>
            </w:r>
          </w:p>
        </w:tc>
        <w:tc>
          <w:tcPr>
            <w:tcW w:w="3967" w:type="dxa"/>
            <w:shd w:val="clear" w:color="auto" w:fill="auto"/>
          </w:tcPr>
          <w:p w14:paraId="573EF811" w14:textId="77777777" w:rsidR="006D0FEC" w:rsidRPr="00BB599E" w:rsidRDefault="006D0FEC" w:rsidP="006D0FEC">
            <w:pPr>
              <w:jc w:val="both"/>
              <w:rPr>
                <w:i/>
              </w:rPr>
            </w:pPr>
            <w:r w:rsidRPr="00BB599E">
              <w:rPr>
                <w:i/>
              </w:rPr>
              <w:lastRenderedPageBreak/>
              <w:t>Panākta vienošanās starpinstitūciju elektroniskās saskaņošanas laikā.</w:t>
            </w:r>
          </w:p>
          <w:p w14:paraId="53F40336" w14:textId="73A17ED5" w:rsidR="002B6C7C" w:rsidRPr="002B6C7C" w:rsidRDefault="002B6C7C" w:rsidP="008E2CD9">
            <w:pPr>
              <w:jc w:val="both"/>
            </w:pPr>
            <w:r w:rsidRPr="002B6C7C">
              <w:t xml:space="preserve">Informējam, ka </w:t>
            </w:r>
            <w:r>
              <w:t>a</w:t>
            </w:r>
            <w:r w:rsidRPr="002B6C7C">
              <w:t>r FM saskaņotajā rādītāju pasē</w:t>
            </w:r>
            <w:r>
              <w:t xml:space="preserve">, kas pieejama tīmekļa vietnē </w:t>
            </w:r>
            <w:hyperlink r:id="rId8" w:history="1">
              <w:r>
                <w:rPr>
                  <w:rStyle w:val="Hyperlink"/>
                </w:rPr>
                <w:t>https://www.esfondi.lv/planosanas-dokumenti</w:t>
              </w:r>
            </w:hyperlink>
            <w:r>
              <w:t xml:space="preserve"> (sadaļa</w:t>
            </w:r>
            <w:r w:rsidR="001C47FD">
              <w:t xml:space="preserve"> „</w:t>
            </w:r>
            <w:r w:rsidR="001C47FD" w:rsidRPr="001C47FD">
              <w:t xml:space="preserve">Darbības programmas “Izaugsme un </w:t>
            </w:r>
            <w:r w:rsidR="001C47FD" w:rsidRPr="001C47FD">
              <w:lastRenderedPageBreak/>
              <w:t>nodarbinātība” rādītāju noteikšanas apraksti</w:t>
            </w:r>
            <w:r w:rsidR="001C47FD">
              <w:t>”;</w:t>
            </w:r>
            <w:r>
              <w:t xml:space="preserve"> datne: SAM_1_1_1_Raditaju_pase_IZM_20122018.docx) </w:t>
            </w:r>
            <w:r w:rsidRPr="002B6C7C">
              <w:t xml:space="preserve"> ir noteikts, ka iznākuma rādītāja vērtība ir sasniedzama projekta īstenošanas laikā (rādītāju pases 3.lpp)</w:t>
            </w:r>
            <w:r>
              <w:t xml:space="preserve">. Līdz ar to ir izslēgts risks </w:t>
            </w:r>
            <w:r w:rsidRPr="00BB599E">
              <w:t>MK noteikumos ietverto normu neviennozīmīgai un maldīgai interpretācijai.</w:t>
            </w:r>
          </w:p>
        </w:tc>
        <w:tc>
          <w:tcPr>
            <w:tcW w:w="3270" w:type="dxa"/>
            <w:vMerge/>
            <w:shd w:val="clear" w:color="auto" w:fill="auto"/>
          </w:tcPr>
          <w:p w14:paraId="532C1B56" w14:textId="77777777" w:rsidR="002B6C7C" w:rsidRPr="00BB599E" w:rsidRDefault="002B6C7C" w:rsidP="008E2CD9">
            <w:pPr>
              <w:pStyle w:val="tv2132"/>
              <w:spacing w:line="240" w:lineRule="auto"/>
              <w:ind w:firstLine="0"/>
              <w:rPr>
                <w:color w:val="auto"/>
                <w:sz w:val="24"/>
                <w:szCs w:val="24"/>
                <w:lang w:val="lv-LV" w:eastAsia="lv-LV"/>
              </w:rPr>
            </w:pPr>
          </w:p>
        </w:tc>
      </w:tr>
      <w:tr w:rsidR="0041691B" w:rsidRPr="00BB599E" w14:paraId="2C57F8E1" w14:textId="77777777" w:rsidTr="0093084E">
        <w:trPr>
          <w:gridAfter w:val="2"/>
          <w:wAfter w:w="118" w:type="dxa"/>
          <w:trHeight w:val="274"/>
        </w:trPr>
        <w:tc>
          <w:tcPr>
            <w:tcW w:w="703" w:type="dxa"/>
            <w:shd w:val="clear" w:color="auto" w:fill="FFFFFF" w:themeFill="background1"/>
          </w:tcPr>
          <w:p w14:paraId="5589B1B5" w14:textId="25EB2C6A" w:rsidR="0041691B" w:rsidRPr="00BB599E" w:rsidRDefault="0041691B" w:rsidP="008E2CD9">
            <w:pPr>
              <w:numPr>
                <w:ilvl w:val="0"/>
                <w:numId w:val="31"/>
              </w:numPr>
              <w:tabs>
                <w:tab w:val="center" w:pos="284"/>
              </w:tabs>
              <w:ind w:left="0" w:firstLine="0"/>
            </w:pPr>
          </w:p>
        </w:tc>
        <w:tc>
          <w:tcPr>
            <w:tcW w:w="2978" w:type="dxa"/>
            <w:shd w:val="clear" w:color="auto" w:fill="auto"/>
          </w:tcPr>
          <w:p w14:paraId="1E7351FC" w14:textId="27B8161D" w:rsidR="0041691B" w:rsidRPr="00BB599E" w:rsidRDefault="00D63F6C" w:rsidP="008E2CD9">
            <w:pPr>
              <w:jc w:val="both"/>
            </w:pPr>
            <w:r w:rsidRPr="00BB599E">
              <w:t>2.29. zinātniskā institūcija – Latvijas Republikā zinātnisko institūciju reģistrā reģistrēts zinātniskais institūts (publiska aģentūra, atvasināta publiska persona, komersants vai komersanta struktūrvienība) vai augstskola</w:t>
            </w:r>
          </w:p>
        </w:tc>
        <w:tc>
          <w:tcPr>
            <w:tcW w:w="3830" w:type="dxa"/>
            <w:shd w:val="clear" w:color="auto" w:fill="auto"/>
          </w:tcPr>
          <w:p w14:paraId="11744DD3" w14:textId="277B05A8" w:rsidR="0041691B" w:rsidRPr="00BB599E" w:rsidRDefault="004F7160" w:rsidP="008E2CD9">
            <w:pPr>
              <w:contextualSpacing/>
              <w:jc w:val="both"/>
            </w:pPr>
            <w:r w:rsidRPr="00BB599E">
              <w:rPr>
                <w:b/>
              </w:rPr>
              <w:t>FM</w:t>
            </w:r>
            <w:r w:rsidR="00A400AD" w:rsidRPr="00BB599E">
              <w:rPr>
                <w:b/>
              </w:rPr>
              <w:t>:</w:t>
            </w:r>
            <w:r w:rsidR="00A400AD" w:rsidRPr="00BB599E">
              <w:t xml:space="preserve"> </w:t>
            </w:r>
            <w:r w:rsidR="0041691B" w:rsidRPr="00BB599E">
              <w:t xml:space="preserve">Lūdzam papildināt MK noteikumu projektu ar regulējumu, kas paredz svītrot spēkā esošo MK noteikumu 2.29.apakšpunktā vārdus “(publiska aģentūra, atvasināta publiska persona, komersants vai komersanta struktūrvienība)”, ņemot vērā to, ka šobrīd esošajā redakcijā zinātniskās institūcijas termins neatbilst Zinātniskās darbības likumā noteiktajam terminam. </w:t>
            </w:r>
          </w:p>
          <w:p w14:paraId="491CF33C" w14:textId="1231AE7B" w:rsidR="0041691B" w:rsidRPr="00BB599E" w:rsidRDefault="0041691B" w:rsidP="008E2CD9">
            <w:pPr>
              <w:contextualSpacing/>
              <w:jc w:val="both"/>
            </w:pPr>
          </w:p>
        </w:tc>
        <w:tc>
          <w:tcPr>
            <w:tcW w:w="3967" w:type="dxa"/>
            <w:shd w:val="clear" w:color="auto" w:fill="auto"/>
          </w:tcPr>
          <w:p w14:paraId="277E7609" w14:textId="77777777" w:rsidR="0041691B" w:rsidRPr="00BB599E" w:rsidRDefault="0041691B" w:rsidP="008E2CD9">
            <w:pPr>
              <w:jc w:val="both"/>
              <w:rPr>
                <w:b/>
              </w:rPr>
            </w:pPr>
            <w:r w:rsidRPr="00BB599E">
              <w:rPr>
                <w:b/>
              </w:rPr>
              <w:t>Daļēji ņemts vērā.</w:t>
            </w:r>
          </w:p>
          <w:p w14:paraId="606EE5CD" w14:textId="0C1DD118" w:rsidR="00543F44" w:rsidRPr="00BB599E" w:rsidRDefault="00543F44" w:rsidP="008E2CD9">
            <w:pPr>
              <w:jc w:val="both"/>
              <w:rPr>
                <w:i/>
              </w:rPr>
            </w:pPr>
            <w:r w:rsidRPr="00BB599E">
              <w:rPr>
                <w:i/>
              </w:rPr>
              <w:t>Panākta vienošanās starpinstitūciju elektroniskās saskaņošanas laikā.</w:t>
            </w:r>
          </w:p>
          <w:p w14:paraId="6EEB481A" w14:textId="77777777" w:rsidR="00543F44" w:rsidRPr="00BB599E" w:rsidRDefault="00543F44" w:rsidP="008E2CD9">
            <w:pPr>
              <w:jc w:val="both"/>
              <w:rPr>
                <w:i/>
              </w:rPr>
            </w:pPr>
          </w:p>
          <w:p w14:paraId="4D0EF5F8" w14:textId="77777777" w:rsidR="00B159CF" w:rsidRPr="00BB599E" w:rsidRDefault="0045056A" w:rsidP="008E2CD9">
            <w:pPr>
              <w:jc w:val="both"/>
            </w:pPr>
            <w:r w:rsidRPr="00BB599E">
              <w:t>MK noteikumi precizēti</w:t>
            </w:r>
            <w:r w:rsidR="004F7160" w:rsidRPr="00BB599E">
              <w:t>,</w:t>
            </w:r>
            <w:r w:rsidR="0041691B" w:rsidRPr="00BB599E">
              <w:t xml:space="preserve"> </w:t>
            </w:r>
            <w:r w:rsidR="004F7160" w:rsidRPr="00BB599E">
              <w:t>ievērojot:</w:t>
            </w:r>
            <w:r w:rsidR="0041691B" w:rsidRPr="00BB599E">
              <w:t xml:space="preserve"> </w:t>
            </w:r>
            <w:r w:rsidR="004F7160" w:rsidRPr="00BB599E">
              <w:t>a) </w:t>
            </w:r>
            <w:r w:rsidR="0041691B" w:rsidRPr="00BB599E">
              <w:t xml:space="preserve">Zinātniskās darbības likuma (ZDL) 1.panta pirmās daļas 7. punkta </w:t>
            </w:r>
            <w:r w:rsidR="004F7160" w:rsidRPr="00BB599E">
              <w:t xml:space="preserve">un 21. panta otrās daļas </w:t>
            </w:r>
            <w:r w:rsidR="0041691B" w:rsidRPr="00BB599E">
              <w:t>nosacījum</w:t>
            </w:r>
            <w:r w:rsidR="004F7160" w:rsidRPr="00BB599E">
              <w:t xml:space="preserve">us </w:t>
            </w:r>
            <w:r w:rsidR="0041691B" w:rsidRPr="00BB599E">
              <w:t xml:space="preserve">un </w:t>
            </w:r>
            <w:r w:rsidR="00B159CF" w:rsidRPr="00BB599E">
              <w:t xml:space="preserve">b) </w:t>
            </w:r>
            <w:r w:rsidR="0041691B" w:rsidRPr="00BB599E">
              <w:t xml:space="preserve">Eiropas Savienības struktūrfondu un Kohēzijas fonda 2014.—2020.gada plānošanas perioda vadības likuma 1. panta 4. punkta noteikumus. </w:t>
            </w:r>
          </w:p>
          <w:p w14:paraId="76AC1198" w14:textId="1A026BF6" w:rsidR="0041691B" w:rsidRPr="00BB599E" w:rsidRDefault="0041691B" w:rsidP="008E2CD9">
            <w:pPr>
              <w:jc w:val="both"/>
            </w:pPr>
            <w:r w:rsidRPr="00BB599E">
              <w:t xml:space="preserve">Tādējādi </w:t>
            </w:r>
            <w:r w:rsidR="00B159CF" w:rsidRPr="00BB599E">
              <w:t>MK noteikumu 2.29. apakšpunktā</w:t>
            </w:r>
            <w:r w:rsidRPr="00BB599E">
              <w:t xml:space="preserve"> sniegta norāde, </w:t>
            </w:r>
            <w:r w:rsidR="00B159CF" w:rsidRPr="00BB599E">
              <w:t>ka MK noteikumu kontekstā zinātniskā institūcija (t.sk. projekta iesniedzējs) ir juridiska persona, nevis juridiskas personas</w:t>
            </w:r>
            <w:r w:rsidRPr="00BB599E">
              <w:t xml:space="preserve"> struktūrvienība,</w:t>
            </w:r>
            <w:r w:rsidR="00B159CF" w:rsidRPr="00BB599E">
              <w:t xml:space="preserve"> piem</w:t>
            </w:r>
            <w:r w:rsidRPr="00BB599E">
              <w:t>., zinātniskais institūts – augstskolas struktūrvienība.</w:t>
            </w:r>
          </w:p>
        </w:tc>
        <w:tc>
          <w:tcPr>
            <w:tcW w:w="3270" w:type="dxa"/>
            <w:shd w:val="clear" w:color="auto" w:fill="auto"/>
          </w:tcPr>
          <w:p w14:paraId="125BA458" w14:textId="7C770F3B" w:rsidR="0041691B" w:rsidRPr="00BB599E" w:rsidRDefault="0041691B" w:rsidP="008E2CD9">
            <w:pPr>
              <w:pStyle w:val="tv2132"/>
              <w:spacing w:line="240" w:lineRule="auto"/>
              <w:ind w:firstLine="0"/>
              <w:rPr>
                <w:color w:val="auto"/>
                <w:sz w:val="24"/>
                <w:szCs w:val="24"/>
                <w:lang w:val="lv-LV"/>
              </w:rPr>
            </w:pPr>
            <w:r w:rsidRPr="00BB599E">
              <w:rPr>
                <w:color w:val="auto"/>
                <w:sz w:val="24"/>
                <w:szCs w:val="24"/>
                <w:lang w:val="lv-LV" w:eastAsia="lv-LV"/>
              </w:rPr>
              <w:t>"2.29. zinātniskā institūcija – Latvijas Republikā zinātn</w:t>
            </w:r>
            <w:r w:rsidR="00763B76">
              <w:rPr>
                <w:color w:val="auto"/>
                <w:sz w:val="24"/>
                <w:szCs w:val="24"/>
                <w:lang w:val="lv-LV" w:eastAsia="lv-LV"/>
              </w:rPr>
              <w:t>i</w:t>
            </w:r>
            <w:r w:rsidRPr="00BB599E">
              <w:rPr>
                <w:color w:val="auto"/>
                <w:sz w:val="24"/>
                <w:szCs w:val="24"/>
                <w:lang w:val="lv-LV" w:eastAsia="lv-LV"/>
              </w:rPr>
              <w:t>sko institūciju reģistrā reģistrēts zinātniskais institūts (publiska aģentūra, atvasināta publiska persona, privāto tiesību juridiskā persona), augstskola vai privāto tiesību juridiskā persona;".</w:t>
            </w:r>
          </w:p>
          <w:p w14:paraId="422BFB64" w14:textId="282280D4" w:rsidR="0041691B" w:rsidRPr="00BB599E" w:rsidRDefault="0041691B" w:rsidP="008E2CD9">
            <w:pPr>
              <w:tabs>
                <w:tab w:val="left" w:pos="1276"/>
              </w:tabs>
              <w:jc w:val="both"/>
            </w:pPr>
          </w:p>
        </w:tc>
      </w:tr>
      <w:tr w:rsidR="0041691B" w:rsidRPr="00BB599E" w14:paraId="403E784B" w14:textId="77777777" w:rsidTr="0093084E">
        <w:trPr>
          <w:gridAfter w:val="2"/>
          <w:wAfter w:w="118" w:type="dxa"/>
          <w:trHeight w:val="274"/>
        </w:trPr>
        <w:tc>
          <w:tcPr>
            <w:tcW w:w="703" w:type="dxa"/>
            <w:shd w:val="clear" w:color="auto" w:fill="FFFFFF" w:themeFill="background1"/>
          </w:tcPr>
          <w:p w14:paraId="79DEA5C2" w14:textId="0DCF7F31" w:rsidR="0041691B" w:rsidRPr="00BB599E" w:rsidRDefault="0041691B" w:rsidP="008E2CD9">
            <w:pPr>
              <w:numPr>
                <w:ilvl w:val="0"/>
                <w:numId w:val="31"/>
              </w:numPr>
              <w:tabs>
                <w:tab w:val="center" w:pos="284"/>
              </w:tabs>
              <w:ind w:left="0" w:firstLine="0"/>
            </w:pPr>
          </w:p>
        </w:tc>
        <w:tc>
          <w:tcPr>
            <w:tcW w:w="2978" w:type="dxa"/>
            <w:shd w:val="clear" w:color="auto" w:fill="auto"/>
          </w:tcPr>
          <w:p w14:paraId="6D89EB66" w14:textId="279C2829" w:rsidR="0041691B" w:rsidRPr="00BB599E" w:rsidRDefault="0041691B" w:rsidP="008E2CD9">
            <w:pPr>
              <w:jc w:val="both"/>
            </w:pPr>
          </w:p>
        </w:tc>
        <w:tc>
          <w:tcPr>
            <w:tcW w:w="3830" w:type="dxa"/>
            <w:shd w:val="clear" w:color="auto" w:fill="auto"/>
          </w:tcPr>
          <w:p w14:paraId="4BDC58C5" w14:textId="3594C95F" w:rsidR="0041691B" w:rsidRPr="00BB599E" w:rsidRDefault="00A400AD" w:rsidP="008E2CD9">
            <w:pPr>
              <w:contextualSpacing/>
              <w:jc w:val="both"/>
            </w:pPr>
            <w:r w:rsidRPr="00BB599E">
              <w:rPr>
                <w:b/>
              </w:rPr>
              <w:t>FM:</w:t>
            </w:r>
            <w:r w:rsidRPr="00BB599E">
              <w:t xml:space="preserve"> </w:t>
            </w:r>
            <w:r w:rsidR="0041691B" w:rsidRPr="00BB599E">
              <w:t xml:space="preserve">Lūdzam papildināt MK noteikumu projektu ar grozījumiem spēkā esošo MK noteikumu 8.2.2.1.apakšpunktā, nosakot, kādi projektu iesniegumi ir iekļaujami MK noteikumu 8.2.2.1.apakšpunktā minētajā fundamentālo pētījumu kvotā, ņemot vērā, ka atlases ietvaros iespējams īstenot arī tādus projektus, kuru ietvaros īsteno fundamentālu pētījumu apvienotu ar rūpniecisku pētījumu (un eksperimentālu, ja attiecināms). </w:t>
            </w:r>
          </w:p>
          <w:p w14:paraId="5F18A5DC" w14:textId="1D8A5239" w:rsidR="0041691B" w:rsidRPr="00BB599E" w:rsidRDefault="0041691B" w:rsidP="008E2CD9">
            <w:pPr>
              <w:contextualSpacing/>
              <w:jc w:val="both"/>
            </w:pPr>
          </w:p>
        </w:tc>
        <w:tc>
          <w:tcPr>
            <w:tcW w:w="3967" w:type="dxa"/>
            <w:shd w:val="clear" w:color="auto" w:fill="auto"/>
          </w:tcPr>
          <w:p w14:paraId="0C3738E4" w14:textId="77777777" w:rsidR="0041691B" w:rsidRPr="00BB599E" w:rsidRDefault="0041691B" w:rsidP="008E2CD9">
            <w:pPr>
              <w:jc w:val="both"/>
              <w:rPr>
                <w:b/>
              </w:rPr>
            </w:pPr>
            <w:r w:rsidRPr="00BB599E">
              <w:rPr>
                <w:b/>
              </w:rPr>
              <w:t>Ņemts vērā.</w:t>
            </w:r>
          </w:p>
          <w:p w14:paraId="7E5D7733" w14:textId="77777777" w:rsidR="0041691B" w:rsidRPr="00BB599E" w:rsidRDefault="0041691B" w:rsidP="008E2CD9">
            <w:pPr>
              <w:jc w:val="both"/>
            </w:pPr>
            <w:r w:rsidRPr="00BB599E">
              <w:t xml:space="preserve">Lai nodrošinātu viennozīmīgi saprotamu fundamentālo pētījumu kvotas aprēķinu, aktualizēti fundamentālo pētījumu īstenošanas noteikumi trešās </w:t>
            </w:r>
            <w:r w:rsidR="00D63F6C" w:rsidRPr="00BB599E">
              <w:t xml:space="preserve">projektu iesniegumu atlases </w:t>
            </w:r>
            <w:r w:rsidRPr="00BB599E">
              <w:t>kārtas ietvaros</w:t>
            </w:r>
            <w:r w:rsidR="00A400AD" w:rsidRPr="00BB599E">
              <w:t xml:space="preserve">. </w:t>
            </w:r>
          </w:p>
          <w:p w14:paraId="4F9FC1DC" w14:textId="42952F66" w:rsidR="00D63F6C" w:rsidRPr="00BB599E" w:rsidRDefault="00D63F6C" w:rsidP="008E2CD9">
            <w:pPr>
              <w:jc w:val="both"/>
            </w:pPr>
            <w:r w:rsidRPr="00BB599E">
              <w:t xml:space="preserve">Norma sekmē iznākuma rādītāju izpildi, kas saistīti ar komersantu piesaisti pētniecības īstenošanai un jaunu produktu prototipu izstrādi. </w:t>
            </w:r>
          </w:p>
        </w:tc>
        <w:tc>
          <w:tcPr>
            <w:tcW w:w="3270" w:type="dxa"/>
            <w:shd w:val="clear" w:color="auto" w:fill="auto"/>
          </w:tcPr>
          <w:p w14:paraId="1DA73E57" w14:textId="77777777" w:rsidR="00763B76" w:rsidRPr="00763B76" w:rsidRDefault="00763B76" w:rsidP="00763B76">
            <w:pPr>
              <w:jc w:val="both"/>
            </w:pPr>
            <w:r w:rsidRPr="00763B76">
              <w:t>"8.2.3. trešajā projektu iesniegumu atlases kārtā:</w:t>
            </w:r>
          </w:p>
          <w:p w14:paraId="340F640D" w14:textId="77777777" w:rsidR="00763B76" w:rsidRPr="00763B76" w:rsidRDefault="00763B76" w:rsidP="00763B76">
            <w:pPr>
              <w:jc w:val="both"/>
            </w:pPr>
            <w:r w:rsidRPr="00763B76">
              <w:t>8.2.3.1. fundamentālie pētījumi šo noteikumu 21. punktā minētajos gadījumos, ja projekta ietvaros tiek īstenoti rūpnieciskie pētījumi. Kopējais publiskais finansējums fundamentāliem pētījumiem nepārsniedz 20 procentus no projekta kopējām attiecināmajām izmaksām;</w:t>
            </w:r>
          </w:p>
          <w:p w14:paraId="4D7E1566" w14:textId="77777777" w:rsidR="00763B76" w:rsidRPr="00763B76" w:rsidRDefault="00763B76" w:rsidP="00763B76">
            <w:pPr>
              <w:jc w:val="both"/>
            </w:pPr>
            <w:r w:rsidRPr="00763B76">
              <w:t>8.2.3.2. rūpnieciskie pētījumi;</w:t>
            </w:r>
          </w:p>
          <w:p w14:paraId="3EDD0610" w14:textId="7907B940" w:rsidR="0041691B" w:rsidRPr="00763B76" w:rsidRDefault="00763B76" w:rsidP="00763B76">
            <w:pPr>
              <w:jc w:val="both"/>
            </w:pPr>
            <w:r w:rsidRPr="00763B76">
              <w:t>8.2.3.3. eksperimentālā izstrāde, ja projekta ietvaros tiek īstenoti rūpnieciskie pētījumi. Kopējais publiskais finansējums eksperimentālai izstrādei nepārsniedz 20 procentus no projekta kopējām attiecināmajām izmaksām;".</w:t>
            </w:r>
          </w:p>
        </w:tc>
      </w:tr>
      <w:tr w:rsidR="008E2CD9" w:rsidRPr="00BB599E" w14:paraId="5138D15E" w14:textId="77777777" w:rsidTr="0093084E">
        <w:trPr>
          <w:gridAfter w:val="1"/>
          <w:wAfter w:w="60" w:type="dxa"/>
          <w:trHeight w:val="274"/>
        </w:trPr>
        <w:tc>
          <w:tcPr>
            <w:tcW w:w="703" w:type="dxa"/>
            <w:shd w:val="clear" w:color="auto" w:fill="FFFFFF" w:themeFill="background1"/>
          </w:tcPr>
          <w:p w14:paraId="3C0A6935" w14:textId="77777777" w:rsidR="004118C7" w:rsidRPr="00BB599E" w:rsidRDefault="004118C7" w:rsidP="008E2CD9">
            <w:pPr>
              <w:numPr>
                <w:ilvl w:val="0"/>
                <w:numId w:val="31"/>
              </w:numPr>
              <w:tabs>
                <w:tab w:val="center" w:pos="284"/>
              </w:tabs>
              <w:ind w:left="0" w:firstLine="0"/>
            </w:pPr>
          </w:p>
        </w:tc>
        <w:tc>
          <w:tcPr>
            <w:tcW w:w="2978" w:type="dxa"/>
            <w:shd w:val="clear" w:color="auto" w:fill="auto"/>
          </w:tcPr>
          <w:p w14:paraId="7672E5FA" w14:textId="48C093AB" w:rsidR="004118C7" w:rsidRPr="00BB599E" w:rsidRDefault="004118C7" w:rsidP="008E2CD9">
            <w:pPr>
              <w:tabs>
                <w:tab w:val="left" w:pos="1276"/>
              </w:tabs>
              <w:jc w:val="both"/>
            </w:pPr>
            <w:r w:rsidRPr="00BB599E">
              <w:t>12.</w:t>
            </w:r>
            <w:r w:rsidRPr="00BB599E">
              <w:rPr>
                <w:vertAlign w:val="superscript"/>
              </w:rPr>
              <w:t>1</w:t>
            </w:r>
            <w:r w:rsidRPr="00BB599E">
              <w:t xml:space="preserve"> Otrajā un turpmākajās projektu iesniegumu atlases kārtās pieejamais kopējais attiecināmais publiskais finansējums ir 36 768 474 </w:t>
            </w:r>
            <w:proofErr w:type="spellStart"/>
            <w:r w:rsidRPr="00BB599E">
              <w:rPr>
                <w:i/>
              </w:rPr>
              <w:t>euro</w:t>
            </w:r>
            <w:proofErr w:type="spellEnd"/>
            <w:r w:rsidRPr="00BB599E">
              <w:t xml:space="preserve">, ko veido Eiropas Reģionālās attīstības fonda finansējums 28 282 787 </w:t>
            </w:r>
            <w:proofErr w:type="spellStart"/>
            <w:r w:rsidRPr="00BB599E">
              <w:rPr>
                <w:i/>
              </w:rPr>
              <w:t>euro</w:t>
            </w:r>
            <w:proofErr w:type="spellEnd"/>
            <w:r w:rsidRPr="00BB599E">
              <w:t xml:space="preserve"> apmērā un valsts </w:t>
            </w:r>
            <w:r w:rsidRPr="00BB599E">
              <w:lastRenderedPageBreak/>
              <w:t xml:space="preserve">budžeta finansējums   8 485 687 </w:t>
            </w:r>
            <w:proofErr w:type="spellStart"/>
            <w:r w:rsidRPr="00BB599E">
              <w:rPr>
                <w:i/>
              </w:rPr>
              <w:t>euro</w:t>
            </w:r>
            <w:proofErr w:type="spellEnd"/>
            <w:r w:rsidRPr="00BB599E">
              <w:t xml:space="preserve"> apmērā, tai skaitā:</w:t>
            </w:r>
          </w:p>
        </w:tc>
        <w:tc>
          <w:tcPr>
            <w:tcW w:w="3830" w:type="dxa"/>
            <w:shd w:val="clear" w:color="auto" w:fill="auto"/>
          </w:tcPr>
          <w:p w14:paraId="194CA3A8" w14:textId="77777777" w:rsidR="004118C7" w:rsidRPr="00BB599E" w:rsidRDefault="004118C7" w:rsidP="008E2CD9">
            <w:pPr>
              <w:contextualSpacing/>
              <w:jc w:val="both"/>
              <w:rPr>
                <w:b/>
              </w:rPr>
            </w:pPr>
            <w:r w:rsidRPr="00BB599E">
              <w:rPr>
                <w:b/>
              </w:rPr>
              <w:lastRenderedPageBreak/>
              <w:t xml:space="preserve">FM </w:t>
            </w:r>
            <w:r w:rsidRPr="00BB599E">
              <w:t>(23.04.19. iebildums)</w:t>
            </w:r>
          </w:p>
          <w:p w14:paraId="30ED8BDA" w14:textId="0729042E" w:rsidR="004118C7" w:rsidRPr="00BB599E" w:rsidRDefault="004118C7" w:rsidP="008E2CD9">
            <w:pPr>
              <w:contextualSpacing/>
              <w:jc w:val="both"/>
            </w:pPr>
            <w:r w:rsidRPr="00BB599E">
              <w:t>2.</w:t>
            </w:r>
            <w:r w:rsidRPr="00BB599E">
              <w:tab/>
              <w:t xml:space="preserve">Lūdzam precizēt MK noteikumu projekta 7.punktu, norādot tikai 1.1.1.1.pasākuma “Praktiskas ievirzes pētījumi” (turpmāk – 1.1.1.1.pasākums) otrās projektu iesniegumu atlases kārtai pieejamo finansējumu, nevis otrajai un turpmākajām kārtām, ņemot </w:t>
            </w:r>
            <w:r w:rsidRPr="00BB599E">
              <w:lastRenderedPageBreak/>
              <w:t>vērā to, ka MK noteikuma projekta 10.punkts paredz iekļaut trešajai projektu iesniegumu atlases kārtai pieejamo finansējumu.</w:t>
            </w:r>
          </w:p>
        </w:tc>
        <w:tc>
          <w:tcPr>
            <w:tcW w:w="3967" w:type="dxa"/>
            <w:shd w:val="clear" w:color="auto" w:fill="auto"/>
          </w:tcPr>
          <w:p w14:paraId="67657D07" w14:textId="77777777" w:rsidR="004118C7" w:rsidRPr="00BB599E" w:rsidRDefault="004118C7" w:rsidP="008E2CD9">
            <w:pPr>
              <w:jc w:val="both"/>
              <w:rPr>
                <w:b/>
              </w:rPr>
            </w:pPr>
            <w:r w:rsidRPr="00BB599E">
              <w:rPr>
                <w:b/>
              </w:rPr>
              <w:lastRenderedPageBreak/>
              <w:t>Ņemts vērā.</w:t>
            </w:r>
          </w:p>
          <w:p w14:paraId="241AF08E" w14:textId="77777777" w:rsidR="004118C7" w:rsidRPr="00BB599E" w:rsidRDefault="004118C7" w:rsidP="008E2CD9">
            <w:pPr>
              <w:jc w:val="both"/>
              <w:rPr>
                <w:b/>
              </w:rPr>
            </w:pPr>
          </w:p>
        </w:tc>
        <w:tc>
          <w:tcPr>
            <w:tcW w:w="3328" w:type="dxa"/>
            <w:gridSpan w:val="2"/>
            <w:vMerge w:val="restart"/>
            <w:shd w:val="clear" w:color="auto" w:fill="auto"/>
          </w:tcPr>
          <w:p w14:paraId="36E8CB14" w14:textId="77777777" w:rsidR="004118C7" w:rsidRPr="001C47FD" w:rsidRDefault="004118C7" w:rsidP="008E2CD9">
            <w:pPr>
              <w:pStyle w:val="ListParagraph"/>
              <w:ind w:left="0"/>
              <w:jc w:val="both"/>
              <w:rPr>
                <w:rFonts w:ascii="Times New Roman" w:hAnsi="Times New Roman"/>
                <w:color w:val="000000"/>
                <w:sz w:val="24"/>
                <w:szCs w:val="24"/>
              </w:rPr>
            </w:pPr>
            <w:r w:rsidRPr="001C47FD">
              <w:rPr>
                <w:rFonts w:ascii="Times New Roman" w:hAnsi="Times New Roman"/>
                <w:color w:val="000000"/>
                <w:sz w:val="24"/>
                <w:szCs w:val="24"/>
              </w:rPr>
              <w:t>Papildināt noteikumus ar 11.</w:t>
            </w:r>
            <w:r w:rsidRPr="001C47FD">
              <w:rPr>
                <w:rFonts w:ascii="Times New Roman" w:hAnsi="Times New Roman"/>
                <w:color w:val="000000"/>
                <w:sz w:val="24"/>
                <w:szCs w:val="24"/>
                <w:vertAlign w:val="superscript"/>
              </w:rPr>
              <w:t>1</w:t>
            </w:r>
            <w:r w:rsidRPr="001C47FD">
              <w:rPr>
                <w:rFonts w:ascii="Times New Roman" w:hAnsi="Times New Roman"/>
                <w:color w:val="000000"/>
                <w:sz w:val="24"/>
                <w:szCs w:val="24"/>
              </w:rPr>
              <w:t> punktu šādā redakcijā:</w:t>
            </w:r>
          </w:p>
          <w:p w14:paraId="1BC37CD5" w14:textId="77777777" w:rsidR="004118C7" w:rsidRPr="001C47FD" w:rsidRDefault="004118C7" w:rsidP="008E2CD9">
            <w:pPr>
              <w:pStyle w:val="tv2132"/>
              <w:spacing w:line="240" w:lineRule="auto"/>
              <w:ind w:firstLine="709"/>
              <w:rPr>
                <w:color w:val="000000"/>
                <w:sz w:val="24"/>
                <w:szCs w:val="24"/>
              </w:rPr>
            </w:pPr>
          </w:p>
          <w:p w14:paraId="3598C48E" w14:textId="77777777" w:rsidR="004118C7" w:rsidRPr="001C47FD" w:rsidRDefault="004118C7" w:rsidP="008E2CD9">
            <w:pPr>
              <w:pStyle w:val="tv2132"/>
              <w:spacing w:line="240" w:lineRule="auto"/>
              <w:ind w:firstLine="0"/>
              <w:rPr>
                <w:color w:val="000000"/>
                <w:sz w:val="24"/>
                <w:szCs w:val="24"/>
                <w:lang w:eastAsia="lv-LV"/>
              </w:rPr>
            </w:pPr>
            <w:r w:rsidRPr="001C47FD">
              <w:rPr>
                <w:color w:val="000000"/>
                <w:sz w:val="24"/>
                <w:szCs w:val="24"/>
                <w:lang w:eastAsia="lv-LV"/>
              </w:rPr>
              <w:t>"11.</w:t>
            </w:r>
            <w:r w:rsidRPr="001C47FD">
              <w:rPr>
                <w:color w:val="000000"/>
                <w:sz w:val="24"/>
                <w:szCs w:val="24"/>
                <w:vertAlign w:val="superscript"/>
                <w:lang w:eastAsia="lv-LV"/>
              </w:rPr>
              <w:t>1</w:t>
            </w:r>
            <w:r w:rsidRPr="001C47FD">
              <w:rPr>
                <w:color w:val="000000"/>
                <w:sz w:val="24"/>
                <w:szCs w:val="24"/>
                <w:lang w:eastAsia="lv-LV"/>
              </w:rPr>
              <w:t> </w:t>
            </w:r>
            <w:proofErr w:type="spellStart"/>
            <w:r w:rsidRPr="001C47FD">
              <w:rPr>
                <w:color w:val="000000"/>
                <w:sz w:val="24"/>
                <w:szCs w:val="24"/>
                <w:lang w:eastAsia="lv-LV"/>
              </w:rPr>
              <w:t>Pirmajā</w:t>
            </w:r>
            <w:proofErr w:type="spellEnd"/>
            <w:r w:rsidRPr="001C47FD">
              <w:rPr>
                <w:color w:val="000000"/>
                <w:sz w:val="24"/>
                <w:szCs w:val="24"/>
                <w:lang w:eastAsia="lv-LV"/>
              </w:rPr>
              <w:t xml:space="preserve"> </w:t>
            </w:r>
            <w:proofErr w:type="spellStart"/>
            <w:r w:rsidRPr="001C47FD">
              <w:rPr>
                <w:color w:val="000000"/>
                <w:sz w:val="24"/>
                <w:szCs w:val="24"/>
                <w:lang w:eastAsia="lv-LV"/>
              </w:rPr>
              <w:t>projektu</w:t>
            </w:r>
            <w:proofErr w:type="spellEnd"/>
            <w:r w:rsidRPr="001C47FD">
              <w:rPr>
                <w:color w:val="000000"/>
                <w:sz w:val="24"/>
                <w:szCs w:val="24"/>
                <w:lang w:eastAsia="lv-LV"/>
              </w:rPr>
              <w:t xml:space="preserve"> </w:t>
            </w:r>
            <w:proofErr w:type="spellStart"/>
            <w:r w:rsidRPr="001C47FD">
              <w:rPr>
                <w:color w:val="000000"/>
                <w:sz w:val="24"/>
                <w:szCs w:val="24"/>
                <w:lang w:eastAsia="lv-LV"/>
              </w:rPr>
              <w:t>iesniegumu</w:t>
            </w:r>
            <w:proofErr w:type="spellEnd"/>
            <w:r w:rsidRPr="001C47FD">
              <w:rPr>
                <w:color w:val="000000"/>
                <w:sz w:val="24"/>
                <w:szCs w:val="24"/>
                <w:lang w:eastAsia="lv-LV"/>
              </w:rPr>
              <w:t xml:space="preserve"> atlases </w:t>
            </w:r>
            <w:proofErr w:type="spellStart"/>
            <w:r w:rsidRPr="001C47FD">
              <w:rPr>
                <w:color w:val="000000"/>
                <w:sz w:val="24"/>
                <w:szCs w:val="24"/>
                <w:lang w:eastAsia="lv-LV"/>
              </w:rPr>
              <w:t>kārtā</w:t>
            </w:r>
            <w:proofErr w:type="spellEnd"/>
            <w:r w:rsidRPr="001C47FD">
              <w:rPr>
                <w:color w:val="000000"/>
                <w:sz w:val="24"/>
                <w:szCs w:val="24"/>
                <w:lang w:eastAsia="lv-LV"/>
              </w:rPr>
              <w:t xml:space="preserve"> </w:t>
            </w:r>
            <w:proofErr w:type="spellStart"/>
            <w:r w:rsidRPr="001C47FD">
              <w:rPr>
                <w:color w:val="000000"/>
                <w:sz w:val="24"/>
                <w:szCs w:val="24"/>
                <w:lang w:eastAsia="lv-LV"/>
              </w:rPr>
              <w:t>plānotais</w:t>
            </w:r>
            <w:proofErr w:type="spellEnd"/>
            <w:r w:rsidRPr="001C47FD">
              <w:rPr>
                <w:color w:val="000000"/>
                <w:sz w:val="24"/>
                <w:szCs w:val="24"/>
                <w:lang w:eastAsia="lv-LV"/>
              </w:rPr>
              <w:t xml:space="preserve"> </w:t>
            </w:r>
            <w:proofErr w:type="spellStart"/>
            <w:r w:rsidRPr="001C47FD">
              <w:rPr>
                <w:color w:val="000000"/>
                <w:sz w:val="24"/>
                <w:szCs w:val="24"/>
                <w:lang w:eastAsia="lv-LV"/>
              </w:rPr>
              <w:t>kopējais</w:t>
            </w:r>
            <w:proofErr w:type="spellEnd"/>
            <w:r w:rsidRPr="001C47FD">
              <w:rPr>
                <w:color w:val="000000"/>
                <w:sz w:val="24"/>
                <w:szCs w:val="24"/>
                <w:lang w:eastAsia="lv-LV"/>
              </w:rPr>
              <w:t xml:space="preserve"> </w:t>
            </w:r>
            <w:proofErr w:type="spellStart"/>
            <w:r w:rsidRPr="001C47FD">
              <w:rPr>
                <w:color w:val="000000"/>
                <w:sz w:val="24"/>
                <w:szCs w:val="24"/>
                <w:lang w:eastAsia="lv-LV"/>
              </w:rPr>
              <w:t>attiecināmais</w:t>
            </w:r>
            <w:proofErr w:type="spellEnd"/>
            <w:r w:rsidRPr="001C47FD">
              <w:rPr>
                <w:color w:val="000000"/>
                <w:sz w:val="24"/>
                <w:szCs w:val="24"/>
                <w:lang w:eastAsia="lv-LV"/>
              </w:rPr>
              <w:t xml:space="preserve"> </w:t>
            </w:r>
            <w:proofErr w:type="spellStart"/>
            <w:r w:rsidRPr="001C47FD">
              <w:rPr>
                <w:color w:val="000000"/>
                <w:sz w:val="24"/>
                <w:szCs w:val="24"/>
                <w:lang w:eastAsia="lv-LV"/>
              </w:rPr>
              <w:t>publiskais</w:t>
            </w:r>
            <w:proofErr w:type="spellEnd"/>
            <w:r w:rsidRPr="001C47FD">
              <w:rPr>
                <w:color w:val="000000"/>
                <w:sz w:val="24"/>
                <w:szCs w:val="24"/>
                <w:lang w:eastAsia="lv-LV"/>
              </w:rPr>
              <w:t xml:space="preserve"> </w:t>
            </w:r>
            <w:proofErr w:type="spellStart"/>
            <w:r w:rsidRPr="001C47FD">
              <w:rPr>
                <w:color w:val="000000"/>
                <w:sz w:val="24"/>
                <w:szCs w:val="24"/>
                <w:lang w:eastAsia="lv-LV"/>
              </w:rPr>
              <w:t>finansējums</w:t>
            </w:r>
            <w:proofErr w:type="spellEnd"/>
            <w:r w:rsidRPr="001C47FD">
              <w:rPr>
                <w:color w:val="000000"/>
                <w:sz w:val="24"/>
                <w:szCs w:val="24"/>
                <w:lang w:eastAsia="lv-LV"/>
              </w:rPr>
              <w:t xml:space="preserve"> </w:t>
            </w:r>
            <w:proofErr w:type="spellStart"/>
            <w:r w:rsidRPr="001C47FD">
              <w:rPr>
                <w:color w:val="000000"/>
                <w:sz w:val="24"/>
                <w:szCs w:val="24"/>
                <w:lang w:eastAsia="lv-LV"/>
              </w:rPr>
              <w:t>ir</w:t>
            </w:r>
            <w:proofErr w:type="spellEnd"/>
            <w:r w:rsidRPr="001C47FD">
              <w:rPr>
                <w:color w:val="000000"/>
                <w:sz w:val="24"/>
                <w:szCs w:val="24"/>
                <w:lang w:eastAsia="lv-LV"/>
              </w:rPr>
              <w:t xml:space="preserve"> </w:t>
            </w:r>
            <w:proofErr w:type="spellStart"/>
            <w:r w:rsidRPr="001C47FD">
              <w:rPr>
                <w:color w:val="000000"/>
                <w:sz w:val="24"/>
                <w:szCs w:val="24"/>
                <w:lang w:eastAsia="lv-LV"/>
              </w:rPr>
              <w:t>ne</w:t>
            </w:r>
            <w:proofErr w:type="spellEnd"/>
            <w:r w:rsidRPr="001C47FD">
              <w:rPr>
                <w:color w:val="000000"/>
                <w:sz w:val="24"/>
                <w:szCs w:val="24"/>
                <w:lang w:eastAsia="lv-LV"/>
              </w:rPr>
              <w:t xml:space="preserve"> </w:t>
            </w:r>
            <w:proofErr w:type="spellStart"/>
            <w:r w:rsidRPr="001C47FD">
              <w:rPr>
                <w:color w:val="000000"/>
                <w:sz w:val="24"/>
                <w:szCs w:val="24"/>
                <w:lang w:eastAsia="lv-LV"/>
              </w:rPr>
              <w:t>vairāk</w:t>
            </w:r>
            <w:proofErr w:type="spellEnd"/>
            <w:r w:rsidRPr="001C47FD">
              <w:rPr>
                <w:color w:val="000000"/>
                <w:sz w:val="24"/>
                <w:szCs w:val="24"/>
                <w:lang w:eastAsia="lv-LV"/>
              </w:rPr>
              <w:t xml:space="preserve"> </w:t>
            </w:r>
            <w:proofErr w:type="spellStart"/>
            <w:r w:rsidRPr="001C47FD">
              <w:rPr>
                <w:color w:val="000000"/>
                <w:sz w:val="24"/>
                <w:szCs w:val="24"/>
                <w:lang w:eastAsia="lv-LV"/>
              </w:rPr>
              <w:t>kā</w:t>
            </w:r>
            <w:proofErr w:type="spellEnd"/>
            <w:r w:rsidRPr="001C47FD">
              <w:rPr>
                <w:color w:val="000000"/>
                <w:sz w:val="24"/>
                <w:szCs w:val="24"/>
                <w:lang w:eastAsia="lv-LV"/>
              </w:rPr>
              <w:t xml:space="preserve"> 39 762 36</w:t>
            </w:r>
            <w:r w:rsidRPr="001C47FD">
              <w:rPr>
                <w:b/>
                <w:color w:val="000000"/>
                <w:sz w:val="24"/>
                <w:szCs w:val="24"/>
                <w:lang w:eastAsia="lv-LV"/>
              </w:rPr>
              <w:t>7</w:t>
            </w:r>
            <w:r w:rsidRPr="001C47FD">
              <w:rPr>
                <w:color w:val="000000"/>
                <w:sz w:val="24"/>
                <w:szCs w:val="24"/>
                <w:lang w:eastAsia="lv-LV"/>
              </w:rPr>
              <w:t> </w:t>
            </w:r>
            <w:r w:rsidRPr="001C47FD">
              <w:rPr>
                <w:i/>
                <w:color w:val="000000"/>
                <w:sz w:val="24"/>
                <w:szCs w:val="24"/>
                <w:lang w:eastAsia="lv-LV"/>
              </w:rPr>
              <w:t>euro</w:t>
            </w:r>
            <w:r w:rsidRPr="001C47FD">
              <w:rPr>
                <w:color w:val="000000"/>
                <w:sz w:val="24"/>
                <w:szCs w:val="24"/>
                <w:lang w:eastAsia="lv-LV"/>
              </w:rPr>
              <w:t xml:space="preserve">, </w:t>
            </w:r>
            <w:proofErr w:type="spellStart"/>
            <w:r w:rsidRPr="001C47FD">
              <w:rPr>
                <w:color w:val="000000"/>
                <w:sz w:val="24"/>
                <w:szCs w:val="24"/>
                <w:lang w:eastAsia="lv-LV"/>
              </w:rPr>
              <w:t>ko</w:t>
            </w:r>
            <w:proofErr w:type="spellEnd"/>
            <w:r w:rsidRPr="001C47FD">
              <w:rPr>
                <w:color w:val="000000"/>
                <w:sz w:val="24"/>
                <w:szCs w:val="24"/>
                <w:lang w:eastAsia="lv-LV"/>
              </w:rPr>
              <w:t xml:space="preserve"> </w:t>
            </w:r>
            <w:proofErr w:type="spellStart"/>
            <w:r w:rsidRPr="001C47FD">
              <w:rPr>
                <w:color w:val="000000"/>
                <w:sz w:val="24"/>
                <w:szCs w:val="24"/>
                <w:lang w:eastAsia="lv-LV"/>
              </w:rPr>
              <w:t>veido</w:t>
            </w:r>
            <w:proofErr w:type="spellEnd"/>
            <w:r w:rsidRPr="001C47FD">
              <w:rPr>
                <w:color w:val="000000"/>
                <w:sz w:val="24"/>
                <w:szCs w:val="24"/>
                <w:lang w:eastAsia="lv-LV"/>
              </w:rPr>
              <w:t xml:space="preserve"> Eiropas </w:t>
            </w:r>
            <w:proofErr w:type="spellStart"/>
            <w:r w:rsidRPr="001C47FD">
              <w:rPr>
                <w:color w:val="000000"/>
                <w:sz w:val="24"/>
                <w:szCs w:val="24"/>
                <w:lang w:eastAsia="lv-LV"/>
              </w:rPr>
              <w:t>Reģionālās</w:t>
            </w:r>
            <w:proofErr w:type="spellEnd"/>
            <w:r w:rsidRPr="001C47FD">
              <w:rPr>
                <w:color w:val="000000"/>
                <w:sz w:val="24"/>
                <w:szCs w:val="24"/>
                <w:lang w:eastAsia="lv-LV"/>
              </w:rPr>
              <w:t xml:space="preserve"> </w:t>
            </w:r>
            <w:proofErr w:type="spellStart"/>
            <w:r w:rsidRPr="001C47FD">
              <w:rPr>
                <w:color w:val="000000"/>
                <w:sz w:val="24"/>
                <w:szCs w:val="24"/>
                <w:lang w:eastAsia="lv-LV"/>
              </w:rPr>
              <w:t>attīstības</w:t>
            </w:r>
            <w:proofErr w:type="spellEnd"/>
            <w:r w:rsidRPr="001C47FD">
              <w:rPr>
                <w:color w:val="000000"/>
                <w:sz w:val="24"/>
                <w:szCs w:val="24"/>
                <w:lang w:eastAsia="lv-LV"/>
              </w:rPr>
              <w:t xml:space="preserve"> </w:t>
            </w:r>
            <w:proofErr w:type="spellStart"/>
            <w:r w:rsidRPr="001C47FD">
              <w:rPr>
                <w:color w:val="000000"/>
                <w:sz w:val="24"/>
                <w:szCs w:val="24"/>
                <w:lang w:eastAsia="lv-LV"/>
              </w:rPr>
              <w:lastRenderedPageBreak/>
              <w:t>fonda</w:t>
            </w:r>
            <w:proofErr w:type="spellEnd"/>
            <w:r w:rsidRPr="001C47FD">
              <w:rPr>
                <w:color w:val="000000"/>
                <w:sz w:val="24"/>
                <w:szCs w:val="24"/>
                <w:lang w:eastAsia="lv-LV"/>
              </w:rPr>
              <w:t xml:space="preserve"> </w:t>
            </w:r>
            <w:proofErr w:type="spellStart"/>
            <w:r w:rsidRPr="001C47FD">
              <w:rPr>
                <w:color w:val="000000"/>
                <w:sz w:val="24"/>
                <w:szCs w:val="24"/>
                <w:lang w:eastAsia="lv-LV"/>
              </w:rPr>
              <w:t>finansējums</w:t>
            </w:r>
            <w:proofErr w:type="spellEnd"/>
            <w:r w:rsidRPr="001C47FD">
              <w:rPr>
                <w:color w:val="000000"/>
                <w:sz w:val="24"/>
                <w:szCs w:val="24"/>
                <w:lang w:eastAsia="lv-LV"/>
              </w:rPr>
              <w:t xml:space="preserve"> ne </w:t>
            </w:r>
            <w:proofErr w:type="spellStart"/>
            <w:r w:rsidRPr="001C47FD">
              <w:rPr>
                <w:color w:val="000000"/>
                <w:sz w:val="24"/>
                <w:szCs w:val="24"/>
                <w:lang w:eastAsia="lv-LV"/>
              </w:rPr>
              <w:t>vairāk</w:t>
            </w:r>
            <w:proofErr w:type="spellEnd"/>
            <w:r w:rsidRPr="001C47FD">
              <w:rPr>
                <w:color w:val="000000"/>
                <w:sz w:val="24"/>
                <w:szCs w:val="24"/>
                <w:lang w:eastAsia="lv-LV"/>
              </w:rPr>
              <w:t xml:space="preserve"> </w:t>
            </w:r>
            <w:proofErr w:type="spellStart"/>
            <w:r w:rsidRPr="001C47FD">
              <w:rPr>
                <w:color w:val="000000"/>
                <w:sz w:val="24"/>
                <w:szCs w:val="24"/>
                <w:lang w:eastAsia="lv-LV"/>
              </w:rPr>
              <w:t>kā</w:t>
            </w:r>
            <w:proofErr w:type="spellEnd"/>
            <w:r w:rsidRPr="001C47FD">
              <w:rPr>
                <w:color w:val="000000"/>
                <w:sz w:val="24"/>
                <w:szCs w:val="24"/>
                <w:lang w:eastAsia="lv-LV"/>
              </w:rPr>
              <w:t xml:space="preserve"> 36 769 760 </w:t>
            </w:r>
            <w:r w:rsidRPr="001C47FD">
              <w:rPr>
                <w:i/>
                <w:color w:val="000000"/>
                <w:sz w:val="24"/>
                <w:szCs w:val="24"/>
                <w:lang w:eastAsia="lv-LV"/>
              </w:rPr>
              <w:t>euro</w:t>
            </w:r>
            <w:r w:rsidRPr="001C47FD">
              <w:rPr>
                <w:color w:val="000000"/>
                <w:sz w:val="24"/>
                <w:szCs w:val="24"/>
                <w:lang w:eastAsia="lv-LV"/>
              </w:rPr>
              <w:t xml:space="preserve"> </w:t>
            </w:r>
            <w:proofErr w:type="spellStart"/>
            <w:r w:rsidRPr="001C47FD">
              <w:rPr>
                <w:color w:val="000000"/>
                <w:sz w:val="24"/>
                <w:szCs w:val="24"/>
                <w:lang w:eastAsia="lv-LV"/>
              </w:rPr>
              <w:t>apmērā</w:t>
            </w:r>
            <w:proofErr w:type="spellEnd"/>
            <w:r w:rsidRPr="001C47FD">
              <w:rPr>
                <w:color w:val="000000"/>
                <w:sz w:val="24"/>
                <w:szCs w:val="24"/>
                <w:lang w:eastAsia="lv-LV"/>
              </w:rPr>
              <w:t xml:space="preserve"> un </w:t>
            </w:r>
            <w:proofErr w:type="spellStart"/>
            <w:r w:rsidRPr="001C47FD">
              <w:rPr>
                <w:color w:val="000000"/>
                <w:sz w:val="24"/>
                <w:szCs w:val="24"/>
                <w:lang w:eastAsia="lv-LV"/>
              </w:rPr>
              <w:t>valsts</w:t>
            </w:r>
            <w:proofErr w:type="spellEnd"/>
            <w:r w:rsidRPr="001C47FD">
              <w:rPr>
                <w:color w:val="000000"/>
                <w:sz w:val="24"/>
                <w:szCs w:val="24"/>
                <w:lang w:eastAsia="lv-LV"/>
              </w:rPr>
              <w:t xml:space="preserve"> </w:t>
            </w:r>
            <w:proofErr w:type="spellStart"/>
            <w:r w:rsidRPr="001C47FD">
              <w:rPr>
                <w:color w:val="000000"/>
                <w:sz w:val="24"/>
                <w:szCs w:val="24"/>
                <w:lang w:eastAsia="lv-LV"/>
              </w:rPr>
              <w:t>budžeta</w:t>
            </w:r>
            <w:proofErr w:type="spellEnd"/>
            <w:r w:rsidRPr="001C47FD">
              <w:rPr>
                <w:color w:val="000000"/>
                <w:sz w:val="24"/>
                <w:szCs w:val="24"/>
                <w:lang w:eastAsia="lv-LV"/>
              </w:rPr>
              <w:t xml:space="preserve"> </w:t>
            </w:r>
            <w:proofErr w:type="spellStart"/>
            <w:r w:rsidRPr="001C47FD">
              <w:rPr>
                <w:color w:val="000000"/>
                <w:sz w:val="24"/>
                <w:szCs w:val="24"/>
                <w:lang w:eastAsia="lv-LV"/>
              </w:rPr>
              <w:t>finansējums</w:t>
            </w:r>
            <w:proofErr w:type="spellEnd"/>
            <w:r w:rsidRPr="001C47FD">
              <w:rPr>
                <w:color w:val="000000"/>
                <w:sz w:val="24"/>
                <w:szCs w:val="24"/>
                <w:lang w:eastAsia="lv-LV"/>
              </w:rPr>
              <w:t xml:space="preserve"> </w:t>
            </w:r>
            <w:proofErr w:type="spellStart"/>
            <w:r w:rsidRPr="001C47FD">
              <w:rPr>
                <w:color w:val="000000"/>
                <w:sz w:val="24"/>
                <w:szCs w:val="24"/>
                <w:lang w:eastAsia="lv-LV"/>
              </w:rPr>
              <w:t>ne</w:t>
            </w:r>
            <w:proofErr w:type="spellEnd"/>
            <w:r w:rsidRPr="001C47FD">
              <w:rPr>
                <w:color w:val="000000"/>
                <w:sz w:val="24"/>
                <w:szCs w:val="24"/>
                <w:lang w:eastAsia="lv-LV"/>
              </w:rPr>
              <w:t xml:space="preserve"> </w:t>
            </w:r>
            <w:proofErr w:type="spellStart"/>
            <w:r w:rsidRPr="001C47FD">
              <w:rPr>
                <w:color w:val="000000"/>
                <w:sz w:val="24"/>
                <w:szCs w:val="24"/>
                <w:lang w:eastAsia="lv-LV"/>
              </w:rPr>
              <w:t>vairāk</w:t>
            </w:r>
            <w:proofErr w:type="spellEnd"/>
            <w:r w:rsidRPr="001C47FD">
              <w:rPr>
                <w:color w:val="000000"/>
                <w:sz w:val="24"/>
                <w:szCs w:val="24"/>
                <w:lang w:eastAsia="lv-LV"/>
              </w:rPr>
              <w:t xml:space="preserve"> </w:t>
            </w:r>
            <w:proofErr w:type="spellStart"/>
            <w:r w:rsidRPr="001C47FD">
              <w:rPr>
                <w:color w:val="000000"/>
                <w:sz w:val="24"/>
                <w:szCs w:val="24"/>
                <w:lang w:eastAsia="lv-LV"/>
              </w:rPr>
              <w:t>kā</w:t>
            </w:r>
            <w:proofErr w:type="spellEnd"/>
            <w:r w:rsidRPr="001C47FD">
              <w:rPr>
                <w:color w:val="000000"/>
                <w:sz w:val="24"/>
                <w:szCs w:val="24"/>
                <w:lang w:eastAsia="lv-LV"/>
              </w:rPr>
              <w:t xml:space="preserve"> 2 992 607 </w:t>
            </w:r>
            <w:r w:rsidRPr="001C47FD">
              <w:rPr>
                <w:i/>
                <w:color w:val="000000"/>
                <w:sz w:val="24"/>
                <w:szCs w:val="24"/>
                <w:lang w:eastAsia="lv-LV"/>
              </w:rPr>
              <w:t>euro</w:t>
            </w:r>
            <w:r w:rsidRPr="001C47FD">
              <w:rPr>
                <w:color w:val="000000"/>
                <w:sz w:val="24"/>
                <w:szCs w:val="24"/>
                <w:lang w:eastAsia="lv-LV"/>
              </w:rPr>
              <w:t xml:space="preserve"> </w:t>
            </w:r>
            <w:proofErr w:type="spellStart"/>
            <w:r w:rsidRPr="001C47FD">
              <w:rPr>
                <w:color w:val="000000"/>
                <w:sz w:val="24"/>
                <w:szCs w:val="24"/>
                <w:lang w:eastAsia="lv-LV"/>
              </w:rPr>
              <w:t>apmērā</w:t>
            </w:r>
            <w:proofErr w:type="spellEnd"/>
            <w:r w:rsidRPr="001C47FD">
              <w:rPr>
                <w:color w:val="000000"/>
                <w:sz w:val="24"/>
                <w:szCs w:val="24"/>
                <w:lang w:eastAsia="lv-LV"/>
              </w:rPr>
              <w:t>."</w:t>
            </w:r>
          </w:p>
          <w:p w14:paraId="40B958DF" w14:textId="77777777" w:rsidR="004118C7" w:rsidRPr="001C47FD" w:rsidRDefault="004118C7" w:rsidP="008E2CD9">
            <w:pPr>
              <w:pStyle w:val="tv2132"/>
              <w:spacing w:line="240" w:lineRule="auto"/>
              <w:ind w:firstLine="720"/>
              <w:rPr>
                <w:sz w:val="24"/>
                <w:szCs w:val="24"/>
                <w:lang w:eastAsia="lv-LV"/>
              </w:rPr>
            </w:pPr>
          </w:p>
          <w:p w14:paraId="21934253" w14:textId="6B4BB826" w:rsidR="004118C7" w:rsidRPr="001C47FD" w:rsidRDefault="004118C7" w:rsidP="008E2CD9">
            <w:pPr>
              <w:pStyle w:val="ListParagraph"/>
              <w:ind w:left="0"/>
              <w:jc w:val="both"/>
              <w:rPr>
                <w:rFonts w:ascii="Times New Roman" w:hAnsi="Times New Roman"/>
                <w:color w:val="000000"/>
                <w:sz w:val="24"/>
                <w:szCs w:val="24"/>
              </w:rPr>
            </w:pPr>
            <w:r w:rsidRPr="001C47FD">
              <w:rPr>
                <w:rFonts w:ascii="Times New Roman" w:hAnsi="Times New Roman"/>
                <w:color w:val="000000"/>
                <w:sz w:val="24"/>
                <w:szCs w:val="24"/>
              </w:rPr>
              <w:t>Izteikt 12.</w:t>
            </w:r>
            <w:r w:rsidRPr="001C47FD">
              <w:rPr>
                <w:rFonts w:ascii="Times New Roman" w:hAnsi="Times New Roman"/>
                <w:color w:val="000000"/>
                <w:sz w:val="24"/>
                <w:szCs w:val="24"/>
                <w:vertAlign w:val="superscript"/>
              </w:rPr>
              <w:t>1</w:t>
            </w:r>
            <w:r w:rsidRPr="001C47FD">
              <w:rPr>
                <w:rFonts w:ascii="Times New Roman" w:hAnsi="Times New Roman"/>
                <w:color w:val="000000"/>
                <w:sz w:val="24"/>
                <w:szCs w:val="24"/>
              </w:rPr>
              <w:t xml:space="preserve"> </w:t>
            </w:r>
            <w:r w:rsidR="00763B76">
              <w:rPr>
                <w:rFonts w:ascii="Times New Roman" w:hAnsi="Times New Roman"/>
                <w:color w:val="000000"/>
                <w:sz w:val="24"/>
                <w:szCs w:val="24"/>
              </w:rPr>
              <w:t xml:space="preserve">un </w:t>
            </w:r>
            <w:r w:rsidR="00763B76" w:rsidRPr="001C47FD">
              <w:rPr>
                <w:rFonts w:ascii="Times New Roman" w:hAnsi="Times New Roman"/>
                <w:color w:val="000000"/>
                <w:sz w:val="24"/>
                <w:szCs w:val="24"/>
              </w:rPr>
              <w:t>12.</w:t>
            </w:r>
            <w:r w:rsidR="00763B76">
              <w:rPr>
                <w:rFonts w:ascii="Times New Roman" w:hAnsi="Times New Roman"/>
                <w:color w:val="000000"/>
                <w:sz w:val="24"/>
                <w:szCs w:val="24"/>
                <w:vertAlign w:val="superscript"/>
              </w:rPr>
              <w:t>2</w:t>
            </w:r>
            <w:r w:rsidR="00763B76" w:rsidRPr="001C47FD">
              <w:rPr>
                <w:rFonts w:ascii="Times New Roman" w:hAnsi="Times New Roman"/>
                <w:color w:val="000000"/>
                <w:sz w:val="24"/>
                <w:szCs w:val="24"/>
              </w:rPr>
              <w:t xml:space="preserve"> </w:t>
            </w:r>
            <w:r w:rsidRPr="001C47FD">
              <w:rPr>
                <w:rFonts w:ascii="Times New Roman" w:hAnsi="Times New Roman"/>
                <w:color w:val="000000"/>
                <w:sz w:val="24"/>
                <w:szCs w:val="24"/>
              </w:rPr>
              <w:t>punktu šādā redakcijā:</w:t>
            </w:r>
          </w:p>
          <w:p w14:paraId="0116780F" w14:textId="77777777" w:rsidR="004118C7" w:rsidRPr="001C47FD" w:rsidRDefault="004118C7" w:rsidP="008E2CD9">
            <w:pPr>
              <w:pStyle w:val="tv2132"/>
              <w:spacing w:line="240" w:lineRule="auto"/>
              <w:ind w:firstLine="0"/>
              <w:rPr>
                <w:color w:val="000000"/>
                <w:sz w:val="24"/>
                <w:szCs w:val="24"/>
                <w:lang w:eastAsia="lv-LV"/>
              </w:rPr>
            </w:pPr>
            <w:r w:rsidRPr="001C47FD">
              <w:rPr>
                <w:color w:val="000000"/>
                <w:sz w:val="24"/>
                <w:szCs w:val="24"/>
                <w:lang w:eastAsia="lv-LV"/>
              </w:rPr>
              <w:t>"12.</w:t>
            </w:r>
            <w:r w:rsidRPr="001C47FD">
              <w:rPr>
                <w:color w:val="000000"/>
                <w:sz w:val="24"/>
                <w:szCs w:val="24"/>
                <w:vertAlign w:val="superscript"/>
                <w:lang w:eastAsia="lv-LV"/>
              </w:rPr>
              <w:t>1</w:t>
            </w:r>
            <w:r w:rsidRPr="001C47FD">
              <w:rPr>
                <w:color w:val="000000"/>
                <w:sz w:val="24"/>
                <w:szCs w:val="24"/>
                <w:lang w:eastAsia="lv-LV"/>
              </w:rPr>
              <w:t xml:space="preserve"> </w:t>
            </w:r>
            <w:proofErr w:type="spellStart"/>
            <w:r w:rsidRPr="001C47FD">
              <w:rPr>
                <w:color w:val="000000"/>
                <w:sz w:val="24"/>
                <w:szCs w:val="24"/>
                <w:lang w:eastAsia="lv-LV"/>
              </w:rPr>
              <w:t>Otrajā</w:t>
            </w:r>
            <w:proofErr w:type="spellEnd"/>
            <w:r w:rsidRPr="001C47FD">
              <w:rPr>
                <w:color w:val="000000"/>
                <w:sz w:val="24"/>
                <w:szCs w:val="24"/>
                <w:lang w:eastAsia="lv-LV"/>
              </w:rPr>
              <w:t xml:space="preserve"> </w:t>
            </w:r>
            <w:proofErr w:type="spellStart"/>
            <w:r w:rsidRPr="001C47FD">
              <w:rPr>
                <w:color w:val="000000"/>
                <w:sz w:val="24"/>
                <w:szCs w:val="24"/>
                <w:lang w:eastAsia="lv-LV"/>
              </w:rPr>
              <w:t>projektu</w:t>
            </w:r>
            <w:proofErr w:type="spellEnd"/>
            <w:r w:rsidRPr="001C47FD">
              <w:rPr>
                <w:color w:val="000000"/>
                <w:sz w:val="24"/>
                <w:szCs w:val="24"/>
                <w:lang w:eastAsia="lv-LV"/>
              </w:rPr>
              <w:t xml:space="preserve"> </w:t>
            </w:r>
            <w:proofErr w:type="spellStart"/>
            <w:r w:rsidRPr="001C47FD">
              <w:rPr>
                <w:color w:val="000000"/>
                <w:sz w:val="24"/>
                <w:szCs w:val="24"/>
                <w:lang w:eastAsia="lv-LV"/>
              </w:rPr>
              <w:t>iesniegumu</w:t>
            </w:r>
            <w:proofErr w:type="spellEnd"/>
            <w:r w:rsidRPr="001C47FD">
              <w:rPr>
                <w:color w:val="000000"/>
                <w:sz w:val="24"/>
                <w:szCs w:val="24"/>
                <w:lang w:eastAsia="lv-LV"/>
              </w:rPr>
              <w:t xml:space="preserve"> atlases </w:t>
            </w:r>
            <w:proofErr w:type="spellStart"/>
            <w:r w:rsidRPr="001C47FD">
              <w:rPr>
                <w:color w:val="000000"/>
                <w:sz w:val="24"/>
                <w:szCs w:val="24"/>
                <w:lang w:eastAsia="lv-LV"/>
              </w:rPr>
              <w:t>kārtās</w:t>
            </w:r>
            <w:proofErr w:type="spellEnd"/>
            <w:r w:rsidRPr="001C47FD">
              <w:rPr>
                <w:color w:val="000000"/>
                <w:sz w:val="24"/>
                <w:szCs w:val="24"/>
                <w:lang w:eastAsia="lv-LV"/>
              </w:rPr>
              <w:t xml:space="preserve"> </w:t>
            </w:r>
            <w:proofErr w:type="spellStart"/>
            <w:r w:rsidRPr="001C47FD">
              <w:rPr>
                <w:color w:val="000000"/>
                <w:sz w:val="24"/>
                <w:szCs w:val="24"/>
                <w:lang w:eastAsia="lv-LV"/>
              </w:rPr>
              <w:t>pieejamais</w:t>
            </w:r>
            <w:proofErr w:type="spellEnd"/>
            <w:r w:rsidRPr="001C47FD">
              <w:rPr>
                <w:color w:val="000000"/>
                <w:sz w:val="24"/>
                <w:szCs w:val="24"/>
                <w:lang w:eastAsia="lv-LV"/>
              </w:rPr>
              <w:t xml:space="preserve"> </w:t>
            </w:r>
            <w:proofErr w:type="spellStart"/>
            <w:r w:rsidRPr="001C47FD">
              <w:rPr>
                <w:color w:val="000000"/>
                <w:sz w:val="24"/>
                <w:szCs w:val="24"/>
                <w:lang w:eastAsia="lv-LV"/>
              </w:rPr>
              <w:t>kopējais</w:t>
            </w:r>
            <w:proofErr w:type="spellEnd"/>
            <w:r w:rsidRPr="001C47FD">
              <w:rPr>
                <w:color w:val="000000"/>
                <w:sz w:val="24"/>
                <w:szCs w:val="24"/>
                <w:lang w:eastAsia="lv-LV"/>
              </w:rPr>
              <w:t xml:space="preserve"> </w:t>
            </w:r>
            <w:proofErr w:type="spellStart"/>
            <w:r w:rsidRPr="001C47FD">
              <w:rPr>
                <w:color w:val="000000"/>
                <w:sz w:val="24"/>
                <w:szCs w:val="24"/>
                <w:lang w:eastAsia="lv-LV"/>
              </w:rPr>
              <w:t>attiecināmais</w:t>
            </w:r>
            <w:proofErr w:type="spellEnd"/>
            <w:r w:rsidRPr="001C47FD">
              <w:rPr>
                <w:color w:val="000000"/>
                <w:sz w:val="24"/>
                <w:szCs w:val="24"/>
                <w:lang w:eastAsia="lv-LV"/>
              </w:rPr>
              <w:t xml:space="preserve"> </w:t>
            </w:r>
            <w:proofErr w:type="spellStart"/>
            <w:r w:rsidRPr="001C47FD">
              <w:rPr>
                <w:color w:val="000000"/>
                <w:sz w:val="24"/>
                <w:szCs w:val="24"/>
                <w:lang w:eastAsia="lv-LV"/>
              </w:rPr>
              <w:t>publiskais</w:t>
            </w:r>
            <w:proofErr w:type="spellEnd"/>
            <w:r w:rsidRPr="001C47FD">
              <w:rPr>
                <w:color w:val="000000"/>
                <w:sz w:val="24"/>
                <w:szCs w:val="24"/>
                <w:lang w:eastAsia="lv-LV"/>
              </w:rPr>
              <w:t xml:space="preserve"> </w:t>
            </w:r>
            <w:proofErr w:type="spellStart"/>
            <w:r w:rsidRPr="001C47FD">
              <w:rPr>
                <w:color w:val="000000"/>
                <w:sz w:val="24"/>
                <w:szCs w:val="24"/>
                <w:lang w:eastAsia="lv-LV"/>
              </w:rPr>
              <w:t>finansējums</w:t>
            </w:r>
            <w:proofErr w:type="spellEnd"/>
            <w:r w:rsidRPr="001C47FD">
              <w:rPr>
                <w:color w:val="000000"/>
                <w:sz w:val="24"/>
                <w:szCs w:val="24"/>
                <w:lang w:eastAsia="lv-LV"/>
              </w:rPr>
              <w:t xml:space="preserve"> </w:t>
            </w:r>
            <w:proofErr w:type="spellStart"/>
            <w:r w:rsidRPr="001C47FD">
              <w:rPr>
                <w:color w:val="000000"/>
                <w:sz w:val="24"/>
                <w:szCs w:val="24"/>
                <w:lang w:eastAsia="lv-LV"/>
              </w:rPr>
              <w:t>ir</w:t>
            </w:r>
            <w:proofErr w:type="spellEnd"/>
            <w:r w:rsidRPr="001C47FD">
              <w:rPr>
                <w:color w:val="000000"/>
                <w:sz w:val="24"/>
                <w:szCs w:val="24"/>
                <w:lang w:eastAsia="lv-LV"/>
              </w:rPr>
              <w:t xml:space="preserve"> </w:t>
            </w:r>
            <w:proofErr w:type="spellStart"/>
            <w:r w:rsidRPr="001C47FD">
              <w:rPr>
                <w:color w:val="000000"/>
                <w:sz w:val="24"/>
                <w:szCs w:val="24"/>
                <w:lang w:eastAsia="lv-LV"/>
              </w:rPr>
              <w:t>ne</w:t>
            </w:r>
            <w:proofErr w:type="spellEnd"/>
            <w:r w:rsidRPr="001C47FD">
              <w:rPr>
                <w:color w:val="000000"/>
                <w:sz w:val="24"/>
                <w:szCs w:val="24"/>
                <w:lang w:eastAsia="lv-LV"/>
              </w:rPr>
              <w:t xml:space="preserve"> </w:t>
            </w:r>
            <w:proofErr w:type="spellStart"/>
            <w:r w:rsidRPr="001C47FD">
              <w:rPr>
                <w:color w:val="000000"/>
                <w:sz w:val="24"/>
                <w:szCs w:val="24"/>
                <w:lang w:eastAsia="lv-LV"/>
              </w:rPr>
              <w:t>vairāk</w:t>
            </w:r>
            <w:proofErr w:type="spellEnd"/>
            <w:r w:rsidRPr="001C47FD">
              <w:rPr>
                <w:color w:val="000000"/>
                <w:sz w:val="24"/>
                <w:szCs w:val="24"/>
                <w:lang w:eastAsia="lv-LV"/>
              </w:rPr>
              <w:t xml:space="preserve"> </w:t>
            </w:r>
            <w:proofErr w:type="spellStart"/>
            <w:r w:rsidRPr="001C47FD">
              <w:rPr>
                <w:color w:val="000000"/>
                <w:sz w:val="24"/>
                <w:szCs w:val="24"/>
                <w:lang w:eastAsia="lv-LV"/>
              </w:rPr>
              <w:t>kā</w:t>
            </w:r>
            <w:proofErr w:type="spellEnd"/>
            <w:r w:rsidRPr="001C47FD">
              <w:rPr>
                <w:color w:val="000000"/>
                <w:sz w:val="24"/>
                <w:szCs w:val="24"/>
                <w:lang w:eastAsia="lv-LV"/>
              </w:rPr>
              <w:t xml:space="preserve"> </w:t>
            </w:r>
            <w:r w:rsidRPr="001C47FD">
              <w:rPr>
                <w:b/>
                <w:color w:val="000000"/>
                <w:sz w:val="24"/>
                <w:szCs w:val="24"/>
                <w:lang w:eastAsia="lv-LV"/>
              </w:rPr>
              <w:t>23 449 626</w:t>
            </w:r>
            <w:r w:rsidRPr="001C47FD">
              <w:rPr>
                <w:color w:val="000000"/>
                <w:sz w:val="24"/>
                <w:szCs w:val="24"/>
                <w:lang w:eastAsia="lv-LV"/>
              </w:rPr>
              <w:t xml:space="preserve"> </w:t>
            </w:r>
            <w:r w:rsidRPr="001C47FD">
              <w:rPr>
                <w:i/>
                <w:color w:val="000000"/>
                <w:sz w:val="24"/>
                <w:szCs w:val="24"/>
                <w:lang w:eastAsia="lv-LV"/>
              </w:rPr>
              <w:t>euro</w:t>
            </w:r>
            <w:r w:rsidRPr="001C47FD">
              <w:rPr>
                <w:color w:val="000000"/>
                <w:sz w:val="24"/>
                <w:szCs w:val="24"/>
                <w:lang w:eastAsia="lv-LV"/>
              </w:rPr>
              <w:t xml:space="preserve">, </w:t>
            </w:r>
            <w:proofErr w:type="spellStart"/>
            <w:r w:rsidRPr="001C47FD">
              <w:rPr>
                <w:color w:val="000000"/>
                <w:sz w:val="24"/>
                <w:szCs w:val="24"/>
                <w:lang w:eastAsia="lv-LV"/>
              </w:rPr>
              <w:t>ko</w:t>
            </w:r>
            <w:proofErr w:type="spellEnd"/>
            <w:r w:rsidRPr="001C47FD">
              <w:rPr>
                <w:color w:val="000000"/>
                <w:sz w:val="24"/>
                <w:szCs w:val="24"/>
                <w:lang w:eastAsia="lv-LV"/>
              </w:rPr>
              <w:t xml:space="preserve"> </w:t>
            </w:r>
            <w:proofErr w:type="spellStart"/>
            <w:r w:rsidRPr="001C47FD">
              <w:rPr>
                <w:color w:val="000000"/>
                <w:sz w:val="24"/>
                <w:szCs w:val="24"/>
                <w:lang w:eastAsia="lv-LV"/>
              </w:rPr>
              <w:t>veido</w:t>
            </w:r>
            <w:proofErr w:type="spellEnd"/>
            <w:r w:rsidRPr="001C47FD">
              <w:rPr>
                <w:color w:val="000000"/>
                <w:sz w:val="24"/>
                <w:szCs w:val="24"/>
                <w:lang w:eastAsia="lv-LV"/>
              </w:rPr>
              <w:t xml:space="preserve"> Eiropas </w:t>
            </w:r>
            <w:proofErr w:type="spellStart"/>
            <w:r w:rsidRPr="001C47FD">
              <w:rPr>
                <w:color w:val="000000"/>
                <w:sz w:val="24"/>
                <w:szCs w:val="24"/>
                <w:lang w:eastAsia="lv-LV"/>
              </w:rPr>
              <w:t>Reģionālās</w:t>
            </w:r>
            <w:proofErr w:type="spellEnd"/>
            <w:r w:rsidRPr="001C47FD">
              <w:rPr>
                <w:color w:val="000000"/>
                <w:sz w:val="24"/>
                <w:szCs w:val="24"/>
                <w:lang w:eastAsia="lv-LV"/>
              </w:rPr>
              <w:t xml:space="preserve"> </w:t>
            </w:r>
            <w:proofErr w:type="spellStart"/>
            <w:r w:rsidRPr="001C47FD">
              <w:rPr>
                <w:color w:val="000000"/>
                <w:sz w:val="24"/>
                <w:szCs w:val="24"/>
                <w:lang w:eastAsia="lv-LV"/>
              </w:rPr>
              <w:t>attīstības</w:t>
            </w:r>
            <w:proofErr w:type="spellEnd"/>
            <w:r w:rsidRPr="001C47FD">
              <w:rPr>
                <w:color w:val="000000"/>
                <w:sz w:val="24"/>
                <w:szCs w:val="24"/>
                <w:lang w:eastAsia="lv-LV"/>
              </w:rPr>
              <w:t xml:space="preserve"> </w:t>
            </w:r>
            <w:proofErr w:type="spellStart"/>
            <w:r w:rsidRPr="001C47FD">
              <w:rPr>
                <w:color w:val="000000"/>
                <w:sz w:val="24"/>
                <w:szCs w:val="24"/>
                <w:lang w:eastAsia="lv-LV"/>
              </w:rPr>
              <w:t>fonda</w:t>
            </w:r>
            <w:proofErr w:type="spellEnd"/>
            <w:r w:rsidRPr="001C47FD">
              <w:rPr>
                <w:color w:val="000000"/>
                <w:sz w:val="24"/>
                <w:szCs w:val="24"/>
                <w:lang w:eastAsia="lv-LV"/>
              </w:rPr>
              <w:t xml:space="preserve"> </w:t>
            </w:r>
            <w:proofErr w:type="spellStart"/>
            <w:r w:rsidRPr="001C47FD">
              <w:rPr>
                <w:color w:val="000000"/>
                <w:sz w:val="24"/>
                <w:szCs w:val="24"/>
                <w:lang w:eastAsia="lv-LV"/>
              </w:rPr>
              <w:t>finansējums</w:t>
            </w:r>
            <w:proofErr w:type="spellEnd"/>
            <w:r w:rsidRPr="001C47FD">
              <w:rPr>
                <w:color w:val="000000"/>
                <w:sz w:val="24"/>
                <w:szCs w:val="24"/>
                <w:lang w:eastAsia="lv-LV"/>
              </w:rPr>
              <w:t xml:space="preserve"> ne </w:t>
            </w:r>
            <w:proofErr w:type="spellStart"/>
            <w:r w:rsidRPr="001C47FD">
              <w:rPr>
                <w:color w:val="000000"/>
                <w:sz w:val="24"/>
                <w:szCs w:val="24"/>
                <w:lang w:eastAsia="lv-LV"/>
              </w:rPr>
              <w:t>vairāk</w:t>
            </w:r>
            <w:proofErr w:type="spellEnd"/>
            <w:r w:rsidRPr="001C47FD">
              <w:rPr>
                <w:color w:val="000000"/>
                <w:sz w:val="24"/>
                <w:szCs w:val="24"/>
                <w:lang w:eastAsia="lv-LV"/>
              </w:rPr>
              <w:t xml:space="preserve"> </w:t>
            </w:r>
            <w:proofErr w:type="spellStart"/>
            <w:r w:rsidRPr="001C47FD">
              <w:rPr>
                <w:color w:val="000000"/>
                <w:sz w:val="24"/>
                <w:szCs w:val="24"/>
                <w:lang w:eastAsia="lv-LV"/>
              </w:rPr>
              <w:t>kā</w:t>
            </w:r>
            <w:proofErr w:type="spellEnd"/>
            <w:r w:rsidRPr="001C47FD">
              <w:rPr>
                <w:color w:val="000000"/>
                <w:sz w:val="24"/>
                <w:szCs w:val="24"/>
                <w:lang w:eastAsia="lv-LV"/>
              </w:rPr>
              <w:t xml:space="preserve"> </w:t>
            </w:r>
            <w:r w:rsidRPr="001C47FD">
              <w:rPr>
                <w:b/>
                <w:color w:val="000000"/>
                <w:sz w:val="24"/>
                <w:szCs w:val="24"/>
                <w:lang w:eastAsia="lv-LV"/>
              </w:rPr>
              <w:t>17 832 302</w:t>
            </w:r>
            <w:r w:rsidRPr="001C47FD">
              <w:rPr>
                <w:color w:val="000000"/>
                <w:sz w:val="24"/>
                <w:szCs w:val="24"/>
                <w:lang w:eastAsia="lv-LV"/>
              </w:rPr>
              <w:t xml:space="preserve"> </w:t>
            </w:r>
            <w:r w:rsidRPr="001C47FD">
              <w:rPr>
                <w:i/>
                <w:color w:val="000000"/>
                <w:sz w:val="24"/>
                <w:szCs w:val="24"/>
                <w:lang w:eastAsia="lv-LV"/>
              </w:rPr>
              <w:t>euro</w:t>
            </w:r>
            <w:r w:rsidRPr="001C47FD">
              <w:rPr>
                <w:color w:val="000000"/>
                <w:sz w:val="24"/>
                <w:szCs w:val="24"/>
                <w:lang w:eastAsia="lv-LV"/>
              </w:rPr>
              <w:t xml:space="preserve"> </w:t>
            </w:r>
            <w:proofErr w:type="spellStart"/>
            <w:r w:rsidRPr="001C47FD">
              <w:rPr>
                <w:color w:val="000000"/>
                <w:sz w:val="24"/>
                <w:szCs w:val="24"/>
                <w:lang w:eastAsia="lv-LV"/>
              </w:rPr>
              <w:t>apmērā</w:t>
            </w:r>
            <w:proofErr w:type="spellEnd"/>
            <w:r w:rsidRPr="001C47FD">
              <w:rPr>
                <w:color w:val="000000"/>
                <w:sz w:val="24"/>
                <w:szCs w:val="24"/>
                <w:lang w:eastAsia="lv-LV"/>
              </w:rPr>
              <w:t xml:space="preserve"> un </w:t>
            </w:r>
            <w:proofErr w:type="spellStart"/>
            <w:r w:rsidRPr="001C47FD">
              <w:rPr>
                <w:color w:val="000000"/>
                <w:sz w:val="24"/>
                <w:szCs w:val="24"/>
                <w:lang w:eastAsia="lv-LV"/>
              </w:rPr>
              <w:t>valsts</w:t>
            </w:r>
            <w:proofErr w:type="spellEnd"/>
            <w:r w:rsidRPr="001C47FD">
              <w:rPr>
                <w:color w:val="000000"/>
                <w:sz w:val="24"/>
                <w:szCs w:val="24"/>
                <w:lang w:eastAsia="lv-LV"/>
              </w:rPr>
              <w:t xml:space="preserve"> </w:t>
            </w:r>
            <w:proofErr w:type="spellStart"/>
            <w:r w:rsidRPr="001C47FD">
              <w:rPr>
                <w:color w:val="000000"/>
                <w:sz w:val="24"/>
                <w:szCs w:val="24"/>
                <w:lang w:eastAsia="lv-LV"/>
              </w:rPr>
              <w:t>budžeta</w:t>
            </w:r>
            <w:proofErr w:type="spellEnd"/>
            <w:r w:rsidRPr="001C47FD">
              <w:rPr>
                <w:color w:val="000000"/>
                <w:sz w:val="24"/>
                <w:szCs w:val="24"/>
                <w:lang w:eastAsia="lv-LV"/>
              </w:rPr>
              <w:t xml:space="preserve"> </w:t>
            </w:r>
            <w:proofErr w:type="spellStart"/>
            <w:r w:rsidRPr="001C47FD">
              <w:rPr>
                <w:color w:val="000000"/>
                <w:sz w:val="24"/>
                <w:szCs w:val="24"/>
                <w:lang w:eastAsia="lv-LV"/>
              </w:rPr>
              <w:t>finansējums</w:t>
            </w:r>
            <w:proofErr w:type="spellEnd"/>
            <w:r w:rsidRPr="001C47FD">
              <w:rPr>
                <w:color w:val="000000"/>
                <w:sz w:val="24"/>
                <w:szCs w:val="24"/>
                <w:lang w:eastAsia="lv-LV"/>
              </w:rPr>
              <w:t xml:space="preserve"> </w:t>
            </w:r>
            <w:proofErr w:type="spellStart"/>
            <w:r w:rsidRPr="001C47FD">
              <w:rPr>
                <w:color w:val="000000"/>
                <w:sz w:val="24"/>
                <w:szCs w:val="24"/>
                <w:lang w:eastAsia="lv-LV"/>
              </w:rPr>
              <w:t>ne</w:t>
            </w:r>
            <w:proofErr w:type="spellEnd"/>
            <w:r w:rsidRPr="001C47FD">
              <w:rPr>
                <w:color w:val="000000"/>
                <w:sz w:val="24"/>
                <w:szCs w:val="24"/>
                <w:lang w:eastAsia="lv-LV"/>
              </w:rPr>
              <w:t xml:space="preserve"> </w:t>
            </w:r>
            <w:proofErr w:type="spellStart"/>
            <w:r w:rsidRPr="001C47FD">
              <w:rPr>
                <w:color w:val="000000"/>
                <w:sz w:val="24"/>
                <w:szCs w:val="24"/>
                <w:lang w:eastAsia="lv-LV"/>
              </w:rPr>
              <w:t>vairāk</w:t>
            </w:r>
            <w:proofErr w:type="spellEnd"/>
            <w:r w:rsidRPr="001C47FD">
              <w:rPr>
                <w:color w:val="000000"/>
                <w:sz w:val="24"/>
                <w:szCs w:val="24"/>
                <w:lang w:eastAsia="lv-LV"/>
              </w:rPr>
              <w:t xml:space="preserve"> </w:t>
            </w:r>
            <w:proofErr w:type="spellStart"/>
            <w:r w:rsidRPr="001C47FD">
              <w:rPr>
                <w:color w:val="000000"/>
                <w:sz w:val="24"/>
                <w:szCs w:val="24"/>
                <w:lang w:eastAsia="lv-LV"/>
              </w:rPr>
              <w:t>kā</w:t>
            </w:r>
            <w:proofErr w:type="spellEnd"/>
            <w:r w:rsidRPr="001C47FD">
              <w:rPr>
                <w:color w:val="000000"/>
                <w:sz w:val="24"/>
                <w:szCs w:val="24"/>
                <w:lang w:eastAsia="lv-LV"/>
              </w:rPr>
              <w:t xml:space="preserve"> 5 617 324 </w:t>
            </w:r>
            <w:r w:rsidRPr="001C47FD">
              <w:rPr>
                <w:i/>
                <w:color w:val="000000"/>
                <w:sz w:val="24"/>
                <w:szCs w:val="24"/>
                <w:lang w:eastAsia="lv-LV"/>
              </w:rPr>
              <w:t>euro</w:t>
            </w:r>
            <w:r w:rsidRPr="001C47FD">
              <w:rPr>
                <w:color w:val="000000"/>
                <w:sz w:val="24"/>
                <w:szCs w:val="24"/>
                <w:lang w:eastAsia="lv-LV"/>
              </w:rPr>
              <w:t xml:space="preserve"> </w:t>
            </w:r>
            <w:proofErr w:type="spellStart"/>
            <w:r w:rsidRPr="001C47FD">
              <w:rPr>
                <w:color w:val="000000"/>
                <w:sz w:val="24"/>
                <w:szCs w:val="24"/>
                <w:lang w:eastAsia="lv-LV"/>
              </w:rPr>
              <w:t>apmērā</w:t>
            </w:r>
            <w:proofErr w:type="spellEnd"/>
            <w:r w:rsidRPr="001C47FD">
              <w:rPr>
                <w:color w:val="000000"/>
                <w:sz w:val="24"/>
                <w:szCs w:val="24"/>
                <w:lang w:eastAsia="lv-LV"/>
              </w:rPr>
              <w:t xml:space="preserve">, tai </w:t>
            </w:r>
            <w:proofErr w:type="spellStart"/>
            <w:r w:rsidRPr="001C47FD">
              <w:rPr>
                <w:color w:val="000000"/>
                <w:sz w:val="24"/>
                <w:szCs w:val="24"/>
                <w:lang w:eastAsia="lv-LV"/>
              </w:rPr>
              <w:t>skaitā</w:t>
            </w:r>
            <w:proofErr w:type="spellEnd"/>
            <w:r w:rsidRPr="001C47FD">
              <w:rPr>
                <w:color w:val="000000"/>
                <w:sz w:val="24"/>
                <w:szCs w:val="24"/>
                <w:lang w:eastAsia="lv-LV"/>
              </w:rPr>
              <w:t>:</w:t>
            </w:r>
          </w:p>
          <w:p w14:paraId="56089AA9" w14:textId="77777777" w:rsidR="004118C7" w:rsidRPr="001C47FD" w:rsidRDefault="004118C7" w:rsidP="008E2CD9">
            <w:pPr>
              <w:pStyle w:val="tv2132"/>
              <w:spacing w:line="240" w:lineRule="auto"/>
              <w:ind w:firstLine="0"/>
              <w:rPr>
                <w:color w:val="000000"/>
                <w:sz w:val="24"/>
                <w:szCs w:val="24"/>
                <w:lang w:eastAsia="lv-LV"/>
              </w:rPr>
            </w:pPr>
            <w:r w:rsidRPr="001C47FD">
              <w:rPr>
                <w:color w:val="000000"/>
                <w:sz w:val="24"/>
                <w:szCs w:val="24"/>
                <w:lang w:eastAsia="lv-LV"/>
              </w:rPr>
              <w:t>12.</w:t>
            </w:r>
            <w:r w:rsidRPr="001C47FD">
              <w:rPr>
                <w:color w:val="000000"/>
                <w:sz w:val="24"/>
                <w:szCs w:val="24"/>
                <w:vertAlign w:val="superscript"/>
                <w:lang w:eastAsia="lv-LV"/>
              </w:rPr>
              <w:t>1</w:t>
            </w:r>
            <w:r w:rsidRPr="001C47FD">
              <w:rPr>
                <w:color w:val="000000"/>
                <w:sz w:val="24"/>
                <w:szCs w:val="24"/>
                <w:lang w:eastAsia="lv-LV"/>
              </w:rPr>
              <w:t> 1. </w:t>
            </w:r>
            <w:proofErr w:type="spellStart"/>
            <w:r w:rsidRPr="001C47FD">
              <w:rPr>
                <w:color w:val="000000"/>
                <w:sz w:val="24"/>
                <w:szCs w:val="24"/>
                <w:lang w:eastAsia="lv-LV"/>
              </w:rPr>
              <w:t>ar</w:t>
            </w:r>
            <w:proofErr w:type="spellEnd"/>
            <w:r w:rsidRPr="001C47FD">
              <w:rPr>
                <w:color w:val="000000"/>
                <w:sz w:val="24"/>
                <w:szCs w:val="24"/>
                <w:lang w:eastAsia="lv-LV"/>
              </w:rPr>
              <w:t xml:space="preserve"> </w:t>
            </w:r>
            <w:proofErr w:type="spellStart"/>
            <w:r w:rsidRPr="001C47FD">
              <w:rPr>
                <w:color w:val="000000"/>
                <w:sz w:val="24"/>
                <w:szCs w:val="24"/>
                <w:lang w:eastAsia="lv-LV"/>
              </w:rPr>
              <w:t>saimniecisku</w:t>
            </w:r>
            <w:proofErr w:type="spellEnd"/>
            <w:r w:rsidRPr="001C47FD">
              <w:rPr>
                <w:color w:val="000000"/>
                <w:sz w:val="24"/>
                <w:szCs w:val="24"/>
                <w:lang w:eastAsia="lv-LV"/>
              </w:rPr>
              <w:t xml:space="preserve"> </w:t>
            </w:r>
            <w:proofErr w:type="spellStart"/>
            <w:r w:rsidRPr="001C47FD">
              <w:rPr>
                <w:color w:val="000000"/>
                <w:sz w:val="24"/>
                <w:szCs w:val="24"/>
                <w:lang w:eastAsia="lv-LV"/>
              </w:rPr>
              <w:t>darbību</w:t>
            </w:r>
            <w:proofErr w:type="spellEnd"/>
            <w:r w:rsidRPr="001C47FD">
              <w:rPr>
                <w:color w:val="000000"/>
                <w:sz w:val="24"/>
                <w:szCs w:val="24"/>
                <w:lang w:eastAsia="lv-LV"/>
              </w:rPr>
              <w:t xml:space="preserve"> </w:t>
            </w:r>
            <w:proofErr w:type="spellStart"/>
            <w:r w:rsidRPr="001C47FD">
              <w:rPr>
                <w:color w:val="000000"/>
                <w:sz w:val="24"/>
                <w:szCs w:val="24"/>
                <w:lang w:eastAsia="lv-LV"/>
              </w:rPr>
              <w:t>nesaistītiem</w:t>
            </w:r>
            <w:proofErr w:type="spellEnd"/>
            <w:r w:rsidRPr="001C47FD">
              <w:rPr>
                <w:color w:val="000000"/>
                <w:sz w:val="24"/>
                <w:szCs w:val="24"/>
                <w:lang w:eastAsia="lv-LV"/>
              </w:rPr>
              <w:t xml:space="preserve"> </w:t>
            </w:r>
            <w:proofErr w:type="spellStart"/>
            <w:r w:rsidRPr="001C47FD">
              <w:rPr>
                <w:color w:val="000000"/>
                <w:sz w:val="24"/>
                <w:szCs w:val="24"/>
                <w:lang w:eastAsia="lv-LV"/>
              </w:rPr>
              <w:t>projektiem</w:t>
            </w:r>
            <w:proofErr w:type="spellEnd"/>
            <w:r w:rsidRPr="001C47FD">
              <w:rPr>
                <w:color w:val="000000"/>
                <w:sz w:val="24"/>
                <w:szCs w:val="24"/>
                <w:lang w:eastAsia="lv-LV"/>
              </w:rPr>
              <w:t>:</w:t>
            </w:r>
          </w:p>
          <w:p w14:paraId="23221C9D" w14:textId="77777777" w:rsidR="004118C7" w:rsidRPr="001C47FD" w:rsidRDefault="004118C7" w:rsidP="008E2CD9">
            <w:pPr>
              <w:pStyle w:val="tv2132"/>
              <w:spacing w:line="240" w:lineRule="auto"/>
              <w:ind w:firstLine="0"/>
              <w:rPr>
                <w:color w:val="000000"/>
                <w:sz w:val="24"/>
                <w:szCs w:val="24"/>
                <w:lang w:eastAsia="lv-LV"/>
              </w:rPr>
            </w:pPr>
            <w:r w:rsidRPr="001C47FD">
              <w:rPr>
                <w:color w:val="000000"/>
                <w:sz w:val="24"/>
                <w:szCs w:val="24"/>
                <w:lang w:eastAsia="lv-LV"/>
              </w:rPr>
              <w:t>12.</w:t>
            </w:r>
            <w:r w:rsidRPr="001C47FD">
              <w:rPr>
                <w:color w:val="000000"/>
                <w:sz w:val="24"/>
                <w:szCs w:val="24"/>
                <w:vertAlign w:val="superscript"/>
                <w:lang w:eastAsia="lv-LV"/>
              </w:rPr>
              <w:t>1</w:t>
            </w:r>
            <w:r w:rsidRPr="001C47FD">
              <w:rPr>
                <w:color w:val="000000"/>
                <w:sz w:val="24"/>
                <w:szCs w:val="24"/>
                <w:lang w:eastAsia="lv-LV"/>
              </w:rPr>
              <w:t> 1.1. </w:t>
            </w:r>
            <w:proofErr w:type="spellStart"/>
            <w:r w:rsidRPr="001C47FD">
              <w:rPr>
                <w:color w:val="000000"/>
                <w:sz w:val="24"/>
                <w:szCs w:val="24"/>
                <w:lang w:eastAsia="lv-LV"/>
              </w:rPr>
              <w:t>pieejamā</w:t>
            </w:r>
            <w:proofErr w:type="spellEnd"/>
            <w:r w:rsidRPr="001C47FD">
              <w:rPr>
                <w:color w:val="000000"/>
                <w:sz w:val="24"/>
                <w:szCs w:val="24"/>
                <w:lang w:eastAsia="lv-LV"/>
              </w:rPr>
              <w:t xml:space="preserve"> </w:t>
            </w:r>
            <w:proofErr w:type="spellStart"/>
            <w:r w:rsidRPr="001C47FD">
              <w:rPr>
                <w:color w:val="000000"/>
                <w:sz w:val="24"/>
                <w:szCs w:val="24"/>
                <w:lang w:eastAsia="lv-LV"/>
              </w:rPr>
              <w:t>kopējā</w:t>
            </w:r>
            <w:proofErr w:type="spellEnd"/>
            <w:r w:rsidRPr="001C47FD">
              <w:rPr>
                <w:color w:val="000000"/>
                <w:sz w:val="24"/>
                <w:szCs w:val="24"/>
                <w:lang w:eastAsia="lv-LV"/>
              </w:rPr>
              <w:t xml:space="preserve"> </w:t>
            </w:r>
            <w:proofErr w:type="spellStart"/>
            <w:r w:rsidRPr="001C47FD">
              <w:rPr>
                <w:color w:val="000000"/>
                <w:sz w:val="24"/>
                <w:szCs w:val="24"/>
                <w:lang w:eastAsia="lv-LV"/>
              </w:rPr>
              <w:t>attiecināmā</w:t>
            </w:r>
            <w:proofErr w:type="spellEnd"/>
            <w:r w:rsidRPr="001C47FD">
              <w:rPr>
                <w:color w:val="000000"/>
                <w:sz w:val="24"/>
                <w:szCs w:val="24"/>
                <w:lang w:eastAsia="lv-LV"/>
              </w:rPr>
              <w:t xml:space="preserve"> </w:t>
            </w:r>
            <w:proofErr w:type="spellStart"/>
            <w:r w:rsidRPr="001C47FD">
              <w:rPr>
                <w:color w:val="000000"/>
                <w:sz w:val="24"/>
                <w:szCs w:val="24"/>
                <w:lang w:eastAsia="lv-LV"/>
              </w:rPr>
              <w:t>publiskā</w:t>
            </w:r>
            <w:proofErr w:type="spellEnd"/>
            <w:r w:rsidRPr="001C47FD">
              <w:rPr>
                <w:color w:val="000000"/>
                <w:sz w:val="24"/>
                <w:szCs w:val="24"/>
                <w:lang w:eastAsia="lv-LV"/>
              </w:rPr>
              <w:t xml:space="preserve"> </w:t>
            </w:r>
            <w:proofErr w:type="spellStart"/>
            <w:r w:rsidRPr="001C47FD">
              <w:rPr>
                <w:color w:val="000000"/>
                <w:sz w:val="24"/>
                <w:szCs w:val="24"/>
                <w:lang w:eastAsia="lv-LV"/>
              </w:rPr>
              <w:t>finansējuma</w:t>
            </w:r>
            <w:proofErr w:type="spellEnd"/>
            <w:r w:rsidRPr="001C47FD">
              <w:rPr>
                <w:color w:val="000000"/>
                <w:sz w:val="24"/>
                <w:szCs w:val="24"/>
                <w:lang w:eastAsia="lv-LV"/>
              </w:rPr>
              <w:t xml:space="preserve"> </w:t>
            </w:r>
            <w:proofErr w:type="spellStart"/>
            <w:r w:rsidRPr="001C47FD">
              <w:rPr>
                <w:color w:val="000000"/>
                <w:sz w:val="24"/>
                <w:szCs w:val="24"/>
                <w:lang w:eastAsia="lv-LV"/>
              </w:rPr>
              <w:t>apmērs</w:t>
            </w:r>
            <w:proofErr w:type="spellEnd"/>
            <w:r w:rsidRPr="001C47FD">
              <w:rPr>
                <w:color w:val="000000"/>
                <w:sz w:val="24"/>
                <w:szCs w:val="24"/>
                <w:lang w:eastAsia="lv-LV"/>
              </w:rPr>
              <w:t xml:space="preserve"> </w:t>
            </w:r>
            <w:proofErr w:type="spellStart"/>
            <w:r w:rsidRPr="001C47FD">
              <w:rPr>
                <w:color w:val="000000"/>
                <w:sz w:val="24"/>
                <w:szCs w:val="24"/>
                <w:lang w:eastAsia="lv-LV"/>
              </w:rPr>
              <w:t>ir</w:t>
            </w:r>
            <w:proofErr w:type="spellEnd"/>
            <w:r w:rsidRPr="001C47FD">
              <w:rPr>
                <w:color w:val="000000"/>
                <w:sz w:val="24"/>
                <w:szCs w:val="24"/>
                <w:lang w:eastAsia="lv-LV"/>
              </w:rPr>
              <w:t xml:space="preserve"> </w:t>
            </w:r>
            <w:proofErr w:type="spellStart"/>
            <w:r w:rsidRPr="001C47FD">
              <w:rPr>
                <w:color w:val="000000"/>
                <w:sz w:val="24"/>
                <w:szCs w:val="24"/>
                <w:lang w:eastAsia="lv-LV"/>
              </w:rPr>
              <w:t>ne</w:t>
            </w:r>
            <w:proofErr w:type="spellEnd"/>
            <w:r w:rsidRPr="001C47FD">
              <w:rPr>
                <w:color w:val="000000"/>
                <w:sz w:val="24"/>
                <w:szCs w:val="24"/>
                <w:lang w:eastAsia="lv-LV"/>
              </w:rPr>
              <w:t xml:space="preserve"> </w:t>
            </w:r>
            <w:proofErr w:type="spellStart"/>
            <w:r w:rsidRPr="001C47FD">
              <w:rPr>
                <w:color w:val="000000"/>
                <w:sz w:val="24"/>
                <w:szCs w:val="24"/>
                <w:lang w:eastAsia="lv-LV"/>
              </w:rPr>
              <w:t>vairāk</w:t>
            </w:r>
            <w:proofErr w:type="spellEnd"/>
            <w:r w:rsidRPr="001C47FD">
              <w:rPr>
                <w:color w:val="000000"/>
                <w:sz w:val="24"/>
                <w:szCs w:val="24"/>
                <w:lang w:eastAsia="lv-LV"/>
              </w:rPr>
              <w:t xml:space="preserve"> </w:t>
            </w:r>
            <w:proofErr w:type="spellStart"/>
            <w:r w:rsidRPr="001C47FD">
              <w:rPr>
                <w:color w:val="000000"/>
                <w:sz w:val="24"/>
                <w:szCs w:val="24"/>
                <w:lang w:eastAsia="lv-LV"/>
              </w:rPr>
              <w:t>kā</w:t>
            </w:r>
            <w:proofErr w:type="spellEnd"/>
            <w:r w:rsidRPr="001C47FD">
              <w:rPr>
                <w:color w:val="000000"/>
                <w:sz w:val="24"/>
                <w:szCs w:val="24"/>
                <w:lang w:eastAsia="lv-LV"/>
              </w:rPr>
              <w:t xml:space="preserve"> 14 974 134 </w:t>
            </w:r>
            <w:r w:rsidRPr="001C47FD">
              <w:rPr>
                <w:i/>
                <w:color w:val="000000"/>
                <w:sz w:val="24"/>
                <w:szCs w:val="24"/>
                <w:lang w:eastAsia="lv-LV"/>
              </w:rPr>
              <w:t>euro</w:t>
            </w:r>
            <w:r w:rsidRPr="001C47FD">
              <w:rPr>
                <w:color w:val="000000"/>
                <w:sz w:val="24"/>
                <w:szCs w:val="24"/>
                <w:lang w:eastAsia="lv-LV"/>
              </w:rPr>
              <w:t xml:space="preserve">, </w:t>
            </w:r>
            <w:proofErr w:type="spellStart"/>
            <w:r w:rsidRPr="001C47FD">
              <w:rPr>
                <w:color w:val="000000"/>
                <w:sz w:val="24"/>
                <w:szCs w:val="24"/>
                <w:lang w:eastAsia="lv-LV"/>
              </w:rPr>
              <w:t>ko</w:t>
            </w:r>
            <w:proofErr w:type="spellEnd"/>
            <w:r w:rsidRPr="001C47FD">
              <w:rPr>
                <w:color w:val="000000"/>
                <w:sz w:val="24"/>
                <w:szCs w:val="24"/>
                <w:lang w:eastAsia="lv-LV"/>
              </w:rPr>
              <w:t xml:space="preserve"> </w:t>
            </w:r>
            <w:proofErr w:type="spellStart"/>
            <w:r w:rsidRPr="001C47FD">
              <w:rPr>
                <w:color w:val="000000"/>
                <w:sz w:val="24"/>
                <w:szCs w:val="24"/>
                <w:lang w:eastAsia="lv-LV"/>
              </w:rPr>
              <w:t>veido</w:t>
            </w:r>
            <w:proofErr w:type="spellEnd"/>
            <w:r w:rsidRPr="001C47FD">
              <w:rPr>
                <w:color w:val="000000"/>
                <w:sz w:val="24"/>
                <w:szCs w:val="24"/>
                <w:lang w:eastAsia="lv-LV"/>
              </w:rPr>
              <w:t xml:space="preserve"> Eiropas </w:t>
            </w:r>
            <w:proofErr w:type="spellStart"/>
            <w:r w:rsidRPr="001C47FD">
              <w:rPr>
                <w:color w:val="000000"/>
                <w:sz w:val="24"/>
                <w:szCs w:val="24"/>
                <w:lang w:eastAsia="lv-LV"/>
              </w:rPr>
              <w:t>Reģionālās</w:t>
            </w:r>
            <w:proofErr w:type="spellEnd"/>
            <w:r w:rsidRPr="001C47FD">
              <w:rPr>
                <w:color w:val="000000"/>
                <w:sz w:val="24"/>
                <w:szCs w:val="24"/>
                <w:lang w:eastAsia="lv-LV"/>
              </w:rPr>
              <w:t xml:space="preserve"> </w:t>
            </w:r>
            <w:proofErr w:type="spellStart"/>
            <w:r w:rsidRPr="001C47FD">
              <w:rPr>
                <w:color w:val="000000"/>
                <w:sz w:val="24"/>
                <w:szCs w:val="24"/>
                <w:lang w:eastAsia="lv-LV"/>
              </w:rPr>
              <w:t>attīstības</w:t>
            </w:r>
            <w:proofErr w:type="spellEnd"/>
            <w:r w:rsidRPr="001C47FD">
              <w:rPr>
                <w:color w:val="000000"/>
                <w:sz w:val="24"/>
                <w:szCs w:val="24"/>
                <w:lang w:eastAsia="lv-LV"/>
              </w:rPr>
              <w:t xml:space="preserve"> </w:t>
            </w:r>
            <w:proofErr w:type="spellStart"/>
            <w:r w:rsidRPr="001C47FD">
              <w:rPr>
                <w:color w:val="000000"/>
                <w:sz w:val="24"/>
                <w:szCs w:val="24"/>
                <w:lang w:eastAsia="lv-LV"/>
              </w:rPr>
              <w:t>fonda</w:t>
            </w:r>
            <w:proofErr w:type="spellEnd"/>
            <w:r w:rsidRPr="001C47FD">
              <w:rPr>
                <w:color w:val="000000"/>
                <w:sz w:val="24"/>
                <w:szCs w:val="24"/>
                <w:lang w:eastAsia="lv-LV"/>
              </w:rPr>
              <w:t xml:space="preserve"> </w:t>
            </w:r>
            <w:proofErr w:type="spellStart"/>
            <w:r w:rsidRPr="001C47FD">
              <w:rPr>
                <w:color w:val="000000"/>
                <w:sz w:val="24"/>
                <w:szCs w:val="24"/>
                <w:lang w:eastAsia="lv-LV"/>
              </w:rPr>
              <w:t>finansējums</w:t>
            </w:r>
            <w:proofErr w:type="spellEnd"/>
            <w:r w:rsidRPr="001C47FD">
              <w:rPr>
                <w:color w:val="000000"/>
                <w:sz w:val="24"/>
                <w:szCs w:val="24"/>
                <w:lang w:eastAsia="lv-LV"/>
              </w:rPr>
              <w:t xml:space="preserve"> ne </w:t>
            </w:r>
            <w:proofErr w:type="spellStart"/>
            <w:r w:rsidRPr="001C47FD">
              <w:rPr>
                <w:color w:val="000000"/>
                <w:sz w:val="24"/>
                <w:szCs w:val="24"/>
                <w:lang w:eastAsia="lv-LV"/>
              </w:rPr>
              <w:t>vairāk</w:t>
            </w:r>
            <w:proofErr w:type="spellEnd"/>
            <w:r w:rsidRPr="001C47FD">
              <w:rPr>
                <w:color w:val="000000"/>
                <w:sz w:val="24"/>
                <w:szCs w:val="24"/>
                <w:lang w:eastAsia="lv-LV"/>
              </w:rPr>
              <w:t xml:space="preserve"> </w:t>
            </w:r>
            <w:proofErr w:type="spellStart"/>
            <w:r w:rsidRPr="001C47FD">
              <w:rPr>
                <w:color w:val="000000"/>
                <w:sz w:val="24"/>
                <w:szCs w:val="24"/>
                <w:lang w:eastAsia="lv-LV"/>
              </w:rPr>
              <w:t>kā</w:t>
            </w:r>
            <w:proofErr w:type="spellEnd"/>
            <w:r w:rsidRPr="001C47FD">
              <w:rPr>
                <w:color w:val="000000"/>
                <w:sz w:val="24"/>
                <w:szCs w:val="24"/>
                <w:lang w:eastAsia="lv-LV"/>
              </w:rPr>
              <w:t xml:space="preserve"> 9 356 810 </w:t>
            </w:r>
            <w:r w:rsidRPr="001C47FD">
              <w:rPr>
                <w:i/>
                <w:color w:val="000000"/>
                <w:sz w:val="24"/>
                <w:szCs w:val="24"/>
                <w:lang w:eastAsia="lv-LV"/>
              </w:rPr>
              <w:t>euro</w:t>
            </w:r>
            <w:r w:rsidRPr="001C47FD">
              <w:rPr>
                <w:color w:val="000000"/>
                <w:sz w:val="24"/>
                <w:szCs w:val="24"/>
                <w:lang w:eastAsia="lv-LV"/>
              </w:rPr>
              <w:t xml:space="preserve"> </w:t>
            </w:r>
            <w:proofErr w:type="spellStart"/>
            <w:r w:rsidRPr="001C47FD">
              <w:rPr>
                <w:color w:val="000000"/>
                <w:sz w:val="24"/>
                <w:szCs w:val="24"/>
                <w:lang w:eastAsia="lv-LV"/>
              </w:rPr>
              <w:t>apmērā</w:t>
            </w:r>
            <w:proofErr w:type="spellEnd"/>
            <w:r w:rsidRPr="001C47FD">
              <w:rPr>
                <w:color w:val="000000"/>
                <w:sz w:val="24"/>
                <w:szCs w:val="24"/>
                <w:lang w:eastAsia="lv-LV"/>
              </w:rPr>
              <w:t xml:space="preserve"> un </w:t>
            </w:r>
            <w:proofErr w:type="spellStart"/>
            <w:r w:rsidRPr="001C47FD">
              <w:rPr>
                <w:color w:val="000000"/>
                <w:sz w:val="24"/>
                <w:szCs w:val="24"/>
                <w:lang w:eastAsia="lv-LV"/>
              </w:rPr>
              <w:t>valsts</w:t>
            </w:r>
            <w:proofErr w:type="spellEnd"/>
            <w:r w:rsidRPr="001C47FD">
              <w:rPr>
                <w:color w:val="000000"/>
                <w:sz w:val="24"/>
                <w:szCs w:val="24"/>
                <w:lang w:eastAsia="lv-LV"/>
              </w:rPr>
              <w:t xml:space="preserve"> </w:t>
            </w:r>
            <w:proofErr w:type="spellStart"/>
            <w:r w:rsidRPr="001C47FD">
              <w:rPr>
                <w:color w:val="000000"/>
                <w:sz w:val="24"/>
                <w:szCs w:val="24"/>
                <w:lang w:eastAsia="lv-LV"/>
              </w:rPr>
              <w:t>budžeta</w:t>
            </w:r>
            <w:proofErr w:type="spellEnd"/>
            <w:r w:rsidRPr="001C47FD">
              <w:rPr>
                <w:color w:val="000000"/>
                <w:sz w:val="24"/>
                <w:szCs w:val="24"/>
                <w:lang w:eastAsia="lv-LV"/>
              </w:rPr>
              <w:t xml:space="preserve"> </w:t>
            </w:r>
            <w:proofErr w:type="spellStart"/>
            <w:r w:rsidRPr="001C47FD">
              <w:rPr>
                <w:color w:val="000000"/>
                <w:sz w:val="24"/>
                <w:szCs w:val="24"/>
                <w:lang w:eastAsia="lv-LV"/>
              </w:rPr>
              <w:t>finansējums</w:t>
            </w:r>
            <w:proofErr w:type="spellEnd"/>
            <w:r w:rsidRPr="001C47FD">
              <w:rPr>
                <w:color w:val="000000"/>
                <w:sz w:val="24"/>
                <w:szCs w:val="24"/>
                <w:lang w:eastAsia="lv-LV"/>
              </w:rPr>
              <w:t xml:space="preserve"> </w:t>
            </w:r>
            <w:proofErr w:type="spellStart"/>
            <w:r w:rsidRPr="001C47FD">
              <w:rPr>
                <w:color w:val="000000"/>
                <w:sz w:val="24"/>
                <w:szCs w:val="24"/>
                <w:lang w:eastAsia="lv-LV"/>
              </w:rPr>
              <w:t>ne</w:t>
            </w:r>
            <w:proofErr w:type="spellEnd"/>
            <w:r w:rsidRPr="001C47FD">
              <w:rPr>
                <w:color w:val="000000"/>
                <w:sz w:val="24"/>
                <w:szCs w:val="24"/>
                <w:lang w:eastAsia="lv-LV"/>
              </w:rPr>
              <w:t xml:space="preserve"> </w:t>
            </w:r>
            <w:proofErr w:type="spellStart"/>
            <w:r w:rsidRPr="001C47FD">
              <w:rPr>
                <w:color w:val="000000"/>
                <w:sz w:val="24"/>
                <w:szCs w:val="24"/>
                <w:lang w:eastAsia="lv-LV"/>
              </w:rPr>
              <w:t>vairāk</w:t>
            </w:r>
            <w:proofErr w:type="spellEnd"/>
            <w:r w:rsidRPr="001C47FD">
              <w:rPr>
                <w:color w:val="000000"/>
                <w:sz w:val="24"/>
                <w:szCs w:val="24"/>
                <w:lang w:eastAsia="lv-LV"/>
              </w:rPr>
              <w:t xml:space="preserve"> </w:t>
            </w:r>
            <w:proofErr w:type="spellStart"/>
            <w:r w:rsidRPr="001C47FD">
              <w:rPr>
                <w:color w:val="000000"/>
                <w:sz w:val="24"/>
                <w:szCs w:val="24"/>
                <w:lang w:eastAsia="lv-LV"/>
              </w:rPr>
              <w:t>kā</w:t>
            </w:r>
            <w:proofErr w:type="spellEnd"/>
            <w:r w:rsidRPr="001C47FD">
              <w:rPr>
                <w:color w:val="000000"/>
                <w:sz w:val="24"/>
                <w:szCs w:val="24"/>
                <w:lang w:eastAsia="lv-LV"/>
              </w:rPr>
              <w:t xml:space="preserve"> 5 617 324 </w:t>
            </w:r>
            <w:r w:rsidRPr="001C47FD">
              <w:rPr>
                <w:i/>
                <w:color w:val="000000"/>
                <w:sz w:val="24"/>
                <w:szCs w:val="24"/>
                <w:lang w:eastAsia="lv-LV"/>
              </w:rPr>
              <w:t>euro</w:t>
            </w:r>
            <w:r w:rsidRPr="001C47FD">
              <w:rPr>
                <w:color w:val="000000"/>
                <w:sz w:val="24"/>
                <w:szCs w:val="24"/>
                <w:lang w:eastAsia="lv-LV"/>
              </w:rPr>
              <w:t xml:space="preserve"> </w:t>
            </w:r>
            <w:proofErr w:type="spellStart"/>
            <w:r w:rsidRPr="001C47FD">
              <w:rPr>
                <w:color w:val="000000"/>
                <w:sz w:val="24"/>
                <w:szCs w:val="24"/>
                <w:lang w:eastAsia="lv-LV"/>
              </w:rPr>
              <w:t>apmērā</w:t>
            </w:r>
            <w:proofErr w:type="spellEnd"/>
            <w:r w:rsidRPr="001C47FD">
              <w:rPr>
                <w:color w:val="000000"/>
                <w:sz w:val="24"/>
                <w:szCs w:val="24"/>
                <w:lang w:eastAsia="lv-LV"/>
              </w:rPr>
              <w:t>;</w:t>
            </w:r>
          </w:p>
          <w:p w14:paraId="6EB08275" w14:textId="77777777" w:rsidR="004118C7" w:rsidRPr="001C47FD" w:rsidRDefault="004118C7" w:rsidP="008E2CD9">
            <w:pPr>
              <w:pStyle w:val="tv2132"/>
              <w:spacing w:line="240" w:lineRule="auto"/>
              <w:ind w:firstLine="0"/>
              <w:rPr>
                <w:color w:val="000000"/>
                <w:sz w:val="24"/>
                <w:szCs w:val="24"/>
                <w:lang w:eastAsia="lv-LV"/>
              </w:rPr>
            </w:pPr>
            <w:r w:rsidRPr="001C47FD">
              <w:rPr>
                <w:color w:val="000000"/>
                <w:sz w:val="24"/>
                <w:szCs w:val="24"/>
                <w:lang w:eastAsia="lv-LV"/>
              </w:rPr>
              <w:lastRenderedPageBreak/>
              <w:t>12.</w:t>
            </w:r>
            <w:r w:rsidRPr="001C47FD">
              <w:rPr>
                <w:color w:val="000000"/>
                <w:sz w:val="24"/>
                <w:szCs w:val="24"/>
                <w:vertAlign w:val="superscript"/>
                <w:lang w:eastAsia="lv-LV"/>
              </w:rPr>
              <w:t>1</w:t>
            </w:r>
            <w:r w:rsidRPr="001C47FD">
              <w:rPr>
                <w:color w:val="000000"/>
                <w:sz w:val="24"/>
                <w:szCs w:val="24"/>
                <w:lang w:eastAsia="lv-LV"/>
              </w:rPr>
              <w:t xml:space="preserve"> 1.2. </w:t>
            </w:r>
            <w:proofErr w:type="spellStart"/>
            <w:r w:rsidRPr="001C47FD">
              <w:rPr>
                <w:color w:val="000000"/>
                <w:sz w:val="24"/>
                <w:szCs w:val="24"/>
                <w:lang w:eastAsia="lv-LV"/>
              </w:rPr>
              <w:t>maksimālā</w:t>
            </w:r>
            <w:proofErr w:type="spellEnd"/>
            <w:r w:rsidRPr="001C47FD">
              <w:rPr>
                <w:color w:val="000000"/>
                <w:sz w:val="24"/>
                <w:szCs w:val="24"/>
                <w:lang w:eastAsia="lv-LV"/>
              </w:rPr>
              <w:t xml:space="preserve"> </w:t>
            </w:r>
            <w:proofErr w:type="spellStart"/>
            <w:r w:rsidRPr="001C47FD">
              <w:rPr>
                <w:color w:val="000000"/>
                <w:sz w:val="24"/>
                <w:szCs w:val="24"/>
                <w:lang w:eastAsia="lv-LV"/>
              </w:rPr>
              <w:t>publiskā</w:t>
            </w:r>
            <w:proofErr w:type="spellEnd"/>
            <w:r w:rsidRPr="001C47FD">
              <w:rPr>
                <w:color w:val="000000"/>
                <w:sz w:val="24"/>
                <w:szCs w:val="24"/>
                <w:lang w:eastAsia="lv-LV"/>
              </w:rPr>
              <w:t xml:space="preserve"> </w:t>
            </w:r>
            <w:proofErr w:type="spellStart"/>
            <w:r w:rsidRPr="001C47FD">
              <w:rPr>
                <w:color w:val="000000"/>
                <w:sz w:val="24"/>
                <w:szCs w:val="24"/>
                <w:lang w:eastAsia="lv-LV"/>
              </w:rPr>
              <w:t>finansējuma</w:t>
            </w:r>
            <w:proofErr w:type="spellEnd"/>
            <w:r w:rsidRPr="001C47FD">
              <w:rPr>
                <w:color w:val="000000"/>
                <w:sz w:val="24"/>
                <w:szCs w:val="24"/>
                <w:lang w:eastAsia="lv-LV"/>
              </w:rPr>
              <w:t xml:space="preserve"> </w:t>
            </w:r>
            <w:proofErr w:type="spellStart"/>
            <w:r w:rsidRPr="001C47FD">
              <w:rPr>
                <w:color w:val="000000"/>
                <w:sz w:val="24"/>
                <w:szCs w:val="24"/>
                <w:lang w:eastAsia="lv-LV"/>
              </w:rPr>
              <w:t>intensitāte</w:t>
            </w:r>
            <w:proofErr w:type="spellEnd"/>
            <w:r w:rsidRPr="001C47FD">
              <w:rPr>
                <w:color w:val="000000"/>
                <w:sz w:val="24"/>
                <w:szCs w:val="24"/>
                <w:lang w:eastAsia="lv-LV"/>
              </w:rPr>
              <w:t xml:space="preserve"> </w:t>
            </w:r>
            <w:proofErr w:type="spellStart"/>
            <w:r w:rsidRPr="001C47FD">
              <w:rPr>
                <w:color w:val="000000"/>
                <w:sz w:val="24"/>
                <w:szCs w:val="24"/>
                <w:lang w:eastAsia="lv-LV"/>
              </w:rPr>
              <w:t>ir</w:t>
            </w:r>
            <w:proofErr w:type="spellEnd"/>
            <w:r w:rsidRPr="001C47FD">
              <w:rPr>
                <w:color w:val="000000"/>
                <w:sz w:val="24"/>
                <w:szCs w:val="24"/>
                <w:lang w:eastAsia="lv-LV"/>
              </w:rPr>
              <w:t xml:space="preserve"> 92,5 </w:t>
            </w:r>
            <w:proofErr w:type="spellStart"/>
            <w:r w:rsidRPr="001C47FD">
              <w:rPr>
                <w:color w:val="000000"/>
                <w:sz w:val="24"/>
                <w:szCs w:val="24"/>
                <w:lang w:eastAsia="lv-LV"/>
              </w:rPr>
              <w:t>procenti</w:t>
            </w:r>
            <w:proofErr w:type="spellEnd"/>
            <w:r w:rsidRPr="001C47FD">
              <w:rPr>
                <w:color w:val="000000"/>
                <w:sz w:val="24"/>
                <w:szCs w:val="24"/>
                <w:lang w:eastAsia="lv-LV"/>
              </w:rPr>
              <w:t xml:space="preserve">, </w:t>
            </w:r>
            <w:proofErr w:type="spellStart"/>
            <w:r w:rsidRPr="001C47FD">
              <w:rPr>
                <w:color w:val="000000"/>
                <w:sz w:val="24"/>
                <w:szCs w:val="24"/>
                <w:lang w:eastAsia="lv-LV"/>
              </w:rPr>
              <w:t>ko</w:t>
            </w:r>
            <w:proofErr w:type="spellEnd"/>
            <w:r w:rsidRPr="001C47FD">
              <w:rPr>
                <w:color w:val="000000"/>
                <w:sz w:val="24"/>
                <w:szCs w:val="24"/>
                <w:lang w:eastAsia="lv-LV"/>
              </w:rPr>
              <w:t xml:space="preserve"> </w:t>
            </w:r>
            <w:proofErr w:type="spellStart"/>
            <w:r w:rsidRPr="001C47FD">
              <w:rPr>
                <w:color w:val="000000"/>
                <w:sz w:val="24"/>
                <w:szCs w:val="24"/>
                <w:lang w:eastAsia="lv-LV"/>
              </w:rPr>
              <w:t>veido</w:t>
            </w:r>
            <w:proofErr w:type="spellEnd"/>
            <w:r w:rsidRPr="001C47FD">
              <w:rPr>
                <w:color w:val="000000"/>
                <w:sz w:val="24"/>
                <w:szCs w:val="24"/>
                <w:lang w:eastAsia="lv-LV"/>
              </w:rPr>
              <w:t>:</w:t>
            </w:r>
          </w:p>
          <w:p w14:paraId="0489B107" w14:textId="77777777" w:rsidR="004118C7" w:rsidRPr="001C47FD" w:rsidRDefault="004118C7" w:rsidP="008E2CD9">
            <w:pPr>
              <w:pStyle w:val="tv2132"/>
              <w:spacing w:line="240" w:lineRule="auto"/>
              <w:ind w:firstLine="0"/>
              <w:rPr>
                <w:color w:val="000000"/>
                <w:sz w:val="24"/>
                <w:szCs w:val="24"/>
                <w:lang w:eastAsia="lv-LV"/>
              </w:rPr>
            </w:pPr>
            <w:r w:rsidRPr="001C47FD">
              <w:rPr>
                <w:color w:val="000000"/>
                <w:sz w:val="24"/>
                <w:szCs w:val="24"/>
                <w:lang w:eastAsia="lv-LV"/>
              </w:rPr>
              <w:t>12.</w:t>
            </w:r>
            <w:r w:rsidRPr="001C47FD">
              <w:rPr>
                <w:color w:val="000000"/>
                <w:sz w:val="24"/>
                <w:szCs w:val="24"/>
                <w:vertAlign w:val="superscript"/>
                <w:lang w:eastAsia="lv-LV"/>
              </w:rPr>
              <w:t>1</w:t>
            </w:r>
            <w:r w:rsidRPr="001C47FD">
              <w:rPr>
                <w:color w:val="000000"/>
                <w:sz w:val="24"/>
                <w:szCs w:val="24"/>
                <w:lang w:eastAsia="lv-LV"/>
              </w:rPr>
              <w:t xml:space="preserve"> 1.2.1. </w:t>
            </w:r>
            <w:proofErr w:type="spellStart"/>
            <w:r w:rsidRPr="001C47FD">
              <w:rPr>
                <w:color w:val="000000"/>
                <w:sz w:val="24"/>
                <w:szCs w:val="24"/>
                <w:lang w:eastAsia="lv-LV"/>
              </w:rPr>
              <w:t>valsts</w:t>
            </w:r>
            <w:proofErr w:type="spellEnd"/>
            <w:r w:rsidRPr="001C47FD">
              <w:rPr>
                <w:color w:val="000000"/>
                <w:sz w:val="24"/>
                <w:szCs w:val="24"/>
                <w:lang w:eastAsia="lv-LV"/>
              </w:rPr>
              <w:t xml:space="preserve"> </w:t>
            </w:r>
            <w:proofErr w:type="spellStart"/>
            <w:r w:rsidRPr="001C47FD">
              <w:rPr>
                <w:color w:val="000000"/>
                <w:sz w:val="24"/>
                <w:szCs w:val="24"/>
                <w:lang w:eastAsia="lv-LV"/>
              </w:rPr>
              <w:t>budžeta</w:t>
            </w:r>
            <w:proofErr w:type="spellEnd"/>
            <w:r w:rsidRPr="001C47FD">
              <w:rPr>
                <w:color w:val="000000"/>
                <w:sz w:val="24"/>
                <w:szCs w:val="24"/>
                <w:lang w:eastAsia="lv-LV"/>
              </w:rPr>
              <w:t xml:space="preserve"> </w:t>
            </w:r>
            <w:proofErr w:type="spellStart"/>
            <w:r w:rsidRPr="001C47FD">
              <w:rPr>
                <w:color w:val="000000"/>
                <w:sz w:val="24"/>
                <w:szCs w:val="24"/>
                <w:lang w:eastAsia="lv-LV"/>
              </w:rPr>
              <w:t>atbalsta</w:t>
            </w:r>
            <w:proofErr w:type="spellEnd"/>
            <w:r w:rsidRPr="001C47FD">
              <w:rPr>
                <w:color w:val="000000"/>
                <w:sz w:val="24"/>
                <w:szCs w:val="24"/>
                <w:lang w:eastAsia="lv-LV"/>
              </w:rPr>
              <w:t xml:space="preserve"> </w:t>
            </w:r>
            <w:proofErr w:type="spellStart"/>
            <w:r w:rsidRPr="001C47FD">
              <w:rPr>
                <w:color w:val="000000"/>
                <w:sz w:val="24"/>
                <w:szCs w:val="24"/>
                <w:lang w:eastAsia="lv-LV"/>
              </w:rPr>
              <w:t>intensitāte</w:t>
            </w:r>
            <w:proofErr w:type="spellEnd"/>
            <w:r w:rsidRPr="001C47FD">
              <w:rPr>
                <w:color w:val="000000"/>
                <w:sz w:val="24"/>
                <w:szCs w:val="24"/>
                <w:lang w:eastAsia="lv-LV"/>
              </w:rPr>
              <w:t xml:space="preserve"> – 34,70 </w:t>
            </w:r>
            <w:proofErr w:type="spellStart"/>
            <w:r w:rsidRPr="001C47FD">
              <w:rPr>
                <w:color w:val="000000"/>
                <w:sz w:val="24"/>
                <w:szCs w:val="24"/>
                <w:lang w:eastAsia="lv-LV"/>
              </w:rPr>
              <w:t>procenti</w:t>
            </w:r>
            <w:proofErr w:type="spellEnd"/>
            <w:r w:rsidRPr="001C47FD">
              <w:rPr>
                <w:color w:val="000000"/>
                <w:sz w:val="24"/>
                <w:szCs w:val="24"/>
                <w:lang w:eastAsia="lv-LV"/>
              </w:rPr>
              <w:t>;</w:t>
            </w:r>
          </w:p>
          <w:p w14:paraId="31590A06" w14:textId="77777777" w:rsidR="004118C7" w:rsidRPr="001C47FD" w:rsidRDefault="004118C7" w:rsidP="008E2CD9">
            <w:pPr>
              <w:pStyle w:val="tv2132"/>
              <w:spacing w:line="240" w:lineRule="auto"/>
              <w:ind w:firstLine="0"/>
              <w:rPr>
                <w:color w:val="000000"/>
                <w:sz w:val="24"/>
                <w:szCs w:val="24"/>
                <w:lang w:eastAsia="lv-LV"/>
              </w:rPr>
            </w:pPr>
            <w:r w:rsidRPr="001C47FD">
              <w:rPr>
                <w:color w:val="000000"/>
                <w:sz w:val="24"/>
                <w:szCs w:val="24"/>
                <w:lang w:eastAsia="lv-LV"/>
              </w:rPr>
              <w:t>12.</w:t>
            </w:r>
            <w:r w:rsidRPr="001C47FD">
              <w:rPr>
                <w:color w:val="000000"/>
                <w:sz w:val="24"/>
                <w:szCs w:val="24"/>
                <w:vertAlign w:val="superscript"/>
                <w:lang w:eastAsia="lv-LV"/>
              </w:rPr>
              <w:t>1</w:t>
            </w:r>
            <w:r w:rsidRPr="001C47FD">
              <w:rPr>
                <w:color w:val="000000"/>
                <w:sz w:val="24"/>
                <w:szCs w:val="24"/>
                <w:lang w:eastAsia="lv-LV"/>
              </w:rPr>
              <w:t xml:space="preserve"> 1.2.2. Eiropas </w:t>
            </w:r>
            <w:proofErr w:type="spellStart"/>
            <w:r w:rsidRPr="001C47FD">
              <w:rPr>
                <w:color w:val="000000"/>
                <w:sz w:val="24"/>
                <w:szCs w:val="24"/>
                <w:lang w:eastAsia="lv-LV"/>
              </w:rPr>
              <w:t>Reģionālās</w:t>
            </w:r>
            <w:proofErr w:type="spellEnd"/>
            <w:r w:rsidRPr="001C47FD">
              <w:rPr>
                <w:color w:val="000000"/>
                <w:sz w:val="24"/>
                <w:szCs w:val="24"/>
                <w:lang w:eastAsia="lv-LV"/>
              </w:rPr>
              <w:t xml:space="preserve"> </w:t>
            </w:r>
            <w:proofErr w:type="spellStart"/>
            <w:r w:rsidRPr="001C47FD">
              <w:rPr>
                <w:color w:val="000000"/>
                <w:sz w:val="24"/>
                <w:szCs w:val="24"/>
                <w:lang w:eastAsia="lv-LV"/>
              </w:rPr>
              <w:t>attīstības</w:t>
            </w:r>
            <w:proofErr w:type="spellEnd"/>
            <w:r w:rsidRPr="001C47FD">
              <w:rPr>
                <w:color w:val="000000"/>
                <w:sz w:val="24"/>
                <w:szCs w:val="24"/>
                <w:lang w:eastAsia="lv-LV"/>
              </w:rPr>
              <w:t xml:space="preserve"> </w:t>
            </w:r>
            <w:proofErr w:type="spellStart"/>
            <w:r w:rsidRPr="001C47FD">
              <w:rPr>
                <w:color w:val="000000"/>
                <w:sz w:val="24"/>
                <w:szCs w:val="24"/>
                <w:lang w:eastAsia="lv-LV"/>
              </w:rPr>
              <w:t>fonda</w:t>
            </w:r>
            <w:proofErr w:type="spellEnd"/>
            <w:r w:rsidRPr="001C47FD">
              <w:rPr>
                <w:color w:val="000000"/>
                <w:sz w:val="24"/>
                <w:szCs w:val="24"/>
                <w:lang w:eastAsia="lv-LV"/>
              </w:rPr>
              <w:t xml:space="preserve"> </w:t>
            </w:r>
            <w:proofErr w:type="spellStart"/>
            <w:r w:rsidRPr="001C47FD">
              <w:rPr>
                <w:color w:val="000000"/>
                <w:sz w:val="24"/>
                <w:szCs w:val="24"/>
                <w:lang w:eastAsia="lv-LV"/>
              </w:rPr>
              <w:t>atbalsta</w:t>
            </w:r>
            <w:proofErr w:type="spellEnd"/>
            <w:r w:rsidRPr="001C47FD">
              <w:rPr>
                <w:color w:val="000000"/>
                <w:sz w:val="24"/>
                <w:szCs w:val="24"/>
                <w:lang w:eastAsia="lv-LV"/>
              </w:rPr>
              <w:t xml:space="preserve"> </w:t>
            </w:r>
            <w:proofErr w:type="spellStart"/>
            <w:r w:rsidRPr="001C47FD">
              <w:rPr>
                <w:color w:val="000000"/>
                <w:sz w:val="24"/>
                <w:szCs w:val="24"/>
                <w:lang w:eastAsia="lv-LV"/>
              </w:rPr>
              <w:t>intensitāte</w:t>
            </w:r>
            <w:proofErr w:type="spellEnd"/>
            <w:r w:rsidRPr="001C47FD">
              <w:rPr>
                <w:color w:val="000000"/>
                <w:sz w:val="24"/>
                <w:szCs w:val="24"/>
                <w:lang w:eastAsia="lv-LV"/>
              </w:rPr>
              <w:t xml:space="preserve"> – 57,80 </w:t>
            </w:r>
            <w:proofErr w:type="spellStart"/>
            <w:r w:rsidRPr="001C47FD">
              <w:rPr>
                <w:color w:val="000000"/>
                <w:sz w:val="24"/>
                <w:szCs w:val="24"/>
                <w:lang w:eastAsia="lv-LV"/>
              </w:rPr>
              <w:t>procenti</w:t>
            </w:r>
            <w:proofErr w:type="spellEnd"/>
            <w:r w:rsidRPr="001C47FD">
              <w:rPr>
                <w:color w:val="000000"/>
                <w:sz w:val="24"/>
                <w:szCs w:val="24"/>
                <w:lang w:eastAsia="lv-LV"/>
              </w:rPr>
              <w:t>;</w:t>
            </w:r>
          </w:p>
          <w:p w14:paraId="3FE24FA9" w14:textId="77777777" w:rsidR="004118C7" w:rsidRPr="001C47FD" w:rsidRDefault="004118C7" w:rsidP="008E2CD9">
            <w:pPr>
              <w:pStyle w:val="tv2132"/>
              <w:spacing w:line="240" w:lineRule="auto"/>
              <w:ind w:firstLine="0"/>
              <w:rPr>
                <w:color w:val="000000"/>
                <w:sz w:val="24"/>
                <w:szCs w:val="24"/>
                <w:lang w:eastAsia="lv-LV"/>
              </w:rPr>
            </w:pPr>
            <w:r w:rsidRPr="001C47FD">
              <w:rPr>
                <w:color w:val="000000"/>
                <w:sz w:val="24"/>
                <w:szCs w:val="24"/>
                <w:lang w:eastAsia="lv-LV"/>
              </w:rPr>
              <w:t>12.</w:t>
            </w:r>
            <w:r w:rsidRPr="001C47FD">
              <w:rPr>
                <w:color w:val="000000"/>
                <w:sz w:val="24"/>
                <w:szCs w:val="24"/>
                <w:vertAlign w:val="superscript"/>
                <w:lang w:eastAsia="lv-LV"/>
              </w:rPr>
              <w:t>1</w:t>
            </w:r>
            <w:r w:rsidRPr="001C47FD">
              <w:rPr>
                <w:color w:val="000000"/>
                <w:sz w:val="24"/>
                <w:szCs w:val="24"/>
                <w:lang w:eastAsia="lv-LV"/>
              </w:rPr>
              <w:t> 2. </w:t>
            </w:r>
            <w:proofErr w:type="spellStart"/>
            <w:proofErr w:type="gramStart"/>
            <w:r w:rsidRPr="001C47FD">
              <w:rPr>
                <w:color w:val="000000"/>
                <w:sz w:val="24"/>
                <w:szCs w:val="24"/>
                <w:lang w:eastAsia="lv-LV"/>
              </w:rPr>
              <w:t>ar</w:t>
            </w:r>
            <w:proofErr w:type="spellEnd"/>
            <w:proofErr w:type="gramEnd"/>
            <w:r w:rsidRPr="001C47FD">
              <w:rPr>
                <w:color w:val="000000"/>
                <w:sz w:val="24"/>
                <w:szCs w:val="24"/>
                <w:lang w:eastAsia="lv-LV"/>
              </w:rPr>
              <w:t xml:space="preserve"> </w:t>
            </w:r>
            <w:proofErr w:type="spellStart"/>
            <w:r w:rsidRPr="001C47FD">
              <w:rPr>
                <w:color w:val="000000"/>
                <w:sz w:val="24"/>
                <w:szCs w:val="24"/>
                <w:lang w:eastAsia="lv-LV"/>
              </w:rPr>
              <w:t>saimniecisku</w:t>
            </w:r>
            <w:proofErr w:type="spellEnd"/>
            <w:r w:rsidRPr="001C47FD">
              <w:rPr>
                <w:color w:val="000000"/>
                <w:sz w:val="24"/>
                <w:szCs w:val="24"/>
                <w:lang w:eastAsia="lv-LV"/>
              </w:rPr>
              <w:t xml:space="preserve"> </w:t>
            </w:r>
            <w:proofErr w:type="spellStart"/>
            <w:r w:rsidRPr="001C47FD">
              <w:rPr>
                <w:color w:val="000000"/>
                <w:sz w:val="24"/>
                <w:szCs w:val="24"/>
                <w:lang w:eastAsia="lv-LV"/>
              </w:rPr>
              <w:t>darbību</w:t>
            </w:r>
            <w:proofErr w:type="spellEnd"/>
            <w:r w:rsidRPr="001C47FD">
              <w:rPr>
                <w:color w:val="000000"/>
                <w:sz w:val="24"/>
                <w:szCs w:val="24"/>
                <w:lang w:eastAsia="lv-LV"/>
              </w:rPr>
              <w:t xml:space="preserve"> </w:t>
            </w:r>
            <w:proofErr w:type="spellStart"/>
            <w:r w:rsidRPr="001C47FD">
              <w:rPr>
                <w:color w:val="000000"/>
                <w:sz w:val="24"/>
                <w:szCs w:val="24"/>
                <w:lang w:eastAsia="lv-LV"/>
              </w:rPr>
              <w:t>saistītiem</w:t>
            </w:r>
            <w:proofErr w:type="spellEnd"/>
            <w:r w:rsidRPr="001C47FD">
              <w:rPr>
                <w:color w:val="000000"/>
                <w:sz w:val="24"/>
                <w:szCs w:val="24"/>
                <w:lang w:eastAsia="lv-LV"/>
              </w:rPr>
              <w:t xml:space="preserve"> </w:t>
            </w:r>
            <w:proofErr w:type="spellStart"/>
            <w:r w:rsidRPr="001C47FD">
              <w:rPr>
                <w:color w:val="000000"/>
                <w:sz w:val="24"/>
                <w:szCs w:val="24"/>
                <w:lang w:eastAsia="lv-LV"/>
              </w:rPr>
              <w:t>projektiem</w:t>
            </w:r>
            <w:proofErr w:type="spellEnd"/>
            <w:r w:rsidRPr="001C47FD">
              <w:rPr>
                <w:color w:val="000000"/>
                <w:sz w:val="24"/>
                <w:szCs w:val="24"/>
                <w:lang w:eastAsia="lv-LV"/>
              </w:rPr>
              <w:t xml:space="preserve"> </w:t>
            </w:r>
            <w:proofErr w:type="spellStart"/>
            <w:r w:rsidRPr="001C47FD">
              <w:rPr>
                <w:color w:val="000000"/>
                <w:sz w:val="24"/>
                <w:szCs w:val="24"/>
                <w:lang w:eastAsia="lv-LV"/>
              </w:rPr>
              <w:t>pieejamā</w:t>
            </w:r>
            <w:proofErr w:type="spellEnd"/>
            <w:r w:rsidRPr="001C47FD">
              <w:rPr>
                <w:color w:val="000000"/>
                <w:sz w:val="24"/>
                <w:szCs w:val="24"/>
                <w:lang w:eastAsia="lv-LV"/>
              </w:rPr>
              <w:t xml:space="preserve"> </w:t>
            </w:r>
            <w:proofErr w:type="spellStart"/>
            <w:r w:rsidRPr="001C47FD">
              <w:rPr>
                <w:color w:val="000000"/>
                <w:sz w:val="24"/>
                <w:szCs w:val="24"/>
                <w:lang w:eastAsia="lv-LV"/>
              </w:rPr>
              <w:t>kopējā</w:t>
            </w:r>
            <w:proofErr w:type="spellEnd"/>
            <w:r w:rsidRPr="001C47FD">
              <w:rPr>
                <w:color w:val="000000"/>
                <w:sz w:val="24"/>
                <w:szCs w:val="24"/>
                <w:lang w:eastAsia="lv-LV"/>
              </w:rPr>
              <w:t xml:space="preserve"> </w:t>
            </w:r>
            <w:proofErr w:type="spellStart"/>
            <w:r w:rsidRPr="001C47FD">
              <w:rPr>
                <w:color w:val="000000"/>
                <w:sz w:val="24"/>
                <w:szCs w:val="24"/>
                <w:lang w:eastAsia="lv-LV"/>
              </w:rPr>
              <w:t>attiecināmā</w:t>
            </w:r>
            <w:proofErr w:type="spellEnd"/>
            <w:r w:rsidRPr="001C47FD">
              <w:rPr>
                <w:color w:val="000000"/>
                <w:sz w:val="24"/>
                <w:szCs w:val="24"/>
                <w:lang w:eastAsia="lv-LV"/>
              </w:rPr>
              <w:t xml:space="preserve"> </w:t>
            </w:r>
            <w:proofErr w:type="spellStart"/>
            <w:r w:rsidRPr="001C47FD">
              <w:rPr>
                <w:color w:val="000000"/>
                <w:sz w:val="24"/>
                <w:szCs w:val="24"/>
                <w:lang w:eastAsia="lv-LV"/>
              </w:rPr>
              <w:t>publiskā</w:t>
            </w:r>
            <w:proofErr w:type="spellEnd"/>
            <w:r w:rsidRPr="001C47FD">
              <w:rPr>
                <w:color w:val="000000"/>
                <w:sz w:val="24"/>
                <w:szCs w:val="24"/>
                <w:lang w:eastAsia="lv-LV"/>
              </w:rPr>
              <w:t xml:space="preserve"> </w:t>
            </w:r>
            <w:proofErr w:type="spellStart"/>
            <w:r w:rsidRPr="001C47FD">
              <w:rPr>
                <w:color w:val="000000"/>
                <w:sz w:val="24"/>
                <w:szCs w:val="24"/>
                <w:lang w:eastAsia="lv-LV"/>
              </w:rPr>
              <w:t>finansējuma</w:t>
            </w:r>
            <w:proofErr w:type="spellEnd"/>
            <w:r w:rsidRPr="001C47FD">
              <w:rPr>
                <w:color w:val="000000"/>
                <w:sz w:val="24"/>
                <w:szCs w:val="24"/>
                <w:lang w:eastAsia="lv-LV"/>
              </w:rPr>
              <w:t xml:space="preserve"> </w:t>
            </w:r>
            <w:proofErr w:type="spellStart"/>
            <w:r w:rsidRPr="001C47FD">
              <w:rPr>
                <w:color w:val="000000"/>
                <w:sz w:val="24"/>
                <w:szCs w:val="24"/>
                <w:lang w:eastAsia="lv-LV"/>
              </w:rPr>
              <w:t>apmērs</w:t>
            </w:r>
            <w:proofErr w:type="spellEnd"/>
            <w:r w:rsidRPr="001C47FD">
              <w:rPr>
                <w:color w:val="000000"/>
                <w:sz w:val="24"/>
                <w:szCs w:val="24"/>
                <w:lang w:eastAsia="lv-LV"/>
              </w:rPr>
              <w:t xml:space="preserve"> </w:t>
            </w:r>
            <w:proofErr w:type="spellStart"/>
            <w:r w:rsidRPr="001C47FD">
              <w:rPr>
                <w:color w:val="000000"/>
                <w:sz w:val="24"/>
                <w:szCs w:val="24"/>
                <w:lang w:eastAsia="lv-LV"/>
              </w:rPr>
              <w:t>ir</w:t>
            </w:r>
            <w:proofErr w:type="spellEnd"/>
            <w:r w:rsidRPr="001C47FD">
              <w:rPr>
                <w:color w:val="000000"/>
                <w:sz w:val="24"/>
                <w:szCs w:val="24"/>
                <w:lang w:eastAsia="lv-LV"/>
              </w:rPr>
              <w:t xml:space="preserve"> </w:t>
            </w:r>
            <w:proofErr w:type="spellStart"/>
            <w:r w:rsidRPr="001C47FD">
              <w:rPr>
                <w:color w:val="000000"/>
                <w:sz w:val="24"/>
                <w:szCs w:val="24"/>
                <w:lang w:eastAsia="lv-LV"/>
              </w:rPr>
              <w:t>ne</w:t>
            </w:r>
            <w:proofErr w:type="spellEnd"/>
            <w:r w:rsidRPr="001C47FD">
              <w:rPr>
                <w:color w:val="000000"/>
                <w:sz w:val="24"/>
                <w:szCs w:val="24"/>
                <w:lang w:eastAsia="lv-LV"/>
              </w:rPr>
              <w:t xml:space="preserve"> </w:t>
            </w:r>
            <w:proofErr w:type="spellStart"/>
            <w:r w:rsidRPr="001C47FD">
              <w:rPr>
                <w:color w:val="000000"/>
                <w:sz w:val="24"/>
                <w:szCs w:val="24"/>
                <w:lang w:eastAsia="lv-LV"/>
              </w:rPr>
              <w:t>vairāk</w:t>
            </w:r>
            <w:proofErr w:type="spellEnd"/>
            <w:r w:rsidRPr="001C47FD">
              <w:rPr>
                <w:color w:val="000000"/>
                <w:sz w:val="24"/>
                <w:szCs w:val="24"/>
                <w:lang w:eastAsia="lv-LV"/>
              </w:rPr>
              <w:t xml:space="preserve"> </w:t>
            </w:r>
            <w:proofErr w:type="spellStart"/>
            <w:r w:rsidRPr="001C47FD">
              <w:rPr>
                <w:color w:val="000000"/>
                <w:sz w:val="24"/>
                <w:szCs w:val="24"/>
                <w:lang w:eastAsia="lv-LV"/>
              </w:rPr>
              <w:t>kā</w:t>
            </w:r>
            <w:proofErr w:type="spellEnd"/>
            <w:r w:rsidRPr="001C47FD">
              <w:rPr>
                <w:color w:val="000000"/>
                <w:sz w:val="24"/>
                <w:szCs w:val="24"/>
                <w:lang w:eastAsia="lv-LV"/>
              </w:rPr>
              <w:t xml:space="preserve"> </w:t>
            </w:r>
            <w:r w:rsidRPr="001C47FD">
              <w:rPr>
                <w:b/>
                <w:color w:val="000000"/>
                <w:sz w:val="24"/>
                <w:szCs w:val="24"/>
                <w:lang w:eastAsia="lv-LV"/>
              </w:rPr>
              <w:t>8 475 492</w:t>
            </w:r>
            <w:r w:rsidRPr="001C47FD">
              <w:rPr>
                <w:color w:val="000000"/>
                <w:sz w:val="24"/>
                <w:szCs w:val="24"/>
                <w:lang w:eastAsia="lv-LV"/>
              </w:rPr>
              <w:t xml:space="preserve"> </w:t>
            </w:r>
            <w:r w:rsidRPr="001C47FD">
              <w:rPr>
                <w:i/>
                <w:color w:val="000000"/>
                <w:sz w:val="24"/>
                <w:szCs w:val="24"/>
                <w:lang w:eastAsia="lv-LV"/>
              </w:rPr>
              <w:t>euro</w:t>
            </w:r>
            <w:r w:rsidRPr="001C47FD">
              <w:rPr>
                <w:color w:val="000000"/>
                <w:sz w:val="24"/>
                <w:szCs w:val="24"/>
                <w:lang w:eastAsia="lv-LV"/>
              </w:rPr>
              <w:t xml:space="preserve">, </w:t>
            </w:r>
            <w:proofErr w:type="spellStart"/>
            <w:r w:rsidRPr="001C47FD">
              <w:rPr>
                <w:color w:val="000000"/>
                <w:sz w:val="24"/>
                <w:szCs w:val="24"/>
                <w:lang w:eastAsia="lv-LV"/>
              </w:rPr>
              <w:t>ko</w:t>
            </w:r>
            <w:proofErr w:type="spellEnd"/>
            <w:r w:rsidRPr="001C47FD">
              <w:rPr>
                <w:color w:val="000000"/>
                <w:sz w:val="24"/>
                <w:szCs w:val="24"/>
                <w:lang w:eastAsia="lv-LV"/>
              </w:rPr>
              <w:t xml:space="preserve"> </w:t>
            </w:r>
            <w:proofErr w:type="spellStart"/>
            <w:r w:rsidRPr="001C47FD">
              <w:rPr>
                <w:color w:val="000000"/>
                <w:sz w:val="24"/>
                <w:szCs w:val="24"/>
                <w:lang w:eastAsia="lv-LV"/>
              </w:rPr>
              <w:t>veido</w:t>
            </w:r>
            <w:proofErr w:type="spellEnd"/>
            <w:r w:rsidRPr="001C47FD">
              <w:rPr>
                <w:color w:val="000000"/>
                <w:sz w:val="24"/>
                <w:szCs w:val="24"/>
                <w:lang w:eastAsia="lv-LV"/>
              </w:rPr>
              <w:t xml:space="preserve"> Eiropas </w:t>
            </w:r>
            <w:proofErr w:type="spellStart"/>
            <w:r w:rsidRPr="001C47FD">
              <w:rPr>
                <w:color w:val="000000"/>
                <w:sz w:val="24"/>
                <w:szCs w:val="24"/>
                <w:lang w:eastAsia="lv-LV"/>
              </w:rPr>
              <w:t>Reģionālās</w:t>
            </w:r>
            <w:proofErr w:type="spellEnd"/>
            <w:r w:rsidRPr="001C47FD">
              <w:rPr>
                <w:color w:val="000000"/>
                <w:sz w:val="24"/>
                <w:szCs w:val="24"/>
                <w:lang w:eastAsia="lv-LV"/>
              </w:rPr>
              <w:t xml:space="preserve"> </w:t>
            </w:r>
            <w:proofErr w:type="spellStart"/>
            <w:r w:rsidRPr="001C47FD">
              <w:rPr>
                <w:color w:val="000000"/>
                <w:sz w:val="24"/>
                <w:szCs w:val="24"/>
                <w:lang w:eastAsia="lv-LV"/>
              </w:rPr>
              <w:t>attīstības</w:t>
            </w:r>
            <w:proofErr w:type="spellEnd"/>
            <w:r w:rsidRPr="001C47FD">
              <w:rPr>
                <w:color w:val="000000"/>
                <w:sz w:val="24"/>
                <w:szCs w:val="24"/>
                <w:lang w:eastAsia="lv-LV"/>
              </w:rPr>
              <w:t xml:space="preserve"> </w:t>
            </w:r>
            <w:proofErr w:type="spellStart"/>
            <w:r w:rsidRPr="001C47FD">
              <w:rPr>
                <w:color w:val="000000"/>
                <w:sz w:val="24"/>
                <w:szCs w:val="24"/>
                <w:lang w:eastAsia="lv-LV"/>
              </w:rPr>
              <w:t>fonda</w:t>
            </w:r>
            <w:proofErr w:type="spellEnd"/>
            <w:r w:rsidRPr="001C47FD">
              <w:rPr>
                <w:color w:val="000000"/>
                <w:sz w:val="24"/>
                <w:szCs w:val="24"/>
                <w:lang w:eastAsia="lv-LV"/>
              </w:rPr>
              <w:t xml:space="preserve"> </w:t>
            </w:r>
            <w:proofErr w:type="spellStart"/>
            <w:r w:rsidRPr="001C47FD">
              <w:rPr>
                <w:color w:val="000000"/>
                <w:sz w:val="24"/>
                <w:szCs w:val="24"/>
                <w:lang w:eastAsia="lv-LV"/>
              </w:rPr>
              <w:t>finansējums</w:t>
            </w:r>
            <w:proofErr w:type="spellEnd"/>
            <w:r w:rsidRPr="001C47FD">
              <w:rPr>
                <w:color w:val="000000"/>
                <w:sz w:val="24"/>
                <w:szCs w:val="24"/>
                <w:lang w:eastAsia="lv-LV"/>
              </w:rPr>
              <w:t>."</w:t>
            </w:r>
          </w:p>
          <w:p w14:paraId="50434C05" w14:textId="77777777" w:rsidR="004118C7" w:rsidRPr="001C47FD" w:rsidRDefault="004118C7" w:rsidP="008E2CD9">
            <w:pPr>
              <w:pStyle w:val="ListParagraph"/>
              <w:ind w:left="0"/>
              <w:rPr>
                <w:rFonts w:ascii="Times New Roman" w:hAnsi="Times New Roman"/>
                <w:color w:val="000000"/>
                <w:sz w:val="24"/>
                <w:szCs w:val="24"/>
              </w:rPr>
            </w:pPr>
          </w:p>
          <w:p w14:paraId="40C83A60" w14:textId="77777777" w:rsidR="004118C7" w:rsidRPr="001C47FD" w:rsidRDefault="004118C7" w:rsidP="008E2CD9">
            <w:pPr>
              <w:pStyle w:val="tv2132"/>
              <w:spacing w:line="240" w:lineRule="auto"/>
              <w:ind w:firstLine="0"/>
              <w:rPr>
                <w:color w:val="000000"/>
                <w:sz w:val="24"/>
                <w:szCs w:val="24"/>
                <w:lang w:eastAsia="lv-LV"/>
              </w:rPr>
            </w:pPr>
            <w:r w:rsidRPr="001C47FD">
              <w:rPr>
                <w:color w:val="000000"/>
                <w:sz w:val="24"/>
                <w:szCs w:val="24"/>
                <w:lang w:eastAsia="lv-LV"/>
              </w:rPr>
              <w:t>"12.</w:t>
            </w:r>
            <w:r w:rsidRPr="001C47FD">
              <w:rPr>
                <w:color w:val="000000"/>
                <w:sz w:val="24"/>
                <w:szCs w:val="24"/>
                <w:vertAlign w:val="superscript"/>
                <w:lang w:eastAsia="lv-LV"/>
              </w:rPr>
              <w:t>2</w:t>
            </w:r>
            <w:r w:rsidRPr="001C47FD">
              <w:rPr>
                <w:color w:val="000000"/>
                <w:sz w:val="24"/>
                <w:szCs w:val="24"/>
                <w:lang w:eastAsia="lv-LV"/>
              </w:rPr>
              <w:t> </w:t>
            </w:r>
            <w:proofErr w:type="spellStart"/>
            <w:r w:rsidRPr="001C47FD">
              <w:rPr>
                <w:color w:val="000000"/>
                <w:sz w:val="24"/>
                <w:szCs w:val="24"/>
                <w:lang w:eastAsia="lv-LV"/>
              </w:rPr>
              <w:t>Trešajā</w:t>
            </w:r>
            <w:proofErr w:type="spellEnd"/>
            <w:r w:rsidRPr="001C47FD">
              <w:rPr>
                <w:color w:val="000000"/>
                <w:sz w:val="24"/>
                <w:szCs w:val="24"/>
                <w:lang w:eastAsia="lv-LV"/>
              </w:rPr>
              <w:t xml:space="preserve"> </w:t>
            </w:r>
            <w:proofErr w:type="spellStart"/>
            <w:r w:rsidRPr="001C47FD">
              <w:rPr>
                <w:color w:val="000000"/>
                <w:sz w:val="24"/>
                <w:szCs w:val="24"/>
                <w:lang w:eastAsia="lv-LV"/>
              </w:rPr>
              <w:t>projektu</w:t>
            </w:r>
            <w:proofErr w:type="spellEnd"/>
            <w:r w:rsidRPr="001C47FD">
              <w:rPr>
                <w:color w:val="000000"/>
                <w:sz w:val="24"/>
                <w:szCs w:val="24"/>
                <w:lang w:eastAsia="lv-LV"/>
              </w:rPr>
              <w:t xml:space="preserve"> </w:t>
            </w:r>
            <w:proofErr w:type="spellStart"/>
            <w:r w:rsidRPr="001C47FD">
              <w:rPr>
                <w:color w:val="000000"/>
                <w:sz w:val="24"/>
                <w:szCs w:val="24"/>
                <w:lang w:eastAsia="lv-LV"/>
              </w:rPr>
              <w:t>iesniegumu</w:t>
            </w:r>
            <w:proofErr w:type="spellEnd"/>
            <w:r w:rsidRPr="001C47FD">
              <w:rPr>
                <w:color w:val="000000"/>
                <w:sz w:val="24"/>
                <w:szCs w:val="24"/>
                <w:lang w:eastAsia="lv-LV"/>
              </w:rPr>
              <w:t xml:space="preserve"> atlases </w:t>
            </w:r>
            <w:proofErr w:type="spellStart"/>
            <w:r w:rsidRPr="001C47FD">
              <w:rPr>
                <w:color w:val="000000"/>
                <w:sz w:val="24"/>
                <w:szCs w:val="24"/>
                <w:lang w:eastAsia="lv-LV"/>
              </w:rPr>
              <w:t>kārtā</w:t>
            </w:r>
            <w:proofErr w:type="spellEnd"/>
            <w:r w:rsidRPr="001C47FD">
              <w:rPr>
                <w:color w:val="000000"/>
                <w:sz w:val="24"/>
                <w:szCs w:val="24"/>
                <w:lang w:eastAsia="lv-LV"/>
              </w:rPr>
              <w:t xml:space="preserve"> </w:t>
            </w:r>
            <w:proofErr w:type="spellStart"/>
            <w:r w:rsidRPr="001C47FD">
              <w:rPr>
                <w:color w:val="000000"/>
                <w:sz w:val="24"/>
                <w:szCs w:val="24"/>
                <w:lang w:eastAsia="lv-LV"/>
              </w:rPr>
              <w:t>plānotais</w:t>
            </w:r>
            <w:proofErr w:type="spellEnd"/>
            <w:r w:rsidRPr="001C47FD">
              <w:rPr>
                <w:color w:val="000000"/>
                <w:sz w:val="24"/>
                <w:szCs w:val="24"/>
                <w:lang w:eastAsia="lv-LV"/>
              </w:rPr>
              <w:t xml:space="preserve"> </w:t>
            </w:r>
            <w:proofErr w:type="spellStart"/>
            <w:r w:rsidRPr="001C47FD">
              <w:rPr>
                <w:color w:val="000000"/>
                <w:sz w:val="24"/>
                <w:szCs w:val="24"/>
                <w:lang w:eastAsia="lv-LV"/>
              </w:rPr>
              <w:t>kopējais</w:t>
            </w:r>
            <w:proofErr w:type="spellEnd"/>
            <w:r w:rsidRPr="001C47FD">
              <w:rPr>
                <w:color w:val="000000"/>
                <w:sz w:val="24"/>
                <w:szCs w:val="24"/>
                <w:lang w:eastAsia="lv-LV"/>
              </w:rPr>
              <w:t xml:space="preserve"> </w:t>
            </w:r>
            <w:proofErr w:type="spellStart"/>
            <w:r w:rsidRPr="001C47FD">
              <w:rPr>
                <w:color w:val="000000"/>
                <w:sz w:val="24"/>
                <w:szCs w:val="24"/>
                <w:lang w:eastAsia="lv-LV"/>
              </w:rPr>
              <w:t>attiecināmais</w:t>
            </w:r>
            <w:proofErr w:type="spellEnd"/>
            <w:r w:rsidRPr="001C47FD">
              <w:rPr>
                <w:color w:val="000000"/>
                <w:sz w:val="24"/>
                <w:szCs w:val="24"/>
                <w:lang w:eastAsia="lv-LV"/>
              </w:rPr>
              <w:t xml:space="preserve"> </w:t>
            </w:r>
            <w:proofErr w:type="spellStart"/>
            <w:r w:rsidRPr="001C47FD">
              <w:rPr>
                <w:color w:val="000000"/>
                <w:sz w:val="24"/>
                <w:szCs w:val="24"/>
                <w:lang w:eastAsia="lv-LV"/>
              </w:rPr>
              <w:t>publiskais</w:t>
            </w:r>
            <w:proofErr w:type="spellEnd"/>
            <w:r w:rsidRPr="001C47FD">
              <w:rPr>
                <w:color w:val="000000"/>
                <w:sz w:val="24"/>
                <w:szCs w:val="24"/>
                <w:lang w:eastAsia="lv-LV"/>
              </w:rPr>
              <w:t xml:space="preserve"> </w:t>
            </w:r>
            <w:proofErr w:type="spellStart"/>
            <w:r w:rsidRPr="001C47FD">
              <w:rPr>
                <w:color w:val="000000"/>
                <w:sz w:val="24"/>
                <w:szCs w:val="24"/>
                <w:lang w:eastAsia="lv-LV"/>
              </w:rPr>
              <w:t>finansējums</w:t>
            </w:r>
            <w:proofErr w:type="spellEnd"/>
            <w:r w:rsidRPr="001C47FD">
              <w:rPr>
                <w:color w:val="000000"/>
                <w:sz w:val="24"/>
                <w:szCs w:val="24"/>
                <w:lang w:eastAsia="lv-LV"/>
              </w:rPr>
              <w:t xml:space="preserve"> </w:t>
            </w:r>
            <w:proofErr w:type="spellStart"/>
            <w:r w:rsidRPr="001C47FD">
              <w:rPr>
                <w:color w:val="000000"/>
                <w:sz w:val="24"/>
                <w:szCs w:val="24"/>
                <w:lang w:eastAsia="lv-LV"/>
              </w:rPr>
              <w:t>ir</w:t>
            </w:r>
            <w:proofErr w:type="spellEnd"/>
            <w:r w:rsidRPr="001C47FD">
              <w:rPr>
                <w:color w:val="000000"/>
                <w:sz w:val="24"/>
                <w:szCs w:val="24"/>
                <w:lang w:eastAsia="lv-LV"/>
              </w:rPr>
              <w:t xml:space="preserve"> </w:t>
            </w:r>
            <w:proofErr w:type="spellStart"/>
            <w:r w:rsidRPr="001C47FD">
              <w:rPr>
                <w:color w:val="000000"/>
                <w:sz w:val="24"/>
                <w:szCs w:val="24"/>
                <w:lang w:eastAsia="lv-LV"/>
              </w:rPr>
              <w:t>ne</w:t>
            </w:r>
            <w:proofErr w:type="spellEnd"/>
            <w:r w:rsidRPr="001C47FD">
              <w:rPr>
                <w:color w:val="000000"/>
                <w:sz w:val="24"/>
                <w:szCs w:val="24"/>
                <w:lang w:eastAsia="lv-LV"/>
              </w:rPr>
              <w:t xml:space="preserve"> </w:t>
            </w:r>
            <w:proofErr w:type="spellStart"/>
            <w:r w:rsidRPr="001C47FD">
              <w:rPr>
                <w:color w:val="000000"/>
                <w:sz w:val="24"/>
                <w:szCs w:val="24"/>
                <w:lang w:eastAsia="lv-LV"/>
              </w:rPr>
              <w:t>vairāk</w:t>
            </w:r>
            <w:proofErr w:type="spellEnd"/>
            <w:r w:rsidRPr="001C47FD">
              <w:rPr>
                <w:color w:val="000000"/>
                <w:sz w:val="24"/>
                <w:szCs w:val="24"/>
                <w:lang w:eastAsia="lv-LV"/>
              </w:rPr>
              <w:t xml:space="preserve"> </w:t>
            </w:r>
            <w:proofErr w:type="spellStart"/>
            <w:r w:rsidRPr="001C47FD">
              <w:rPr>
                <w:color w:val="000000"/>
                <w:sz w:val="24"/>
                <w:szCs w:val="24"/>
                <w:lang w:eastAsia="lv-LV"/>
              </w:rPr>
              <w:t>kā</w:t>
            </w:r>
            <w:proofErr w:type="spellEnd"/>
            <w:r w:rsidRPr="001C47FD">
              <w:rPr>
                <w:color w:val="000000"/>
                <w:sz w:val="24"/>
                <w:szCs w:val="24"/>
                <w:lang w:eastAsia="lv-LV"/>
              </w:rPr>
              <w:t xml:space="preserve"> </w:t>
            </w:r>
            <w:r w:rsidRPr="001C47FD">
              <w:rPr>
                <w:b/>
                <w:color w:val="000000"/>
                <w:sz w:val="24"/>
                <w:szCs w:val="24"/>
                <w:lang w:eastAsia="lv-LV"/>
              </w:rPr>
              <w:t>13 300 880</w:t>
            </w:r>
            <w:r w:rsidRPr="001C47FD">
              <w:rPr>
                <w:color w:val="000000"/>
                <w:sz w:val="24"/>
                <w:szCs w:val="24"/>
                <w:lang w:eastAsia="lv-LV"/>
              </w:rPr>
              <w:t xml:space="preserve"> </w:t>
            </w:r>
            <w:r w:rsidRPr="001C47FD">
              <w:rPr>
                <w:i/>
                <w:color w:val="000000"/>
                <w:sz w:val="24"/>
                <w:szCs w:val="24"/>
                <w:lang w:eastAsia="lv-LV"/>
              </w:rPr>
              <w:t>euro</w:t>
            </w:r>
            <w:r w:rsidRPr="001C47FD">
              <w:rPr>
                <w:color w:val="000000"/>
                <w:sz w:val="24"/>
                <w:szCs w:val="24"/>
                <w:lang w:eastAsia="lv-LV"/>
              </w:rPr>
              <w:t xml:space="preserve">, </w:t>
            </w:r>
            <w:proofErr w:type="spellStart"/>
            <w:r w:rsidRPr="001C47FD">
              <w:rPr>
                <w:color w:val="000000"/>
                <w:sz w:val="24"/>
                <w:szCs w:val="24"/>
                <w:lang w:eastAsia="lv-LV"/>
              </w:rPr>
              <w:t>ko</w:t>
            </w:r>
            <w:proofErr w:type="spellEnd"/>
            <w:r w:rsidRPr="001C47FD">
              <w:rPr>
                <w:color w:val="000000"/>
                <w:sz w:val="24"/>
                <w:szCs w:val="24"/>
                <w:lang w:eastAsia="lv-LV"/>
              </w:rPr>
              <w:t xml:space="preserve"> </w:t>
            </w:r>
            <w:proofErr w:type="spellStart"/>
            <w:r w:rsidRPr="001C47FD">
              <w:rPr>
                <w:color w:val="000000"/>
                <w:sz w:val="24"/>
                <w:szCs w:val="24"/>
                <w:lang w:eastAsia="lv-LV"/>
              </w:rPr>
              <w:t>veido</w:t>
            </w:r>
            <w:proofErr w:type="spellEnd"/>
            <w:r w:rsidRPr="001C47FD">
              <w:rPr>
                <w:color w:val="000000"/>
                <w:sz w:val="24"/>
                <w:szCs w:val="24"/>
                <w:lang w:eastAsia="lv-LV"/>
              </w:rPr>
              <w:t xml:space="preserve"> Eiropas </w:t>
            </w:r>
            <w:proofErr w:type="spellStart"/>
            <w:r w:rsidRPr="001C47FD">
              <w:rPr>
                <w:color w:val="000000"/>
                <w:sz w:val="24"/>
                <w:szCs w:val="24"/>
                <w:lang w:eastAsia="lv-LV"/>
              </w:rPr>
              <w:t>Reģionālās</w:t>
            </w:r>
            <w:proofErr w:type="spellEnd"/>
            <w:r w:rsidRPr="001C47FD">
              <w:rPr>
                <w:color w:val="000000"/>
                <w:sz w:val="24"/>
                <w:szCs w:val="24"/>
                <w:lang w:eastAsia="lv-LV"/>
              </w:rPr>
              <w:t xml:space="preserve"> </w:t>
            </w:r>
            <w:proofErr w:type="spellStart"/>
            <w:r w:rsidRPr="001C47FD">
              <w:rPr>
                <w:color w:val="000000"/>
                <w:sz w:val="24"/>
                <w:szCs w:val="24"/>
                <w:lang w:eastAsia="lv-LV"/>
              </w:rPr>
              <w:t>attīstības</w:t>
            </w:r>
            <w:proofErr w:type="spellEnd"/>
            <w:r w:rsidRPr="001C47FD">
              <w:rPr>
                <w:color w:val="000000"/>
                <w:sz w:val="24"/>
                <w:szCs w:val="24"/>
                <w:lang w:eastAsia="lv-LV"/>
              </w:rPr>
              <w:t xml:space="preserve"> </w:t>
            </w:r>
            <w:proofErr w:type="spellStart"/>
            <w:r w:rsidRPr="001C47FD">
              <w:rPr>
                <w:color w:val="000000"/>
                <w:sz w:val="24"/>
                <w:szCs w:val="24"/>
                <w:lang w:eastAsia="lv-LV"/>
              </w:rPr>
              <w:t>fonda</w:t>
            </w:r>
            <w:proofErr w:type="spellEnd"/>
            <w:r w:rsidRPr="001C47FD">
              <w:rPr>
                <w:color w:val="000000"/>
                <w:sz w:val="24"/>
                <w:szCs w:val="24"/>
                <w:lang w:eastAsia="lv-LV"/>
              </w:rPr>
              <w:t xml:space="preserve"> </w:t>
            </w:r>
            <w:proofErr w:type="spellStart"/>
            <w:r w:rsidRPr="001C47FD">
              <w:rPr>
                <w:color w:val="000000"/>
                <w:sz w:val="24"/>
                <w:szCs w:val="24"/>
                <w:lang w:eastAsia="lv-LV"/>
              </w:rPr>
              <w:t>finansējums</w:t>
            </w:r>
            <w:proofErr w:type="spellEnd"/>
            <w:r w:rsidRPr="001C47FD">
              <w:rPr>
                <w:color w:val="000000"/>
                <w:sz w:val="24"/>
                <w:szCs w:val="24"/>
                <w:lang w:eastAsia="lv-LV"/>
              </w:rPr>
              <w:t xml:space="preserve"> ne </w:t>
            </w:r>
            <w:proofErr w:type="spellStart"/>
            <w:r w:rsidRPr="001C47FD">
              <w:rPr>
                <w:color w:val="000000"/>
                <w:sz w:val="24"/>
                <w:szCs w:val="24"/>
                <w:lang w:eastAsia="lv-LV"/>
              </w:rPr>
              <w:t>vairāk</w:t>
            </w:r>
            <w:proofErr w:type="spellEnd"/>
            <w:r w:rsidRPr="001C47FD">
              <w:rPr>
                <w:color w:val="000000"/>
                <w:sz w:val="24"/>
                <w:szCs w:val="24"/>
                <w:lang w:eastAsia="lv-LV"/>
              </w:rPr>
              <w:t xml:space="preserve"> </w:t>
            </w:r>
            <w:proofErr w:type="spellStart"/>
            <w:r w:rsidRPr="001C47FD">
              <w:rPr>
                <w:color w:val="000000"/>
                <w:sz w:val="24"/>
                <w:szCs w:val="24"/>
                <w:lang w:eastAsia="lv-LV"/>
              </w:rPr>
              <w:t>kā</w:t>
            </w:r>
            <w:proofErr w:type="spellEnd"/>
            <w:r w:rsidRPr="001C47FD">
              <w:rPr>
                <w:color w:val="000000"/>
                <w:sz w:val="24"/>
                <w:szCs w:val="24"/>
                <w:lang w:eastAsia="lv-LV"/>
              </w:rPr>
              <w:t xml:space="preserve"> </w:t>
            </w:r>
            <w:r w:rsidRPr="001C47FD">
              <w:rPr>
                <w:b/>
                <w:color w:val="000000"/>
                <w:sz w:val="24"/>
                <w:szCs w:val="24"/>
                <w:lang w:eastAsia="lv-LV"/>
              </w:rPr>
              <w:t>10 433 880</w:t>
            </w:r>
            <w:r w:rsidRPr="001C47FD">
              <w:rPr>
                <w:color w:val="000000"/>
                <w:sz w:val="24"/>
                <w:szCs w:val="24"/>
                <w:lang w:eastAsia="lv-LV"/>
              </w:rPr>
              <w:t xml:space="preserve"> </w:t>
            </w:r>
            <w:r w:rsidRPr="001C47FD">
              <w:rPr>
                <w:i/>
                <w:color w:val="000000"/>
                <w:sz w:val="24"/>
                <w:szCs w:val="24"/>
                <w:lang w:eastAsia="lv-LV"/>
              </w:rPr>
              <w:t>euro</w:t>
            </w:r>
            <w:r w:rsidRPr="001C47FD">
              <w:rPr>
                <w:color w:val="000000"/>
                <w:sz w:val="24"/>
                <w:szCs w:val="24"/>
                <w:lang w:eastAsia="lv-LV"/>
              </w:rPr>
              <w:t xml:space="preserve"> </w:t>
            </w:r>
            <w:proofErr w:type="spellStart"/>
            <w:r w:rsidRPr="001C47FD">
              <w:rPr>
                <w:color w:val="000000"/>
                <w:sz w:val="24"/>
                <w:szCs w:val="24"/>
                <w:lang w:eastAsia="lv-LV"/>
              </w:rPr>
              <w:t>apmērā</w:t>
            </w:r>
            <w:proofErr w:type="spellEnd"/>
            <w:r w:rsidRPr="001C47FD">
              <w:rPr>
                <w:color w:val="000000"/>
                <w:sz w:val="24"/>
                <w:szCs w:val="24"/>
                <w:lang w:eastAsia="lv-LV"/>
              </w:rPr>
              <w:t xml:space="preserve"> un </w:t>
            </w:r>
            <w:proofErr w:type="spellStart"/>
            <w:r w:rsidRPr="001C47FD">
              <w:rPr>
                <w:color w:val="000000"/>
                <w:sz w:val="24"/>
                <w:szCs w:val="24"/>
                <w:lang w:eastAsia="lv-LV"/>
              </w:rPr>
              <w:t>valsts</w:t>
            </w:r>
            <w:proofErr w:type="spellEnd"/>
            <w:r w:rsidRPr="001C47FD">
              <w:rPr>
                <w:color w:val="000000"/>
                <w:sz w:val="24"/>
                <w:szCs w:val="24"/>
                <w:lang w:eastAsia="lv-LV"/>
              </w:rPr>
              <w:t xml:space="preserve"> </w:t>
            </w:r>
            <w:proofErr w:type="spellStart"/>
            <w:r w:rsidRPr="001C47FD">
              <w:rPr>
                <w:color w:val="000000"/>
                <w:sz w:val="24"/>
                <w:szCs w:val="24"/>
                <w:lang w:eastAsia="lv-LV"/>
              </w:rPr>
              <w:t>budžeta</w:t>
            </w:r>
            <w:proofErr w:type="spellEnd"/>
            <w:r w:rsidRPr="001C47FD">
              <w:rPr>
                <w:color w:val="000000"/>
                <w:sz w:val="24"/>
                <w:szCs w:val="24"/>
                <w:lang w:eastAsia="lv-LV"/>
              </w:rPr>
              <w:t xml:space="preserve"> </w:t>
            </w:r>
            <w:proofErr w:type="spellStart"/>
            <w:r w:rsidRPr="001C47FD">
              <w:rPr>
                <w:color w:val="000000"/>
                <w:sz w:val="24"/>
                <w:szCs w:val="24"/>
                <w:lang w:eastAsia="lv-LV"/>
              </w:rPr>
              <w:t>finansējums</w:t>
            </w:r>
            <w:proofErr w:type="spellEnd"/>
            <w:r w:rsidRPr="001C47FD">
              <w:rPr>
                <w:color w:val="000000"/>
                <w:sz w:val="24"/>
                <w:szCs w:val="24"/>
                <w:lang w:eastAsia="lv-LV"/>
              </w:rPr>
              <w:t xml:space="preserve"> </w:t>
            </w:r>
            <w:proofErr w:type="spellStart"/>
            <w:r w:rsidRPr="001C47FD">
              <w:rPr>
                <w:color w:val="000000"/>
                <w:sz w:val="24"/>
                <w:szCs w:val="24"/>
                <w:lang w:eastAsia="lv-LV"/>
              </w:rPr>
              <w:t>ne</w:t>
            </w:r>
            <w:proofErr w:type="spellEnd"/>
            <w:r w:rsidRPr="001C47FD">
              <w:rPr>
                <w:color w:val="000000"/>
                <w:sz w:val="24"/>
                <w:szCs w:val="24"/>
                <w:lang w:eastAsia="lv-LV"/>
              </w:rPr>
              <w:t xml:space="preserve"> </w:t>
            </w:r>
            <w:proofErr w:type="spellStart"/>
            <w:r w:rsidRPr="001C47FD">
              <w:rPr>
                <w:color w:val="000000"/>
                <w:sz w:val="24"/>
                <w:szCs w:val="24"/>
                <w:lang w:eastAsia="lv-LV"/>
              </w:rPr>
              <w:t>vairāk</w:t>
            </w:r>
            <w:proofErr w:type="spellEnd"/>
            <w:r w:rsidRPr="001C47FD">
              <w:rPr>
                <w:color w:val="000000"/>
                <w:sz w:val="24"/>
                <w:szCs w:val="24"/>
                <w:lang w:eastAsia="lv-LV"/>
              </w:rPr>
              <w:t xml:space="preserve"> </w:t>
            </w:r>
            <w:proofErr w:type="spellStart"/>
            <w:r w:rsidRPr="001C47FD">
              <w:rPr>
                <w:color w:val="000000"/>
                <w:sz w:val="24"/>
                <w:szCs w:val="24"/>
                <w:lang w:eastAsia="lv-LV"/>
              </w:rPr>
              <w:t>kā</w:t>
            </w:r>
            <w:proofErr w:type="spellEnd"/>
            <w:r w:rsidRPr="001C47FD">
              <w:rPr>
                <w:color w:val="000000"/>
                <w:sz w:val="24"/>
                <w:szCs w:val="24"/>
                <w:lang w:eastAsia="lv-LV"/>
              </w:rPr>
              <w:t xml:space="preserve"> 2 867 000 </w:t>
            </w:r>
            <w:r w:rsidRPr="001C47FD">
              <w:rPr>
                <w:i/>
                <w:color w:val="000000"/>
                <w:sz w:val="24"/>
                <w:szCs w:val="24"/>
                <w:lang w:eastAsia="lv-LV"/>
              </w:rPr>
              <w:t>euro</w:t>
            </w:r>
            <w:r w:rsidRPr="001C47FD">
              <w:rPr>
                <w:color w:val="000000"/>
                <w:sz w:val="24"/>
                <w:szCs w:val="24"/>
                <w:lang w:eastAsia="lv-LV"/>
              </w:rPr>
              <w:t xml:space="preserve"> </w:t>
            </w:r>
            <w:proofErr w:type="spellStart"/>
            <w:r w:rsidRPr="001C47FD">
              <w:rPr>
                <w:color w:val="000000"/>
                <w:sz w:val="24"/>
                <w:szCs w:val="24"/>
                <w:lang w:eastAsia="lv-LV"/>
              </w:rPr>
              <w:t>apmērā</w:t>
            </w:r>
            <w:proofErr w:type="spellEnd"/>
            <w:r w:rsidRPr="001C47FD">
              <w:rPr>
                <w:color w:val="000000"/>
                <w:sz w:val="24"/>
                <w:szCs w:val="24"/>
                <w:lang w:eastAsia="lv-LV"/>
              </w:rPr>
              <w:t xml:space="preserve">, tai </w:t>
            </w:r>
            <w:proofErr w:type="spellStart"/>
            <w:r w:rsidRPr="001C47FD">
              <w:rPr>
                <w:color w:val="000000"/>
                <w:sz w:val="24"/>
                <w:szCs w:val="24"/>
                <w:lang w:eastAsia="lv-LV"/>
              </w:rPr>
              <w:t>skaitā</w:t>
            </w:r>
            <w:proofErr w:type="spellEnd"/>
            <w:r w:rsidRPr="001C47FD">
              <w:rPr>
                <w:color w:val="000000"/>
                <w:sz w:val="24"/>
                <w:szCs w:val="24"/>
                <w:lang w:eastAsia="lv-LV"/>
              </w:rPr>
              <w:t>:</w:t>
            </w:r>
          </w:p>
          <w:p w14:paraId="5C74578E" w14:textId="77777777" w:rsidR="004118C7" w:rsidRPr="001C47FD" w:rsidRDefault="004118C7" w:rsidP="008E2CD9">
            <w:pPr>
              <w:pStyle w:val="tv2132"/>
              <w:spacing w:line="240" w:lineRule="auto"/>
              <w:ind w:firstLine="0"/>
              <w:rPr>
                <w:color w:val="000000"/>
                <w:sz w:val="24"/>
                <w:szCs w:val="24"/>
                <w:lang w:eastAsia="lv-LV"/>
              </w:rPr>
            </w:pPr>
            <w:r w:rsidRPr="001C47FD">
              <w:rPr>
                <w:color w:val="000000"/>
                <w:sz w:val="24"/>
                <w:szCs w:val="24"/>
                <w:lang w:eastAsia="lv-LV"/>
              </w:rPr>
              <w:lastRenderedPageBreak/>
              <w:t>12.</w:t>
            </w:r>
            <w:r w:rsidRPr="001C47FD">
              <w:rPr>
                <w:color w:val="000000"/>
                <w:sz w:val="24"/>
                <w:szCs w:val="24"/>
                <w:vertAlign w:val="superscript"/>
                <w:lang w:eastAsia="lv-LV"/>
              </w:rPr>
              <w:t>2</w:t>
            </w:r>
            <w:r w:rsidRPr="001C47FD">
              <w:rPr>
                <w:color w:val="000000"/>
                <w:sz w:val="24"/>
                <w:szCs w:val="24"/>
                <w:lang w:eastAsia="lv-LV"/>
              </w:rPr>
              <w:t> 1. </w:t>
            </w:r>
            <w:proofErr w:type="spellStart"/>
            <w:r w:rsidRPr="001C47FD">
              <w:rPr>
                <w:color w:val="000000"/>
                <w:sz w:val="24"/>
                <w:szCs w:val="24"/>
                <w:lang w:eastAsia="lv-LV"/>
              </w:rPr>
              <w:t>ar</w:t>
            </w:r>
            <w:proofErr w:type="spellEnd"/>
            <w:r w:rsidRPr="001C47FD">
              <w:rPr>
                <w:color w:val="000000"/>
                <w:sz w:val="24"/>
                <w:szCs w:val="24"/>
                <w:lang w:eastAsia="lv-LV"/>
              </w:rPr>
              <w:t xml:space="preserve"> </w:t>
            </w:r>
            <w:proofErr w:type="spellStart"/>
            <w:r w:rsidRPr="001C47FD">
              <w:rPr>
                <w:color w:val="000000"/>
                <w:sz w:val="24"/>
                <w:szCs w:val="24"/>
                <w:lang w:eastAsia="lv-LV"/>
              </w:rPr>
              <w:t>saimniecisku</w:t>
            </w:r>
            <w:proofErr w:type="spellEnd"/>
            <w:r w:rsidRPr="001C47FD">
              <w:rPr>
                <w:color w:val="000000"/>
                <w:sz w:val="24"/>
                <w:szCs w:val="24"/>
                <w:lang w:eastAsia="lv-LV"/>
              </w:rPr>
              <w:t xml:space="preserve"> </w:t>
            </w:r>
            <w:proofErr w:type="spellStart"/>
            <w:r w:rsidRPr="001C47FD">
              <w:rPr>
                <w:color w:val="000000"/>
                <w:sz w:val="24"/>
                <w:szCs w:val="24"/>
                <w:lang w:eastAsia="lv-LV"/>
              </w:rPr>
              <w:t>darbību</w:t>
            </w:r>
            <w:proofErr w:type="spellEnd"/>
            <w:r w:rsidRPr="001C47FD">
              <w:rPr>
                <w:color w:val="000000"/>
                <w:sz w:val="24"/>
                <w:szCs w:val="24"/>
                <w:lang w:eastAsia="lv-LV"/>
              </w:rPr>
              <w:t xml:space="preserve"> </w:t>
            </w:r>
            <w:proofErr w:type="spellStart"/>
            <w:r w:rsidRPr="001C47FD">
              <w:rPr>
                <w:color w:val="000000"/>
                <w:sz w:val="24"/>
                <w:szCs w:val="24"/>
                <w:lang w:eastAsia="lv-LV"/>
              </w:rPr>
              <w:t>nesaistītiem</w:t>
            </w:r>
            <w:proofErr w:type="spellEnd"/>
            <w:r w:rsidRPr="001C47FD">
              <w:rPr>
                <w:color w:val="000000"/>
                <w:sz w:val="24"/>
                <w:szCs w:val="24"/>
                <w:lang w:eastAsia="lv-LV"/>
              </w:rPr>
              <w:t xml:space="preserve"> </w:t>
            </w:r>
            <w:proofErr w:type="spellStart"/>
            <w:r w:rsidRPr="001C47FD">
              <w:rPr>
                <w:color w:val="000000"/>
                <w:sz w:val="24"/>
                <w:szCs w:val="24"/>
                <w:lang w:eastAsia="lv-LV"/>
              </w:rPr>
              <w:t>projektiem</w:t>
            </w:r>
            <w:proofErr w:type="spellEnd"/>
            <w:r w:rsidRPr="001C47FD">
              <w:rPr>
                <w:color w:val="000000"/>
                <w:sz w:val="24"/>
                <w:szCs w:val="24"/>
                <w:lang w:eastAsia="lv-LV"/>
              </w:rPr>
              <w:t>:</w:t>
            </w:r>
          </w:p>
          <w:p w14:paraId="764FC4E4" w14:textId="77777777" w:rsidR="004118C7" w:rsidRPr="001C47FD" w:rsidRDefault="004118C7" w:rsidP="008E2CD9">
            <w:pPr>
              <w:pStyle w:val="tv2132"/>
              <w:spacing w:line="240" w:lineRule="auto"/>
              <w:ind w:firstLine="0"/>
              <w:rPr>
                <w:color w:val="000000"/>
                <w:sz w:val="24"/>
                <w:szCs w:val="24"/>
                <w:lang w:eastAsia="lv-LV"/>
              </w:rPr>
            </w:pPr>
            <w:r w:rsidRPr="001C47FD">
              <w:rPr>
                <w:color w:val="000000"/>
                <w:sz w:val="24"/>
                <w:szCs w:val="24"/>
                <w:lang w:eastAsia="lv-LV"/>
              </w:rPr>
              <w:t>12.</w:t>
            </w:r>
            <w:r w:rsidRPr="001C47FD">
              <w:rPr>
                <w:color w:val="000000"/>
                <w:sz w:val="24"/>
                <w:szCs w:val="24"/>
                <w:vertAlign w:val="superscript"/>
                <w:lang w:eastAsia="lv-LV"/>
              </w:rPr>
              <w:t>2</w:t>
            </w:r>
            <w:r w:rsidRPr="001C47FD">
              <w:rPr>
                <w:color w:val="000000"/>
                <w:sz w:val="24"/>
                <w:szCs w:val="24"/>
                <w:lang w:eastAsia="lv-LV"/>
              </w:rPr>
              <w:t> 1.1. </w:t>
            </w:r>
            <w:proofErr w:type="spellStart"/>
            <w:r w:rsidRPr="001C47FD">
              <w:rPr>
                <w:color w:val="000000"/>
                <w:sz w:val="24"/>
                <w:szCs w:val="24"/>
                <w:lang w:eastAsia="lv-LV"/>
              </w:rPr>
              <w:t>pieejamā</w:t>
            </w:r>
            <w:proofErr w:type="spellEnd"/>
            <w:r w:rsidRPr="001C47FD">
              <w:rPr>
                <w:color w:val="000000"/>
                <w:sz w:val="24"/>
                <w:szCs w:val="24"/>
                <w:lang w:eastAsia="lv-LV"/>
              </w:rPr>
              <w:t xml:space="preserve"> </w:t>
            </w:r>
            <w:proofErr w:type="spellStart"/>
            <w:r w:rsidRPr="001C47FD">
              <w:rPr>
                <w:color w:val="000000"/>
                <w:sz w:val="24"/>
                <w:szCs w:val="24"/>
                <w:lang w:eastAsia="lv-LV"/>
              </w:rPr>
              <w:t>kopējā</w:t>
            </w:r>
            <w:proofErr w:type="spellEnd"/>
            <w:r w:rsidRPr="001C47FD">
              <w:rPr>
                <w:color w:val="000000"/>
                <w:sz w:val="24"/>
                <w:szCs w:val="24"/>
                <w:lang w:eastAsia="lv-LV"/>
              </w:rPr>
              <w:t xml:space="preserve"> </w:t>
            </w:r>
            <w:proofErr w:type="spellStart"/>
            <w:r w:rsidRPr="001C47FD">
              <w:rPr>
                <w:color w:val="000000"/>
                <w:sz w:val="24"/>
                <w:szCs w:val="24"/>
                <w:lang w:eastAsia="lv-LV"/>
              </w:rPr>
              <w:t>attiecināmā</w:t>
            </w:r>
            <w:proofErr w:type="spellEnd"/>
            <w:r w:rsidRPr="001C47FD">
              <w:rPr>
                <w:color w:val="000000"/>
                <w:sz w:val="24"/>
                <w:szCs w:val="24"/>
                <w:lang w:eastAsia="lv-LV"/>
              </w:rPr>
              <w:t xml:space="preserve"> </w:t>
            </w:r>
            <w:proofErr w:type="spellStart"/>
            <w:r w:rsidRPr="001C47FD">
              <w:rPr>
                <w:color w:val="000000"/>
                <w:sz w:val="24"/>
                <w:szCs w:val="24"/>
                <w:lang w:eastAsia="lv-LV"/>
              </w:rPr>
              <w:t>publiskā</w:t>
            </w:r>
            <w:proofErr w:type="spellEnd"/>
            <w:r w:rsidRPr="001C47FD">
              <w:rPr>
                <w:color w:val="000000"/>
                <w:sz w:val="24"/>
                <w:szCs w:val="24"/>
                <w:lang w:eastAsia="lv-LV"/>
              </w:rPr>
              <w:t xml:space="preserve"> </w:t>
            </w:r>
            <w:proofErr w:type="spellStart"/>
            <w:r w:rsidRPr="001C47FD">
              <w:rPr>
                <w:color w:val="000000"/>
                <w:sz w:val="24"/>
                <w:szCs w:val="24"/>
                <w:lang w:eastAsia="lv-LV"/>
              </w:rPr>
              <w:t>finansējuma</w:t>
            </w:r>
            <w:proofErr w:type="spellEnd"/>
            <w:r w:rsidRPr="001C47FD">
              <w:rPr>
                <w:color w:val="000000"/>
                <w:sz w:val="24"/>
                <w:szCs w:val="24"/>
                <w:lang w:eastAsia="lv-LV"/>
              </w:rPr>
              <w:t xml:space="preserve"> </w:t>
            </w:r>
            <w:proofErr w:type="spellStart"/>
            <w:r w:rsidRPr="001C47FD">
              <w:rPr>
                <w:color w:val="000000"/>
                <w:sz w:val="24"/>
                <w:szCs w:val="24"/>
                <w:lang w:eastAsia="lv-LV"/>
              </w:rPr>
              <w:t>apmērs</w:t>
            </w:r>
            <w:proofErr w:type="spellEnd"/>
            <w:r w:rsidRPr="001C47FD">
              <w:rPr>
                <w:color w:val="000000"/>
                <w:sz w:val="24"/>
                <w:szCs w:val="24"/>
                <w:lang w:eastAsia="lv-LV"/>
              </w:rPr>
              <w:t xml:space="preserve"> </w:t>
            </w:r>
            <w:proofErr w:type="spellStart"/>
            <w:r w:rsidRPr="001C47FD">
              <w:rPr>
                <w:color w:val="000000"/>
                <w:sz w:val="24"/>
                <w:szCs w:val="24"/>
                <w:lang w:eastAsia="lv-LV"/>
              </w:rPr>
              <w:t>ir</w:t>
            </w:r>
            <w:proofErr w:type="spellEnd"/>
            <w:r w:rsidRPr="001C47FD">
              <w:rPr>
                <w:color w:val="000000"/>
                <w:sz w:val="24"/>
                <w:szCs w:val="24"/>
                <w:lang w:eastAsia="lv-LV"/>
              </w:rPr>
              <w:t xml:space="preserve"> </w:t>
            </w:r>
            <w:proofErr w:type="spellStart"/>
            <w:r w:rsidRPr="001C47FD">
              <w:rPr>
                <w:color w:val="000000"/>
                <w:sz w:val="24"/>
                <w:szCs w:val="24"/>
                <w:lang w:eastAsia="lv-LV"/>
              </w:rPr>
              <w:t>ne</w:t>
            </w:r>
            <w:proofErr w:type="spellEnd"/>
            <w:r w:rsidRPr="001C47FD">
              <w:rPr>
                <w:color w:val="000000"/>
                <w:sz w:val="24"/>
                <w:szCs w:val="24"/>
                <w:lang w:eastAsia="lv-LV"/>
              </w:rPr>
              <w:t xml:space="preserve"> </w:t>
            </w:r>
            <w:proofErr w:type="spellStart"/>
            <w:r w:rsidRPr="001C47FD">
              <w:rPr>
                <w:color w:val="000000"/>
                <w:sz w:val="24"/>
                <w:szCs w:val="24"/>
                <w:lang w:eastAsia="lv-LV"/>
              </w:rPr>
              <w:t>vairāk</w:t>
            </w:r>
            <w:proofErr w:type="spellEnd"/>
            <w:r w:rsidRPr="001C47FD">
              <w:rPr>
                <w:color w:val="000000"/>
                <w:sz w:val="24"/>
                <w:szCs w:val="24"/>
                <w:lang w:eastAsia="lv-LV"/>
              </w:rPr>
              <w:t xml:space="preserve"> </w:t>
            </w:r>
            <w:proofErr w:type="spellStart"/>
            <w:r w:rsidRPr="001C47FD">
              <w:rPr>
                <w:color w:val="000000"/>
                <w:sz w:val="24"/>
                <w:szCs w:val="24"/>
                <w:lang w:eastAsia="lv-LV"/>
              </w:rPr>
              <w:t>kā</w:t>
            </w:r>
            <w:proofErr w:type="spellEnd"/>
            <w:r w:rsidRPr="001C47FD">
              <w:rPr>
                <w:color w:val="000000"/>
                <w:sz w:val="24"/>
                <w:szCs w:val="24"/>
                <w:lang w:eastAsia="lv-LV"/>
              </w:rPr>
              <w:t xml:space="preserve"> 7 642 580 </w:t>
            </w:r>
            <w:r w:rsidRPr="001C47FD">
              <w:rPr>
                <w:i/>
                <w:color w:val="000000"/>
                <w:sz w:val="24"/>
                <w:szCs w:val="24"/>
                <w:lang w:eastAsia="lv-LV"/>
              </w:rPr>
              <w:t>euro</w:t>
            </w:r>
            <w:r w:rsidRPr="001C47FD">
              <w:rPr>
                <w:color w:val="000000"/>
                <w:sz w:val="24"/>
                <w:szCs w:val="24"/>
                <w:lang w:eastAsia="lv-LV"/>
              </w:rPr>
              <w:t xml:space="preserve">, </w:t>
            </w:r>
            <w:proofErr w:type="spellStart"/>
            <w:r w:rsidRPr="001C47FD">
              <w:rPr>
                <w:color w:val="000000"/>
                <w:sz w:val="24"/>
                <w:szCs w:val="24"/>
                <w:lang w:eastAsia="lv-LV"/>
              </w:rPr>
              <w:t>ko</w:t>
            </w:r>
            <w:proofErr w:type="spellEnd"/>
            <w:r w:rsidRPr="001C47FD">
              <w:rPr>
                <w:color w:val="000000"/>
                <w:sz w:val="24"/>
                <w:szCs w:val="24"/>
                <w:lang w:eastAsia="lv-LV"/>
              </w:rPr>
              <w:t xml:space="preserve"> </w:t>
            </w:r>
            <w:proofErr w:type="spellStart"/>
            <w:r w:rsidRPr="001C47FD">
              <w:rPr>
                <w:color w:val="000000"/>
                <w:sz w:val="24"/>
                <w:szCs w:val="24"/>
                <w:lang w:eastAsia="lv-LV"/>
              </w:rPr>
              <w:t>veido</w:t>
            </w:r>
            <w:proofErr w:type="spellEnd"/>
            <w:r w:rsidRPr="001C47FD">
              <w:rPr>
                <w:color w:val="000000"/>
                <w:sz w:val="24"/>
                <w:szCs w:val="24"/>
                <w:lang w:eastAsia="lv-LV"/>
              </w:rPr>
              <w:t xml:space="preserve"> Eiropas </w:t>
            </w:r>
            <w:proofErr w:type="spellStart"/>
            <w:r w:rsidRPr="001C47FD">
              <w:rPr>
                <w:color w:val="000000"/>
                <w:sz w:val="24"/>
                <w:szCs w:val="24"/>
                <w:lang w:eastAsia="lv-LV"/>
              </w:rPr>
              <w:t>Reģionālās</w:t>
            </w:r>
            <w:proofErr w:type="spellEnd"/>
            <w:r w:rsidRPr="001C47FD">
              <w:rPr>
                <w:color w:val="000000"/>
                <w:sz w:val="24"/>
                <w:szCs w:val="24"/>
                <w:lang w:eastAsia="lv-LV"/>
              </w:rPr>
              <w:t xml:space="preserve"> </w:t>
            </w:r>
            <w:proofErr w:type="spellStart"/>
            <w:r w:rsidRPr="001C47FD">
              <w:rPr>
                <w:color w:val="000000"/>
                <w:sz w:val="24"/>
                <w:szCs w:val="24"/>
                <w:lang w:eastAsia="lv-LV"/>
              </w:rPr>
              <w:t>attīstības</w:t>
            </w:r>
            <w:proofErr w:type="spellEnd"/>
            <w:r w:rsidRPr="001C47FD">
              <w:rPr>
                <w:color w:val="000000"/>
                <w:sz w:val="24"/>
                <w:szCs w:val="24"/>
                <w:lang w:eastAsia="lv-LV"/>
              </w:rPr>
              <w:t xml:space="preserve"> </w:t>
            </w:r>
            <w:proofErr w:type="spellStart"/>
            <w:r w:rsidRPr="001C47FD">
              <w:rPr>
                <w:color w:val="000000"/>
                <w:sz w:val="24"/>
                <w:szCs w:val="24"/>
                <w:lang w:eastAsia="lv-LV"/>
              </w:rPr>
              <w:t>fonda</w:t>
            </w:r>
            <w:proofErr w:type="spellEnd"/>
            <w:r w:rsidRPr="001C47FD">
              <w:rPr>
                <w:color w:val="000000"/>
                <w:sz w:val="24"/>
                <w:szCs w:val="24"/>
                <w:lang w:eastAsia="lv-LV"/>
              </w:rPr>
              <w:t xml:space="preserve"> </w:t>
            </w:r>
            <w:proofErr w:type="spellStart"/>
            <w:r w:rsidRPr="001C47FD">
              <w:rPr>
                <w:color w:val="000000"/>
                <w:sz w:val="24"/>
                <w:szCs w:val="24"/>
                <w:lang w:eastAsia="lv-LV"/>
              </w:rPr>
              <w:t>finansējums</w:t>
            </w:r>
            <w:proofErr w:type="spellEnd"/>
            <w:r w:rsidRPr="001C47FD">
              <w:rPr>
                <w:color w:val="000000"/>
                <w:sz w:val="24"/>
                <w:szCs w:val="24"/>
                <w:lang w:eastAsia="lv-LV"/>
              </w:rPr>
              <w:t xml:space="preserve"> ne </w:t>
            </w:r>
            <w:proofErr w:type="spellStart"/>
            <w:r w:rsidRPr="001C47FD">
              <w:rPr>
                <w:color w:val="000000"/>
                <w:sz w:val="24"/>
                <w:szCs w:val="24"/>
                <w:lang w:eastAsia="lv-LV"/>
              </w:rPr>
              <w:t>vairāk</w:t>
            </w:r>
            <w:proofErr w:type="spellEnd"/>
            <w:r w:rsidRPr="001C47FD">
              <w:rPr>
                <w:color w:val="000000"/>
                <w:sz w:val="24"/>
                <w:szCs w:val="24"/>
                <w:lang w:eastAsia="lv-LV"/>
              </w:rPr>
              <w:t xml:space="preserve"> </w:t>
            </w:r>
            <w:proofErr w:type="spellStart"/>
            <w:r w:rsidRPr="001C47FD">
              <w:rPr>
                <w:color w:val="000000"/>
                <w:sz w:val="24"/>
                <w:szCs w:val="24"/>
                <w:lang w:eastAsia="lv-LV"/>
              </w:rPr>
              <w:t>kā</w:t>
            </w:r>
            <w:proofErr w:type="spellEnd"/>
            <w:r w:rsidRPr="001C47FD">
              <w:rPr>
                <w:color w:val="000000"/>
                <w:sz w:val="24"/>
                <w:szCs w:val="24"/>
                <w:lang w:eastAsia="lv-LV"/>
              </w:rPr>
              <w:t xml:space="preserve"> 4 775 580 </w:t>
            </w:r>
            <w:r w:rsidRPr="001C47FD">
              <w:rPr>
                <w:i/>
                <w:color w:val="000000"/>
                <w:sz w:val="24"/>
                <w:szCs w:val="24"/>
                <w:lang w:eastAsia="lv-LV"/>
              </w:rPr>
              <w:t>euro</w:t>
            </w:r>
            <w:r w:rsidRPr="001C47FD">
              <w:rPr>
                <w:color w:val="000000"/>
                <w:sz w:val="24"/>
                <w:szCs w:val="24"/>
                <w:lang w:eastAsia="lv-LV"/>
              </w:rPr>
              <w:t xml:space="preserve"> </w:t>
            </w:r>
            <w:proofErr w:type="spellStart"/>
            <w:r w:rsidRPr="001C47FD">
              <w:rPr>
                <w:color w:val="000000"/>
                <w:sz w:val="24"/>
                <w:szCs w:val="24"/>
                <w:lang w:eastAsia="lv-LV"/>
              </w:rPr>
              <w:t>apmērā</w:t>
            </w:r>
            <w:proofErr w:type="spellEnd"/>
            <w:r w:rsidRPr="001C47FD">
              <w:rPr>
                <w:color w:val="000000"/>
                <w:sz w:val="24"/>
                <w:szCs w:val="24"/>
                <w:lang w:eastAsia="lv-LV"/>
              </w:rPr>
              <w:t xml:space="preserve"> un </w:t>
            </w:r>
            <w:proofErr w:type="spellStart"/>
            <w:r w:rsidRPr="001C47FD">
              <w:rPr>
                <w:color w:val="000000"/>
                <w:sz w:val="24"/>
                <w:szCs w:val="24"/>
                <w:lang w:eastAsia="lv-LV"/>
              </w:rPr>
              <w:t>valsts</w:t>
            </w:r>
            <w:proofErr w:type="spellEnd"/>
            <w:r w:rsidRPr="001C47FD">
              <w:rPr>
                <w:color w:val="000000"/>
                <w:sz w:val="24"/>
                <w:szCs w:val="24"/>
                <w:lang w:eastAsia="lv-LV"/>
              </w:rPr>
              <w:t xml:space="preserve"> </w:t>
            </w:r>
            <w:proofErr w:type="spellStart"/>
            <w:r w:rsidRPr="001C47FD">
              <w:rPr>
                <w:color w:val="000000"/>
                <w:sz w:val="24"/>
                <w:szCs w:val="24"/>
                <w:lang w:eastAsia="lv-LV"/>
              </w:rPr>
              <w:t>budžeta</w:t>
            </w:r>
            <w:proofErr w:type="spellEnd"/>
            <w:r w:rsidRPr="001C47FD">
              <w:rPr>
                <w:color w:val="000000"/>
                <w:sz w:val="24"/>
                <w:szCs w:val="24"/>
                <w:lang w:eastAsia="lv-LV"/>
              </w:rPr>
              <w:t xml:space="preserve"> </w:t>
            </w:r>
            <w:proofErr w:type="spellStart"/>
            <w:r w:rsidRPr="001C47FD">
              <w:rPr>
                <w:color w:val="000000"/>
                <w:sz w:val="24"/>
                <w:szCs w:val="24"/>
                <w:lang w:eastAsia="lv-LV"/>
              </w:rPr>
              <w:t>finansējums</w:t>
            </w:r>
            <w:proofErr w:type="spellEnd"/>
            <w:r w:rsidRPr="001C47FD">
              <w:rPr>
                <w:color w:val="000000"/>
                <w:sz w:val="24"/>
                <w:szCs w:val="24"/>
                <w:lang w:eastAsia="lv-LV"/>
              </w:rPr>
              <w:t xml:space="preserve"> </w:t>
            </w:r>
            <w:proofErr w:type="spellStart"/>
            <w:r w:rsidRPr="001C47FD">
              <w:rPr>
                <w:color w:val="000000"/>
                <w:sz w:val="24"/>
                <w:szCs w:val="24"/>
                <w:lang w:eastAsia="lv-LV"/>
              </w:rPr>
              <w:t>ne</w:t>
            </w:r>
            <w:proofErr w:type="spellEnd"/>
            <w:r w:rsidRPr="001C47FD">
              <w:rPr>
                <w:color w:val="000000"/>
                <w:sz w:val="24"/>
                <w:szCs w:val="24"/>
                <w:lang w:eastAsia="lv-LV"/>
              </w:rPr>
              <w:t xml:space="preserve"> </w:t>
            </w:r>
            <w:proofErr w:type="spellStart"/>
            <w:r w:rsidRPr="001C47FD">
              <w:rPr>
                <w:color w:val="000000"/>
                <w:sz w:val="24"/>
                <w:szCs w:val="24"/>
                <w:lang w:eastAsia="lv-LV"/>
              </w:rPr>
              <w:t>vairāk</w:t>
            </w:r>
            <w:proofErr w:type="spellEnd"/>
            <w:r w:rsidRPr="001C47FD">
              <w:rPr>
                <w:color w:val="000000"/>
                <w:sz w:val="24"/>
                <w:szCs w:val="24"/>
                <w:lang w:eastAsia="lv-LV"/>
              </w:rPr>
              <w:t xml:space="preserve"> </w:t>
            </w:r>
            <w:proofErr w:type="spellStart"/>
            <w:r w:rsidRPr="001C47FD">
              <w:rPr>
                <w:color w:val="000000"/>
                <w:sz w:val="24"/>
                <w:szCs w:val="24"/>
                <w:lang w:eastAsia="lv-LV"/>
              </w:rPr>
              <w:t>kā</w:t>
            </w:r>
            <w:proofErr w:type="spellEnd"/>
            <w:r w:rsidRPr="001C47FD">
              <w:rPr>
                <w:color w:val="000000"/>
                <w:sz w:val="24"/>
                <w:szCs w:val="24"/>
                <w:lang w:eastAsia="lv-LV"/>
              </w:rPr>
              <w:t xml:space="preserve"> 2 867 000 </w:t>
            </w:r>
            <w:r w:rsidRPr="001C47FD">
              <w:rPr>
                <w:i/>
                <w:color w:val="000000"/>
                <w:sz w:val="24"/>
                <w:szCs w:val="24"/>
                <w:lang w:eastAsia="lv-LV"/>
              </w:rPr>
              <w:t>euro</w:t>
            </w:r>
            <w:r w:rsidRPr="001C47FD">
              <w:rPr>
                <w:color w:val="000000"/>
                <w:sz w:val="24"/>
                <w:szCs w:val="24"/>
                <w:lang w:eastAsia="lv-LV"/>
              </w:rPr>
              <w:t xml:space="preserve"> </w:t>
            </w:r>
            <w:proofErr w:type="spellStart"/>
            <w:r w:rsidRPr="001C47FD">
              <w:rPr>
                <w:color w:val="000000"/>
                <w:sz w:val="24"/>
                <w:szCs w:val="24"/>
                <w:lang w:eastAsia="lv-LV"/>
              </w:rPr>
              <w:t>apmērā</w:t>
            </w:r>
            <w:proofErr w:type="spellEnd"/>
            <w:r w:rsidRPr="001C47FD">
              <w:rPr>
                <w:color w:val="000000"/>
                <w:sz w:val="24"/>
                <w:szCs w:val="24"/>
                <w:lang w:eastAsia="lv-LV"/>
              </w:rPr>
              <w:t>;</w:t>
            </w:r>
          </w:p>
          <w:p w14:paraId="6D4144A7" w14:textId="77777777" w:rsidR="004118C7" w:rsidRPr="001C47FD" w:rsidRDefault="004118C7" w:rsidP="008E2CD9">
            <w:pPr>
              <w:pStyle w:val="tv2132"/>
              <w:spacing w:line="240" w:lineRule="auto"/>
              <w:ind w:firstLine="0"/>
              <w:rPr>
                <w:color w:val="000000"/>
                <w:sz w:val="24"/>
                <w:szCs w:val="24"/>
                <w:lang w:eastAsia="lv-LV"/>
              </w:rPr>
            </w:pPr>
            <w:r w:rsidRPr="001C47FD">
              <w:rPr>
                <w:color w:val="000000"/>
                <w:sz w:val="24"/>
                <w:szCs w:val="24"/>
                <w:lang w:eastAsia="lv-LV"/>
              </w:rPr>
              <w:t>12.</w:t>
            </w:r>
            <w:r w:rsidRPr="001C47FD">
              <w:rPr>
                <w:color w:val="000000"/>
                <w:sz w:val="24"/>
                <w:szCs w:val="24"/>
                <w:vertAlign w:val="superscript"/>
                <w:lang w:eastAsia="lv-LV"/>
              </w:rPr>
              <w:t>2</w:t>
            </w:r>
            <w:r w:rsidRPr="001C47FD">
              <w:rPr>
                <w:color w:val="000000"/>
                <w:sz w:val="24"/>
                <w:szCs w:val="24"/>
                <w:lang w:eastAsia="lv-LV"/>
              </w:rPr>
              <w:t xml:space="preserve"> 1.2. </w:t>
            </w:r>
            <w:proofErr w:type="spellStart"/>
            <w:r w:rsidRPr="001C47FD">
              <w:rPr>
                <w:color w:val="000000"/>
                <w:sz w:val="24"/>
                <w:szCs w:val="24"/>
                <w:lang w:eastAsia="lv-LV"/>
              </w:rPr>
              <w:t>maksimālā</w:t>
            </w:r>
            <w:proofErr w:type="spellEnd"/>
            <w:r w:rsidRPr="001C47FD">
              <w:rPr>
                <w:color w:val="000000"/>
                <w:sz w:val="24"/>
                <w:szCs w:val="24"/>
                <w:lang w:eastAsia="lv-LV"/>
              </w:rPr>
              <w:t xml:space="preserve"> </w:t>
            </w:r>
            <w:proofErr w:type="spellStart"/>
            <w:r w:rsidRPr="001C47FD">
              <w:rPr>
                <w:color w:val="000000"/>
                <w:sz w:val="24"/>
                <w:szCs w:val="24"/>
                <w:lang w:eastAsia="lv-LV"/>
              </w:rPr>
              <w:t>publiskā</w:t>
            </w:r>
            <w:proofErr w:type="spellEnd"/>
            <w:r w:rsidRPr="001C47FD">
              <w:rPr>
                <w:color w:val="000000"/>
                <w:sz w:val="24"/>
                <w:szCs w:val="24"/>
                <w:lang w:eastAsia="lv-LV"/>
              </w:rPr>
              <w:t xml:space="preserve"> </w:t>
            </w:r>
            <w:proofErr w:type="spellStart"/>
            <w:r w:rsidRPr="001C47FD">
              <w:rPr>
                <w:color w:val="000000"/>
                <w:sz w:val="24"/>
                <w:szCs w:val="24"/>
                <w:lang w:eastAsia="lv-LV"/>
              </w:rPr>
              <w:t>finansējuma</w:t>
            </w:r>
            <w:proofErr w:type="spellEnd"/>
            <w:r w:rsidRPr="001C47FD">
              <w:rPr>
                <w:color w:val="000000"/>
                <w:sz w:val="24"/>
                <w:szCs w:val="24"/>
                <w:lang w:eastAsia="lv-LV"/>
              </w:rPr>
              <w:t xml:space="preserve"> </w:t>
            </w:r>
            <w:proofErr w:type="spellStart"/>
            <w:r w:rsidRPr="001C47FD">
              <w:rPr>
                <w:color w:val="000000"/>
                <w:sz w:val="24"/>
                <w:szCs w:val="24"/>
                <w:lang w:eastAsia="lv-LV"/>
              </w:rPr>
              <w:t>intensitāte</w:t>
            </w:r>
            <w:proofErr w:type="spellEnd"/>
            <w:r w:rsidRPr="001C47FD">
              <w:rPr>
                <w:color w:val="000000"/>
                <w:sz w:val="24"/>
                <w:szCs w:val="24"/>
                <w:lang w:eastAsia="lv-LV"/>
              </w:rPr>
              <w:t xml:space="preserve"> </w:t>
            </w:r>
            <w:proofErr w:type="spellStart"/>
            <w:r w:rsidRPr="001C47FD">
              <w:rPr>
                <w:color w:val="000000"/>
                <w:sz w:val="24"/>
                <w:szCs w:val="24"/>
                <w:lang w:eastAsia="lv-LV"/>
              </w:rPr>
              <w:t>ir</w:t>
            </w:r>
            <w:proofErr w:type="spellEnd"/>
            <w:r w:rsidRPr="001C47FD">
              <w:rPr>
                <w:color w:val="000000"/>
                <w:sz w:val="24"/>
                <w:szCs w:val="24"/>
                <w:lang w:eastAsia="lv-LV"/>
              </w:rPr>
              <w:t xml:space="preserve"> 92,5 </w:t>
            </w:r>
            <w:proofErr w:type="spellStart"/>
            <w:r w:rsidRPr="001C47FD">
              <w:rPr>
                <w:color w:val="000000"/>
                <w:sz w:val="24"/>
                <w:szCs w:val="24"/>
                <w:lang w:eastAsia="lv-LV"/>
              </w:rPr>
              <w:t>procenti</w:t>
            </w:r>
            <w:proofErr w:type="spellEnd"/>
            <w:r w:rsidRPr="001C47FD">
              <w:rPr>
                <w:color w:val="000000"/>
                <w:sz w:val="24"/>
                <w:szCs w:val="24"/>
                <w:lang w:eastAsia="lv-LV"/>
              </w:rPr>
              <w:t xml:space="preserve">, </w:t>
            </w:r>
            <w:proofErr w:type="spellStart"/>
            <w:r w:rsidRPr="001C47FD">
              <w:rPr>
                <w:color w:val="000000"/>
                <w:sz w:val="24"/>
                <w:szCs w:val="24"/>
                <w:lang w:eastAsia="lv-LV"/>
              </w:rPr>
              <w:t>ko</w:t>
            </w:r>
            <w:proofErr w:type="spellEnd"/>
            <w:r w:rsidRPr="001C47FD">
              <w:rPr>
                <w:color w:val="000000"/>
                <w:sz w:val="24"/>
                <w:szCs w:val="24"/>
                <w:lang w:eastAsia="lv-LV"/>
              </w:rPr>
              <w:t xml:space="preserve"> </w:t>
            </w:r>
            <w:proofErr w:type="spellStart"/>
            <w:r w:rsidRPr="001C47FD">
              <w:rPr>
                <w:color w:val="000000"/>
                <w:sz w:val="24"/>
                <w:szCs w:val="24"/>
                <w:lang w:eastAsia="lv-LV"/>
              </w:rPr>
              <w:t>veido</w:t>
            </w:r>
            <w:proofErr w:type="spellEnd"/>
            <w:r w:rsidRPr="001C47FD">
              <w:rPr>
                <w:color w:val="000000"/>
                <w:sz w:val="24"/>
                <w:szCs w:val="24"/>
                <w:lang w:eastAsia="lv-LV"/>
              </w:rPr>
              <w:t>:</w:t>
            </w:r>
          </w:p>
          <w:p w14:paraId="7BF3B52C" w14:textId="77777777" w:rsidR="004118C7" w:rsidRPr="001C47FD" w:rsidRDefault="004118C7" w:rsidP="008E2CD9">
            <w:pPr>
              <w:pStyle w:val="tv2132"/>
              <w:spacing w:line="240" w:lineRule="auto"/>
              <w:ind w:firstLine="0"/>
              <w:rPr>
                <w:color w:val="000000"/>
                <w:sz w:val="24"/>
                <w:szCs w:val="24"/>
                <w:lang w:eastAsia="lv-LV"/>
              </w:rPr>
            </w:pPr>
            <w:r w:rsidRPr="001C47FD">
              <w:rPr>
                <w:color w:val="000000"/>
                <w:sz w:val="24"/>
                <w:szCs w:val="24"/>
                <w:lang w:eastAsia="lv-LV"/>
              </w:rPr>
              <w:t>12.</w:t>
            </w:r>
            <w:r w:rsidRPr="001C47FD">
              <w:rPr>
                <w:color w:val="000000"/>
                <w:sz w:val="24"/>
                <w:szCs w:val="24"/>
                <w:vertAlign w:val="superscript"/>
                <w:lang w:eastAsia="lv-LV"/>
              </w:rPr>
              <w:t>2</w:t>
            </w:r>
            <w:r w:rsidRPr="001C47FD">
              <w:rPr>
                <w:color w:val="000000"/>
                <w:sz w:val="24"/>
                <w:szCs w:val="24"/>
                <w:lang w:eastAsia="lv-LV"/>
              </w:rPr>
              <w:t xml:space="preserve"> 1.2.1. </w:t>
            </w:r>
            <w:proofErr w:type="spellStart"/>
            <w:r w:rsidRPr="001C47FD">
              <w:rPr>
                <w:color w:val="000000"/>
                <w:sz w:val="24"/>
                <w:szCs w:val="24"/>
                <w:lang w:eastAsia="lv-LV"/>
              </w:rPr>
              <w:t>valsts</w:t>
            </w:r>
            <w:proofErr w:type="spellEnd"/>
            <w:r w:rsidRPr="001C47FD">
              <w:rPr>
                <w:color w:val="000000"/>
                <w:sz w:val="24"/>
                <w:szCs w:val="24"/>
                <w:lang w:eastAsia="lv-LV"/>
              </w:rPr>
              <w:t xml:space="preserve"> </w:t>
            </w:r>
            <w:proofErr w:type="spellStart"/>
            <w:r w:rsidRPr="001C47FD">
              <w:rPr>
                <w:color w:val="000000"/>
                <w:sz w:val="24"/>
                <w:szCs w:val="24"/>
                <w:lang w:eastAsia="lv-LV"/>
              </w:rPr>
              <w:t>budžeta</w:t>
            </w:r>
            <w:proofErr w:type="spellEnd"/>
            <w:r w:rsidRPr="001C47FD">
              <w:rPr>
                <w:color w:val="000000"/>
                <w:sz w:val="24"/>
                <w:szCs w:val="24"/>
                <w:lang w:eastAsia="lv-LV"/>
              </w:rPr>
              <w:t xml:space="preserve"> </w:t>
            </w:r>
            <w:proofErr w:type="spellStart"/>
            <w:r w:rsidRPr="001C47FD">
              <w:rPr>
                <w:color w:val="000000"/>
                <w:sz w:val="24"/>
                <w:szCs w:val="24"/>
                <w:lang w:eastAsia="lv-LV"/>
              </w:rPr>
              <w:t>atbalsta</w:t>
            </w:r>
            <w:proofErr w:type="spellEnd"/>
            <w:r w:rsidRPr="001C47FD">
              <w:rPr>
                <w:color w:val="000000"/>
                <w:sz w:val="24"/>
                <w:szCs w:val="24"/>
                <w:lang w:eastAsia="lv-LV"/>
              </w:rPr>
              <w:t xml:space="preserve"> </w:t>
            </w:r>
            <w:proofErr w:type="spellStart"/>
            <w:r w:rsidRPr="001C47FD">
              <w:rPr>
                <w:color w:val="000000"/>
                <w:sz w:val="24"/>
                <w:szCs w:val="24"/>
                <w:lang w:eastAsia="lv-LV"/>
              </w:rPr>
              <w:t>intensitāte</w:t>
            </w:r>
            <w:proofErr w:type="spellEnd"/>
            <w:r w:rsidRPr="001C47FD">
              <w:rPr>
                <w:color w:val="000000"/>
                <w:sz w:val="24"/>
                <w:szCs w:val="24"/>
                <w:lang w:eastAsia="lv-LV"/>
              </w:rPr>
              <w:t xml:space="preserve"> – 34,70 </w:t>
            </w:r>
            <w:proofErr w:type="spellStart"/>
            <w:r w:rsidRPr="001C47FD">
              <w:rPr>
                <w:color w:val="000000"/>
                <w:sz w:val="24"/>
                <w:szCs w:val="24"/>
                <w:lang w:eastAsia="lv-LV"/>
              </w:rPr>
              <w:t>procenti</w:t>
            </w:r>
            <w:proofErr w:type="spellEnd"/>
            <w:r w:rsidRPr="001C47FD">
              <w:rPr>
                <w:color w:val="000000"/>
                <w:sz w:val="24"/>
                <w:szCs w:val="24"/>
                <w:lang w:eastAsia="lv-LV"/>
              </w:rPr>
              <w:t>;</w:t>
            </w:r>
          </w:p>
          <w:p w14:paraId="4F7A5896" w14:textId="77777777" w:rsidR="004118C7" w:rsidRPr="001C47FD" w:rsidRDefault="004118C7" w:rsidP="008E2CD9">
            <w:pPr>
              <w:pStyle w:val="tv2132"/>
              <w:spacing w:line="240" w:lineRule="auto"/>
              <w:ind w:firstLine="0"/>
              <w:rPr>
                <w:color w:val="000000"/>
                <w:sz w:val="24"/>
                <w:szCs w:val="24"/>
                <w:lang w:eastAsia="lv-LV"/>
              </w:rPr>
            </w:pPr>
            <w:r w:rsidRPr="001C47FD">
              <w:rPr>
                <w:color w:val="000000"/>
                <w:sz w:val="24"/>
                <w:szCs w:val="24"/>
                <w:lang w:eastAsia="lv-LV"/>
              </w:rPr>
              <w:t>12.</w:t>
            </w:r>
            <w:r w:rsidRPr="001C47FD">
              <w:rPr>
                <w:color w:val="000000"/>
                <w:sz w:val="24"/>
                <w:szCs w:val="24"/>
                <w:vertAlign w:val="superscript"/>
                <w:lang w:eastAsia="lv-LV"/>
              </w:rPr>
              <w:t>2</w:t>
            </w:r>
            <w:r w:rsidRPr="001C47FD">
              <w:rPr>
                <w:color w:val="000000"/>
                <w:sz w:val="24"/>
                <w:szCs w:val="24"/>
                <w:lang w:eastAsia="lv-LV"/>
              </w:rPr>
              <w:t xml:space="preserve"> 1.2.2. Eiropas </w:t>
            </w:r>
            <w:proofErr w:type="spellStart"/>
            <w:r w:rsidRPr="001C47FD">
              <w:rPr>
                <w:color w:val="000000"/>
                <w:sz w:val="24"/>
                <w:szCs w:val="24"/>
                <w:lang w:eastAsia="lv-LV"/>
              </w:rPr>
              <w:t>Reģionālās</w:t>
            </w:r>
            <w:proofErr w:type="spellEnd"/>
            <w:r w:rsidRPr="001C47FD">
              <w:rPr>
                <w:color w:val="000000"/>
                <w:sz w:val="24"/>
                <w:szCs w:val="24"/>
                <w:lang w:eastAsia="lv-LV"/>
              </w:rPr>
              <w:t xml:space="preserve"> </w:t>
            </w:r>
            <w:proofErr w:type="spellStart"/>
            <w:r w:rsidRPr="001C47FD">
              <w:rPr>
                <w:color w:val="000000"/>
                <w:sz w:val="24"/>
                <w:szCs w:val="24"/>
                <w:lang w:eastAsia="lv-LV"/>
              </w:rPr>
              <w:t>attīstības</w:t>
            </w:r>
            <w:proofErr w:type="spellEnd"/>
            <w:r w:rsidRPr="001C47FD">
              <w:rPr>
                <w:color w:val="000000"/>
                <w:sz w:val="24"/>
                <w:szCs w:val="24"/>
                <w:lang w:eastAsia="lv-LV"/>
              </w:rPr>
              <w:t xml:space="preserve"> </w:t>
            </w:r>
            <w:proofErr w:type="spellStart"/>
            <w:r w:rsidRPr="001C47FD">
              <w:rPr>
                <w:color w:val="000000"/>
                <w:sz w:val="24"/>
                <w:szCs w:val="24"/>
                <w:lang w:eastAsia="lv-LV"/>
              </w:rPr>
              <w:t>fonda</w:t>
            </w:r>
            <w:proofErr w:type="spellEnd"/>
            <w:r w:rsidRPr="001C47FD">
              <w:rPr>
                <w:color w:val="000000"/>
                <w:sz w:val="24"/>
                <w:szCs w:val="24"/>
                <w:lang w:eastAsia="lv-LV"/>
              </w:rPr>
              <w:t xml:space="preserve"> </w:t>
            </w:r>
            <w:proofErr w:type="spellStart"/>
            <w:r w:rsidRPr="001C47FD">
              <w:rPr>
                <w:color w:val="000000"/>
                <w:sz w:val="24"/>
                <w:szCs w:val="24"/>
                <w:lang w:eastAsia="lv-LV"/>
              </w:rPr>
              <w:t>atbalsta</w:t>
            </w:r>
            <w:proofErr w:type="spellEnd"/>
            <w:r w:rsidRPr="001C47FD">
              <w:rPr>
                <w:color w:val="000000"/>
                <w:sz w:val="24"/>
                <w:szCs w:val="24"/>
                <w:lang w:eastAsia="lv-LV"/>
              </w:rPr>
              <w:t xml:space="preserve"> </w:t>
            </w:r>
            <w:proofErr w:type="spellStart"/>
            <w:r w:rsidRPr="001C47FD">
              <w:rPr>
                <w:color w:val="000000"/>
                <w:sz w:val="24"/>
                <w:szCs w:val="24"/>
                <w:lang w:eastAsia="lv-LV"/>
              </w:rPr>
              <w:t>intensitāte</w:t>
            </w:r>
            <w:proofErr w:type="spellEnd"/>
            <w:r w:rsidRPr="001C47FD">
              <w:rPr>
                <w:color w:val="000000"/>
                <w:sz w:val="24"/>
                <w:szCs w:val="24"/>
                <w:lang w:eastAsia="lv-LV"/>
              </w:rPr>
              <w:t xml:space="preserve"> – 57,80 </w:t>
            </w:r>
            <w:proofErr w:type="spellStart"/>
            <w:r w:rsidRPr="001C47FD">
              <w:rPr>
                <w:color w:val="000000"/>
                <w:sz w:val="24"/>
                <w:szCs w:val="24"/>
                <w:lang w:eastAsia="lv-LV"/>
              </w:rPr>
              <w:t>procenti</w:t>
            </w:r>
            <w:proofErr w:type="spellEnd"/>
            <w:r w:rsidRPr="001C47FD">
              <w:rPr>
                <w:color w:val="000000"/>
                <w:sz w:val="24"/>
                <w:szCs w:val="24"/>
                <w:lang w:eastAsia="lv-LV"/>
              </w:rPr>
              <w:t>;</w:t>
            </w:r>
          </w:p>
          <w:p w14:paraId="23A55939" w14:textId="77777777" w:rsidR="004118C7" w:rsidRPr="001C47FD" w:rsidRDefault="004118C7" w:rsidP="008E2CD9">
            <w:pPr>
              <w:pStyle w:val="tv2132"/>
              <w:spacing w:line="240" w:lineRule="auto"/>
              <w:ind w:firstLine="0"/>
              <w:rPr>
                <w:color w:val="000000"/>
                <w:sz w:val="24"/>
                <w:szCs w:val="24"/>
                <w:lang w:eastAsia="lv-LV"/>
              </w:rPr>
            </w:pPr>
            <w:r w:rsidRPr="001C47FD">
              <w:rPr>
                <w:color w:val="000000"/>
                <w:sz w:val="24"/>
                <w:szCs w:val="24"/>
                <w:lang w:eastAsia="lv-LV"/>
              </w:rPr>
              <w:t>12.</w:t>
            </w:r>
            <w:r w:rsidRPr="001C47FD">
              <w:rPr>
                <w:color w:val="000000"/>
                <w:sz w:val="24"/>
                <w:szCs w:val="24"/>
                <w:vertAlign w:val="superscript"/>
                <w:lang w:eastAsia="lv-LV"/>
              </w:rPr>
              <w:t>2</w:t>
            </w:r>
            <w:r w:rsidRPr="001C47FD">
              <w:rPr>
                <w:color w:val="000000"/>
                <w:sz w:val="24"/>
                <w:szCs w:val="24"/>
                <w:lang w:eastAsia="lv-LV"/>
              </w:rPr>
              <w:t> 2. </w:t>
            </w:r>
            <w:proofErr w:type="spellStart"/>
            <w:proofErr w:type="gramStart"/>
            <w:r w:rsidRPr="001C47FD">
              <w:rPr>
                <w:color w:val="000000"/>
                <w:sz w:val="24"/>
                <w:szCs w:val="24"/>
                <w:lang w:eastAsia="lv-LV"/>
              </w:rPr>
              <w:t>ar</w:t>
            </w:r>
            <w:proofErr w:type="spellEnd"/>
            <w:proofErr w:type="gramEnd"/>
            <w:r w:rsidRPr="001C47FD">
              <w:rPr>
                <w:color w:val="000000"/>
                <w:sz w:val="24"/>
                <w:szCs w:val="24"/>
                <w:lang w:eastAsia="lv-LV"/>
              </w:rPr>
              <w:t xml:space="preserve"> </w:t>
            </w:r>
            <w:proofErr w:type="spellStart"/>
            <w:r w:rsidRPr="001C47FD">
              <w:rPr>
                <w:color w:val="000000"/>
                <w:sz w:val="24"/>
                <w:szCs w:val="24"/>
                <w:lang w:eastAsia="lv-LV"/>
              </w:rPr>
              <w:t>saimniecisku</w:t>
            </w:r>
            <w:proofErr w:type="spellEnd"/>
            <w:r w:rsidRPr="001C47FD">
              <w:rPr>
                <w:color w:val="000000"/>
                <w:sz w:val="24"/>
                <w:szCs w:val="24"/>
                <w:lang w:eastAsia="lv-LV"/>
              </w:rPr>
              <w:t xml:space="preserve"> </w:t>
            </w:r>
            <w:proofErr w:type="spellStart"/>
            <w:r w:rsidRPr="001C47FD">
              <w:rPr>
                <w:color w:val="000000"/>
                <w:sz w:val="24"/>
                <w:szCs w:val="24"/>
                <w:lang w:eastAsia="lv-LV"/>
              </w:rPr>
              <w:t>darbību</w:t>
            </w:r>
            <w:proofErr w:type="spellEnd"/>
            <w:r w:rsidRPr="001C47FD">
              <w:rPr>
                <w:color w:val="000000"/>
                <w:sz w:val="24"/>
                <w:szCs w:val="24"/>
                <w:lang w:eastAsia="lv-LV"/>
              </w:rPr>
              <w:t xml:space="preserve"> </w:t>
            </w:r>
            <w:proofErr w:type="spellStart"/>
            <w:r w:rsidRPr="001C47FD">
              <w:rPr>
                <w:color w:val="000000"/>
                <w:sz w:val="24"/>
                <w:szCs w:val="24"/>
                <w:lang w:eastAsia="lv-LV"/>
              </w:rPr>
              <w:t>saistītiem</w:t>
            </w:r>
            <w:proofErr w:type="spellEnd"/>
            <w:r w:rsidRPr="001C47FD">
              <w:rPr>
                <w:color w:val="000000"/>
                <w:sz w:val="24"/>
                <w:szCs w:val="24"/>
                <w:lang w:eastAsia="lv-LV"/>
              </w:rPr>
              <w:t xml:space="preserve"> </w:t>
            </w:r>
            <w:proofErr w:type="spellStart"/>
            <w:r w:rsidRPr="001C47FD">
              <w:rPr>
                <w:color w:val="000000"/>
                <w:sz w:val="24"/>
                <w:szCs w:val="24"/>
                <w:lang w:eastAsia="lv-LV"/>
              </w:rPr>
              <w:t>projektiem</w:t>
            </w:r>
            <w:proofErr w:type="spellEnd"/>
            <w:r w:rsidRPr="001C47FD">
              <w:rPr>
                <w:color w:val="000000"/>
                <w:sz w:val="24"/>
                <w:szCs w:val="24"/>
                <w:lang w:eastAsia="lv-LV"/>
              </w:rPr>
              <w:t xml:space="preserve"> </w:t>
            </w:r>
            <w:proofErr w:type="spellStart"/>
            <w:r w:rsidRPr="001C47FD">
              <w:rPr>
                <w:color w:val="000000"/>
                <w:sz w:val="24"/>
                <w:szCs w:val="24"/>
                <w:lang w:eastAsia="lv-LV"/>
              </w:rPr>
              <w:t>pieejamā</w:t>
            </w:r>
            <w:proofErr w:type="spellEnd"/>
            <w:r w:rsidRPr="001C47FD">
              <w:rPr>
                <w:color w:val="000000"/>
                <w:sz w:val="24"/>
                <w:szCs w:val="24"/>
                <w:lang w:eastAsia="lv-LV"/>
              </w:rPr>
              <w:t xml:space="preserve"> </w:t>
            </w:r>
            <w:proofErr w:type="spellStart"/>
            <w:r w:rsidRPr="001C47FD">
              <w:rPr>
                <w:color w:val="000000"/>
                <w:sz w:val="24"/>
                <w:szCs w:val="24"/>
                <w:lang w:eastAsia="lv-LV"/>
              </w:rPr>
              <w:t>kopējā</w:t>
            </w:r>
            <w:proofErr w:type="spellEnd"/>
            <w:r w:rsidRPr="001C47FD">
              <w:rPr>
                <w:color w:val="000000"/>
                <w:sz w:val="24"/>
                <w:szCs w:val="24"/>
                <w:lang w:eastAsia="lv-LV"/>
              </w:rPr>
              <w:t xml:space="preserve"> </w:t>
            </w:r>
            <w:proofErr w:type="spellStart"/>
            <w:r w:rsidRPr="001C47FD">
              <w:rPr>
                <w:color w:val="000000"/>
                <w:sz w:val="24"/>
                <w:szCs w:val="24"/>
                <w:lang w:eastAsia="lv-LV"/>
              </w:rPr>
              <w:t>attiecināmā</w:t>
            </w:r>
            <w:proofErr w:type="spellEnd"/>
            <w:r w:rsidRPr="001C47FD">
              <w:rPr>
                <w:color w:val="000000"/>
                <w:sz w:val="24"/>
                <w:szCs w:val="24"/>
                <w:lang w:eastAsia="lv-LV"/>
              </w:rPr>
              <w:t xml:space="preserve"> </w:t>
            </w:r>
            <w:proofErr w:type="spellStart"/>
            <w:r w:rsidRPr="001C47FD">
              <w:rPr>
                <w:color w:val="000000"/>
                <w:sz w:val="24"/>
                <w:szCs w:val="24"/>
                <w:lang w:eastAsia="lv-LV"/>
              </w:rPr>
              <w:t>publiskā</w:t>
            </w:r>
            <w:proofErr w:type="spellEnd"/>
            <w:r w:rsidRPr="001C47FD">
              <w:rPr>
                <w:color w:val="000000"/>
                <w:sz w:val="24"/>
                <w:szCs w:val="24"/>
                <w:lang w:eastAsia="lv-LV"/>
              </w:rPr>
              <w:t xml:space="preserve"> </w:t>
            </w:r>
            <w:proofErr w:type="spellStart"/>
            <w:r w:rsidRPr="001C47FD">
              <w:rPr>
                <w:color w:val="000000"/>
                <w:sz w:val="24"/>
                <w:szCs w:val="24"/>
                <w:lang w:eastAsia="lv-LV"/>
              </w:rPr>
              <w:t>finansējuma</w:t>
            </w:r>
            <w:proofErr w:type="spellEnd"/>
            <w:r w:rsidRPr="001C47FD">
              <w:rPr>
                <w:color w:val="000000"/>
                <w:sz w:val="24"/>
                <w:szCs w:val="24"/>
                <w:lang w:eastAsia="lv-LV"/>
              </w:rPr>
              <w:t xml:space="preserve"> </w:t>
            </w:r>
            <w:proofErr w:type="spellStart"/>
            <w:r w:rsidRPr="001C47FD">
              <w:rPr>
                <w:color w:val="000000"/>
                <w:sz w:val="24"/>
                <w:szCs w:val="24"/>
                <w:lang w:eastAsia="lv-LV"/>
              </w:rPr>
              <w:t>apmērs</w:t>
            </w:r>
            <w:proofErr w:type="spellEnd"/>
            <w:r w:rsidRPr="001C47FD">
              <w:rPr>
                <w:color w:val="000000"/>
                <w:sz w:val="24"/>
                <w:szCs w:val="24"/>
                <w:lang w:eastAsia="lv-LV"/>
              </w:rPr>
              <w:t xml:space="preserve"> </w:t>
            </w:r>
            <w:proofErr w:type="spellStart"/>
            <w:r w:rsidRPr="001C47FD">
              <w:rPr>
                <w:color w:val="000000"/>
                <w:sz w:val="24"/>
                <w:szCs w:val="24"/>
                <w:lang w:eastAsia="lv-LV"/>
              </w:rPr>
              <w:t>ir</w:t>
            </w:r>
            <w:proofErr w:type="spellEnd"/>
            <w:r w:rsidRPr="001C47FD">
              <w:rPr>
                <w:color w:val="000000"/>
                <w:sz w:val="24"/>
                <w:szCs w:val="24"/>
                <w:lang w:eastAsia="lv-LV"/>
              </w:rPr>
              <w:t xml:space="preserve"> </w:t>
            </w:r>
            <w:proofErr w:type="spellStart"/>
            <w:r w:rsidRPr="001C47FD">
              <w:rPr>
                <w:color w:val="000000"/>
                <w:sz w:val="24"/>
                <w:szCs w:val="24"/>
                <w:lang w:eastAsia="lv-LV"/>
              </w:rPr>
              <w:t>ne</w:t>
            </w:r>
            <w:proofErr w:type="spellEnd"/>
            <w:r w:rsidRPr="001C47FD">
              <w:rPr>
                <w:color w:val="000000"/>
                <w:sz w:val="24"/>
                <w:szCs w:val="24"/>
                <w:lang w:eastAsia="lv-LV"/>
              </w:rPr>
              <w:t xml:space="preserve"> </w:t>
            </w:r>
            <w:proofErr w:type="spellStart"/>
            <w:r w:rsidRPr="001C47FD">
              <w:rPr>
                <w:color w:val="000000"/>
                <w:sz w:val="24"/>
                <w:szCs w:val="24"/>
                <w:lang w:eastAsia="lv-LV"/>
              </w:rPr>
              <w:t>vairāk</w:t>
            </w:r>
            <w:proofErr w:type="spellEnd"/>
            <w:r w:rsidRPr="001C47FD">
              <w:rPr>
                <w:color w:val="000000"/>
                <w:sz w:val="24"/>
                <w:szCs w:val="24"/>
                <w:lang w:eastAsia="lv-LV"/>
              </w:rPr>
              <w:t xml:space="preserve"> </w:t>
            </w:r>
            <w:proofErr w:type="spellStart"/>
            <w:r w:rsidRPr="001C47FD">
              <w:rPr>
                <w:color w:val="000000"/>
                <w:sz w:val="24"/>
                <w:szCs w:val="24"/>
                <w:lang w:eastAsia="lv-LV"/>
              </w:rPr>
              <w:t>kā</w:t>
            </w:r>
            <w:proofErr w:type="spellEnd"/>
            <w:r w:rsidRPr="001C47FD">
              <w:rPr>
                <w:color w:val="000000"/>
                <w:sz w:val="24"/>
                <w:szCs w:val="24"/>
                <w:lang w:eastAsia="lv-LV"/>
              </w:rPr>
              <w:t xml:space="preserve"> </w:t>
            </w:r>
            <w:r w:rsidRPr="001C47FD">
              <w:rPr>
                <w:b/>
                <w:color w:val="000000"/>
                <w:sz w:val="24"/>
                <w:szCs w:val="24"/>
                <w:lang w:eastAsia="lv-LV"/>
              </w:rPr>
              <w:t>5 658 300</w:t>
            </w:r>
            <w:r w:rsidRPr="001C47FD">
              <w:rPr>
                <w:color w:val="000000"/>
                <w:sz w:val="24"/>
                <w:szCs w:val="24"/>
                <w:lang w:eastAsia="lv-LV"/>
              </w:rPr>
              <w:t xml:space="preserve"> </w:t>
            </w:r>
            <w:r w:rsidRPr="001C47FD">
              <w:rPr>
                <w:i/>
                <w:color w:val="000000"/>
                <w:sz w:val="24"/>
                <w:szCs w:val="24"/>
                <w:lang w:eastAsia="lv-LV"/>
              </w:rPr>
              <w:t>euro</w:t>
            </w:r>
            <w:r w:rsidRPr="001C47FD">
              <w:rPr>
                <w:color w:val="000000"/>
                <w:sz w:val="24"/>
                <w:szCs w:val="24"/>
                <w:lang w:eastAsia="lv-LV"/>
              </w:rPr>
              <w:t xml:space="preserve">, </w:t>
            </w:r>
            <w:proofErr w:type="spellStart"/>
            <w:r w:rsidRPr="001C47FD">
              <w:rPr>
                <w:color w:val="000000"/>
                <w:sz w:val="24"/>
                <w:szCs w:val="24"/>
                <w:lang w:eastAsia="lv-LV"/>
              </w:rPr>
              <w:t>ko</w:t>
            </w:r>
            <w:proofErr w:type="spellEnd"/>
            <w:r w:rsidRPr="001C47FD">
              <w:rPr>
                <w:color w:val="000000"/>
                <w:sz w:val="24"/>
                <w:szCs w:val="24"/>
                <w:lang w:eastAsia="lv-LV"/>
              </w:rPr>
              <w:t xml:space="preserve"> </w:t>
            </w:r>
            <w:proofErr w:type="spellStart"/>
            <w:r w:rsidRPr="001C47FD">
              <w:rPr>
                <w:color w:val="000000"/>
                <w:sz w:val="24"/>
                <w:szCs w:val="24"/>
                <w:lang w:eastAsia="lv-LV"/>
              </w:rPr>
              <w:t>veido</w:t>
            </w:r>
            <w:proofErr w:type="spellEnd"/>
            <w:r w:rsidRPr="001C47FD">
              <w:rPr>
                <w:color w:val="000000"/>
                <w:sz w:val="24"/>
                <w:szCs w:val="24"/>
                <w:lang w:eastAsia="lv-LV"/>
              </w:rPr>
              <w:t xml:space="preserve"> Eiropas </w:t>
            </w:r>
            <w:proofErr w:type="spellStart"/>
            <w:r w:rsidRPr="001C47FD">
              <w:rPr>
                <w:color w:val="000000"/>
                <w:sz w:val="24"/>
                <w:szCs w:val="24"/>
                <w:lang w:eastAsia="lv-LV"/>
              </w:rPr>
              <w:t>Reģionālās</w:t>
            </w:r>
            <w:proofErr w:type="spellEnd"/>
            <w:r w:rsidRPr="001C47FD">
              <w:rPr>
                <w:color w:val="000000"/>
                <w:sz w:val="24"/>
                <w:szCs w:val="24"/>
                <w:lang w:eastAsia="lv-LV"/>
              </w:rPr>
              <w:t xml:space="preserve"> </w:t>
            </w:r>
            <w:proofErr w:type="spellStart"/>
            <w:r w:rsidRPr="001C47FD">
              <w:rPr>
                <w:color w:val="000000"/>
                <w:sz w:val="24"/>
                <w:szCs w:val="24"/>
                <w:lang w:eastAsia="lv-LV"/>
              </w:rPr>
              <w:t>attīstības</w:t>
            </w:r>
            <w:proofErr w:type="spellEnd"/>
            <w:r w:rsidRPr="001C47FD">
              <w:rPr>
                <w:color w:val="000000"/>
                <w:sz w:val="24"/>
                <w:szCs w:val="24"/>
                <w:lang w:eastAsia="lv-LV"/>
              </w:rPr>
              <w:t xml:space="preserve"> </w:t>
            </w:r>
            <w:proofErr w:type="spellStart"/>
            <w:r w:rsidRPr="001C47FD">
              <w:rPr>
                <w:color w:val="000000"/>
                <w:sz w:val="24"/>
                <w:szCs w:val="24"/>
                <w:lang w:eastAsia="lv-LV"/>
              </w:rPr>
              <w:t>fonda</w:t>
            </w:r>
            <w:proofErr w:type="spellEnd"/>
            <w:r w:rsidRPr="001C47FD">
              <w:rPr>
                <w:color w:val="000000"/>
                <w:sz w:val="24"/>
                <w:szCs w:val="24"/>
                <w:lang w:eastAsia="lv-LV"/>
              </w:rPr>
              <w:t xml:space="preserve"> </w:t>
            </w:r>
            <w:proofErr w:type="spellStart"/>
            <w:r w:rsidRPr="001C47FD">
              <w:rPr>
                <w:color w:val="000000"/>
                <w:sz w:val="24"/>
                <w:szCs w:val="24"/>
                <w:lang w:eastAsia="lv-LV"/>
              </w:rPr>
              <w:t>finansējums</w:t>
            </w:r>
            <w:proofErr w:type="spellEnd"/>
            <w:r w:rsidRPr="001C47FD">
              <w:rPr>
                <w:color w:val="000000"/>
                <w:sz w:val="24"/>
                <w:szCs w:val="24"/>
                <w:lang w:eastAsia="lv-LV"/>
              </w:rPr>
              <w:t>."</w:t>
            </w:r>
          </w:p>
          <w:p w14:paraId="388B4091" w14:textId="49C48292" w:rsidR="004118C7" w:rsidRPr="00BB599E" w:rsidRDefault="004118C7" w:rsidP="008E2CD9">
            <w:pPr>
              <w:pStyle w:val="tv2132"/>
              <w:spacing w:line="240" w:lineRule="auto"/>
            </w:pPr>
          </w:p>
        </w:tc>
      </w:tr>
      <w:tr w:rsidR="008E2CD9" w:rsidRPr="00BB599E" w14:paraId="19385132" w14:textId="77777777" w:rsidTr="0093084E">
        <w:trPr>
          <w:gridAfter w:val="1"/>
          <w:wAfter w:w="60" w:type="dxa"/>
          <w:trHeight w:val="274"/>
        </w:trPr>
        <w:tc>
          <w:tcPr>
            <w:tcW w:w="703" w:type="dxa"/>
            <w:shd w:val="clear" w:color="auto" w:fill="FFFFFF" w:themeFill="background1"/>
          </w:tcPr>
          <w:p w14:paraId="58EAE0AC" w14:textId="77777777" w:rsidR="004118C7" w:rsidRPr="00BB599E" w:rsidRDefault="004118C7" w:rsidP="008E2CD9">
            <w:pPr>
              <w:numPr>
                <w:ilvl w:val="0"/>
                <w:numId w:val="31"/>
              </w:numPr>
              <w:tabs>
                <w:tab w:val="center" w:pos="284"/>
              </w:tabs>
              <w:ind w:left="0" w:firstLine="0"/>
            </w:pPr>
          </w:p>
        </w:tc>
        <w:tc>
          <w:tcPr>
            <w:tcW w:w="2978" w:type="dxa"/>
            <w:shd w:val="clear" w:color="auto" w:fill="auto"/>
          </w:tcPr>
          <w:p w14:paraId="58483CAD" w14:textId="77777777" w:rsidR="004118C7" w:rsidRPr="00BB599E" w:rsidRDefault="004118C7" w:rsidP="008E2CD9">
            <w:pPr>
              <w:jc w:val="both"/>
            </w:pPr>
            <w:r w:rsidRPr="00BB599E">
              <w:t>Izteikt 12.</w:t>
            </w:r>
            <w:r w:rsidRPr="00BB599E">
              <w:rPr>
                <w:vertAlign w:val="superscript"/>
              </w:rPr>
              <w:t>2</w:t>
            </w:r>
            <w:r w:rsidRPr="00BB599E">
              <w:t xml:space="preserve"> punktu šādā redakcijā:</w:t>
            </w:r>
          </w:p>
          <w:p w14:paraId="664CAA23" w14:textId="77777777" w:rsidR="004118C7" w:rsidRPr="00BB599E" w:rsidRDefault="004118C7" w:rsidP="008E2CD9">
            <w:pPr>
              <w:pStyle w:val="ListParagraph"/>
              <w:rPr>
                <w:rFonts w:ascii="Times New Roman" w:hAnsi="Times New Roman"/>
                <w:sz w:val="24"/>
                <w:szCs w:val="24"/>
              </w:rPr>
            </w:pPr>
          </w:p>
          <w:p w14:paraId="2627F322" w14:textId="77777777" w:rsidR="004118C7" w:rsidRPr="00BB599E" w:rsidRDefault="004118C7" w:rsidP="008E2CD9">
            <w:pPr>
              <w:pStyle w:val="tv2132"/>
              <w:spacing w:line="240" w:lineRule="auto"/>
              <w:ind w:firstLine="0"/>
              <w:rPr>
                <w:sz w:val="24"/>
                <w:szCs w:val="24"/>
                <w:lang w:val="lv-LV" w:eastAsia="lv-LV"/>
              </w:rPr>
            </w:pPr>
            <w:r w:rsidRPr="00BB599E">
              <w:rPr>
                <w:sz w:val="24"/>
                <w:szCs w:val="24"/>
                <w:lang w:val="lv-LV" w:eastAsia="lv-LV"/>
              </w:rPr>
              <w:t>"12.</w:t>
            </w:r>
            <w:r w:rsidRPr="00BB599E">
              <w:rPr>
                <w:sz w:val="24"/>
                <w:szCs w:val="24"/>
                <w:vertAlign w:val="superscript"/>
                <w:lang w:val="lv-LV" w:eastAsia="lv-LV"/>
              </w:rPr>
              <w:t>2</w:t>
            </w:r>
            <w:r w:rsidRPr="00BB599E">
              <w:rPr>
                <w:sz w:val="24"/>
                <w:szCs w:val="24"/>
                <w:lang w:val="lv-LV" w:eastAsia="lv-LV"/>
              </w:rPr>
              <w:t xml:space="preserve"> Trešajā projektu iesniegumu atlases kārtā plānotais kopējais attiecināmais publiskais finansējums ir </w:t>
            </w:r>
            <w:r w:rsidRPr="00BB599E">
              <w:rPr>
                <w:color w:val="000000"/>
                <w:sz w:val="24"/>
                <w:szCs w:val="24"/>
                <w:lang w:val="lv-LV" w:eastAsia="lv-LV"/>
              </w:rPr>
              <w:t>13 307 618</w:t>
            </w:r>
            <w:r w:rsidRPr="00BB599E">
              <w:rPr>
                <w:sz w:val="24"/>
                <w:szCs w:val="24"/>
                <w:lang w:val="lv-LV" w:eastAsia="lv-LV"/>
              </w:rPr>
              <w:t xml:space="preserve"> </w:t>
            </w:r>
            <w:proofErr w:type="spellStart"/>
            <w:r w:rsidRPr="00BB599E">
              <w:rPr>
                <w:i/>
                <w:sz w:val="24"/>
                <w:szCs w:val="24"/>
                <w:lang w:val="lv-LV" w:eastAsia="lv-LV"/>
              </w:rPr>
              <w:t>euro</w:t>
            </w:r>
            <w:proofErr w:type="spellEnd"/>
            <w:r w:rsidRPr="00BB599E">
              <w:rPr>
                <w:sz w:val="24"/>
                <w:szCs w:val="24"/>
                <w:lang w:val="lv-LV" w:eastAsia="lv-LV"/>
              </w:rPr>
              <w:t>, ko veido:</w:t>
            </w:r>
          </w:p>
          <w:p w14:paraId="65A720D6" w14:textId="77777777" w:rsidR="004118C7" w:rsidRPr="00BB599E" w:rsidRDefault="004118C7" w:rsidP="008E2CD9">
            <w:pPr>
              <w:pStyle w:val="tv2132"/>
              <w:spacing w:line="240" w:lineRule="auto"/>
              <w:ind w:firstLine="0"/>
              <w:rPr>
                <w:sz w:val="24"/>
                <w:szCs w:val="24"/>
                <w:lang w:val="lv-LV" w:eastAsia="lv-LV"/>
              </w:rPr>
            </w:pPr>
            <w:r w:rsidRPr="00BB599E">
              <w:rPr>
                <w:sz w:val="24"/>
                <w:szCs w:val="24"/>
                <w:lang w:val="lv-LV" w:eastAsia="lv-LV"/>
              </w:rPr>
              <w:t>12.</w:t>
            </w:r>
            <w:r w:rsidRPr="00BB599E">
              <w:rPr>
                <w:sz w:val="24"/>
                <w:szCs w:val="24"/>
                <w:vertAlign w:val="superscript"/>
                <w:lang w:val="lv-LV" w:eastAsia="lv-LV"/>
              </w:rPr>
              <w:t>2</w:t>
            </w:r>
            <w:r w:rsidRPr="00BB599E">
              <w:rPr>
                <w:sz w:val="24"/>
                <w:szCs w:val="24"/>
                <w:lang w:val="lv-LV" w:eastAsia="lv-LV"/>
              </w:rPr>
              <w:t xml:space="preserve"> 1. 7 646 213 </w:t>
            </w:r>
            <w:proofErr w:type="spellStart"/>
            <w:r w:rsidRPr="00BB599E">
              <w:rPr>
                <w:i/>
                <w:sz w:val="24"/>
                <w:szCs w:val="24"/>
                <w:lang w:val="lv-LV" w:eastAsia="lv-LV"/>
              </w:rPr>
              <w:t>euro</w:t>
            </w:r>
            <w:proofErr w:type="spellEnd"/>
            <w:r w:rsidRPr="00BB599E">
              <w:rPr>
                <w:sz w:val="24"/>
                <w:szCs w:val="24"/>
                <w:lang w:val="lv-LV" w:eastAsia="lv-LV"/>
              </w:rPr>
              <w:t xml:space="preserve"> ar saimniecisku darbību nesaistītu projektu īstenošanai, tai skaitā Eiropas Reģionālās attīstības fonda finansējums 4 777 850 </w:t>
            </w:r>
            <w:proofErr w:type="spellStart"/>
            <w:r w:rsidRPr="00BB599E">
              <w:rPr>
                <w:i/>
                <w:sz w:val="24"/>
                <w:szCs w:val="24"/>
                <w:lang w:val="lv-LV" w:eastAsia="lv-LV"/>
              </w:rPr>
              <w:t>euro</w:t>
            </w:r>
            <w:proofErr w:type="spellEnd"/>
            <w:r w:rsidRPr="00BB599E">
              <w:rPr>
                <w:sz w:val="24"/>
                <w:szCs w:val="24"/>
                <w:lang w:val="lv-LV" w:eastAsia="lv-LV"/>
              </w:rPr>
              <w:t xml:space="preserve"> apmērā un valsts budžeta finansējums 2 868 363 </w:t>
            </w:r>
            <w:proofErr w:type="spellStart"/>
            <w:r w:rsidRPr="00BB599E">
              <w:rPr>
                <w:i/>
                <w:sz w:val="24"/>
                <w:szCs w:val="24"/>
                <w:lang w:val="lv-LV" w:eastAsia="lv-LV"/>
              </w:rPr>
              <w:t>euro</w:t>
            </w:r>
            <w:proofErr w:type="spellEnd"/>
            <w:r w:rsidRPr="00BB599E">
              <w:rPr>
                <w:sz w:val="24"/>
                <w:szCs w:val="24"/>
                <w:lang w:val="lv-LV" w:eastAsia="lv-LV"/>
              </w:rPr>
              <w:t xml:space="preserve"> apmērā; </w:t>
            </w:r>
          </w:p>
          <w:p w14:paraId="45BA06C4" w14:textId="57A3A881" w:rsidR="004118C7" w:rsidRPr="00BB599E" w:rsidRDefault="004118C7" w:rsidP="008E2CD9">
            <w:pPr>
              <w:tabs>
                <w:tab w:val="left" w:pos="1276"/>
              </w:tabs>
              <w:jc w:val="both"/>
            </w:pPr>
            <w:r w:rsidRPr="00BB599E">
              <w:t>12.</w:t>
            </w:r>
            <w:r w:rsidRPr="00BB599E">
              <w:rPr>
                <w:vertAlign w:val="superscript"/>
              </w:rPr>
              <w:t>2</w:t>
            </w:r>
            <w:r w:rsidRPr="00BB599E">
              <w:t xml:space="preserve"> 2. Eiropas Reģionālās attīstības fonda finansējums </w:t>
            </w:r>
            <w:r w:rsidRPr="00BB599E">
              <w:rPr>
                <w:rFonts w:eastAsia="Calibri"/>
                <w:color w:val="000000"/>
              </w:rPr>
              <w:t>5 661 405</w:t>
            </w:r>
            <w:r w:rsidRPr="00BB599E">
              <w:t xml:space="preserve"> </w:t>
            </w:r>
            <w:proofErr w:type="spellStart"/>
            <w:r w:rsidRPr="00BB599E">
              <w:rPr>
                <w:i/>
              </w:rPr>
              <w:t>euro</w:t>
            </w:r>
            <w:proofErr w:type="spellEnd"/>
            <w:r w:rsidRPr="00BB599E">
              <w:rPr>
                <w:i/>
              </w:rPr>
              <w:t xml:space="preserve"> </w:t>
            </w:r>
            <w:r w:rsidRPr="00BB599E">
              <w:t>apmērā ar saimniecisku darbību saistītu projektu īstenošanai."</w:t>
            </w:r>
          </w:p>
        </w:tc>
        <w:tc>
          <w:tcPr>
            <w:tcW w:w="3830" w:type="dxa"/>
            <w:shd w:val="clear" w:color="auto" w:fill="auto"/>
          </w:tcPr>
          <w:p w14:paraId="2A4BB25C" w14:textId="77777777" w:rsidR="004118C7" w:rsidRPr="00BB599E" w:rsidRDefault="004118C7" w:rsidP="008E2CD9">
            <w:pPr>
              <w:contextualSpacing/>
              <w:jc w:val="both"/>
              <w:rPr>
                <w:b/>
              </w:rPr>
            </w:pPr>
            <w:r w:rsidRPr="00BB599E">
              <w:rPr>
                <w:b/>
              </w:rPr>
              <w:t xml:space="preserve">FM </w:t>
            </w:r>
            <w:r w:rsidRPr="00BB599E">
              <w:t>(23.04.19. iebildums)</w:t>
            </w:r>
          </w:p>
          <w:p w14:paraId="0CA276B5" w14:textId="10107DE1" w:rsidR="004118C7" w:rsidRPr="00BB599E" w:rsidRDefault="004118C7" w:rsidP="008E2CD9">
            <w:pPr>
              <w:contextualSpacing/>
              <w:jc w:val="both"/>
            </w:pPr>
            <w:r w:rsidRPr="00BB599E">
              <w:t>3.</w:t>
            </w:r>
            <w:r w:rsidRPr="00BB599E">
              <w:tab/>
              <w:t xml:space="preserve">Lūdzam papildināt MK noteikumu projektu ar regulējumu, kurš paredz papildināt spēkā esošo MK noteikumu Nr.34 12.punktu ar 1.1.1.1.pasākuma pirmās projektu iesniegumu atlases kārtas ietvaros īstenojamo projektu finansējuma apmēru – Eiropas Reģionālās attīstības fonda (turpmāk – ERAF) finansējumu 36 770 644 </w:t>
            </w:r>
            <w:proofErr w:type="spellStart"/>
            <w:r w:rsidRPr="00BB599E">
              <w:t>euro</w:t>
            </w:r>
            <w:proofErr w:type="spellEnd"/>
            <w:r w:rsidRPr="00BB599E">
              <w:t xml:space="preserve"> un valsts budžeta finansējumu 2 992 685 </w:t>
            </w:r>
            <w:proofErr w:type="spellStart"/>
            <w:r w:rsidRPr="00BB599E">
              <w:t>euro</w:t>
            </w:r>
            <w:proofErr w:type="spellEnd"/>
            <w:r w:rsidRPr="00BB599E">
              <w:t xml:space="preserve"> apmērā (atbilstoši 2019.gada 15.aprīlī Kohēzijas politikas fondu vadības informācijas sistēmā pieejamai informācijai), lai nodrošinātu 1.1.1.1.pasākumam kopējā finansējuma izsekojamību. Vienlaikus lūdzam atbilstoši precizēt MK noteikumu projekta 7., 8., 9. un 10.punktā noteiktos finansējuma apmērus, ņemot vērā, ka pirmās projektu iesniegumu atlases kārtas ietvaros īstenojamo projektu finansējuma apmērs (minēts šī </w:t>
            </w:r>
            <w:r w:rsidRPr="00BB599E">
              <w:lastRenderedPageBreak/>
              <w:t>atzinuma 3.iebilduma pirmajā teikumā) un MK noteikumu projekta 7., 8., 9. un 10.punkta minētie finansējuma apmēri pārsniedz spēkā esošo MK noteikumu Nr.34 11.punktā noteikto kopējo 1.1.1.1.pasākuma finansējuma apmēru.</w:t>
            </w:r>
          </w:p>
        </w:tc>
        <w:tc>
          <w:tcPr>
            <w:tcW w:w="3967" w:type="dxa"/>
            <w:shd w:val="clear" w:color="auto" w:fill="auto"/>
          </w:tcPr>
          <w:p w14:paraId="22A3B150" w14:textId="77777777" w:rsidR="004118C7" w:rsidRPr="00BB599E" w:rsidRDefault="004118C7" w:rsidP="008E2CD9">
            <w:pPr>
              <w:jc w:val="both"/>
              <w:rPr>
                <w:b/>
              </w:rPr>
            </w:pPr>
            <w:r w:rsidRPr="00BB599E">
              <w:rPr>
                <w:b/>
              </w:rPr>
              <w:lastRenderedPageBreak/>
              <w:t>Ņemts vērā.</w:t>
            </w:r>
          </w:p>
          <w:p w14:paraId="4FB0A7A3" w14:textId="77777777" w:rsidR="004118C7" w:rsidRPr="00BB599E" w:rsidRDefault="004118C7" w:rsidP="008E2CD9">
            <w:pPr>
              <w:jc w:val="both"/>
              <w:rPr>
                <w:b/>
              </w:rPr>
            </w:pPr>
          </w:p>
        </w:tc>
        <w:tc>
          <w:tcPr>
            <w:tcW w:w="3328" w:type="dxa"/>
            <w:gridSpan w:val="2"/>
            <w:vMerge/>
            <w:shd w:val="clear" w:color="auto" w:fill="auto"/>
          </w:tcPr>
          <w:p w14:paraId="471C06A9" w14:textId="158BA6F2" w:rsidR="004118C7" w:rsidRPr="001C47FD" w:rsidRDefault="004118C7" w:rsidP="008E2CD9">
            <w:pPr>
              <w:pStyle w:val="tv2132"/>
              <w:spacing w:line="240" w:lineRule="auto"/>
              <w:ind w:firstLine="0"/>
              <w:rPr>
                <w:sz w:val="24"/>
                <w:szCs w:val="24"/>
                <w:lang w:val="lv-LV"/>
              </w:rPr>
            </w:pPr>
          </w:p>
        </w:tc>
      </w:tr>
      <w:tr w:rsidR="008E2CD9" w:rsidRPr="00BB599E" w14:paraId="5A81E718" w14:textId="77777777" w:rsidTr="0093084E">
        <w:trPr>
          <w:gridAfter w:val="1"/>
          <w:wAfter w:w="60" w:type="dxa"/>
          <w:trHeight w:val="274"/>
        </w:trPr>
        <w:tc>
          <w:tcPr>
            <w:tcW w:w="703" w:type="dxa"/>
            <w:shd w:val="clear" w:color="auto" w:fill="FFFFFF" w:themeFill="background1"/>
          </w:tcPr>
          <w:p w14:paraId="0B16A71E" w14:textId="77777777" w:rsidR="004118C7" w:rsidRPr="00BB599E" w:rsidRDefault="004118C7" w:rsidP="008E2CD9">
            <w:pPr>
              <w:numPr>
                <w:ilvl w:val="0"/>
                <w:numId w:val="31"/>
              </w:numPr>
              <w:tabs>
                <w:tab w:val="center" w:pos="284"/>
              </w:tabs>
              <w:ind w:left="0" w:firstLine="0"/>
            </w:pPr>
          </w:p>
        </w:tc>
        <w:tc>
          <w:tcPr>
            <w:tcW w:w="2978" w:type="dxa"/>
            <w:shd w:val="clear" w:color="auto" w:fill="auto"/>
          </w:tcPr>
          <w:p w14:paraId="7F15DA26" w14:textId="77777777" w:rsidR="004118C7" w:rsidRPr="00BB599E" w:rsidRDefault="004118C7" w:rsidP="008E2CD9">
            <w:pPr>
              <w:tabs>
                <w:tab w:val="left" w:pos="1276"/>
              </w:tabs>
              <w:jc w:val="both"/>
            </w:pPr>
          </w:p>
        </w:tc>
        <w:tc>
          <w:tcPr>
            <w:tcW w:w="3830" w:type="dxa"/>
            <w:shd w:val="clear" w:color="auto" w:fill="auto"/>
          </w:tcPr>
          <w:p w14:paraId="35D83759" w14:textId="7FD2FE36" w:rsidR="004118C7" w:rsidRPr="004118C7" w:rsidRDefault="004118C7" w:rsidP="008E2CD9">
            <w:pPr>
              <w:contextualSpacing/>
              <w:jc w:val="both"/>
            </w:pPr>
            <w:r w:rsidRPr="004118C7">
              <w:t>FM 09.</w:t>
            </w:r>
            <w:r w:rsidR="002E5042">
              <w:t>05</w:t>
            </w:r>
            <w:r w:rsidRPr="004118C7">
              <w:t>.2019. priekšlikums</w:t>
            </w:r>
          </w:p>
          <w:p w14:paraId="045EE31D" w14:textId="36F0543C" w:rsidR="004118C7" w:rsidRPr="004118C7" w:rsidRDefault="004118C7" w:rsidP="008E2CD9">
            <w:pPr>
              <w:contextualSpacing/>
              <w:jc w:val="both"/>
            </w:pPr>
            <w:r w:rsidRPr="004118C7">
              <w:t>4.</w:t>
            </w:r>
            <w:r w:rsidRPr="004118C7">
              <w:tab/>
              <w:t>Ņemot vērā, ka 1.1.1.1.pasākuma otrās atlases kārtas ietvaros vēl nav noslēgusies precizēto projektu iesniegumu vērtēšana, aicinām tālākā MK noteikumu grozījumu virzīšanās procesā nepieciešamības gadījumā pārskatīt trešajai atlases kārtai pieejamā finansējuma apjomu.</w:t>
            </w:r>
          </w:p>
        </w:tc>
        <w:tc>
          <w:tcPr>
            <w:tcW w:w="3967" w:type="dxa"/>
            <w:shd w:val="clear" w:color="auto" w:fill="auto"/>
          </w:tcPr>
          <w:p w14:paraId="68E2F9DB" w14:textId="77777777" w:rsidR="004118C7" w:rsidRPr="00BB599E" w:rsidRDefault="004118C7" w:rsidP="008E2CD9">
            <w:pPr>
              <w:jc w:val="both"/>
              <w:rPr>
                <w:b/>
              </w:rPr>
            </w:pPr>
            <w:r w:rsidRPr="00BB599E">
              <w:rPr>
                <w:b/>
              </w:rPr>
              <w:t>Ņemts vērā.</w:t>
            </w:r>
          </w:p>
          <w:p w14:paraId="4E97E39A" w14:textId="7EBFD6C6" w:rsidR="004118C7" w:rsidRDefault="008E2CD9" w:rsidP="008E2CD9">
            <w:pPr>
              <w:jc w:val="both"/>
            </w:pPr>
            <w:r w:rsidRPr="008E2CD9">
              <w:t xml:space="preserve">Pārskatīts trešajai kārtai pieejamais </w:t>
            </w:r>
            <w:r>
              <w:t xml:space="preserve">publiskais attiecināmais </w:t>
            </w:r>
            <w:r w:rsidRPr="008E2CD9">
              <w:t>finansējums</w:t>
            </w:r>
            <w:r>
              <w:t xml:space="preserve"> (ERAF un valsts budžeta finansējums)</w:t>
            </w:r>
            <w:r w:rsidRPr="008E2CD9">
              <w:t>, ņemot vērā KPVIS sistēmā uz 10.05.2019. pieejamo informāciju.</w:t>
            </w:r>
          </w:p>
          <w:p w14:paraId="6BA7596B" w14:textId="77777777" w:rsidR="008E2CD9" w:rsidRDefault="008E2CD9" w:rsidP="008E2CD9">
            <w:pPr>
              <w:jc w:val="both"/>
            </w:pPr>
          </w:p>
          <w:p w14:paraId="720DFB3E" w14:textId="2D8CD94B" w:rsidR="002E7F8A" w:rsidRDefault="00D502F8" w:rsidP="002E7F8A">
            <w:pPr>
              <w:jc w:val="both"/>
              <w:rPr>
                <w:color w:val="000000"/>
              </w:rPr>
            </w:pPr>
            <w:r>
              <w:rPr>
                <w:color w:val="000000"/>
              </w:rPr>
              <w:t>Papildus skaidrojam</w:t>
            </w:r>
            <w:r w:rsidR="002E7F8A">
              <w:rPr>
                <w:color w:val="000000"/>
              </w:rPr>
              <w:t xml:space="preserve">, ka 1.1.1.1. pasākuma trešās projektu iesniegumu atlases kārtas ietvaros nav iespējams noteikt </w:t>
            </w:r>
            <w:r w:rsidR="002E7F8A" w:rsidRPr="00AB0356">
              <w:rPr>
                <w:b/>
                <w:color w:val="000000"/>
              </w:rPr>
              <w:t>objektīvi pamatotu</w:t>
            </w:r>
            <w:r w:rsidR="002E7F8A">
              <w:rPr>
                <w:color w:val="000000"/>
              </w:rPr>
              <w:t xml:space="preserve"> kopējā nacionālā līdzfinansējuma apmēru un privātā finansējuma apmēru </w:t>
            </w:r>
            <w:r w:rsidR="002E7F8A">
              <w:t>(</w:t>
            </w:r>
            <w:r w:rsidR="002E7F8A" w:rsidRPr="002E7F8A">
              <w:rPr>
                <w:i/>
              </w:rPr>
              <w:t>lai nodrošinātu iznākuma rādītāja “privātās investīcijas, kas papildina valsts atbalstu inovācijām vai pētniecības un izstrādes projektiem” sasniegšanu</w:t>
            </w:r>
            <w:r w:rsidR="002E7F8A">
              <w:t>)</w:t>
            </w:r>
            <w:r w:rsidR="002E7F8A">
              <w:rPr>
                <w:color w:val="000000"/>
              </w:rPr>
              <w:t xml:space="preserve">, </w:t>
            </w:r>
            <w:r w:rsidR="002E7F8A">
              <w:t>šādu nosacījumu dēļ:</w:t>
            </w:r>
            <w:r w:rsidR="002E7F8A">
              <w:rPr>
                <w:color w:val="000000"/>
              </w:rPr>
              <w:t>.</w:t>
            </w:r>
          </w:p>
          <w:p w14:paraId="41CF3C6E" w14:textId="090A9838" w:rsidR="00AB0356" w:rsidRDefault="00AB0356" w:rsidP="00AB0356">
            <w:pPr>
              <w:jc w:val="both"/>
              <w:rPr>
                <w:color w:val="000000"/>
              </w:rPr>
            </w:pPr>
            <w:r>
              <w:t>1. </w:t>
            </w:r>
            <w:r w:rsidR="00D502F8">
              <w:t>nav iespējams</w:t>
            </w:r>
            <w:r w:rsidR="00D502F8" w:rsidRPr="00D502F8">
              <w:t xml:space="preserve"> vienlaikus nodrošināt </w:t>
            </w:r>
            <w:r w:rsidR="00D502F8">
              <w:t xml:space="preserve">privātā finansējuma apmēra </w:t>
            </w:r>
            <w:r w:rsidR="00D502F8" w:rsidRPr="00D502F8">
              <w:t>atbilstību ar MK noteikumu 12., 12.1 , 12.2 , 33., 45., 46. un 50. punktā noteiktajām publiskā finansējuma atbalsta intensitātēm un 31.12.2023. sasniedzamo iznākuma rādītāja „</w:t>
            </w:r>
            <w:r w:rsidR="00D502F8" w:rsidRPr="00D502F8">
              <w:rPr>
                <w:i/>
              </w:rPr>
              <w:t>privātās investīcijas, kas papildina valsts atbalstu inovācijām vai pētniecības un izstrādes projektiem</w:t>
            </w:r>
            <w:r w:rsidR="00D502F8" w:rsidRPr="00D502F8">
              <w:t>” vērtību</w:t>
            </w:r>
            <w:r w:rsidR="00D502F8">
              <w:t>, jo,</w:t>
            </w:r>
            <w:r w:rsidR="00D502F8" w:rsidRPr="00D502F8">
              <w:t xml:space="preserve"> </w:t>
            </w:r>
            <w:r w:rsidR="00D502F8">
              <w:t>i</w:t>
            </w:r>
            <w:r>
              <w:t xml:space="preserve">evērojot MK noteikumu noteikumus saistībā ar publiskā finansējuma atbalsta intensitātes apmēru (tai skaitā MK noteikumu 12., </w:t>
            </w:r>
            <w:r w:rsidRPr="001C47FD">
              <w:rPr>
                <w:color w:val="000000"/>
              </w:rPr>
              <w:t>12.</w:t>
            </w:r>
            <w:r w:rsidRPr="001C47FD">
              <w:rPr>
                <w:color w:val="000000"/>
                <w:vertAlign w:val="superscript"/>
              </w:rPr>
              <w:t>1</w:t>
            </w:r>
            <w:r w:rsidRPr="001C47FD">
              <w:rPr>
                <w:color w:val="000000"/>
              </w:rPr>
              <w:t> </w:t>
            </w:r>
            <w:r>
              <w:rPr>
                <w:color w:val="000000"/>
              </w:rPr>
              <w:t xml:space="preserve">, </w:t>
            </w:r>
            <w:r w:rsidRPr="001C47FD">
              <w:rPr>
                <w:color w:val="000000"/>
              </w:rPr>
              <w:t>12.</w:t>
            </w:r>
            <w:r>
              <w:rPr>
                <w:color w:val="000000"/>
                <w:vertAlign w:val="superscript"/>
              </w:rPr>
              <w:t>2</w:t>
            </w:r>
            <w:r w:rsidRPr="001C47FD">
              <w:rPr>
                <w:color w:val="000000"/>
              </w:rPr>
              <w:t> </w:t>
            </w:r>
            <w:r>
              <w:rPr>
                <w:color w:val="000000"/>
              </w:rPr>
              <w:t xml:space="preserve">, 33., 45., 46. un </w:t>
            </w:r>
            <w:r>
              <w:rPr>
                <w:color w:val="000000"/>
              </w:rPr>
              <w:lastRenderedPageBreak/>
              <w:t>50.punkts)</w:t>
            </w:r>
            <w:r w:rsidR="00D502F8">
              <w:rPr>
                <w:color w:val="000000"/>
              </w:rPr>
              <w:t>,</w:t>
            </w:r>
            <w:r>
              <w:rPr>
                <w:color w:val="000000"/>
              </w:rPr>
              <w:t xml:space="preserve"> secināms, ka privātā attiecināmā finansējuma apmērs katrā projektu iesniegumu atlases kārtā un pasākuma ietvaros kopumā ir atkarīgs no: 1) apstiprināto projektu skaita sadalījumā pa projektu veidiem; 2) finansējuma saņēmēja</w:t>
            </w:r>
            <w:r w:rsidR="002E7F8A">
              <w:rPr>
                <w:color w:val="000000"/>
              </w:rPr>
              <w:t xml:space="preserve"> vai projekta iesniedzēja</w:t>
            </w:r>
            <w:r>
              <w:rPr>
                <w:color w:val="000000"/>
              </w:rPr>
              <w:t xml:space="preserve"> un sadarbības partnera atbilstības konkrēta komersanta kategorijai; 3) ar saimniecisku darbību saistīta projekta ietvaros plānotajām atbalstāmajām darbībām (pētniecība, tehnoloģiju tiesību aizsardzība); 4) ar saimniecisku darbību saistīta projekta ietvaros īstenojamajām pētniecības kategorijām (tehniskā </w:t>
            </w:r>
            <w:proofErr w:type="spellStart"/>
            <w:r>
              <w:rPr>
                <w:color w:val="000000"/>
              </w:rPr>
              <w:t>priekšizpēte</w:t>
            </w:r>
            <w:proofErr w:type="spellEnd"/>
            <w:r>
              <w:rPr>
                <w:color w:val="000000"/>
              </w:rPr>
              <w:t xml:space="preserve">, rūpnieciskie pētījumi, eksperimentālā izstrāde. </w:t>
            </w:r>
          </w:p>
          <w:p w14:paraId="02D3DA2C" w14:textId="68549605" w:rsidR="0043083F" w:rsidRDefault="002E7F8A" w:rsidP="0043083F">
            <w:pPr>
              <w:jc w:val="both"/>
              <w:rPr>
                <w:color w:val="000000"/>
              </w:rPr>
            </w:pPr>
            <w:r>
              <w:rPr>
                <w:color w:val="000000"/>
              </w:rPr>
              <w:t>2. S</w:t>
            </w:r>
            <w:r w:rsidR="0043083F">
              <w:rPr>
                <w:color w:val="000000"/>
              </w:rPr>
              <w:t xml:space="preserve">askaņā ar MK noteikumu 30.1.1.apakšpunktu ar saimniecisku darbību nesaistītu projektu īstenošanai nepieciešamo nacionālo līdzfinansējumu nodrošina no labuma guvēja rīcībā esošiem privātiem vai publiskiem līdzekļiem, tādējādi pasākuma īstenošanai kopējo attiecināmo līdzfinansējumu veido ne tikai nacionālais privātais līdzfinansējums, bet arī nacionālais publiskais līdzfinansējums. Attiecīgi iekļaujot MK noteikumos konkrētajai atlases kārtai paredzēto privātā līdzfinansējuma apmēru, pilnvērtīgas situācijas definēšanai, kas iekļauj visus attiecināmā finansējuma avotus, būtu nepieciešams noteikt arī konkrētās atlases kārtas īstenošanai plānotā publiskā līdzfinansējuma apmēru. Vienlaikus, ņemot vērā MK noteikumu 30.1.1. apakšpunktā noteikto labuma guvēja rīcības brīvību ar saimniecisku darbību nesaistīta projekta īstenošanai plānotā nacionālā līdzfinansējuma finansējuma avota izvēlē, konkrētu publiskā līdzfinansējuma apmēru noteikt nav iespējams. </w:t>
            </w:r>
            <w:r w:rsidR="001D0BF6">
              <w:rPr>
                <w:color w:val="000000"/>
              </w:rPr>
              <w:lastRenderedPageBreak/>
              <w:t xml:space="preserve">Vēršam uzmanību, ka 1.1.1.1. pasākuma pirmās projektu iesniegumu atlases kārtas ietvaros no kopējā nacionālā līdzfinansējuma nacionālais publiskais līdzfinansējums veidoja 59%, bet nacionālais privātais līdzfinansējums – 41%, savukārt otrās projektu iesniegumu atlases kārtas ietvaros savukārt – 34% un 66%, kas skaidri norāda uz situācijas </w:t>
            </w:r>
            <w:proofErr w:type="spellStart"/>
            <w:r w:rsidR="001D0BF6">
              <w:rPr>
                <w:color w:val="000000"/>
              </w:rPr>
              <w:t>nehomogenitāti</w:t>
            </w:r>
            <w:proofErr w:type="spellEnd"/>
            <w:r w:rsidR="00577D95">
              <w:rPr>
                <w:color w:val="000000"/>
              </w:rPr>
              <w:t>, kā rezultātā jebkādas indikatīvi modelētas aprēķina situācijas radītu būtisku neobjektīvas interpretācijas risku un plānotās situācijas neatbilstību faktiskajai</w:t>
            </w:r>
            <w:r w:rsidR="001D0BF6">
              <w:rPr>
                <w:color w:val="000000"/>
              </w:rPr>
              <w:t xml:space="preserve">. </w:t>
            </w:r>
            <w:r w:rsidR="0043083F">
              <w:rPr>
                <w:color w:val="000000"/>
              </w:rPr>
              <w:t xml:space="preserve"> </w:t>
            </w:r>
          </w:p>
          <w:p w14:paraId="40117486" w14:textId="35A56E98" w:rsidR="00AB0356" w:rsidRPr="001620D9" w:rsidRDefault="00E96305" w:rsidP="00AB0356">
            <w:pPr>
              <w:jc w:val="both"/>
            </w:pPr>
            <w:r>
              <w:t>Vēršam uzmanību, ka s</w:t>
            </w:r>
            <w:r w:rsidR="00AB0356">
              <w:t>askaņā ar MK 03.02.2009. noteikumu Nr.108 „Normatīvo aktu projektu sagatavošanas noteikumi” 3.</w:t>
            </w:r>
            <w:r w:rsidR="00AB0356" w:rsidRPr="00BE4131">
              <w:rPr>
                <w:vertAlign w:val="superscript"/>
              </w:rPr>
              <w:t>1</w:t>
            </w:r>
            <w:r w:rsidR="00AB0356">
              <w:t xml:space="preserve"> punktu </w:t>
            </w:r>
            <w:r w:rsidR="00AB0356" w:rsidRPr="00BE4131">
              <w:t xml:space="preserve">normatīvā akta </w:t>
            </w:r>
            <w:r w:rsidR="00AB0356" w:rsidRPr="00E96305">
              <w:t>grozījumus sagatavo, ja normatīvo aktu nepieciešams grozīt pēc būtības</w:t>
            </w:r>
            <w:r w:rsidR="00AB0356" w:rsidRPr="001620D9">
              <w:t>.</w:t>
            </w:r>
          </w:p>
          <w:p w14:paraId="78B00015" w14:textId="269097A9" w:rsidR="00AB0356" w:rsidRPr="00A57E39" w:rsidRDefault="00AB0356" w:rsidP="00AB0356">
            <w:pPr>
              <w:jc w:val="both"/>
            </w:pPr>
            <w:r>
              <w:t xml:space="preserve">Atbilstoši Valsts Kancelejas izstrādātajai </w:t>
            </w:r>
            <w:r w:rsidRPr="00A57E39">
              <w:rPr>
                <w:i/>
              </w:rPr>
              <w:t xml:space="preserve">Normatīvo aktu projektu izstrādes rokasgrāmatai </w:t>
            </w:r>
            <w:r w:rsidRPr="00A57E39">
              <w:t>normatīvā akta projekta izstrādē izmantotajai juridiskai tehnikai ir vairāki mērķi</w:t>
            </w:r>
            <w:r>
              <w:t>, tai skaitā</w:t>
            </w:r>
            <w:r w:rsidRPr="00A57E39">
              <w:t>:</w:t>
            </w:r>
          </w:p>
          <w:p w14:paraId="130029CE" w14:textId="1416EB17" w:rsidR="00AB0356" w:rsidRPr="00A57E39" w:rsidRDefault="00AB0356" w:rsidP="00AB0356">
            <w:pPr>
              <w:jc w:val="both"/>
            </w:pPr>
            <w:r w:rsidRPr="00A57E39">
              <w:t>– atvieglot jaunā normatīvā akta uztveršanu;</w:t>
            </w:r>
          </w:p>
          <w:p w14:paraId="08508733" w14:textId="77777777" w:rsidR="00AB0356" w:rsidRPr="00E96305" w:rsidRDefault="00AB0356" w:rsidP="00AB0356">
            <w:pPr>
              <w:jc w:val="both"/>
              <w:rPr>
                <w:b/>
              </w:rPr>
            </w:pPr>
            <w:r w:rsidRPr="00A57E39">
              <w:t>– </w:t>
            </w:r>
            <w:r w:rsidRPr="00E96305">
              <w:rPr>
                <w:b/>
              </w:rPr>
              <w:t>iekļauties pastāvošajā tiesību sistēmā, saglabājot tās loģisko struktūru;</w:t>
            </w:r>
          </w:p>
          <w:p w14:paraId="145F6E52" w14:textId="77777777" w:rsidR="00AB0356" w:rsidRPr="00A57E39" w:rsidRDefault="00AB0356" w:rsidP="00AB0356">
            <w:pPr>
              <w:jc w:val="both"/>
            </w:pPr>
            <w:r w:rsidRPr="00E96305">
              <w:rPr>
                <w:b/>
              </w:rPr>
              <w:t>– sekmēt izvairīšanos no normatīvo aktu grozīšanas</w:t>
            </w:r>
            <w:r w:rsidRPr="00A57E39">
              <w:t>;</w:t>
            </w:r>
          </w:p>
          <w:p w14:paraId="2C17FB82" w14:textId="77053D17" w:rsidR="00AB0356" w:rsidRDefault="000E0C44" w:rsidP="00AB0356">
            <w:pPr>
              <w:jc w:val="both"/>
            </w:pPr>
            <w:r>
              <w:t xml:space="preserve"> </w:t>
            </w:r>
            <w:r w:rsidR="00AB0356">
              <w:t>– </w:t>
            </w:r>
            <w:r w:rsidR="00AB0356" w:rsidRPr="00A57E39">
              <w:t>vairot cieņu pret kvalitatīvu tiesisko regulējumu.</w:t>
            </w:r>
          </w:p>
          <w:p w14:paraId="473B7406" w14:textId="1A89FAB9" w:rsidR="00BE4131" w:rsidRPr="008E2CD9" w:rsidRDefault="00BE4131" w:rsidP="00AB0356">
            <w:pPr>
              <w:jc w:val="both"/>
            </w:pPr>
          </w:p>
        </w:tc>
        <w:tc>
          <w:tcPr>
            <w:tcW w:w="3328" w:type="dxa"/>
            <w:gridSpan w:val="2"/>
            <w:vMerge/>
            <w:shd w:val="clear" w:color="auto" w:fill="auto"/>
          </w:tcPr>
          <w:p w14:paraId="4EDEF5A0" w14:textId="77777777" w:rsidR="004118C7" w:rsidRPr="00BB599E" w:rsidRDefault="004118C7" w:rsidP="008E2CD9">
            <w:pPr>
              <w:pStyle w:val="tv2132"/>
              <w:spacing w:line="240" w:lineRule="auto"/>
              <w:ind w:firstLine="0"/>
              <w:rPr>
                <w:sz w:val="24"/>
                <w:szCs w:val="24"/>
                <w:lang w:val="lv-LV"/>
              </w:rPr>
            </w:pPr>
          </w:p>
        </w:tc>
      </w:tr>
      <w:tr w:rsidR="00582920" w:rsidRPr="00BB599E" w14:paraId="633F4F46" w14:textId="77777777" w:rsidTr="0093084E">
        <w:trPr>
          <w:trHeight w:val="274"/>
        </w:trPr>
        <w:tc>
          <w:tcPr>
            <w:tcW w:w="703" w:type="dxa"/>
            <w:shd w:val="clear" w:color="auto" w:fill="FFFFFF" w:themeFill="background1"/>
          </w:tcPr>
          <w:p w14:paraId="55F51098" w14:textId="12615B27" w:rsidR="00582920" w:rsidRPr="00BB599E" w:rsidRDefault="00582920" w:rsidP="008E2CD9">
            <w:pPr>
              <w:numPr>
                <w:ilvl w:val="0"/>
                <w:numId w:val="31"/>
              </w:numPr>
              <w:tabs>
                <w:tab w:val="center" w:pos="284"/>
              </w:tabs>
              <w:ind w:left="0" w:firstLine="0"/>
            </w:pPr>
          </w:p>
        </w:tc>
        <w:tc>
          <w:tcPr>
            <w:tcW w:w="2978" w:type="dxa"/>
            <w:vMerge w:val="restart"/>
            <w:shd w:val="clear" w:color="auto" w:fill="auto"/>
          </w:tcPr>
          <w:p w14:paraId="3A6404F4" w14:textId="77777777" w:rsidR="00582920" w:rsidRPr="00BB599E" w:rsidRDefault="00582920" w:rsidP="008E2CD9">
            <w:pPr>
              <w:tabs>
                <w:tab w:val="left" w:pos="1276"/>
              </w:tabs>
              <w:jc w:val="both"/>
            </w:pPr>
            <w:r w:rsidRPr="00BB599E">
              <w:t>22.2. projekts, kas ietver:</w:t>
            </w:r>
          </w:p>
          <w:p w14:paraId="7B05407A" w14:textId="77777777" w:rsidR="00582920" w:rsidRPr="00BB599E" w:rsidRDefault="00582920" w:rsidP="008E2CD9">
            <w:pPr>
              <w:tabs>
                <w:tab w:val="left" w:pos="1276"/>
              </w:tabs>
              <w:jc w:val="both"/>
            </w:pPr>
            <w:r w:rsidRPr="00BB599E">
              <w:t xml:space="preserve">22.2.1. </w:t>
            </w:r>
            <w:proofErr w:type="spellStart"/>
            <w:r w:rsidRPr="00BB599E">
              <w:t>līgumpētījumu</w:t>
            </w:r>
            <w:proofErr w:type="spellEnd"/>
            <w:r w:rsidRPr="00BB599E">
              <w:t xml:space="preserve">, ko komersanta uzdevumā īsteno zinātniskā institūcija. </w:t>
            </w:r>
            <w:proofErr w:type="spellStart"/>
            <w:r w:rsidRPr="00BB599E">
              <w:t>Līgumpētījuma</w:t>
            </w:r>
            <w:proofErr w:type="spellEnd"/>
            <w:r w:rsidRPr="00BB599E">
              <w:t xml:space="preserve"> izmaksas veido vismaz 80 procentus no projekta </w:t>
            </w:r>
            <w:r w:rsidRPr="00BB599E">
              <w:lastRenderedPageBreak/>
              <w:t>kopējām attiecināmajām izmaksām;</w:t>
            </w:r>
          </w:p>
          <w:p w14:paraId="4FC1631E" w14:textId="77777777" w:rsidR="00582920" w:rsidRPr="00BB599E" w:rsidRDefault="00582920" w:rsidP="008E2CD9">
            <w:pPr>
              <w:tabs>
                <w:tab w:val="left" w:pos="1276"/>
              </w:tabs>
              <w:jc w:val="both"/>
            </w:pPr>
            <w:r w:rsidRPr="00BB599E">
              <w:t xml:space="preserve">22.2.2. </w:t>
            </w:r>
            <w:proofErr w:type="spellStart"/>
            <w:r w:rsidRPr="00BB599E">
              <w:t>līgumpētījuma</w:t>
            </w:r>
            <w:proofErr w:type="spellEnd"/>
            <w:r w:rsidRPr="00BB599E">
              <w:t xml:space="preserve"> pasūtītāja individuāli īstenotu pētniecību, ja:</w:t>
            </w:r>
          </w:p>
          <w:p w14:paraId="4781DFAA" w14:textId="77777777" w:rsidR="00582920" w:rsidRPr="00BB599E" w:rsidRDefault="00582920" w:rsidP="008E2CD9">
            <w:pPr>
              <w:tabs>
                <w:tab w:val="left" w:pos="1276"/>
              </w:tabs>
              <w:jc w:val="both"/>
            </w:pPr>
            <w:r w:rsidRPr="00BB599E">
              <w:t xml:space="preserve">22.2.2.1. projekta ietvaros īsteno šo noteikumu 22.2.1. apakšpunktā minēto </w:t>
            </w:r>
            <w:proofErr w:type="spellStart"/>
            <w:r w:rsidRPr="00BB599E">
              <w:t>līgumpētījumu</w:t>
            </w:r>
            <w:proofErr w:type="spellEnd"/>
            <w:r w:rsidRPr="00BB599E">
              <w:t>;</w:t>
            </w:r>
          </w:p>
          <w:p w14:paraId="5C6E6342" w14:textId="77777777" w:rsidR="00582920" w:rsidRPr="00BB599E" w:rsidRDefault="00582920" w:rsidP="008E2CD9">
            <w:pPr>
              <w:tabs>
                <w:tab w:val="left" w:pos="1276"/>
              </w:tabs>
              <w:jc w:val="both"/>
            </w:pPr>
          </w:p>
          <w:p w14:paraId="11E2C767" w14:textId="77777777" w:rsidR="00582920" w:rsidRPr="00BB599E" w:rsidRDefault="00582920" w:rsidP="008E2CD9">
            <w:pPr>
              <w:tabs>
                <w:tab w:val="left" w:pos="1276"/>
              </w:tabs>
              <w:jc w:val="both"/>
            </w:pPr>
            <w:r w:rsidRPr="00BB599E">
              <w:t>22.2.2.2. pētniecības izmaksas nepārsniedz 20 procentus no šo noteikumu 22.2. apakšpunktā minētā projekta kopējām attiecināmajām izmaksām;</w:t>
            </w:r>
          </w:p>
          <w:p w14:paraId="358A6931" w14:textId="117866DC" w:rsidR="00582920" w:rsidRPr="00BB599E" w:rsidRDefault="00582920" w:rsidP="008E2CD9">
            <w:pPr>
              <w:tabs>
                <w:tab w:val="left" w:pos="1276"/>
              </w:tabs>
              <w:jc w:val="both"/>
            </w:pPr>
            <w:r w:rsidRPr="00BB599E">
              <w:t xml:space="preserve">22.2.2.3. pētniecība nav daļa no šo noteikumu 22.2.1. apakšpunktā minētā </w:t>
            </w:r>
            <w:proofErr w:type="spellStart"/>
            <w:r w:rsidRPr="00BB599E">
              <w:t>līgumpētījuma</w:t>
            </w:r>
            <w:proofErr w:type="spellEnd"/>
            <w:r w:rsidRPr="00BB599E">
              <w:t>;</w:t>
            </w:r>
          </w:p>
        </w:tc>
        <w:tc>
          <w:tcPr>
            <w:tcW w:w="3830" w:type="dxa"/>
            <w:shd w:val="clear" w:color="auto" w:fill="auto"/>
          </w:tcPr>
          <w:p w14:paraId="2BBBBE1D" w14:textId="2CBD7AD2" w:rsidR="00582920" w:rsidRPr="00BB599E" w:rsidRDefault="00582920" w:rsidP="008E2CD9">
            <w:pPr>
              <w:contextualSpacing/>
              <w:jc w:val="both"/>
            </w:pPr>
            <w:r w:rsidRPr="00BB599E">
              <w:rPr>
                <w:b/>
              </w:rPr>
              <w:lastRenderedPageBreak/>
              <w:t>FM:</w:t>
            </w:r>
            <w:r w:rsidRPr="00BB599E">
              <w:t xml:space="preserve"> Lūdzam papildināt MK noteikumu projektu ar regulējumu, kas paredz svītrot spēkā esošo MK noteikumu 22.2.1.apakšpunktā vārdus un skaitli “</w:t>
            </w:r>
            <w:proofErr w:type="spellStart"/>
            <w:r w:rsidRPr="00BB599E">
              <w:t>Līgumpētījuma</w:t>
            </w:r>
            <w:proofErr w:type="spellEnd"/>
            <w:r w:rsidRPr="00BB599E">
              <w:t xml:space="preserve"> izmaksas veido vismaz 80 </w:t>
            </w:r>
            <w:r w:rsidRPr="00BB599E">
              <w:lastRenderedPageBreak/>
              <w:t xml:space="preserve">procentus no projekta kopējām attiecināmām izmaksām;”. Aicinām izvērtēt </w:t>
            </w:r>
            <w:proofErr w:type="spellStart"/>
            <w:r w:rsidRPr="00BB599E">
              <w:t>līgumpētījuma</w:t>
            </w:r>
            <w:proofErr w:type="spellEnd"/>
            <w:r w:rsidRPr="00BB599E">
              <w:t xml:space="preserve"> kā atsevišķa ar saimniecisku darbību saistīta projekta īstenošanas veida izdalīšanu MK noteikumos. Jāņem vērā, ka ar saimniecisku darbību saistīta projekta gadījumā nav noteikts ierobežojums ārpakalpojuma izmaksām, līdz ar to </w:t>
            </w:r>
            <w:proofErr w:type="spellStart"/>
            <w:r w:rsidRPr="00BB599E">
              <w:t>līgumpētījuma</w:t>
            </w:r>
            <w:proofErr w:type="spellEnd"/>
            <w:r w:rsidRPr="00BB599E">
              <w:t xml:space="preserve"> atsevišķa izdale kā vienam no ārpakalpojuma veidiem šobrīd nav pamatota. </w:t>
            </w:r>
          </w:p>
          <w:p w14:paraId="19F24BB4" w14:textId="1903CF27" w:rsidR="00582920" w:rsidRPr="00BB599E" w:rsidRDefault="00582920" w:rsidP="008E2CD9">
            <w:pPr>
              <w:contextualSpacing/>
              <w:jc w:val="both"/>
            </w:pPr>
          </w:p>
        </w:tc>
        <w:tc>
          <w:tcPr>
            <w:tcW w:w="3967" w:type="dxa"/>
            <w:vMerge w:val="restart"/>
            <w:shd w:val="clear" w:color="auto" w:fill="auto"/>
          </w:tcPr>
          <w:p w14:paraId="4549A64E" w14:textId="08415273" w:rsidR="00582920" w:rsidRPr="00BB599E" w:rsidRDefault="00582920" w:rsidP="008E2CD9">
            <w:pPr>
              <w:jc w:val="both"/>
              <w:rPr>
                <w:b/>
              </w:rPr>
            </w:pPr>
            <w:r w:rsidRPr="00BB599E">
              <w:rPr>
                <w:b/>
              </w:rPr>
              <w:lastRenderedPageBreak/>
              <w:t>Ņemts vērā.</w:t>
            </w:r>
          </w:p>
          <w:p w14:paraId="4022295A" w14:textId="77777777" w:rsidR="00582920" w:rsidRPr="00BB599E" w:rsidRDefault="00582920" w:rsidP="008E2CD9">
            <w:pPr>
              <w:jc w:val="both"/>
            </w:pPr>
            <w:r w:rsidRPr="00BB599E">
              <w:t xml:space="preserve">Informējam, ka  </w:t>
            </w:r>
            <w:proofErr w:type="spellStart"/>
            <w:r w:rsidRPr="00BB599E">
              <w:t>līgumpētījuma</w:t>
            </w:r>
            <w:proofErr w:type="spellEnd"/>
            <w:r w:rsidRPr="00BB599E">
              <w:t xml:space="preserve"> kā atsevišķa ar saimniecisku darbību saistīta projekta īstenošanas veida izdalīšana MK noteikumos nepieciešama, lai:</w:t>
            </w:r>
          </w:p>
          <w:p w14:paraId="2A478DED" w14:textId="77777777" w:rsidR="00582920" w:rsidRPr="00BB599E" w:rsidRDefault="00582920" w:rsidP="008E2CD9">
            <w:pPr>
              <w:jc w:val="both"/>
            </w:pPr>
            <w:r w:rsidRPr="00BB599E">
              <w:t xml:space="preserve">1) konkursa kārtībā sniegtu atbalstu tiem komersantiem, kuru darbība vērsta uz inovāciju ieviešanu, bet kuriem nav pietiekamas zinātniskās </w:t>
            </w:r>
            <w:r w:rsidRPr="00BB599E">
              <w:lastRenderedPageBreak/>
              <w:t xml:space="preserve">kapacitātes (tai skaitā cilvēkresursi vai pētniecības infrastruktūra), lai paši īstenotu pētniecību un saņemtu konkurētspējīgu novērtējumu 3.3. kvalitātes kritērijā „Projekta īstenošanas kvalitāte un efektivitāte”. Konkrētajā gadījumā projekta iesnieguma atbilstību 3.3. kritērijam vērtē, ņemot vērā </w:t>
            </w:r>
            <w:proofErr w:type="spellStart"/>
            <w:r w:rsidRPr="00BB599E">
              <w:t>līgumpētījuma</w:t>
            </w:r>
            <w:proofErr w:type="spellEnd"/>
            <w:r w:rsidRPr="00BB599E">
              <w:t xml:space="preserve"> izpildītāja – zinātniskās institūcijas zinātnisko kapacitāti;</w:t>
            </w:r>
            <w:r w:rsidRPr="00BB599E">
              <w:br/>
              <w:t xml:space="preserve">2) rastu papildu risinājumu komersantu piesaistei pētniecības īstenošanai, tādējādi sekmējot šādu iznākuma rādītāju izpildi: </w:t>
            </w:r>
          </w:p>
          <w:p w14:paraId="772469E5" w14:textId="77777777" w:rsidR="00582920" w:rsidRPr="00BB599E" w:rsidRDefault="00582920" w:rsidP="008E2CD9">
            <w:pPr>
              <w:jc w:val="both"/>
            </w:pPr>
            <w:r w:rsidRPr="00BB599E">
              <w:t>-jaunu produktu un tehnoloģiju skaits, kas ir komercializējamas un kuru izstrādei sniegts atbalsts projektu iesniegumu ietvaros;</w:t>
            </w:r>
          </w:p>
          <w:p w14:paraId="30D37EF7" w14:textId="77777777" w:rsidR="00582920" w:rsidRPr="00BB599E" w:rsidRDefault="00582920" w:rsidP="008E2CD9">
            <w:pPr>
              <w:jc w:val="both"/>
            </w:pPr>
            <w:r w:rsidRPr="00BB599E">
              <w:t xml:space="preserve"> -privātās investīcijas, kas papildina valsts atbalstu inovācijām vai pētniecības un izstrādes projektiem;</w:t>
            </w:r>
          </w:p>
          <w:p w14:paraId="3360404C" w14:textId="77777777" w:rsidR="00582920" w:rsidRPr="00BB599E" w:rsidRDefault="00582920" w:rsidP="008E2CD9">
            <w:pPr>
              <w:jc w:val="both"/>
            </w:pPr>
            <w:r w:rsidRPr="00BB599E">
              <w:t xml:space="preserve">- komersantu skaits, kuri sadarbojas ar pētniecības institūcijām. </w:t>
            </w:r>
          </w:p>
          <w:p w14:paraId="7F4EF621" w14:textId="64A3C9CE" w:rsidR="00582920" w:rsidRPr="00BB599E" w:rsidRDefault="00582920" w:rsidP="008E2CD9">
            <w:pPr>
              <w:jc w:val="both"/>
            </w:pPr>
            <w:r w:rsidRPr="00BB599E">
              <w:t xml:space="preserve">MK noteikumu 22.2. apakšpunkts precizēts ar mērķi </w:t>
            </w:r>
            <w:r w:rsidR="0078415B" w:rsidRPr="00BB599E">
              <w:t>viennozīmīgi skaidri noteikt, ka</w:t>
            </w:r>
            <w:r w:rsidRPr="00BB599E">
              <w:t xml:space="preserve"> </w:t>
            </w:r>
            <w:proofErr w:type="spellStart"/>
            <w:r w:rsidRPr="00BB599E">
              <w:t>līgumpētījumus</w:t>
            </w:r>
            <w:proofErr w:type="spellEnd"/>
            <w:r w:rsidRPr="00BB599E">
              <w:t xml:space="preserve"> </w:t>
            </w:r>
            <w:r w:rsidR="0078415B" w:rsidRPr="00BB599E">
              <w:t xml:space="preserve">var </w:t>
            </w:r>
            <w:r w:rsidRPr="00BB599E">
              <w:t xml:space="preserve">īstenot ne tikai individuāli </w:t>
            </w:r>
            <w:r w:rsidR="0078415B" w:rsidRPr="00BB599E">
              <w:t xml:space="preserve">īstenota </w:t>
            </w:r>
            <w:r w:rsidRPr="00BB599E">
              <w:t>projekt</w:t>
            </w:r>
            <w:r w:rsidR="0078415B" w:rsidRPr="00BB599E">
              <w:t>a ietvaros</w:t>
            </w:r>
            <w:r w:rsidRPr="00BB599E">
              <w:t>, bet arī sadarbības projekt</w:t>
            </w:r>
            <w:r w:rsidR="0078415B" w:rsidRPr="00BB599E">
              <w:t>a</w:t>
            </w:r>
            <w:r w:rsidRPr="00BB599E">
              <w:t xml:space="preserve"> ietvaros. </w:t>
            </w:r>
          </w:p>
        </w:tc>
        <w:tc>
          <w:tcPr>
            <w:tcW w:w="3388" w:type="dxa"/>
            <w:gridSpan w:val="3"/>
            <w:vMerge w:val="restart"/>
            <w:shd w:val="clear" w:color="auto" w:fill="auto"/>
          </w:tcPr>
          <w:p w14:paraId="74F55038" w14:textId="77777777" w:rsidR="00582920" w:rsidRPr="00BB599E" w:rsidRDefault="00582920" w:rsidP="008E2CD9">
            <w:pPr>
              <w:pStyle w:val="tv2132"/>
              <w:spacing w:line="240" w:lineRule="auto"/>
              <w:ind w:firstLine="0"/>
              <w:rPr>
                <w:sz w:val="24"/>
                <w:szCs w:val="24"/>
                <w:lang w:val="lv-LV"/>
              </w:rPr>
            </w:pPr>
            <w:r w:rsidRPr="00BB599E">
              <w:rPr>
                <w:sz w:val="24"/>
                <w:szCs w:val="24"/>
                <w:lang w:val="lv-LV"/>
              </w:rPr>
              <w:lastRenderedPageBreak/>
              <w:t>Papildināt noteikumus ar 2.19.</w:t>
            </w:r>
            <w:r w:rsidRPr="00BB599E">
              <w:rPr>
                <w:sz w:val="24"/>
                <w:szCs w:val="24"/>
                <w:vertAlign w:val="superscript"/>
                <w:lang w:val="lv-LV"/>
              </w:rPr>
              <w:t>1</w:t>
            </w:r>
            <w:r w:rsidRPr="00BB599E">
              <w:rPr>
                <w:sz w:val="24"/>
                <w:szCs w:val="24"/>
                <w:lang w:val="lv-LV"/>
              </w:rPr>
              <w:t xml:space="preserve"> apakšpunktu šādā redakcijā: </w:t>
            </w:r>
          </w:p>
          <w:p w14:paraId="02135D79" w14:textId="77777777" w:rsidR="00582920" w:rsidRPr="00BB599E" w:rsidRDefault="00582920" w:rsidP="008E2CD9">
            <w:pPr>
              <w:pStyle w:val="tv2132"/>
              <w:spacing w:line="240" w:lineRule="auto"/>
              <w:ind w:firstLine="709"/>
              <w:rPr>
                <w:sz w:val="24"/>
                <w:szCs w:val="24"/>
                <w:lang w:val="lv-LV"/>
              </w:rPr>
            </w:pPr>
          </w:p>
          <w:p w14:paraId="3BF59870" w14:textId="77777777" w:rsidR="00582920" w:rsidRPr="00BB599E" w:rsidRDefault="00582920" w:rsidP="008E2CD9">
            <w:pPr>
              <w:jc w:val="both"/>
            </w:pPr>
            <w:r w:rsidRPr="00BB599E">
              <w:t>"2.19.</w:t>
            </w:r>
            <w:r w:rsidRPr="00BB599E">
              <w:rPr>
                <w:vertAlign w:val="superscript"/>
              </w:rPr>
              <w:t>1</w:t>
            </w:r>
            <w:r w:rsidRPr="00BB599E">
              <w:t xml:space="preserve"> projekta daļa – finansējuma saņēmēja vai sadarbības partnera projekta </w:t>
            </w:r>
            <w:r w:rsidRPr="00BB599E">
              <w:lastRenderedPageBreak/>
              <w:t>ietvaros īstenots apakšprojekts, kuram piemēro šo noteikumu nosacījumus;"</w:t>
            </w:r>
          </w:p>
          <w:p w14:paraId="57E5E458" w14:textId="77777777" w:rsidR="00582920" w:rsidRPr="00BB599E" w:rsidRDefault="00582920" w:rsidP="008E2CD9">
            <w:pPr>
              <w:jc w:val="both"/>
            </w:pPr>
          </w:p>
          <w:p w14:paraId="2975E4C7" w14:textId="77777777" w:rsidR="00582920" w:rsidRPr="00BB599E" w:rsidRDefault="00582920" w:rsidP="008E2CD9">
            <w:pPr>
              <w:pStyle w:val="tv2132"/>
              <w:spacing w:line="240" w:lineRule="auto"/>
              <w:ind w:firstLine="0"/>
              <w:rPr>
                <w:sz w:val="24"/>
                <w:szCs w:val="24"/>
                <w:lang w:val="lv-LV"/>
              </w:rPr>
            </w:pPr>
            <w:r w:rsidRPr="00BB599E">
              <w:rPr>
                <w:sz w:val="24"/>
                <w:szCs w:val="24"/>
                <w:lang w:val="lv-LV"/>
              </w:rPr>
              <w:t>Izteikt 22.2. apakšpunktu šādā redakcijā:</w:t>
            </w:r>
          </w:p>
          <w:p w14:paraId="2AD673D8" w14:textId="77777777" w:rsidR="00582920" w:rsidRPr="00BB599E" w:rsidRDefault="00582920" w:rsidP="008E2CD9">
            <w:pPr>
              <w:pStyle w:val="tv2132"/>
              <w:spacing w:line="240" w:lineRule="auto"/>
              <w:ind w:firstLine="709"/>
              <w:rPr>
                <w:sz w:val="24"/>
                <w:szCs w:val="24"/>
                <w:lang w:val="lv-LV"/>
              </w:rPr>
            </w:pPr>
          </w:p>
          <w:p w14:paraId="0026FF3D" w14:textId="77777777" w:rsidR="00582920" w:rsidRPr="00BB599E" w:rsidRDefault="00582920" w:rsidP="008E2CD9">
            <w:pPr>
              <w:pStyle w:val="tv2132"/>
              <w:spacing w:line="240" w:lineRule="auto"/>
              <w:ind w:firstLine="0"/>
              <w:rPr>
                <w:sz w:val="24"/>
                <w:szCs w:val="24"/>
                <w:lang w:val="lv-LV" w:eastAsia="lv-LV"/>
              </w:rPr>
            </w:pPr>
            <w:r w:rsidRPr="00BB599E">
              <w:rPr>
                <w:sz w:val="24"/>
                <w:szCs w:val="24"/>
                <w:lang w:val="lv-LV" w:eastAsia="lv-LV"/>
              </w:rPr>
              <w:t xml:space="preserve">"22.2. komersanta – </w:t>
            </w:r>
            <w:proofErr w:type="spellStart"/>
            <w:r w:rsidRPr="00BB599E">
              <w:rPr>
                <w:sz w:val="24"/>
                <w:szCs w:val="24"/>
                <w:lang w:val="lv-LV" w:eastAsia="lv-LV"/>
              </w:rPr>
              <w:t>līgumpētījuma</w:t>
            </w:r>
            <w:proofErr w:type="spellEnd"/>
            <w:r w:rsidRPr="00BB599E">
              <w:rPr>
                <w:sz w:val="24"/>
                <w:szCs w:val="24"/>
                <w:lang w:val="lv-LV" w:eastAsia="lv-LV"/>
              </w:rPr>
              <w:t xml:space="preserve"> pasūtītāja – interesēs īstenots projekts vai projekta daļa, kuras ietvaros </w:t>
            </w:r>
            <w:proofErr w:type="spellStart"/>
            <w:r w:rsidRPr="00BB599E">
              <w:rPr>
                <w:sz w:val="24"/>
                <w:szCs w:val="24"/>
                <w:lang w:val="lv-LV" w:eastAsia="lv-LV"/>
              </w:rPr>
              <w:t>līgumpētījuma</w:t>
            </w:r>
            <w:proofErr w:type="spellEnd"/>
            <w:r w:rsidRPr="00BB599E">
              <w:rPr>
                <w:sz w:val="24"/>
                <w:szCs w:val="24"/>
                <w:lang w:val="lv-LV" w:eastAsia="lv-LV"/>
              </w:rPr>
              <w:t xml:space="preserve"> pasūtītājs gūst intelektuālā īpašuma tiesības un ekonomiskās priekšrocības, kas izriet no šādām projekta vai projekta daļas ietvaros veiktām darbībām:</w:t>
            </w:r>
          </w:p>
          <w:p w14:paraId="731A6B7F" w14:textId="77777777" w:rsidR="00582920" w:rsidRPr="00BB599E" w:rsidRDefault="00582920" w:rsidP="008E2CD9">
            <w:pPr>
              <w:pStyle w:val="tv2132"/>
              <w:spacing w:line="240" w:lineRule="auto"/>
              <w:ind w:firstLine="0"/>
              <w:rPr>
                <w:sz w:val="24"/>
                <w:szCs w:val="24"/>
                <w:lang w:val="lv-LV" w:eastAsia="lv-LV"/>
              </w:rPr>
            </w:pPr>
            <w:r w:rsidRPr="00BB599E">
              <w:rPr>
                <w:sz w:val="24"/>
                <w:szCs w:val="24"/>
                <w:lang w:val="lv-LV" w:eastAsia="lv-LV"/>
              </w:rPr>
              <w:t xml:space="preserve">22.2.1. no </w:t>
            </w:r>
            <w:proofErr w:type="spellStart"/>
            <w:r w:rsidRPr="00BB599E">
              <w:rPr>
                <w:sz w:val="24"/>
                <w:szCs w:val="24"/>
                <w:lang w:val="lv-LV" w:eastAsia="lv-LV"/>
              </w:rPr>
              <w:t>līgumpētījuma</w:t>
            </w:r>
            <w:proofErr w:type="spellEnd"/>
            <w:r w:rsidRPr="00BB599E">
              <w:rPr>
                <w:sz w:val="24"/>
                <w:szCs w:val="24"/>
                <w:lang w:val="lv-LV" w:eastAsia="lv-LV"/>
              </w:rPr>
              <w:t>, ko īsteno zinātniskā institūcija, kas noteikta atbilstoši šo noteikumu 2.15. apakšpunktam;</w:t>
            </w:r>
          </w:p>
          <w:p w14:paraId="1345439B" w14:textId="579AEB03" w:rsidR="00582920" w:rsidRPr="00BB599E" w:rsidRDefault="00582920" w:rsidP="008E2CD9">
            <w:pPr>
              <w:jc w:val="both"/>
            </w:pPr>
            <w:r w:rsidRPr="00BB599E">
              <w:t xml:space="preserve">22.2.2. no pētniecības, ko projekta vai projekta daļas ietvaros īsteno </w:t>
            </w:r>
            <w:proofErr w:type="spellStart"/>
            <w:r w:rsidRPr="00BB599E">
              <w:t>līgumpētījuma</w:t>
            </w:r>
            <w:proofErr w:type="spellEnd"/>
            <w:r w:rsidRPr="00BB599E">
              <w:t xml:space="preserve"> pasūtītājs</w:t>
            </w:r>
          </w:p>
        </w:tc>
      </w:tr>
      <w:tr w:rsidR="00582920" w:rsidRPr="00BB599E" w14:paraId="1687F5D1" w14:textId="77777777" w:rsidTr="0093084E">
        <w:trPr>
          <w:trHeight w:val="274"/>
        </w:trPr>
        <w:tc>
          <w:tcPr>
            <w:tcW w:w="703" w:type="dxa"/>
            <w:shd w:val="clear" w:color="auto" w:fill="FFFFFF" w:themeFill="background1"/>
          </w:tcPr>
          <w:p w14:paraId="24FBCDD8" w14:textId="77777777" w:rsidR="00582920" w:rsidRPr="00BB599E" w:rsidRDefault="00582920" w:rsidP="008E2CD9">
            <w:pPr>
              <w:numPr>
                <w:ilvl w:val="0"/>
                <w:numId w:val="31"/>
              </w:numPr>
              <w:tabs>
                <w:tab w:val="center" w:pos="284"/>
              </w:tabs>
              <w:ind w:left="0" w:firstLine="0"/>
            </w:pPr>
          </w:p>
        </w:tc>
        <w:tc>
          <w:tcPr>
            <w:tcW w:w="2978" w:type="dxa"/>
            <w:vMerge/>
            <w:shd w:val="clear" w:color="auto" w:fill="auto"/>
          </w:tcPr>
          <w:p w14:paraId="6B14B008" w14:textId="77777777" w:rsidR="00582920" w:rsidRPr="00BB599E" w:rsidRDefault="00582920" w:rsidP="008E2CD9">
            <w:pPr>
              <w:jc w:val="both"/>
            </w:pPr>
          </w:p>
        </w:tc>
        <w:tc>
          <w:tcPr>
            <w:tcW w:w="3830" w:type="dxa"/>
            <w:shd w:val="clear" w:color="auto" w:fill="auto"/>
          </w:tcPr>
          <w:p w14:paraId="35063AAE" w14:textId="77777777" w:rsidR="00582920" w:rsidRPr="00BB599E" w:rsidRDefault="00582920" w:rsidP="008E2CD9">
            <w:pPr>
              <w:contextualSpacing/>
              <w:jc w:val="both"/>
              <w:rPr>
                <w:b/>
              </w:rPr>
            </w:pPr>
            <w:r w:rsidRPr="00BB599E">
              <w:rPr>
                <w:b/>
              </w:rPr>
              <w:t xml:space="preserve">FM </w:t>
            </w:r>
            <w:r w:rsidRPr="00BB599E">
              <w:t>(23.04.19. iebildums)</w:t>
            </w:r>
          </w:p>
          <w:p w14:paraId="13B21793" w14:textId="3E060434" w:rsidR="00582920" w:rsidRPr="00BB599E" w:rsidRDefault="00582920" w:rsidP="008E2CD9">
            <w:pPr>
              <w:contextualSpacing/>
              <w:jc w:val="both"/>
            </w:pPr>
            <w:r w:rsidRPr="00BB599E">
              <w:t>5.</w:t>
            </w:r>
            <w:r w:rsidRPr="00BB599E">
              <w:tab/>
              <w:t xml:space="preserve">Uzturam FM š.g. 26.marta atzinumā izteikto iebildumu, kas ietverts izziņas 5.punktā, jo sniegtais skaidrojums nepamato nepieciešamību noteikt konkrēta procentuālā apmēra ierobežojuma noteikšanu </w:t>
            </w:r>
            <w:proofErr w:type="spellStart"/>
            <w:r w:rsidRPr="00BB599E">
              <w:t>līgumpētījumu</w:t>
            </w:r>
            <w:proofErr w:type="spellEnd"/>
            <w:r w:rsidRPr="00BB599E">
              <w:t xml:space="preserve"> īstenošanai. Papildus lūdzam definēt vai svītrot MK noteikumu projekta 11.punktā ietvertajā 22.2.apakšpunktā lietoto terminu “projekta daļa”, ņemot vērā, ka minētā termina definīcija netiek iekļauta MK noteikumu projektā un tā </w:t>
            </w:r>
            <w:r w:rsidRPr="00BB599E">
              <w:lastRenderedPageBreak/>
              <w:t>interpretācija nav viennozīmīga.</w:t>
            </w:r>
          </w:p>
        </w:tc>
        <w:tc>
          <w:tcPr>
            <w:tcW w:w="3967" w:type="dxa"/>
            <w:vMerge/>
            <w:shd w:val="clear" w:color="auto" w:fill="auto"/>
          </w:tcPr>
          <w:p w14:paraId="323F0ED6" w14:textId="4D04ADA4" w:rsidR="00582920" w:rsidRPr="00BB599E" w:rsidRDefault="00582920" w:rsidP="008E2CD9">
            <w:pPr>
              <w:jc w:val="both"/>
              <w:rPr>
                <w:b/>
              </w:rPr>
            </w:pPr>
          </w:p>
        </w:tc>
        <w:tc>
          <w:tcPr>
            <w:tcW w:w="3388" w:type="dxa"/>
            <w:gridSpan w:val="3"/>
            <w:vMerge/>
            <w:shd w:val="clear" w:color="auto" w:fill="auto"/>
          </w:tcPr>
          <w:p w14:paraId="3828F691" w14:textId="6FDFBA27" w:rsidR="00582920" w:rsidRPr="00BB599E" w:rsidRDefault="00582920" w:rsidP="008E2CD9">
            <w:pPr>
              <w:jc w:val="both"/>
            </w:pPr>
          </w:p>
        </w:tc>
      </w:tr>
      <w:tr w:rsidR="0041691B" w:rsidRPr="00BB599E" w14:paraId="5DCA7C1A" w14:textId="77777777" w:rsidTr="0093084E">
        <w:trPr>
          <w:trHeight w:val="274"/>
        </w:trPr>
        <w:tc>
          <w:tcPr>
            <w:tcW w:w="703" w:type="dxa"/>
            <w:shd w:val="clear" w:color="auto" w:fill="FFFFFF" w:themeFill="background1"/>
          </w:tcPr>
          <w:p w14:paraId="2E436175" w14:textId="3CBA9376" w:rsidR="0041691B" w:rsidRPr="00BB599E" w:rsidRDefault="0041691B" w:rsidP="008E2CD9">
            <w:pPr>
              <w:numPr>
                <w:ilvl w:val="0"/>
                <w:numId w:val="31"/>
              </w:numPr>
              <w:tabs>
                <w:tab w:val="center" w:pos="284"/>
              </w:tabs>
              <w:ind w:left="0" w:firstLine="0"/>
            </w:pPr>
          </w:p>
        </w:tc>
        <w:tc>
          <w:tcPr>
            <w:tcW w:w="2978" w:type="dxa"/>
            <w:shd w:val="clear" w:color="auto" w:fill="auto"/>
          </w:tcPr>
          <w:p w14:paraId="62FF1AE3" w14:textId="13E6ED7F" w:rsidR="0041691B" w:rsidRPr="00BB599E" w:rsidRDefault="0041691B" w:rsidP="008E2CD9">
            <w:pPr>
              <w:jc w:val="both"/>
            </w:pPr>
            <w:r w:rsidRPr="00BB599E">
              <w:t>22.3. vismaz divu neatkarīgu pušu sadarbības projekts, lai sasniegtu kopīgu mērķi.</w:t>
            </w:r>
          </w:p>
        </w:tc>
        <w:tc>
          <w:tcPr>
            <w:tcW w:w="3830" w:type="dxa"/>
            <w:shd w:val="clear" w:color="auto" w:fill="auto"/>
          </w:tcPr>
          <w:p w14:paraId="6A875B5B" w14:textId="7D15410C" w:rsidR="0041691B" w:rsidRPr="00BB599E" w:rsidRDefault="000E541F" w:rsidP="008E2CD9">
            <w:pPr>
              <w:contextualSpacing/>
              <w:jc w:val="both"/>
            </w:pPr>
            <w:r w:rsidRPr="000E541F">
              <w:rPr>
                <w:b/>
              </w:rPr>
              <w:t>FM:</w:t>
            </w:r>
            <w:r>
              <w:t xml:space="preserve"> </w:t>
            </w:r>
            <w:r w:rsidR="0041691B" w:rsidRPr="00BB599E">
              <w:t>Lūdzam papildināt MK noteikumu projektu ar regulējumu, kas paredz svītrot spēkā esošo MK noteikumu 22.3.apakšpunktā vārdu “neatkarīgu”, nodrošinot, ka arī saistīti uzņēmumi var īstenot sadarbības projektu. Attiecīgi lūdzam papildināt MK noteikumu projektu ar terminu “saistīti uzņēmumi”, ietverot atsauci uz regulas Nr.651/2014</w:t>
            </w:r>
            <w:r w:rsidR="0041691B" w:rsidRPr="00BB599E" w:rsidDel="00497CA1">
              <w:t xml:space="preserve"> </w:t>
            </w:r>
            <w:r w:rsidR="0041691B" w:rsidRPr="00BB599E">
              <w:t>I pielikuma 3.panta 3.punktu.</w:t>
            </w:r>
          </w:p>
        </w:tc>
        <w:tc>
          <w:tcPr>
            <w:tcW w:w="3967" w:type="dxa"/>
            <w:shd w:val="clear" w:color="auto" w:fill="auto"/>
          </w:tcPr>
          <w:p w14:paraId="36BCB4D4" w14:textId="684D7210" w:rsidR="00543F44" w:rsidRPr="001C47FD" w:rsidRDefault="00543F44" w:rsidP="008E2CD9">
            <w:pPr>
              <w:jc w:val="both"/>
              <w:rPr>
                <w:b/>
                <w:i/>
              </w:rPr>
            </w:pPr>
            <w:r w:rsidRPr="001C47FD">
              <w:rPr>
                <w:b/>
                <w:i/>
              </w:rPr>
              <w:t>Panākta vienošanās starpinstitūciju elektroniskās saskaņošanas laikā.</w:t>
            </w:r>
          </w:p>
          <w:p w14:paraId="7B889787" w14:textId="77777777" w:rsidR="0041691B" w:rsidRPr="00BB599E" w:rsidRDefault="0041691B" w:rsidP="008E2CD9">
            <w:pPr>
              <w:jc w:val="both"/>
            </w:pPr>
            <w:r w:rsidRPr="00BB599E">
              <w:t>22.3.apakšpunktā svītrots vārds “neatkarīgu”.</w:t>
            </w:r>
          </w:p>
          <w:p w14:paraId="5E7A10E0" w14:textId="18B25E2B" w:rsidR="0041691B" w:rsidRPr="00BB599E" w:rsidRDefault="0041691B" w:rsidP="008E2CD9">
            <w:pPr>
              <w:jc w:val="both"/>
            </w:pPr>
            <w:r w:rsidRPr="00BB599E">
              <w:t xml:space="preserve">Ņemot vērā, ka MK noteikumi nenosaka īpašus nosacījumus saistītajiem komersantiem, MK noteikumi nav papildināti ar terminu „saistītie komersanti” </w:t>
            </w:r>
          </w:p>
        </w:tc>
        <w:tc>
          <w:tcPr>
            <w:tcW w:w="3388" w:type="dxa"/>
            <w:gridSpan w:val="3"/>
            <w:shd w:val="clear" w:color="auto" w:fill="auto"/>
          </w:tcPr>
          <w:p w14:paraId="4B42D3F7" w14:textId="6FE9C6CF" w:rsidR="0041691B" w:rsidRPr="00BB599E" w:rsidRDefault="0041691B" w:rsidP="008E2CD9">
            <w:pPr>
              <w:jc w:val="both"/>
            </w:pPr>
            <w:r w:rsidRPr="00BB599E">
              <w:t>Svītrot 22.3. apakšpunktā vārdu "neatkarīgu".</w:t>
            </w:r>
          </w:p>
        </w:tc>
      </w:tr>
      <w:tr w:rsidR="0072695A" w:rsidRPr="00BB599E" w14:paraId="52935872" w14:textId="77777777" w:rsidTr="0093084E">
        <w:trPr>
          <w:trHeight w:val="274"/>
        </w:trPr>
        <w:tc>
          <w:tcPr>
            <w:tcW w:w="703" w:type="dxa"/>
            <w:shd w:val="clear" w:color="auto" w:fill="FFFFFF" w:themeFill="background1"/>
          </w:tcPr>
          <w:p w14:paraId="004CAA30" w14:textId="77777777" w:rsidR="0072695A" w:rsidRPr="00BB599E" w:rsidRDefault="0072695A" w:rsidP="008E2CD9">
            <w:pPr>
              <w:numPr>
                <w:ilvl w:val="0"/>
                <w:numId w:val="31"/>
              </w:numPr>
              <w:tabs>
                <w:tab w:val="center" w:pos="284"/>
              </w:tabs>
              <w:ind w:left="0" w:firstLine="0"/>
            </w:pPr>
          </w:p>
        </w:tc>
        <w:tc>
          <w:tcPr>
            <w:tcW w:w="2978" w:type="dxa"/>
            <w:shd w:val="clear" w:color="auto" w:fill="auto"/>
          </w:tcPr>
          <w:p w14:paraId="6DB31BE6" w14:textId="77777777" w:rsidR="007E04A3" w:rsidRPr="00BB599E" w:rsidRDefault="007E04A3" w:rsidP="008E2CD9">
            <w:pPr>
              <w:pStyle w:val="tv2132"/>
              <w:spacing w:line="240" w:lineRule="auto"/>
              <w:ind w:firstLine="0"/>
              <w:rPr>
                <w:color w:val="auto"/>
                <w:sz w:val="24"/>
                <w:szCs w:val="24"/>
                <w:lang w:val="lv-LV"/>
              </w:rPr>
            </w:pPr>
            <w:r w:rsidRPr="00BB599E">
              <w:rPr>
                <w:color w:val="auto"/>
                <w:sz w:val="24"/>
                <w:szCs w:val="24"/>
                <w:lang w:val="lv-LV"/>
              </w:rPr>
              <w:t xml:space="preserve">30.1.2. no ieguldījumiem natūrā, kuru vērtību ir iespējams neatkarīgi auditēt un novērtēt atbilstoši vadošās iestādes izstrādātajai novērtēšanas metodikai un šo noteikumu 31. punktā minētajiem nosacījumiem. Kopējais ieguldījums natūrā nepārsniedz piecus procentus no projekta kopējām attiecināmajām izmaksām. Procentuālā ierobežojuma atbilstību pārbauda un absolūtu skaitļu pozīcijā fiksē sadarbības iestāde, apstiprinot projekta </w:t>
            </w:r>
            <w:r w:rsidRPr="00BB599E">
              <w:rPr>
                <w:color w:val="auto"/>
                <w:sz w:val="24"/>
                <w:szCs w:val="24"/>
                <w:lang w:val="lv-LV"/>
              </w:rPr>
              <w:lastRenderedPageBreak/>
              <w:t>iesniegumu. Projekta īstenošanas periodā projekta budžeta izmaksu pozīciju, kurā ietverti ieguldījumi natūrā, absolūtos skaitļos nesamazina, ja citās projekta budžeta izmaksu pozīcijās:</w:t>
            </w:r>
          </w:p>
          <w:p w14:paraId="0B4244BD" w14:textId="77777777" w:rsidR="007E04A3" w:rsidRPr="00BB599E" w:rsidRDefault="007E04A3" w:rsidP="008E2CD9">
            <w:pPr>
              <w:pStyle w:val="tv2132"/>
              <w:spacing w:line="240" w:lineRule="auto"/>
              <w:ind w:firstLine="0"/>
              <w:rPr>
                <w:color w:val="auto"/>
                <w:sz w:val="24"/>
                <w:szCs w:val="24"/>
                <w:lang w:val="lv-LV"/>
              </w:rPr>
            </w:pPr>
            <w:r w:rsidRPr="00BB599E">
              <w:rPr>
                <w:color w:val="auto"/>
                <w:sz w:val="24"/>
                <w:szCs w:val="24"/>
                <w:lang w:val="lv-LV"/>
              </w:rPr>
              <w:t>30.1.2.1.</w:t>
            </w:r>
            <w:r w:rsidRPr="00BB599E">
              <w:rPr>
                <w:color w:val="auto"/>
                <w:sz w:val="24"/>
                <w:szCs w:val="24"/>
                <w:vertAlign w:val="superscript"/>
                <w:lang w:val="lv-LV"/>
              </w:rPr>
              <w:t xml:space="preserve"> </w:t>
            </w:r>
            <w:r w:rsidRPr="00BB599E">
              <w:rPr>
                <w:color w:val="auto"/>
                <w:sz w:val="24"/>
                <w:szCs w:val="24"/>
                <w:lang w:val="lv-LV"/>
              </w:rPr>
              <w:t>rodas ietaupījums, kā rezultātā samazinās projekta kopējās attiecināmās izmaksas, bet projektā paredzētie mērķi un rādītāji tiek sasniegti;</w:t>
            </w:r>
          </w:p>
          <w:p w14:paraId="1829923C" w14:textId="0853B5A5" w:rsidR="0072695A" w:rsidRPr="00BB599E" w:rsidRDefault="007E04A3" w:rsidP="008E2CD9">
            <w:pPr>
              <w:jc w:val="both"/>
            </w:pPr>
            <w:r w:rsidRPr="00BB599E">
              <w:t>30.1.2.2.</w:t>
            </w:r>
            <w:r w:rsidRPr="00BB599E">
              <w:rPr>
                <w:vertAlign w:val="superscript"/>
              </w:rPr>
              <w:t xml:space="preserve"> </w:t>
            </w:r>
            <w:r w:rsidRPr="00BB599E">
              <w:t>konstatē neatbilstoši veiktas izmaksas, kuru neattiecināšanas rezultātā samazinās projekta kopējās attiecināmās izmaksas</w:t>
            </w:r>
          </w:p>
        </w:tc>
        <w:tc>
          <w:tcPr>
            <w:tcW w:w="3830" w:type="dxa"/>
            <w:shd w:val="clear" w:color="auto" w:fill="auto"/>
          </w:tcPr>
          <w:p w14:paraId="51A991C8" w14:textId="5506463F" w:rsidR="007E04A3" w:rsidRPr="00BB599E" w:rsidRDefault="007E04A3" w:rsidP="008E2CD9">
            <w:pPr>
              <w:contextualSpacing/>
              <w:jc w:val="both"/>
            </w:pPr>
            <w:r w:rsidRPr="00BB599E">
              <w:rPr>
                <w:b/>
              </w:rPr>
              <w:lastRenderedPageBreak/>
              <w:t>FM</w:t>
            </w:r>
            <w:r w:rsidR="003649AD" w:rsidRPr="00BB599E">
              <w:rPr>
                <w:b/>
              </w:rPr>
              <w:t>:</w:t>
            </w:r>
            <w:r w:rsidR="003649AD" w:rsidRPr="00BB599E">
              <w:t xml:space="preserve"> </w:t>
            </w:r>
            <w:r w:rsidRPr="00BB599E">
              <w:t>Lūdzam svītrot MK noteikuma projekta 1.punktā vārdus “Projekta īstenošanas periodā projekta budžeta izmaksu pozīciju, kurā ietverti ieguldījumi natūrā, absolūtos skaitļos nesamazina, ja citās projekta budžeta izmaksu pozīcijās:</w:t>
            </w:r>
          </w:p>
          <w:p w14:paraId="714A8F14" w14:textId="77777777" w:rsidR="007E04A3" w:rsidRPr="00BB599E" w:rsidRDefault="007E04A3" w:rsidP="008E2CD9">
            <w:pPr>
              <w:contextualSpacing/>
              <w:jc w:val="both"/>
            </w:pPr>
            <w:r w:rsidRPr="00BB599E">
              <w:t>30.1.2.1. rodas ietaupījums, kā rezultātā samazinās projekta kopējās attiecināmās izmaksas, bet projektā paredzētie mērķi un rādītāji tiek sasniegti;</w:t>
            </w:r>
          </w:p>
          <w:p w14:paraId="545FE1E8" w14:textId="77777777" w:rsidR="007E04A3" w:rsidRPr="00BB599E" w:rsidRDefault="007E04A3" w:rsidP="008E2CD9">
            <w:pPr>
              <w:contextualSpacing/>
              <w:jc w:val="both"/>
            </w:pPr>
            <w:r w:rsidRPr="00BB599E">
              <w:t xml:space="preserve">30.1.2.2. konstatē neatbilstoši veiktas izmaksas, kuru neattiecināšanas rezultātā samazinās projekta kopējās attiecināmās izmaksas.”. </w:t>
            </w:r>
          </w:p>
          <w:p w14:paraId="1DA766D5" w14:textId="7D6A73FE" w:rsidR="007E04A3" w:rsidRPr="00BB599E" w:rsidRDefault="007E04A3" w:rsidP="008E2CD9">
            <w:pPr>
              <w:contextualSpacing/>
              <w:jc w:val="both"/>
            </w:pPr>
            <w:r w:rsidRPr="00BB599E">
              <w:lastRenderedPageBreak/>
              <w:t>Vēršam uzmanību, ka atbilstoši vadošās iestādes metodikas “Metodika par ieguldījumiem natūrā projektu līdzfinansēšanai 2014.-2020.gada plānošanas periodā” 2.1.apakšpunktā  noteiktajam “ieguldījums natūrā ir neatņemama projekta sastāvdaļa un pēc projekta īstenošanas šo ieguldījumu nevar izņemt no projekta”. Norādām, ka ir pietiekami, ja MK noteikumos par 1.1.1.1.pasākuma “Praktiskas ievirzes pētījumi” īstenošanu iekļauj atsauci uz konkrēto metodiku, kurā savukārt ietvertas detalizētākas norādes attiecībā uz aprēķiniem un novērtējumiem.</w:t>
            </w:r>
          </w:p>
          <w:p w14:paraId="6A80CBE0" w14:textId="77777777" w:rsidR="003C149C" w:rsidRPr="00BB599E" w:rsidRDefault="003C149C" w:rsidP="008E2CD9">
            <w:pPr>
              <w:contextualSpacing/>
              <w:jc w:val="both"/>
            </w:pPr>
          </w:p>
          <w:p w14:paraId="0DDBD461" w14:textId="3F4F912A" w:rsidR="0072695A" w:rsidRPr="00BB599E" w:rsidRDefault="0072695A" w:rsidP="008E2CD9">
            <w:pPr>
              <w:contextualSpacing/>
              <w:jc w:val="both"/>
            </w:pPr>
            <w:r w:rsidRPr="00BB599E">
              <w:t>Lūdzam aizstāt MK noteikuma projekta 1.punktā vārdus “novērtēšanas metodikai” ar vārdiem un skaitļiem “metodikai par ieguldījumiem natūrā projektu līdzfinansēšanai 2014.-2020. gada plānošanas periodā”.</w:t>
            </w:r>
          </w:p>
        </w:tc>
        <w:tc>
          <w:tcPr>
            <w:tcW w:w="3967" w:type="dxa"/>
            <w:shd w:val="clear" w:color="auto" w:fill="auto"/>
          </w:tcPr>
          <w:p w14:paraId="456F4125" w14:textId="3D7326F2" w:rsidR="0072695A" w:rsidRPr="00BB599E" w:rsidRDefault="003649AD" w:rsidP="008E2CD9">
            <w:pPr>
              <w:jc w:val="both"/>
              <w:rPr>
                <w:b/>
              </w:rPr>
            </w:pPr>
            <w:r w:rsidRPr="00BB599E">
              <w:rPr>
                <w:b/>
              </w:rPr>
              <w:lastRenderedPageBreak/>
              <w:t>Ņemts vērā.</w:t>
            </w:r>
          </w:p>
        </w:tc>
        <w:tc>
          <w:tcPr>
            <w:tcW w:w="3388" w:type="dxa"/>
            <w:gridSpan w:val="3"/>
            <w:shd w:val="clear" w:color="auto" w:fill="auto"/>
          </w:tcPr>
          <w:p w14:paraId="58230568" w14:textId="7998515F" w:rsidR="0072695A" w:rsidRPr="00BB599E" w:rsidRDefault="0072695A" w:rsidP="008E2CD9">
            <w:pPr>
              <w:jc w:val="both"/>
            </w:pPr>
            <w:r w:rsidRPr="00BB599E">
              <w:t xml:space="preserve">30.1.2. no ieguldījumiem natūrā, kuru vērtību ir iespējams neatkarīgi auditēt un novērtēt atbilstoši vadošās iestādes izstrādātajai metodikai par ieguldījumiem natūrā projektu līdzfinansēšanai 2014.-2020. gada plānošanas periodā un šo noteikumu 31. punktā minētajiem nosacījumiem. Kopējais ieguldījums natūrā nepārsniedz piecus procentus no projekta kopējām attiecināmajām izmaksām. Procentuālā ierobežojuma atbilstību pārbauda un absolūtu skaitļu pozīcijā fiksē sadarbības iestāde, </w:t>
            </w:r>
            <w:r w:rsidRPr="00BB599E">
              <w:lastRenderedPageBreak/>
              <w:t>apstiprinot projekta iesniegumu.</w:t>
            </w:r>
          </w:p>
        </w:tc>
      </w:tr>
      <w:tr w:rsidR="00575CEA" w:rsidRPr="00BB599E" w14:paraId="57F09C22" w14:textId="176023AD" w:rsidTr="0093084E">
        <w:trPr>
          <w:trHeight w:val="274"/>
        </w:trPr>
        <w:tc>
          <w:tcPr>
            <w:tcW w:w="703" w:type="dxa"/>
            <w:shd w:val="clear" w:color="auto" w:fill="FFFFFF" w:themeFill="background1"/>
          </w:tcPr>
          <w:p w14:paraId="1C602C44" w14:textId="422A040A" w:rsidR="00575CEA" w:rsidRPr="00BB599E" w:rsidRDefault="00575CEA" w:rsidP="008E2CD9">
            <w:pPr>
              <w:numPr>
                <w:ilvl w:val="0"/>
                <w:numId w:val="31"/>
              </w:numPr>
              <w:tabs>
                <w:tab w:val="center" w:pos="284"/>
              </w:tabs>
              <w:ind w:left="0" w:firstLine="0"/>
            </w:pPr>
          </w:p>
        </w:tc>
        <w:tc>
          <w:tcPr>
            <w:tcW w:w="2978" w:type="dxa"/>
            <w:shd w:val="clear" w:color="auto" w:fill="auto"/>
          </w:tcPr>
          <w:p w14:paraId="308EE7C0" w14:textId="24D042EE" w:rsidR="00575CEA" w:rsidRPr="00BB599E" w:rsidRDefault="00575CEA" w:rsidP="008E2CD9">
            <w:pPr>
              <w:jc w:val="both"/>
            </w:pPr>
            <w:r w:rsidRPr="00BB599E">
              <w:t xml:space="preserve">36.11. projekta iesniegumā norādāmās neattiecināmās izmaksas – tā zinātniskā vadītāja </w:t>
            </w:r>
            <w:r w:rsidRPr="00BB599E">
              <w:lastRenderedPageBreak/>
              <w:t xml:space="preserve">atlīdzības izmaksas, kura slodze projekta īstenošanā ir mazāka par 0,3 </w:t>
            </w:r>
            <w:proofErr w:type="spellStart"/>
            <w:r w:rsidRPr="00BB599E">
              <w:t>PLEvid</w:t>
            </w:r>
            <w:proofErr w:type="spellEnd"/>
            <w:r w:rsidRPr="00BB599E">
              <w:t>, ja tādas tiek plānotas.</w:t>
            </w:r>
          </w:p>
        </w:tc>
        <w:tc>
          <w:tcPr>
            <w:tcW w:w="3830" w:type="dxa"/>
            <w:shd w:val="clear" w:color="auto" w:fill="auto"/>
          </w:tcPr>
          <w:p w14:paraId="5E5F97D6" w14:textId="77777777" w:rsidR="00575CEA" w:rsidRPr="00BB599E" w:rsidRDefault="00575CEA" w:rsidP="008E2CD9">
            <w:pPr>
              <w:contextualSpacing/>
              <w:jc w:val="both"/>
            </w:pPr>
            <w:r w:rsidRPr="00BB599E">
              <w:rPr>
                <w:b/>
              </w:rPr>
              <w:lastRenderedPageBreak/>
              <w:t xml:space="preserve">FM: </w:t>
            </w:r>
            <w:r w:rsidRPr="00BB599E">
              <w:t xml:space="preserve">Lūdzam papildināt MK noteikumu projektu ar regulējumu, kas paredz papildināt spēkā esošo MK </w:t>
            </w:r>
            <w:r w:rsidRPr="00BB599E">
              <w:lastRenderedPageBreak/>
              <w:t>noteikumu 34.punktu, norādot neattiecināmas izmaksas kā vienu no projekta ietvaros plānotajiem izmaksu veidiem. Spēkā esošo MK noteikumu 34.punktā nav minēts, ka projekta ietvaros iespējams plānot neattiecināmās izmaksas, savukārt MK noteikumu 36.punkts paredz neattiecināmās izmaksas kā izmaksu veidu.</w:t>
            </w:r>
          </w:p>
          <w:p w14:paraId="755D77B4" w14:textId="1450E35B" w:rsidR="00575CEA" w:rsidRPr="00BB599E" w:rsidRDefault="00575CEA" w:rsidP="008E2CD9">
            <w:pPr>
              <w:contextualSpacing/>
              <w:jc w:val="both"/>
            </w:pPr>
            <w:r w:rsidRPr="00BB599E">
              <w:t xml:space="preserve">Lūdzam izvērtēt iespēju papildināt MK noteikumu projektu ar regulējumu, kas paredz svītrot spēkā esošo MK noteikumu 36.11.apakšpunktu, ņemot vērā to, ka gan ar saimniecisko darbību saistītu, gan nesaistītu projektu gadījumā saistošas ir Vadlīnijas attiecināmo un neattiecināmo izmaksu noteikšanai 2014.-2020. gada plānošanas periodā, kur minēts, ka projekta tiešajās attiecināmajās personāla izmaksās var iekļaut to darbinieku atlīdzības izmaksas, kuri noteiktā laika posmā (vismaz viens mēnesis) ne mazāk kā 30% no normālā darba laika katrā mēnesī veic pienākumus, kas saistīti ar projektu, un tas ir pamatots ar </w:t>
            </w:r>
            <w:r w:rsidRPr="00BB599E">
              <w:lastRenderedPageBreak/>
              <w:t>atbilstošiem izmaksas pamatojošiem dokumentiem, piemēram, DLU tabula.</w:t>
            </w:r>
          </w:p>
        </w:tc>
        <w:tc>
          <w:tcPr>
            <w:tcW w:w="3967" w:type="dxa"/>
            <w:vMerge w:val="restart"/>
            <w:shd w:val="clear" w:color="auto" w:fill="auto"/>
          </w:tcPr>
          <w:p w14:paraId="6DEA4145" w14:textId="722CD272" w:rsidR="00575CEA" w:rsidRPr="00BB599E" w:rsidRDefault="00575CEA" w:rsidP="008E2CD9">
            <w:pPr>
              <w:jc w:val="both"/>
              <w:rPr>
                <w:b/>
              </w:rPr>
            </w:pPr>
            <w:r w:rsidRPr="00BB599E">
              <w:rPr>
                <w:b/>
              </w:rPr>
              <w:lastRenderedPageBreak/>
              <w:t>Ņemts vērā.</w:t>
            </w:r>
          </w:p>
          <w:p w14:paraId="61D15C3B" w14:textId="4ABC8A97" w:rsidR="00575CEA" w:rsidRPr="00BB599E" w:rsidRDefault="00575CEA" w:rsidP="008E2CD9">
            <w:pPr>
              <w:jc w:val="both"/>
            </w:pPr>
            <w:r w:rsidRPr="00BB599E">
              <w:t>MK noteikumi papildināti ar 34.3. apakšpunktu.</w:t>
            </w:r>
          </w:p>
          <w:p w14:paraId="1DC6351F" w14:textId="79663A23" w:rsidR="00575CEA" w:rsidRPr="00BB599E" w:rsidRDefault="00575CEA" w:rsidP="008E2CD9">
            <w:pPr>
              <w:jc w:val="both"/>
            </w:pPr>
            <w:r w:rsidRPr="00BB599E">
              <w:t xml:space="preserve">Precizēts MK noteikumu 36.11. apakšpunkts. </w:t>
            </w:r>
          </w:p>
        </w:tc>
        <w:tc>
          <w:tcPr>
            <w:tcW w:w="3388" w:type="dxa"/>
            <w:gridSpan w:val="3"/>
            <w:vMerge w:val="restart"/>
            <w:shd w:val="clear" w:color="auto" w:fill="auto"/>
          </w:tcPr>
          <w:p w14:paraId="7F2955DF" w14:textId="16E8DA12" w:rsidR="00575CEA" w:rsidRPr="00BB599E" w:rsidRDefault="00575CEA" w:rsidP="008E2CD9">
            <w:pPr>
              <w:jc w:val="both"/>
            </w:pPr>
            <w:r w:rsidRPr="00BB599E">
              <w:t>Papildināt noteikumus ar 34.3. apakšpunktu šādā redakcijā:</w:t>
            </w:r>
          </w:p>
          <w:p w14:paraId="6FD057E6" w14:textId="77777777" w:rsidR="00575CEA" w:rsidRPr="00BB599E" w:rsidRDefault="00575CEA" w:rsidP="008E2CD9">
            <w:pPr>
              <w:jc w:val="both"/>
            </w:pPr>
          </w:p>
          <w:p w14:paraId="7E02A041" w14:textId="00879A5C" w:rsidR="00575CEA" w:rsidRPr="00BB599E" w:rsidRDefault="00575CEA" w:rsidP="008E2CD9">
            <w:pPr>
              <w:jc w:val="both"/>
            </w:pPr>
            <w:r w:rsidRPr="00BB599E">
              <w:lastRenderedPageBreak/>
              <w:t>"34.3. neattiecināmās izmaksas."</w:t>
            </w:r>
          </w:p>
          <w:p w14:paraId="3913C9FC" w14:textId="77777777" w:rsidR="00575CEA" w:rsidRPr="00BB599E" w:rsidRDefault="00575CEA" w:rsidP="008E2CD9">
            <w:pPr>
              <w:jc w:val="both"/>
            </w:pPr>
          </w:p>
          <w:p w14:paraId="5E455DD7" w14:textId="4CB9C8F4" w:rsidR="00575CEA" w:rsidRPr="00BB599E" w:rsidRDefault="00575CEA" w:rsidP="008E2CD9">
            <w:pPr>
              <w:jc w:val="both"/>
            </w:pPr>
            <w:r w:rsidRPr="00BB599E">
              <w:t>Papildināt 36.11. apakšpunktu pirms vārda "projekta" ar vārdiem "Pirmās un otrās projektu iesniegumu atlases kārtas ietvaros".</w:t>
            </w:r>
          </w:p>
        </w:tc>
      </w:tr>
      <w:tr w:rsidR="00575CEA" w:rsidRPr="00BB599E" w14:paraId="405C94CF" w14:textId="77777777" w:rsidTr="0093084E">
        <w:trPr>
          <w:trHeight w:val="274"/>
        </w:trPr>
        <w:tc>
          <w:tcPr>
            <w:tcW w:w="703" w:type="dxa"/>
            <w:shd w:val="clear" w:color="auto" w:fill="FFFFFF" w:themeFill="background1"/>
          </w:tcPr>
          <w:p w14:paraId="2515C1D9" w14:textId="77777777" w:rsidR="00575CEA" w:rsidRPr="00BB599E" w:rsidRDefault="00575CEA" w:rsidP="008E2CD9">
            <w:pPr>
              <w:numPr>
                <w:ilvl w:val="0"/>
                <w:numId w:val="31"/>
              </w:numPr>
              <w:tabs>
                <w:tab w:val="center" w:pos="284"/>
              </w:tabs>
              <w:ind w:left="0" w:firstLine="0"/>
            </w:pPr>
          </w:p>
        </w:tc>
        <w:tc>
          <w:tcPr>
            <w:tcW w:w="2978" w:type="dxa"/>
            <w:shd w:val="clear" w:color="auto" w:fill="auto"/>
          </w:tcPr>
          <w:p w14:paraId="4EBA5A1A" w14:textId="79545F87" w:rsidR="00575CEA" w:rsidRPr="00BB599E" w:rsidRDefault="00575CEA" w:rsidP="008E2CD9">
            <w:pPr>
              <w:jc w:val="both"/>
            </w:pPr>
            <w:r w:rsidRPr="00BB599E">
              <w:t>"34.3. neattiecināmās izmaksas pirmās un otrās projektu iesniegumu atlases kārtas ietvaros."</w:t>
            </w:r>
          </w:p>
        </w:tc>
        <w:tc>
          <w:tcPr>
            <w:tcW w:w="3830" w:type="dxa"/>
            <w:shd w:val="clear" w:color="auto" w:fill="auto"/>
          </w:tcPr>
          <w:p w14:paraId="4B05F516" w14:textId="77777777" w:rsidR="00575CEA" w:rsidRPr="00BB599E" w:rsidRDefault="00575CEA" w:rsidP="008E2CD9">
            <w:pPr>
              <w:contextualSpacing/>
              <w:jc w:val="both"/>
              <w:rPr>
                <w:b/>
              </w:rPr>
            </w:pPr>
            <w:r w:rsidRPr="00BB599E">
              <w:rPr>
                <w:b/>
              </w:rPr>
              <w:t xml:space="preserve">FM </w:t>
            </w:r>
            <w:r w:rsidRPr="00BB599E">
              <w:t>(23.04.19. iebildums)</w:t>
            </w:r>
          </w:p>
          <w:p w14:paraId="5E1F8118" w14:textId="00413BEC" w:rsidR="00575CEA" w:rsidRPr="00BB599E" w:rsidRDefault="00575CEA" w:rsidP="008E2CD9">
            <w:pPr>
              <w:contextualSpacing/>
              <w:jc w:val="both"/>
            </w:pPr>
            <w:r w:rsidRPr="00BB599E">
              <w:t>6.</w:t>
            </w:r>
            <w:r w:rsidRPr="00BB599E">
              <w:tab/>
              <w:t>Lūdzam precizēt MK noteikumu projekta 17.punktu, jo, atbilstoši spēkā esošo MK noteikumu Nr.34 36.punktam, neattiecināmās izmaksas iespējams ietvert arī trešās kārtas ietvaros iesniedzamos projektu iesniegumos.</w:t>
            </w:r>
          </w:p>
        </w:tc>
        <w:tc>
          <w:tcPr>
            <w:tcW w:w="3967" w:type="dxa"/>
            <w:vMerge/>
            <w:shd w:val="clear" w:color="auto" w:fill="auto"/>
          </w:tcPr>
          <w:p w14:paraId="79A853E7" w14:textId="77777777" w:rsidR="00575CEA" w:rsidRPr="00BB599E" w:rsidRDefault="00575CEA" w:rsidP="008E2CD9">
            <w:pPr>
              <w:jc w:val="both"/>
              <w:rPr>
                <w:b/>
              </w:rPr>
            </w:pPr>
          </w:p>
        </w:tc>
        <w:tc>
          <w:tcPr>
            <w:tcW w:w="3388" w:type="dxa"/>
            <w:gridSpan w:val="3"/>
            <w:vMerge/>
            <w:shd w:val="clear" w:color="auto" w:fill="auto"/>
          </w:tcPr>
          <w:p w14:paraId="49A7AB1F" w14:textId="77777777" w:rsidR="00575CEA" w:rsidRPr="00BB599E" w:rsidRDefault="00575CEA" w:rsidP="008E2CD9">
            <w:pPr>
              <w:jc w:val="both"/>
            </w:pPr>
          </w:p>
        </w:tc>
      </w:tr>
      <w:tr w:rsidR="0041691B" w:rsidRPr="00BB599E" w14:paraId="752C1E99" w14:textId="07AA3C52" w:rsidTr="0093084E">
        <w:trPr>
          <w:trHeight w:val="274"/>
        </w:trPr>
        <w:tc>
          <w:tcPr>
            <w:tcW w:w="703" w:type="dxa"/>
            <w:shd w:val="clear" w:color="auto" w:fill="FFFFFF" w:themeFill="background1"/>
          </w:tcPr>
          <w:p w14:paraId="31F01AD8" w14:textId="5454B563" w:rsidR="0041691B" w:rsidRPr="00BB599E" w:rsidRDefault="0041691B" w:rsidP="008E2CD9">
            <w:pPr>
              <w:numPr>
                <w:ilvl w:val="0"/>
                <w:numId w:val="31"/>
              </w:numPr>
              <w:tabs>
                <w:tab w:val="center" w:pos="284"/>
              </w:tabs>
              <w:ind w:left="0" w:firstLine="0"/>
            </w:pPr>
          </w:p>
        </w:tc>
        <w:tc>
          <w:tcPr>
            <w:tcW w:w="2978" w:type="dxa"/>
            <w:shd w:val="clear" w:color="auto" w:fill="auto"/>
          </w:tcPr>
          <w:p w14:paraId="6A3A9511" w14:textId="77777777" w:rsidR="009106FD" w:rsidRPr="00BB599E" w:rsidRDefault="009106FD" w:rsidP="008E2CD9">
            <w:pPr>
              <w:jc w:val="both"/>
            </w:pPr>
            <w:r w:rsidRPr="00BB599E">
              <w:t>34.2. netiešās attiecināmās izmaksas, kas nav tieši saistītas ar projekta rezultātu sasniegšanu, bet atbalsta un nodrošina atbilstošus apstākļus atbalstāmo darbību īstenošanai un rezultātu sasniegšanai. Īstenojot ar saimniecisku darbību nesaistītu projektu, netiešās attiecināmās izmaksas ir:</w:t>
            </w:r>
          </w:p>
          <w:p w14:paraId="64758C7C" w14:textId="77777777" w:rsidR="009106FD" w:rsidRPr="00BB599E" w:rsidRDefault="009106FD" w:rsidP="008E2CD9">
            <w:pPr>
              <w:jc w:val="both"/>
            </w:pPr>
          </w:p>
          <w:p w14:paraId="0C9B4CB0" w14:textId="77777777" w:rsidR="009106FD" w:rsidRPr="00BB599E" w:rsidRDefault="009106FD" w:rsidP="008E2CD9">
            <w:pPr>
              <w:jc w:val="both"/>
            </w:pPr>
            <w:r w:rsidRPr="00BB599E">
              <w:t>34.2.1. šo noteikumu 35. punktā minētās izmaksas;</w:t>
            </w:r>
          </w:p>
          <w:p w14:paraId="3CD9B509" w14:textId="77777777" w:rsidR="009106FD" w:rsidRPr="00BB599E" w:rsidRDefault="009106FD" w:rsidP="008E2CD9">
            <w:pPr>
              <w:jc w:val="both"/>
            </w:pPr>
          </w:p>
          <w:p w14:paraId="6342B073" w14:textId="0702DD7C" w:rsidR="0041691B" w:rsidRPr="00BB599E" w:rsidRDefault="009106FD" w:rsidP="008E2CD9">
            <w:pPr>
              <w:jc w:val="both"/>
            </w:pPr>
            <w:r w:rsidRPr="00BB599E">
              <w:t xml:space="preserve">34.2.2. šo noteikumu 8.4. un 21.3. apakšpunktā minēto darbību īstenošanas izmaksas, kas nepārsniedz divus </w:t>
            </w:r>
            <w:r w:rsidRPr="00BB599E">
              <w:lastRenderedPageBreak/>
              <w:t>procentus no šo noteikumu 43. punktā minēto izmaksu kopsummas.</w:t>
            </w:r>
          </w:p>
        </w:tc>
        <w:tc>
          <w:tcPr>
            <w:tcW w:w="3830" w:type="dxa"/>
            <w:shd w:val="clear" w:color="auto" w:fill="auto"/>
          </w:tcPr>
          <w:p w14:paraId="10781FC5" w14:textId="13F78EE7" w:rsidR="0041691B" w:rsidRPr="00BB599E" w:rsidRDefault="009106FD" w:rsidP="008E2CD9">
            <w:pPr>
              <w:contextualSpacing/>
              <w:jc w:val="both"/>
            </w:pPr>
            <w:r w:rsidRPr="00BB599E">
              <w:rPr>
                <w:b/>
              </w:rPr>
              <w:lastRenderedPageBreak/>
              <w:t xml:space="preserve">FM: </w:t>
            </w:r>
            <w:r w:rsidR="0041691B" w:rsidRPr="00BB599E">
              <w:t xml:space="preserve">Lūdzam papildināt MK noteikumu projektu ar regulējumu, kas paredz svītrot spēkā esošo MK noteikumu 34.2.2.apakšpunktā vārdus un skaitli “kas nepārsniedz divus procentus no šo noteikumu 43.punktā minēto izmaksu kopsummas”, ņemot vērā to, ka spēkā esošo MK noteikumu 8.4. apakšpunktā minētās darbības “sabiedrības iesaiste projekta norisēs un informēšana par projekta rezultātiem” ir pārāk vispārīgi noteiktas, lai skaidri identificētu, kāda mēroga darbības projektā apliecina minētos pasākumus (atbilstoši otrās atlases kārtas pieredzei un projektu iesniedzēju jautājumiem). Pasākuma otrās </w:t>
            </w:r>
            <w:r w:rsidR="0041691B" w:rsidRPr="00BB599E">
              <w:lastRenderedPageBreak/>
              <w:t xml:space="preserve">kārtas ietvaros iesniegtajos projektu iesniegumos minētās aktivitātes tiek plānotas vai nu no iesniedzēju pašu līdzekļiem vai arī nelielos apmēros no projekta netiešajām izmaksām. Jāņem vērā, ka šobrīd norādītais izmaksu apmērs ir projekta iesniedzējam sarežģīti nosakāms, ņemot vērā, ka to nosaka spēkā esošo MK noteikumu 34.2.2.apakšpunkts, kas atsaucas uz šo MK noteikumu 43.punktu, kurā tiek uzskaitītas ar pētniecību saistītas izmaksu pozīcijas, kas nav visas tiešās attiecināmās izmaksas, bet gan atsevišķas izmaksu pozīcijas. </w:t>
            </w:r>
          </w:p>
        </w:tc>
        <w:tc>
          <w:tcPr>
            <w:tcW w:w="3967" w:type="dxa"/>
            <w:shd w:val="clear" w:color="auto" w:fill="auto"/>
          </w:tcPr>
          <w:p w14:paraId="47631EE4" w14:textId="6B29BB10" w:rsidR="0041691B" w:rsidRPr="00BB599E" w:rsidRDefault="0041691B" w:rsidP="008E2CD9">
            <w:pPr>
              <w:jc w:val="both"/>
              <w:rPr>
                <w:b/>
              </w:rPr>
            </w:pPr>
            <w:r w:rsidRPr="00BB599E">
              <w:rPr>
                <w:b/>
              </w:rPr>
              <w:lastRenderedPageBreak/>
              <w:t>Ņemts vērā.</w:t>
            </w:r>
          </w:p>
          <w:p w14:paraId="7D16F7C4" w14:textId="5C507C11" w:rsidR="0041691B" w:rsidRPr="00BB599E" w:rsidRDefault="0041691B" w:rsidP="008E2CD9">
            <w:pPr>
              <w:jc w:val="both"/>
            </w:pPr>
          </w:p>
        </w:tc>
        <w:tc>
          <w:tcPr>
            <w:tcW w:w="3388" w:type="dxa"/>
            <w:gridSpan w:val="3"/>
            <w:shd w:val="clear" w:color="auto" w:fill="auto"/>
          </w:tcPr>
          <w:p w14:paraId="28D8D0D6" w14:textId="14F086C0" w:rsidR="0041691B" w:rsidRPr="00BB599E" w:rsidRDefault="0045056A" w:rsidP="008E2CD9">
            <w:pPr>
              <w:jc w:val="both"/>
            </w:pPr>
            <w:r w:rsidRPr="00BB599E">
              <w:t>Svītrot 34.2.2. apakšpunktā vārdus un skaitli "kas nepārsniedz divus procentus no šo noteikumu 43. punktā minēto izmaksu kopsummas".</w:t>
            </w:r>
          </w:p>
        </w:tc>
      </w:tr>
      <w:tr w:rsidR="00C768F7" w:rsidRPr="00BB599E" w14:paraId="37CFFEF8" w14:textId="77777777" w:rsidTr="0093084E">
        <w:trPr>
          <w:trHeight w:val="274"/>
        </w:trPr>
        <w:tc>
          <w:tcPr>
            <w:tcW w:w="703" w:type="dxa"/>
            <w:shd w:val="clear" w:color="auto" w:fill="FFFFFF" w:themeFill="background1"/>
          </w:tcPr>
          <w:p w14:paraId="69F9FAD1" w14:textId="77777777" w:rsidR="00C768F7" w:rsidRPr="00BB599E" w:rsidRDefault="00C768F7" w:rsidP="008E2CD9">
            <w:pPr>
              <w:numPr>
                <w:ilvl w:val="0"/>
                <w:numId w:val="31"/>
              </w:numPr>
              <w:tabs>
                <w:tab w:val="center" w:pos="284"/>
              </w:tabs>
              <w:ind w:left="0" w:firstLine="0"/>
            </w:pPr>
          </w:p>
        </w:tc>
        <w:tc>
          <w:tcPr>
            <w:tcW w:w="2978" w:type="dxa"/>
            <w:shd w:val="clear" w:color="auto" w:fill="auto"/>
          </w:tcPr>
          <w:p w14:paraId="36180A34" w14:textId="16ECF611" w:rsidR="00C768F7" w:rsidRPr="00BB599E" w:rsidRDefault="008F64A2" w:rsidP="008E2CD9">
            <w:pPr>
              <w:jc w:val="both"/>
            </w:pPr>
            <w:r w:rsidRPr="00BB599E">
              <w:t xml:space="preserve">64. Projektu īstenošanas uzraudzībai Izglītības un zinātnes ministrija vai tās deleģēta iestāde sadarbībā ar sadarbības iestādi nodrošina projektu iesniegumu </w:t>
            </w:r>
            <w:proofErr w:type="spellStart"/>
            <w:r w:rsidRPr="00BB599E">
              <w:t>vidusposma</w:t>
            </w:r>
            <w:proofErr w:type="spellEnd"/>
            <w:r w:rsidRPr="00BB599E">
              <w:t xml:space="preserve"> un gala rezultātu zinātniskās kvalitātes </w:t>
            </w:r>
            <w:proofErr w:type="spellStart"/>
            <w:r w:rsidRPr="00BB599E">
              <w:t>izvērtējumu</w:t>
            </w:r>
            <w:proofErr w:type="spellEnd"/>
            <w:r w:rsidRPr="00BB599E">
              <w:t xml:space="preserve">. </w:t>
            </w:r>
            <w:proofErr w:type="spellStart"/>
            <w:r w:rsidRPr="00BB599E">
              <w:t>Vidusposma</w:t>
            </w:r>
            <w:proofErr w:type="spellEnd"/>
            <w:r w:rsidRPr="00BB599E">
              <w:t xml:space="preserve"> zinātniskās kvalitātes </w:t>
            </w:r>
            <w:proofErr w:type="spellStart"/>
            <w:r w:rsidRPr="00BB599E">
              <w:t>izvērtējumu</w:t>
            </w:r>
            <w:proofErr w:type="spellEnd"/>
            <w:r w:rsidRPr="00BB599E">
              <w:t xml:space="preserve"> neveic projektu iesniegumiem, kuru darbību īstenošanas termiņš nepārsniedz 12 </w:t>
            </w:r>
            <w:r w:rsidRPr="00BB599E">
              <w:lastRenderedPageBreak/>
              <w:t xml:space="preserve">mēnešus. Darbību īstenošanas termiņu nosaka tajā iekļaujot šo noteikumu 52. punktā minētās ātrāk </w:t>
            </w:r>
            <w:proofErr w:type="spellStart"/>
            <w:r w:rsidRPr="00BB599E">
              <w:t>uzsākāmās</w:t>
            </w:r>
            <w:proofErr w:type="spellEnd"/>
            <w:r w:rsidRPr="00BB599E">
              <w:t xml:space="preserve"> darbības, ja tādas īstenotas. Projektu iesniegumu </w:t>
            </w:r>
            <w:proofErr w:type="spellStart"/>
            <w:r w:rsidRPr="00BB599E">
              <w:t>vidusposma</w:t>
            </w:r>
            <w:proofErr w:type="spellEnd"/>
            <w:r w:rsidRPr="00BB599E">
              <w:t xml:space="preserve"> un gala rezultātu zinātniskās kvalitātes </w:t>
            </w:r>
            <w:proofErr w:type="spellStart"/>
            <w:r w:rsidRPr="00BB599E">
              <w:t>izvērtējumu</w:t>
            </w:r>
            <w:proofErr w:type="spellEnd"/>
            <w:r w:rsidRPr="00BB599E">
              <w:t xml:space="preserve"> veic, ievērojot šādus nosacījumus:</w:t>
            </w:r>
          </w:p>
        </w:tc>
        <w:tc>
          <w:tcPr>
            <w:tcW w:w="3830" w:type="dxa"/>
            <w:shd w:val="clear" w:color="auto" w:fill="auto"/>
          </w:tcPr>
          <w:p w14:paraId="726DE7BD" w14:textId="66FF42E9" w:rsidR="008F64A2" w:rsidRPr="00BB599E" w:rsidRDefault="009106FD" w:rsidP="008E2CD9">
            <w:pPr>
              <w:contextualSpacing/>
              <w:jc w:val="both"/>
            </w:pPr>
            <w:r w:rsidRPr="00BB599E">
              <w:rPr>
                <w:b/>
              </w:rPr>
              <w:lastRenderedPageBreak/>
              <w:t xml:space="preserve">FM: </w:t>
            </w:r>
            <w:r w:rsidR="008F64A2" w:rsidRPr="00BB599E">
              <w:t>Lūdzam izteikt MK noteikumu projekta 2.punktā piedāvāto 64.punkta otro teikumu šādā redakcijā:</w:t>
            </w:r>
          </w:p>
          <w:p w14:paraId="2CE3D621" w14:textId="7D602FFF" w:rsidR="008F64A2" w:rsidRPr="00BB599E" w:rsidRDefault="008F64A2" w:rsidP="008E2CD9">
            <w:pPr>
              <w:contextualSpacing/>
              <w:jc w:val="both"/>
            </w:pPr>
            <w:r w:rsidRPr="00BB599E">
              <w:t xml:space="preserve">“Darbību īstenošanas termiņu 52.punktā  minētā gadījumā nosaka, ņemot vērā šo noteikumu 52.punktā minētās ātrāk uzsāktās darbības, ja tādas īstenotas.”, lai nodrošinātu vienlīdzīgu pieeju visu 1.1.1.1.pasākuma kārtu projektu īstenošanā. Neatbalstām pašreiz MK noteikumu projekta 2.punktā </w:t>
            </w:r>
            <w:r w:rsidRPr="00BB599E">
              <w:lastRenderedPageBreak/>
              <w:t>piedāvāto otrā teikuma redakciju, jo 1.1.1.1.pasākuma 1.kārtas projektos ātrāk uzsākamās darbības nav skaitītas projekta īstenošanas mēnešos.</w:t>
            </w:r>
          </w:p>
          <w:p w14:paraId="6A1A457C" w14:textId="77777777" w:rsidR="003C149C" w:rsidRPr="00BB599E" w:rsidRDefault="003C149C" w:rsidP="008E2CD9">
            <w:pPr>
              <w:contextualSpacing/>
              <w:jc w:val="both"/>
            </w:pPr>
          </w:p>
          <w:p w14:paraId="534C4468" w14:textId="69B6CC1E" w:rsidR="00C768F7" w:rsidRPr="00BB599E" w:rsidRDefault="00C768F7" w:rsidP="008E2CD9">
            <w:pPr>
              <w:contextualSpacing/>
              <w:jc w:val="both"/>
            </w:pPr>
            <w:r w:rsidRPr="00BB599E">
              <w:t>Lūdzam aizstāt MK noteikumu projekta 2.punktā piedāvātajā 64.punktā vārdus “projektu iesniegumu” ar vārdu “projektu” atbilstoši Eiropas Savienības struktūrfondu un Kohēzijas fonda 2014.-2020.gada plānošanas perioda vadības likumā noteiktajām definīcijām.</w:t>
            </w:r>
          </w:p>
        </w:tc>
        <w:tc>
          <w:tcPr>
            <w:tcW w:w="3967" w:type="dxa"/>
            <w:shd w:val="clear" w:color="auto" w:fill="auto"/>
          </w:tcPr>
          <w:p w14:paraId="34E55F4D" w14:textId="77777777" w:rsidR="00C768F7" w:rsidRPr="00BB599E" w:rsidRDefault="00C768F7" w:rsidP="008E2CD9">
            <w:pPr>
              <w:jc w:val="both"/>
              <w:rPr>
                <w:b/>
              </w:rPr>
            </w:pPr>
            <w:r w:rsidRPr="00BB599E">
              <w:rPr>
                <w:b/>
              </w:rPr>
              <w:lastRenderedPageBreak/>
              <w:t>Ņemts vērā.</w:t>
            </w:r>
          </w:p>
          <w:p w14:paraId="2FE9299E" w14:textId="77777777" w:rsidR="00C768F7" w:rsidRPr="00BB599E" w:rsidRDefault="00C768F7" w:rsidP="008E2CD9">
            <w:pPr>
              <w:jc w:val="both"/>
              <w:rPr>
                <w:b/>
              </w:rPr>
            </w:pPr>
          </w:p>
        </w:tc>
        <w:tc>
          <w:tcPr>
            <w:tcW w:w="3388" w:type="dxa"/>
            <w:gridSpan w:val="3"/>
            <w:shd w:val="clear" w:color="auto" w:fill="auto"/>
          </w:tcPr>
          <w:p w14:paraId="1EEE5217" w14:textId="59F5FF3D" w:rsidR="00C768F7" w:rsidRPr="00BB599E" w:rsidRDefault="00763B76" w:rsidP="008E2CD9">
            <w:pPr>
              <w:jc w:val="both"/>
            </w:pPr>
            <w:r w:rsidRPr="00763B76">
              <w:t xml:space="preserve">64. Projektu īstenošanas uzraudzībai Izglītības un zinātnes ministrija vai tās deleģēta iestāde sadarbībā ar sadarbības iestādi nodrošina projektu </w:t>
            </w:r>
            <w:proofErr w:type="spellStart"/>
            <w:r w:rsidRPr="00763B76">
              <w:t>vidusposma</w:t>
            </w:r>
            <w:proofErr w:type="spellEnd"/>
            <w:r w:rsidRPr="00763B76">
              <w:t xml:space="preserve"> un gala rezultātu zinātniskās kvalitātes </w:t>
            </w:r>
            <w:proofErr w:type="spellStart"/>
            <w:r w:rsidRPr="00763B76">
              <w:t>izvērtējumu</w:t>
            </w:r>
            <w:proofErr w:type="spellEnd"/>
            <w:r w:rsidRPr="00763B76">
              <w:t xml:space="preserve">. </w:t>
            </w:r>
            <w:proofErr w:type="spellStart"/>
            <w:r w:rsidRPr="00763B76">
              <w:t>Vidusposma</w:t>
            </w:r>
            <w:proofErr w:type="spellEnd"/>
            <w:r w:rsidRPr="00763B76">
              <w:t xml:space="preserve"> zinātniskās kvalitātes </w:t>
            </w:r>
            <w:proofErr w:type="spellStart"/>
            <w:r w:rsidRPr="00763B76">
              <w:t>izvērtējumu</w:t>
            </w:r>
            <w:proofErr w:type="spellEnd"/>
            <w:r w:rsidRPr="00763B76">
              <w:t xml:space="preserve"> neveic projektiem, kuru darbību īstenošanas termiņš nepārsniedz 12 mēnešus. Darbību īstenošanas termiņu nosaka, ievērojot šo </w:t>
            </w:r>
            <w:r w:rsidRPr="00763B76">
              <w:lastRenderedPageBreak/>
              <w:t xml:space="preserve">noteikumu 52. punktā minētos atbalstāmo darbību uzsākšanas nosacījumus. Projektu </w:t>
            </w:r>
            <w:proofErr w:type="spellStart"/>
            <w:r w:rsidRPr="00763B76">
              <w:t>vidusposma</w:t>
            </w:r>
            <w:proofErr w:type="spellEnd"/>
            <w:r w:rsidRPr="00763B76">
              <w:t xml:space="preserve"> un gala rezultātu zinātniskās kvalitātes </w:t>
            </w:r>
            <w:proofErr w:type="spellStart"/>
            <w:r w:rsidRPr="00763B76">
              <w:t>izvērtējumu</w:t>
            </w:r>
            <w:proofErr w:type="spellEnd"/>
            <w:r w:rsidRPr="00763B76">
              <w:t xml:space="preserve"> veic</w:t>
            </w:r>
            <w:r>
              <w:t>, ievērojot šādus nosacījumus:</w:t>
            </w:r>
          </w:p>
        </w:tc>
      </w:tr>
      <w:tr w:rsidR="0041691B" w:rsidRPr="00BB599E" w14:paraId="1393AEA0" w14:textId="77777777" w:rsidTr="0093084E">
        <w:trPr>
          <w:trHeight w:val="274"/>
        </w:trPr>
        <w:tc>
          <w:tcPr>
            <w:tcW w:w="703" w:type="dxa"/>
            <w:shd w:val="clear" w:color="auto" w:fill="FFFFFF" w:themeFill="background1"/>
          </w:tcPr>
          <w:p w14:paraId="299F7321" w14:textId="77777777" w:rsidR="0041691B" w:rsidRPr="00BB599E" w:rsidRDefault="0041691B" w:rsidP="008E2CD9">
            <w:pPr>
              <w:numPr>
                <w:ilvl w:val="0"/>
                <w:numId w:val="31"/>
              </w:numPr>
              <w:tabs>
                <w:tab w:val="center" w:pos="284"/>
              </w:tabs>
              <w:ind w:left="0" w:firstLine="0"/>
            </w:pPr>
          </w:p>
        </w:tc>
        <w:tc>
          <w:tcPr>
            <w:tcW w:w="2978" w:type="dxa"/>
            <w:shd w:val="clear" w:color="auto" w:fill="auto"/>
          </w:tcPr>
          <w:p w14:paraId="65109333" w14:textId="5EBA282D" w:rsidR="0041691B" w:rsidRPr="00BB599E" w:rsidRDefault="000C0402" w:rsidP="008E2CD9">
            <w:pPr>
              <w:jc w:val="both"/>
            </w:pPr>
            <w:r w:rsidRPr="00BB599E">
              <w:t xml:space="preserve">64.3. </w:t>
            </w:r>
            <w:proofErr w:type="spellStart"/>
            <w:r w:rsidRPr="00BB599E">
              <w:t>vidusposma</w:t>
            </w:r>
            <w:proofErr w:type="spellEnd"/>
            <w:r w:rsidRPr="00BB599E">
              <w:t xml:space="preserve"> rezultātu </w:t>
            </w:r>
            <w:proofErr w:type="spellStart"/>
            <w:r w:rsidRPr="00BB599E">
              <w:t>izvērtējuma</w:t>
            </w:r>
            <w:proofErr w:type="spellEnd"/>
            <w:r w:rsidRPr="00BB599E">
              <w:t xml:space="preserve"> secinājumus un ieteikumus izvērtē Izglītības un zinātnes ministrija, sadarbības iestāde, atbildīgā iestāde un finansējuma saņēmējs, ja nepieciešams, vienojoties par grozījumiem projekta darba plānā;</w:t>
            </w:r>
          </w:p>
        </w:tc>
        <w:tc>
          <w:tcPr>
            <w:tcW w:w="3830" w:type="dxa"/>
            <w:shd w:val="clear" w:color="auto" w:fill="auto"/>
          </w:tcPr>
          <w:p w14:paraId="675ACB65" w14:textId="26A4286E" w:rsidR="0041691B" w:rsidRPr="00BB599E" w:rsidRDefault="000C0402" w:rsidP="008E2CD9">
            <w:pPr>
              <w:contextualSpacing/>
              <w:jc w:val="both"/>
            </w:pPr>
            <w:r w:rsidRPr="00BB599E">
              <w:rPr>
                <w:b/>
              </w:rPr>
              <w:t>FM</w:t>
            </w:r>
            <w:r w:rsidRPr="00BB599E">
              <w:t xml:space="preserve">: </w:t>
            </w:r>
            <w:r w:rsidR="0041691B" w:rsidRPr="00BB599E">
              <w:t xml:space="preserve">Lūdzam papildināt MK noteikumu projektu ar regulējumu, kas paredz grozījumu spēkā esošo MK noteikumu 64.3.apakšpunktā, nosakot precīzu kārtību, kā sadarbības iestāde rīkojas negatīva </w:t>
            </w:r>
            <w:proofErr w:type="spellStart"/>
            <w:r w:rsidR="0041691B" w:rsidRPr="00BB599E">
              <w:t>vidusposma</w:t>
            </w:r>
            <w:proofErr w:type="spellEnd"/>
            <w:r w:rsidR="0041691B" w:rsidRPr="00BB599E">
              <w:t xml:space="preserve"> rezultātu </w:t>
            </w:r>
            <w:proofErr w:type="spellStart"/>
            <w:r w:rsidR="0041691B" w:rsidRPr="00BB599E">
              <w:t>izvērtējuma</w:t>
            </w:r>
            <w:proofErr w:type="spellEnd"/>
            <w:r w:rsidR="0041691B" w:rsidRPr="00BB599E">
              <w:t xml:space="preserve">  gadījumā. </w:t>
            </w:r>
          </w:p>
          <w:p w14:paraId="2139C7BF" w14:textId="77777777" w:rsidR="0041691B" w:rsidRPr="00BB599E" w:rsidRDefault="0041691B" w:rsidP="008E2CD9">
            <w:pPr>
              <w:contextualSpacing/>
              <w:jc w:val="both"/>
            </w:pPr>
            <w:r w:rsidRPr="00BB599E">
              <w:t>Ierosinām izteikt MK noteikumu 64.3.apakšpunktu šādā redakcijā:</w:t>
            </w:r>
          </w:p>
          <w:p w14:paraId="47EC000A" w14:textId="06A5A71F" w:rsidR="0041691B" w:rsidRPr="00BB599E" w:rsidRDefault="0041691B" w:rsidP="008E2CD9">
            <w:pPr>
              <w:contextualSpacing/>
              <w:jc w:val="both"/>
            </w:pPr>
            <w:r w:rsidRPr="00BB599E">
              <w:lastRenderedPageBreak/>
              <w:t xml:space="preserve"> “64.3. </w:t>
            </w:r>
            <w:proofErr w:type="spellStart"/>
            <w:r w:rsidRPr="00BB599E">
              <w:t>vidusposma</w:t>
            </w:r>
            <w:proofErr w:type="spellEnd"/>
            <w:r w:rsidRPr="00BB599E">
              <w:t xml:space="preserve"> rezultātu </w:t>
            </w:r>
            <w:proofErr w:type="spellStart"/>
            <w:r w:rsidRPr="00BB599E">
              <w:t>izvērtējuma</w:t>
            </w:r>
            <w:proofErr w:type="spellEnd"/>
            <w:r w:rsidRPr="00BB599E">
              <w:t xml:space="preserve"> secinājumus un ieteikumus izvērtē Izglītības un zinātnes </w:t>
            </w:r>
            <w:proofErr w:type="spellStart"/>
            <w:r w:rsidR="009308C6" w:rsidRPr="00BB599E">
              <w:t>aj</w:t>
            </w:r>
            <w:r w:rsidRPr="00BB599E">
              <w:t>ministrija</w:t>
            </w:r>
            <w:proofErr w:type="spellEnd"/>
            <w:r w:rsidRPr="00BB599E">
              <w:t xml:space="preserve">, sadarbības iestāde, atbildīgā iestāde un finansējuma saņēmējs, ja nepieciešams, vienojoties par grozījumiem projekta darba plānā. Negatīva </w:t>
            </w:r>
            <w:proofErr w:type="spellStart"/>
            <w:r w:rsidRPr="00BB599E">
              <w:t>vidusposma</w:t>
            </w:r>
            <w:proofErr w:type="spellEnd"/>
            <w:r w:rsidRPr="00BB599E">
              <w:t xml:space="preserve"> rezultātu </w:t>
            </w:r>
            <w:proofErr w:type="spellStart"/>
            <w:r w:rsidRPr="00BB599E">
              <w:t>izvērtējuma</w:t>
            </w:r>
            <w:proofErr w:type="spellEnd"/>
            <w:r w:rsidRPr="00BB599E">
              <w:t xml:space="preserve"> gadījumā sadarbības iestāde kopā ar atbildīgo iestādi organizē sarunu procedūru ar finansējuma saņēmēju un nepieciešamības gadījumā rosina vienošanās par projekta īstenošanu laušanas procedūru”.</w:t>
            </w:r>
          </w:p>
        </w:tc>
        <w:tc>
          <w:tcPr>
            <w:tcW w:w="3967" w:type="dxa"/>
            <w:shd w:val="clear" w:color="auto" w:fill="auto"/>
          </w:tcPr>
          <w:p w14:paraId="6F6EBC13" w14:textId="77777777" w:rsidR="0041691B" w:rsidRPr="00BB599E" w:rsidRDefault="0041691B" w:rsidP="008E2CD9">
            <w:pPr>
              <w:jc w:val="both"/>
              <w:rPr>
                <w:b/>
              </w:rPr>
            </w:pPr>
            <w:r w:rsidRPr="00BB599E">
              <w:rPr>
                <w:b/>
              </w:rPr>
              <w:lastRenderedPageBreak/>
              <w:t>Ņemts vērā.</w:t>
            </w:r>
          </w:p>
          <w:p w14:paraId="43CA6AC8" w14:textId="0CE8A295" w:rsidR="0041691B" w:rsidRPr="00BB599E" w:rsidRDefault="009308C6" w:rsidP="008E2CD9">
            <w:pPr>
              <w:jc w:val="both"/>
            </w:pPr>
            <w:r w:rsidRPr="00BB599E">
              <w:t>MK noteikumu 64.3 apakšpunkts precizēts, ievērojot CFLA viedokļus, kas izteikti: a) FM atzinumā un b)</w:t>
            </w:r>
            <w:r w:rsidR="000C0402" w:rsidRPr="00BB599E">
              <w:t xml:space="preserve"> CFLA </w:t>
            </w:r>
            <w:r w:rsidRPr="00BB599E">
              <w:t>ierosinātajos grozījumos</w:t>
            </w:r>
            <w:r w:rsidR="000C0402" w:rsidRPr="00BB599E">
              <w:t xml:space="preserve"> </w:t>
            </w:r>
            <w:r w:rsidR="000C0402" w:rsidRPr="00BB599E">
              <w:rPr>
                <w:i/>
              </w:rPr>
              <w:t>Starpresoru vienošanās par sadarbību Eiropas Savienības struktūrfondu un Kohēzijas fonda vadībā 2014-2020.gada plānošanas periodā</w:t>
            </w:r>
            <w:r w:rsidRPr="00BB599E">
              <w:rPr>
                <w:i/>
              </w:rPr>
              <w:t xml:space="preserve">, </w:t>
            </w:r>
            <w:r w:rsidRPr="00BB599E">
              <w:t>kur</w:t>
            </w:r>
            <w:r w:rsidR="000C0402" w:rsidRPr="00BB599E">
              <w:rPr>
                <w:i/>
              </w:rPr>
              <w:t xml:space="preserve"> </w:t>
            </w:r>
            <w:r w:rsidR="000C0402" w:rsidRPr="00BB599E">
              <w:t xml:space="preserve">24. punktā </w:t>
            </w:r>
            <w:r w:rsidRPr="00BB599E">
              <w:t xml:space="preserve">noteikta plānotā </w:t>
            </w:r>
            <w:r w:rsidR="000C0402" w:rsidRPr="00BB599E">
              <w:t>kārtīb</w:t>
            </w:r>
            <w:r w:rsidRPr="00BB599E">
              <w:t>a</w:t>
            </w:r>
            <w:r w:rsidRPr="00BB599E">
              <w:rPr>
                <w:rStyle w:val="FootnoteReference"/>
              </w:rPr>
              <w:footnoteReference w:id="1"/>
            </w:r>
            <w:r w:rsidR="000C0402" w:rsidRPr="00BB599E">
              <w:t xml:space="preserve">, kādā sadarbības iestāde rīkojas negatīva </w:t>
            </w:r>
            <w:proofErr w:type="spellStart"/>
            <w:r w:rsidR="000C0402" w:rsidRPr="00BB599E">
              <w:t>vidusposma</w:t>
            </w:r>
            <w:proofErr w:type="spellEnd"/>
            <w:r w:rsidR="000C0402" w:rsidRPr="00BB599E">
              <w:t xml:space="preserve"> rezultātu </w:t>
            </w:r>
            <w:proofErr w:type="spellStart"/>
            <w:r w:rsidR="000C0402" w:rsidRPr="00BB599E">
              <w:t>izvērtējuma</w:t>
            </w:r>
            <w:proofErr w:type="spellEnd"/>
            <w:r w:rsidR="000C0402" w:rsidRPr="00BB599E">
              <w:t xml:space="preserve"> gadījumā</w:t>
            </w:r>
            <w:r w:rsidRPr="00BB599E">
              <w:t xml:space="preserve">. </w:t>
            </w:r>
          </w:p>
        </w:tc>
        <w:tc>
          <w:tcPr>
            <w:tcW w:w="3388" w:type="dxa"/>
            <w:gridSpan w:val="3"/>
            <w:shd w:val="clear" w:color="auto" w:fill="auto"/>
          </w:tcPr>
          <w:p w14:paraId="476F4AC1" w14:textId="3814BC7E" w:rsidR="0041691B" w:rsidRPr="00BB599E" w:rsidRDefault="00763B76" w:rsidP="008E2CD9">
            <w:pPr>
              <w:jc w:val="both"/>
            </w:pPr>
            <w:r w:rsidRPr="00763B76">
              <w:t xml:space="preserve">64.3. Izglītības un zinātnes ministrija, sadarbības iestāde, atbildīgā iestāde un finansējuma saņēmējs izvērtē </w:t>
            </w:r>
            <w:proofErr w:type="spellStart"/>
            <w:r w:rsidRPr="00763B76">
              <w:t>vidusposma</w:t>
            </w:r>
            <w:proofErr w:type="spellEnd"/>
            <w:r w:rsidRPr="00763B76">
              <w:t xml:space="preserve"> rezultātu </w:t>
            </w:r>
            <w:proofErr w:type="spellStart"/>
            <w:r w:rsidRPr="00763B76">
              <w:t>izvērtējuma</w:t>
            </w:r>
            <w:proofErr w:type="spellEnd"/>
            <w:r w:rsidRPr="00763B76">
              <w:t xml:space="preserve"> secinājumus un ieteikumus, vienojas par grozījumiem projekta darba plānā, ja nepieciešams. Negatīva </w:t>
            </w:r>
            <w:proofErr w:type="spellStart"/>
            <w:r w:rsidRPr="00763B76">
              <w:t>vidusposma</w:t>
            </w:r>
            <w:proofErr w:type="spellEnd"/>
            <w:r w:rsidRPr="00763B76">
              <w:t xml:space="preserve"> rezultātu </w:t>
            </w:r>
            <w:proofErr w:type="spellStart"/>
            <w:r w:rsidRPr="00763B76">
              <w:t>izvērtējuma</w:t>
            </w:r>
            <w:proofErr w:type="spellEnd"/>
            <w:r w:rsidRPr="00763B76">
              <w:t xml:space="preserve"> gadījumā sadarbības iestāde </w:t>
            </w:r>
            <w:r w:rsidRPr="00763B76">
              <w:lastRenderedPageBreak/>
              <w:t>sasauc starpinstitūciju sanāksmi ar Izglītības un zinātnes ministriju, atbildīgo iestādi un finansējuma saņēmēju. Starpinstitūciju sanāksmes dalībnieki izvērtē šo noteikumu 64.1. apakšpunktā minēto Eiropas Komisijas ekspertu atzinumus un vienojas par grozījumiem projekta darba plānā vai līguma vai vienošanās par projekta īstenošanu laušanu;</w:t>
            </w:r>
          </w:p>
        </w:tc>
      </w:tr>
      <w:tr w:rsidR="006E18B7" w:rsidRPr="00BB599E" w14:paraId="33414150" w14:textId="77777777" w:rsidTr="0093084E">
        <w:trPr>
          <w:trHeight w:val="274"/>
        </w:trPr>
        <w:tc>
          <w:tcPr>
            <w:tcW w:w="703" w:type="dxa"/>
            <w:shd w:val="clear" w:color="auto" w:fill="FFFFFF" w:themeFill="background1"/>
          </w:tcPr>
          <w:p w14:paraId="0BFE2800" w14:textId="77777777" w:rsidR="006E18B7" w:rsidRPr="00BB599E" w:rsidRDefault="006E18B7" w:rsidP="008E2CD9">
            <w:pPr>
              <w:numPr>
                <w:ilvl w:val="0"/>
                <w:numId w:val="31"/>
              </w:numPr>
              <w:tabs>
                <w:tab w:val="center" w:pos="284"/>
              </w:tabs>
              <w:ind w:left="0" w:firstLine="0"/>
            </w:pPr>
          </w:p>
        </w:tc>
        <w:tc>
          <w:tcPr>
            <w:tcW w:w="2978" w:type="dxa"/>
            <w:vMerge w:val="restart"/>
            <w:shd w:val="clear" w:color="auto" w:fill="auto"/>
          </w:tcPr>
          <w:p w14:paraId="30514AEA" w14:textId="77777777" w:rsidR="006E18B7" w:rsidRPr="00BB599E" w:rsidRDefault="006E18B7" w:rsidP="008E2CD9">
            <w:pPr>
              <w:jc w:val="both"/>
            </w:pPr>
          </w:p>
        </w:tc>
        <w:tc>
          <w:tcPr>
            <w:tcW w:w="3830" w:type="dxa"/>
            <w:shd w:val="clear" w:color="auto" w:fill="auto"/>
          </w:tcPr>
          <w:p w14:paraId="39B3AE5A" w14:textId="1977D562" w:rsidR="006E18B7" w:rsidRPr="00BB599E" w:rsidRDefault="006E18B7" w:rsidP="008E2CD9">
            <w:pPr>
              <w:contextualSpacing/>
              <w:jc w:val="both"/>
            </w:pPr>
            <w:r w:rsidRPr="00BB599E">
              <w:rPr>
                <w:b/>
              </w:rPr>
              <w:t>FM:</w:t>
            </w:r>
            <w:r w:rsidRPr="00BB599E">
              <w:t xml:space="preserve"> Lūdzam izvērtēt iespēju papildināt MK noteikumu projektu ar regulējumu, kas paredz svītrot spēkā esošo MK noteikumu 1.</w:t>
            </w:r>
            <w:r w:rsidRPr="00BB599E">
              <w:rPr>
                <w:vertAlign w:val="superscript"/>
              </w:rPr>
              <w:t>1</w:t>
            </w:r>
            <w:r w:rsidRPr="00BB599E">
              <w:t xml:space="preserve"> pielikumā “Projektā iesaistīto zinātnisko darbinieku noslodze PLE izteiksmē projekta īstenošanas periodā” norādītās tabulas apakšējo sadaļu “Labuma guvēja institūcijā strādājošā [..]”, ņemot vērā, ka minētās tabulas sadaļas korekta aizpildīšana projekta iesnieguma iesniegšanas brīdī </w:t>
            </w:r>
            <w:r w:rsidRPr="00BB599E">
              <w:lastRenderedPageBreak/>
              <w:t>nav iespējama. T.i., gadījumā, ja viens projekta iesniedzējs pasākuma atlases kārtas ietvaros iesniedz vairāk kā vienu projekta iesniegumu, korekti iespējams norādīt tikai labuma guvēja institūcijā strādājošā zinātniskā personāla un zinātnes tehniskā personāla skaitu pirms projekta īstenošanas, ņemot vērā, ka projekta īstenošanas laikā nodarbinātā personāla skaits ir atkarīgs no atlases kārtas ietvaros apstiprināto projektu skaita, ko uz projekta iesniegšana brīdi nav iespējams paredzēt. Vēršam uzmanību, ka otrās atlases kārtas ietvaros minētā sadaļa aizpildīta projektu iesniedzējiem norādot informāciju ar pieņēmumu, ka konkrētais projekts ir vienīgais, kas sniedz ieguldījumu minētajās sadaļās, un, līdz ar to, nesniedz vairāk saturiskas informācijas kā pats 1.1 pielikums kopumā.</w:t>
            </w:r>
          </w:p>
        </w:tc>
        <w:tc>
          <w:tcPr>
            <w:tcW w:w="3967" w:type="dxa"/>
            <w:vMerge w:val="restart"/>
            <w:shd w:val="clear" w:color="auto" w:fill="auto"/>
          </w:tcPr>
          <w:p w14:paraId="02D7C122" w14:textId="764668EE" w:rsidR="006E18B7" w:rsidRPr="001C47FD" w:rsidRDefault="001C47FD" w:rsidP="008E2CD9">
            <w:pPr>
              <w:jc w:val="both"/>
              <w:rPr>
                <w:b/>
                <w:i/>
              </w:rPr>
            </w:pPr>
            <w:r w:rsidRPr="001C47FD">
              <w:rPr>
                <w:b/>
                <w:i/>
              </w:rPr>
              <w:lastRenderedPageBreak/>
              <w:t>Panākta vienošanās starpinstitūciju elektroniskās saskaņošanas laikā</w:t>
            </w:r>
          </w:p>
          <w:p w14:paraId="6C4E96CD" w14:textId="539FC494" w:rsidR="00EB1630" w:rsidRPr="00BB599E" w:rsidRDefault="00EB1630" w:rsidP="008E2CD9">
            <w:pPr>
              <w:jc w:val="both"/>
            </w:pPr>
            <w:r w:rsidRPr="00BB599E">
              <w:t>Svītrota rinda „Labuma guvēja institūcijā strādājošā zinātniskā personāla un zinātnes tehniskā personāla skaits piecus gadus pēc pēdējā maksājuma saņemšanas”</w:t>
            </w:r>
          </w:p>
          <w:p w14:paraId="23B13518" w14:textId="77777777" w:rsidR="00543F44" w:rsidRPr="00BB599E" w:rsidRDefault="00543F44" w:rsidP="008E2CD9">
            <w:pPr>
              <w:jc w:val="both"/>
            </w:pPr>
            <w:r w:rsidRPr="00BB599E">
              <w:t>Skaidrojam, ka MK noteikumu 1.</w:t>
            </w:r>
            <w:r w:rsidRPr="00BB599E">
              <w:rPr>
                <w:vertAlign w:val="superscript"/>
              </w:rPr>
              <w:t>1</w:t>
            </w:r>
            <w:r w:rsidRPr="00BB599E">
              <w:t xml:space="preserve"> pielikuma tabulā sniegtā informācija nepieciešama, lai:</w:t>
            </w:r>
          </w:p>
          <w:p w14:paraId="604EAF0F" w14:textId="2A184EFC" w:rsidR="00543F44" w:rsidRPr="00BB599E" w:rsidRDefault="00543F44" w:rsidP="008E2CD9">
            <w:pPr>
              <w:jc w:val="both"/>
            </w:pPr>
            <w:r w:rsidRPr="00BB599E">
              <w:t>– novērtētu projekta iesniegumā plānotā iznākuma rādītāja atbilstību MK noteikumu 2.10.</w:t>
            </w:r>
            <w:r w:rsidRPr="00BB599E">
              <w:rPr>
                <w:vertAlign w:val="superscript"/>
              </w:rPr>
              <w:t>1</w:t>
            </w:r>
            <w:r w:rsidRPr="00BB599E">
              <w:t> 2.2.apakšpunkt</w:t>
            </w:r>
            <w:r w:rsidR="00EB1630" w:rsidRPr="00BB599E">
              <w:t>a</w:t>
            </w:r>
            <w:r w:rsidRPr="00BB599E">
              <w:t xml:space="preserve"> un Eiropas Komisijas dokumentā </w:t>
            </w:r>
            <w:proofErr w:type="spellStart"/>
            <w:r w:rsidRPr="00BB599E">
              <w:rPr>
                <w:i/>
              </w:rPr>
              <w:t>Guidance</w:t>
            </w:r>
            <w:proofErr w:type="spellEnd"/>
            <w:r w:rsidRPr="00BB599E">
              <w:rPr>
                <w:i/>
              </w:rPr>
              <w:t xml:space="preserve"> </w:t>
            </w:r>
            <w:proofErr w:type="spellStart"/>
            <w:r w:rsidRPr="00BB599E">
              <w:rPr>
                <w:i/>
              </w:rPr>
              <w:t>document</w:t>
            </w:r>
            <w:proofErr w:type="spellEnd"/>
            <w:r w:rsidRPr="00BB599E">
              <w:rPr>
                <w:i/>
              </w:rPr>
              <w:t xml:space="preserve"> </w:t>
            </w:r>
            <w:proofErr w:type="spellStart"/>
            <w:r w:rsidRPr="00BB599E">
              <w:rPr>
                <w:i/>
              </w:rPr>
              <w:t>on</w:t>
            </w:r>
            <w:proofErr w:type="spellEnd"/>
            <w:r w:rsidRPr="00BB599E">
              <w:rPr>
                <w:i/>
              </w:rPr>
              <w:t xml:space="preserve"> monitoring </w:t>
            </w:r>
            <w:proofErr w:type="spellStart"/>
            <w:r w:rsidRPr="00BB599E">
              <w:rPr>
                <w:i/>
              </w:rPr>
              <w:t>and</w:t>
            </w:r>
            <w:proofErr w:type="spellEnd"/>
            <w:r w:rsidRPr="00BB599E">
              <w:rPr>
                <w:i/>
              </w:rPr>
              <w:t xml:space="preserve"> </w:t>
            </w:r>
            <w:proofErr w:type="spellStart"/>
            <w:r w:rsidRPr="00BB599E">
              <w:rPr>
                <w:i/>
              </w:rPr>
              <w:t>evaluation</w:t>
            </w:r>
            <w:proofErr w:type="spellEnd"/>
            <w:r w:rsidRPr="00BB599E">
              <w:rPr>
                <w:i/>
              </w:rPr>
              <w:t xml:space="preserve"> - </w:t>
            </w:r>
            <w:proofErr w:type="spellStart"/>
            <w:r w:rsidRPr="00BB599E">
              <w:rPr>
                <w:i/>
              </w:rPr>
              <w:t>Cohesion</w:t>
            </w:r>
            <w:proofErr w:type="spellEnd"/>
            <w:r w:rsidRPr="00BB599E">
              <w:rPr>
                <w:i/>
              </w:rPr>
              <w:t xml:space="preserve"> </w:t>
            </w:r>
            <w:proofErr w:type="spellStart"/>
            <w:r w:rsidRPr="00BB599E">
              <w:rPr>
                <w:i/>
              </w:rPr>
              <w:t>Fund</w:t>
            </w:r>
            <w:proofErr w:type="spellEnd"/>
            <w:r w:rsidRPr="00BB599E">
              <w:rPr>
                <w:i/>
              </w:rPr>
              <w:t xml:space="preserve"> </w:t>
            </w:r>
            <w:proofErr w:type="spellStart"/>
            <w:r w:rsidRPr="00BB599E">
              <w:rPr>
                <w:i/>
              </w:rPr>
              <w:t>and</w:t>
            </w:r>
            <w:proofErr w:type="spellEnd"/>
            <w:r w:rsidRPr="00BB599E">
              <w:rPr>
                <w:i/>
              </w:rPr>
              <w:t xml:space="preserve"> </w:t>
            </w:r>
            <w:proofErr w:type="spellStart"/>
            <w:r w:rsidRPr="00BB599E">
              <w:rPr>
                <w:i/>
              </w:rPr>
              <w:t>European</w:t>
            </w:r>
            <w:proofErr w:type="spellEnd"/>
            <w:r w:rsidRPr="00BB599E">
              <w:rPr>
                <w:i/>
              </w:rPr>
              <w:t xml:space="preserve"> </w:t>
            </w:r>
            <w:proofErr w:type="spellStart"/>
            <w:r w:rsidRPr="00BB599E">
              <w:rPr>
                <w:i/>
              </w:rPr>
              <w:t>Regional</w:t>
            </w:r>
            <w:proofErr w:type="spellEnd"/>
            <w:r w:rsidRPr="00BB599E">
              <w:rPr>
                <w:i/>
              </w:rPr>
              <w:t xml:space="preserve"> </w:t>
            </w:r>
            <w:proofErr w:type="spellStart"/>
            <w:r w:rsidRPr="00BB599E">
              <w:rPr>
                <w:i/>
              </w:rPr>
              <w:t>Development</w:t>
            </w:r>
            <w:proofErr w:type="spellEnd"/>
            <w:r w:rsidRPr="00BB599E">
              <w:rPr>
                <w:i/>
              </w:rPr>
              <w:t xml:space="preserve"> </w:t>
            </w:r>
            <w:proofErr w:type="spellStart"/>
            <w:r w:rsidRPr="00BB599E">
              <w:rPr>
                <w:i/>
              </w:rPr>
              <w:t>Fund</w:t>
            </w:r>
            <w:proofErr w:type="spellEnd"/>
            <w:r w:rsidRPr="00BB599E">
              <w:rPr>
                <w:i/>
              </w:rPr>
              <w:t>, 2014</w:t>
            </w:r>
            <w:r w:rsidRPr="00BB599E">
              <w:t xml:space="preserve"> izvirzītajam </w:t>
            </w:r>
            <w:r w:rsidR="00EB1630" w:rsidRPr="00BB599E">
              <w:t>nosacījumiem</w:t>
            </w:r>
            <w:r w:rsidRPr="00BB599E">
              <w:t>;</w:t>
            </w:r>
          </w:p>
          <w:p w14:paraId="2A3A8FF3" w14:textId="459ECE61" w:rsidR="00543F44" w:rsidRPr="00BB599E" w:rsidRDefault="00543F44" w:rsidP="008E2CD9">
            <w:pPr>
              <w:jc w:val="both"/>
            </w:pPr>
            <w:r w:rsidRPr="00BB599E">
              <w:lastRenderedPageBreak/>
              <w:t xml:space="preserve">– veiktu iznākuma rādītāja monitoringu visā projekta dzīves cikla periodā (izstrāde, īstenošana, </w:t>
            </w:r>
            <w:proofErr w:type="spellStart"/>
            <w:r w:rsidRPr="00BB599E">
              <w:t>pēcuzraudzība</w:t>
            </w:r>
            <w:proofErr w:type="spellEnd"/>
            <w:r w:rsidRPr="00BB599E">
              <w:t>).</w:t>
            </w:r>
          </w:p>
          <w:p w14:paraId="7E6A88F9" w14:textId="1E5417E5" w:rsidR="00543F44" w:rsidRPr="00BB599E" w:rsidRDefault="00543F44" w:rsidP="008E2CD9">
            <w:pPr>
              <w:jc w:val="both"/>
            </w:pPr>
            <w:r w:rsidRPr="00BB599E">
              <w:t xml:space="preserve">Ievērojot minēto, </w:t>
            </w:r>
            <w:r w:rsidR="006E18B7" w:rsidRPr="00BB599E">
              <w:t>MK noteikumu 1.</w:t>
            </w:r>
            <w:r w:rsidR="006E18B7" w:rsidRPr="00BB599E">
              <w:rPr>
                <w:vertAlign w:val="superscript"/>
              </w:rPr>
              <w:t>1</w:t>
            </w:r>
            <w:r w:rsidR="006E18B7" w:rsidRPr="00BB599E">
              <w:t xml:space="preserve"> pielikuma “Projektā iesaistīto zinātnisko darbinieku noslodze PLE izteiksmē projekta īstenošanas periodā” tabula</w:t>
            </w:r>
            <w:r w:rsidRPr="00BB599E">
              <w:t xml:space="preserve"> papildināta</w:t>
            </w:r>
            <w:r w:rsidR="006E18B7" w:rsidRPr="00BB599E">
              <w:t>, sniedzot skaidrojumu, kad projekta iesniedzējs un finansējuma saņēmējs sadarbības iestādē iesniedz un aktualizē informāciju par plānoto un faktisko iznākuma rādītāj</w:t>
            </w:r>
            <w:r w:rsidR="00EB1630" w:rsidRPr="00BB599E">
              <w:t>u</w:t>
            </w:r>
            <w:r w:rsidR="006E18B7" w:rsidRPr="00BB599E">
              <w:t xml:space="preserve"> </w:t>
            </w:r>
            <w:r w:rsidR="00EB1630" w:rsidRPr="00BB599E">
              <w:t>(</w:t>
            </w:r>
            <w:r w:rsidR="006E18B7" w:rsidRPr="00BB599E">
              <w:rPr>
                <w:i/>
              </w:rPr>
              <w:t>jaunu pētnieku skaits atbalstītajās vienībās (pilnas slodzes ekvivalents</w:t>
            </w:r>
            <w:r w:rsidR="00EB1630" w:rsidRPr="00BB599E">
              <w:rPr>
                <w:i/>
              </w:rPr>
              <w:t>; jauno zinātnieku skaits (pilnas slodzes ekvivalents), kuri projekta ietvaros pilnveidojuši kompetenci, ieskaitot karjeras izaugsmes un personāla atjaunotnes procesus</w:t>
            </w:r>
            <w:r w:rsidR="006E18B7" w:rsidRPr="00BB599E">
              <w:rPr>
                <w:i/>
              </w:rPr>
              <w:t xml:space="preserve">) </w:t>
            </w:r>
            <w:r w:rsidR="006E18B7" w:rsidRPr="00BB599E">
              <w:t>vērtību</w:t>
            </w:r>
            <w:r w:rsidR="006E18B7" w:rsidRPr="00BB599E">
              <w:rPr>
                <w:i/>
              </w:rPr>
              <w:t xml:space="preserve">. </w:t>
            </w:r>
          </w:p>
          <w:p w14:paraId="3D348724" w14:textId="1C9C5DA8" w:rsidR="006E18B7" w:rsidRPr="00BB599E" w:rsidRDefault="006E18B7" w:rsidP="008E2CD9">
            <w:pPr>
              <w:jc w:val="both"/>
            </w:pPr>
          </w:p>
        </w:tc>
        <w:tc>
          <w:tcPr>
            <w:tcW w:w="3388" w:type="dxa"/>
            <w:gridSpan w:val="3"/>
            <w:vMerge w:val="restart"/>
            <w:shd w:val="clear" w:color="auto" w:fill="auto"/>
          </w:tcPr>
          <w:p w14:paraId="23313EC1" w14:textId="42EBECF6" w:rsidR="006E18B7" w:rsidRPr="00BB599E" w:rsidRDefault="006E18B7" w:rsidP="00763B76">
            <w:pPr>
              <w:jc w:val="both"/>
            </w:pPr>
            <w:r w:rsidRPr="00BB599E">
              <w:lastRenderedPageBreak/>
              <w:t xml:space="preserve">Skat. noteikumu projekta </w:t>
            </w:r>
            <w:r w:rsidR="00763B76">
              <w:rPr>
                <w:color w:val="000000" w:themeColor="text1"/>
              </w:rPr>
              <w:t>19</w:t>
            </w:r>
            <w:r w:rsidRPr="00BB599E">
              <w:rPr>
                <w:color w:val="000000" w:themeColor="text1"/>
              </w:rPr>
              <w:t>. punktu.</w:t>
            </w:r>
          </w:p>
        </w:tc>
      </w:tr>
      <w:tr w:rsidR="006E18B7" w:rsidRPr="00BB599E" w14:paraId="3E461FAE" w14:textId="77777777" w:rsidTr="0093084E">
        <w:trPr>
          <w:trHeight w:val="274"/>
        </w:trPr>
        <w:tc>
          <w:tcPr>
            <w:tcW w:w="703" w:type="dxa"/>
            <w:shd w:val="clear" w:color="auto" w:fill="FFFFFF" w:themeFill="background1"/>
          </w:tcPr>
          <w:p w14:paraId="74BA9DAF" w14:textId="355FCE4B" w:rsidR="006E18B7" w:rsidRPr="00BB599E" w:rsidRDefault="006E18B7" w:rsidP="008E2CD9">
            <w:pPr>
              <w:numPr>
                <w:ilvl w:val="0"/>
                <w:numId w:val="31"/>
              </w:numPr>
              <w:tabs>
                <w:tab w:val="center" w:pos="284"/>
              </w:tabs>
              <w:ind w:left="0" w:firstLine="0"/>
            </w:pPr>
          </w:p>
        </w:tc>
        <w:tc>
          <w:tcPr>
            <w:tcW w:w="2978" w:type="dxa"/>
            <w:vMerge/>
            <w:shd w:val="clear" w:color="auto" w:fill="auto"/>
          </w:tcPr>
          <w:p w14:paraId="36403BBC" w14:textId="77777777" w:rsidR="006E18B7" w:rsidRPr="00BB599E" w:rsidRDefault="006E18B7" w:rsidP="008E2CD9">
            <w:pPr>
              <w:jc w:val="both"/>
            </w:pPr>
          </w:p>
        </w:tc>
        <w:tc>
          <w:tcPr>
            <w:tcW w:w="3830" w:type="dxa"/>
            <w:shd w:val="clear" w:color="auto" w:fill="auto"/>
          </w:tcPr>
          <w:p w14:paraId="3E981898" w14:textId="77777777" w:rsidR="006E18B7" w:rsidRPr="00BB599E" w:rsidRDefault="006E18B7" w:rsidP="008E2CD9">
            <w:pPr>
              <w:contextualSpacing/>
              <w:jc w:val="both"/>
              <w:rPr>
                <w:b/>
              </w:rPr>
            </w:pPr>
            <w:r w:rsidRPr="00BB599E">
              <w:rPr>
                <w:b/>
              </w:rPr>
              <w:t xml:space="preserve">FM </w:t>
            </w:r>
            <w:r w:rsidRPr="00BB599E">
              <w:t>(23.04.19. iebildums)</w:t>
            </w:r>
          </w:p>
          <w:p w14:paraId="59406A32" w14:textId="0FED51A6" w:rsidR="006E18B7" w:rsidRPr="00BB599E" w:rsidRDefault="006E18B7" w:rsidP="008E2CD9">
            <w:pPr>
              <w:contextualSpacing/>
              <w:jc w:val="both"/>
            </w:pPr>
            <w:r w:rsidRPr="00BB599E">
              <w:t>7.</w:t>
            </w:r>
            <w:r w:rsidRPr="00BB599E">
              <w:tab/>
              <w:t xml:space="preserve">Uzturam FM š.g. 26.marta atzinumā izteikto iebildumu, kas ietverts izziņas 12.punktā. Lūdzam svītrot spēkā esošo MK noteikumu </w:t>
            </w:r>
            <w:r w:rsidRPr="00BB599E">
              <w:lastRenderedPageBreak/>
              <w:t>Nr.34 1.</w:t>
            </w:r>
            <w:r w:rsidRPr="00BB599E">
              <w:rPr>
                <w:vertAlign w:val="superscript"/>
              </w:rPr>
              <w:t>1</w:t>
            </w:r>
            <w:r w:rsidRPr="00BB599E">
              <w:t xml:space="preserve"> pielikuma tabulas “Projektā iesaistīto zinātnisko darbinieku noslodze PLE izteiksmē projekta īstenošanas periodā” (turpmāk – MK noteikumu 1.</w:t>
            </w:r>
            <w:r w:rsidRPr="00BB599E">
              <w:rPr>
                <w:vertAlign w:val="superscript"/>
              </w:rPr>
              <w:t>1</w:t>
            </w:r>
            <w:r w:rsidRPr="00BB599E">
              <w:t xml:space="preserve"> pielikuma tabula) sadaļas “Labuma guvēja institūcijā strādājošā zinātniskā personāla un zinātnes tehniskā personāla skaits projekta īstenošanas periodā” un “Labuma guvēja institūcijā strādājošā zinātniskā personāla un zinātnes tehniskā personāla skaits piecus gadus pēc pēdējā maksājuma saņemšanas”. Skaidrojam, ka projektu iesniedzēji MK noteikumu 1.</w:t>
            </w:r>
            <w:r w:rsidRPr="00BB599E">
              <w:rPr>
                <w:vertAlign w:val="superscript"/>
              </w:rPr>
              <w:t>1</w:t>
            </w:r>
            <w:r w:rsidRPr="00BB599E">
              <w:t xml:space="preserve"> pielikuma tabulas sadaļas “Labuma guvēja institūcijā strādājošā zinātniskā personāla un zinātnes tehniskā personāla skaits projekta īstenošanas periodā” un “Labuma guvēja institūcijā strādājošā zinātniskā personāla un zinātnes tehniskā personāla skaits piecus gadus pēc pēdējā maksājuma saņemšanas” var aizpildīt tikai pēc projektu iesniegumu apstiprināšanas, kad ir zināms katrai institūcijai apstiprinātais projektu iesniegumu skaits un attiecīgi arī zinātniskā </w:t>
            </w:r>
            <w:r w:rsidRPr="00BB599E">
              <w:lastRenderedPageBreak/>
              <w:t>personāla un zinātnes tehniskā personāla skaits projekta īstenošanas laikā.</w:t>
            </w:r>
          </w:p>
        </w:tc>
        <w:tc>
          <w:tcPr>
            <w:tcW w:w="3967" w:type="dxa"/>
            <w:vMerge/>
            <w:shd w:val="clear" w:color="auto" w:fill="auto"/>
          </w:tcPr>
          <w:p w14:paraId="1736E445" w14:textId="77777777" w:rsidR="006E18B7" w:rsidRPr="00BB599E" w:rsidRDefault="006E18B7" w:rsidP="008E2CD9">
            <w:pPr>
              <w:jc w:val="both"/>
              <w:rPr>
                <w:b/>
              </w:rPr>
            </w:pPr>
          </w:p>
        </w:tc>
        <w:tc>
          <w:tcPr>
            <w:tcW w:w="3388" w:type="dxa"/>
            <w:gridSpan w:val="3"/>
            <w:vMerge/>
            <w:shd w:val="clear" w:color="auto" w:fill="auto"/>
          </w:tcPr>
          <w:p w14:paraId="2FDFF852" w14:textId="77777777" w:rsidR="006E18B7" w:rsidRPr="00BB599E" w:rsidRDefault="006E18B7" w:rsidP="008E2CD9">
            <w:pPr>
              <w:jc w:val="both"/>
            </w:pPr>
          </w:p>
        </w:tc>
      </w:tr>
      <w:tr w:rsidR="006A46C5" w:rsidRPr="00BB599E" w14:paraId="30C12A9A" w14:textId="77777777" w:rsidTr="0093084E">
        <w:trPr>
          <w:trHeight w:val="274"/>
        </w:trPr>
        <w:tc>
          <w:tcPr>
            <w:tcW w:w="703" w:type="dxa"/>
            <w:shd w:val="clear" w:color="auto" w:fill="FFFFFF" w:themeFill="background1"/>
          </w:tcPr>
          <w:p w14:paraId="4ADF9189" w14:textId="77777777" w:rsidR="006A46C5" w:rsidRPr="00BB599E" w:rsidRDefault="006A46C5" w:rsidP="008E2CD9">
            <w:pPr>
              <w:numPr>
                <w:ilvl w:val="0"/>
                <w:numId w:val="31"/>
              </w:numPr>
              <w:tabs>
                <w:tab w:val="center" w:pos="284"/>
              </w:tabs>
              <w:ind w:left="0" w:firstLine="0"/>
            </w:pPr>
          </w:p>
        </w:tc>
        <w:tc>
          <w:tcPr>
            <w:tcW w:w="2978" w:type="dxa"/>
            <w:shd w:val="clear" w:color="auto" w:fill="auto"/>
          </w:tcPr>
          <w:p w14:paraId="7DDF22B0" w14:textId="77777777" w:rsidR="006A46C5" w:rsidRPr="00BB599E" w:rsidRDefault="006A46C5" w:rsidP="008E2CD9">
            <w:pPr>
              <w:jc w:val="both"/>
            </w:pPr>
          </w:p>
        </w:tc>
        <w:tc>
          <w:tcPr>
            <w:tcW w:w="3830" w:type="dxa"/>
            <w:shd w:val="clear" w:color="auto" w:fill="auto"/>
          </w:tcPr>
          <w:p w14:paraId="7442A5AE" w14:textId="5001A950" w:rsidR="006A46C5" w:rsidRPr="00BB599E" w:rsidRDefault="006A46C5" w:rsidP="008E2CD9">
            <w:pPr>
              <w:contextualSpacing/>
              <w:jc w:val="both"/>
            </w:pPr>
            <w:r w:rsidRPr="00BB599E">
              <w:rPr>
                <w:b/>
              </w:rPr>
              <w:t>FM:</w:t>
            </w:r>
            <w:r w:rsidRPr="00BB599E">
              <w:t xml:space="preserve"> Lūdzam izvērtēt iespēju papildināt MK noteikumu projektu ar regulējumu trešajai atlases kārtai, paredzot MK noteikumos ietvert projekta īstenošanas un vadības personāla atlīdzības izmaksu ierobežojumu, piemēram, nosakot maksimālo stundas likmi konkrētai amata pozīcijai vai tml., ņemot vērā otrās atlases kārtas pieredzi par nepamatoti augstu stundas likmju plānošanu, ko bez pamatota iemesla nav iespējams likt samazināt. Attiecīgi, pirms šādas normas iekļaušanas MK noteikumos, aicinām to saskaņot ar Labklājības ministriju un Valsts kanceleju.</w:t>
            </w:r>
          </w:p>
        </w:tc>
        <w:tc>
          <w:tcPr>
            <w:tcW w:w="3967" w:type="dxa"/>
            <w:shd w:val="clear" w:color="auto" w:fill="auto"/>
          </w:tcPr>
          <w:p w14:paraId="40C4D4EF" w14:textId="77777777" w:rsidR="006D0FEC" w:rsidRPr="006D0FEC" w:rsidRDefault="006D0FEC" w:rsidP="006D0FEC">
            <w:pPr>
              <w:jc w:val="both"/>
              <w:rPr>
                <w:b/>
                <w:i/>
              </w:rPr>
            </w:pPr>
            <w:r w:rsidRPr="006D0FEC">
              <w:rPr>
                <w:b/>
                <w:i/>
              </w:rPr>
              <w:t>Panākta vienošanās starpinstitūciju elektroniskās saskaņošanas laikā.</w:t>
            </w:r>
          </w:p>
          <w:p w14:paraId="3BDB0C35" w14:textId="4E94057D" w:rsidR="006A46C5" w:rsidRPr="00BB599E" w:rsidRDefault="006A46C5" w:rsidP="008E2CD9">
            <w:pPr>
              <w:jc w:val="both"/>
              <w:rPr>
                <w:b/>
              </w:rPr>
            </w:pPr>
            <w:r w:rsidRPr="00BB599E">
              <w:t>Informējam, ka saskaņā ar MK noteikumu 43.1.6. apakšpunktam labuma guvēja institūcijas projekta īstenošanas un vadības personāla atlīdzības izmaksas nosaka atbilstoši katra labuma guvēja atalgojuma politikai un atlīdzības likmēm</w:t>
            </w:r>
            <w:r w:rsidRPr="00BB599E">
              <w:rPr>
                <w:b/>
              </w:rPr>
              <w:t xml:space="preserve">, </w:t>
            </w:r>
            <w:r w:rsidRPr="00BB599E">
              <w:t xml:space="preserve">kas noteiktas, ņemot vērā konkrētās institūcijas starptautisko konkurētspēju, zinātnisko kapacitāti un citus konkrēto institūciju raksturojošus parametrus. </w:t>
            </w:r>
          </w:p>
        </w:tc>
        <w:tc>
          <w:tcPr>
            <w:tcW w:w="3388" w:type="dxa"/>
            <w:gridSpan w:val="3"/>
            <w:shd w:val="clear" w:color="auto" w:fill="auto"/>
          </w:tcPr>
          <w:p w14:paraId="5D701ACE" w14:textId="77777777" w:rsidR="006A46C5" w:rsidRPr="00BB599E" w:rsidRDefault="006A46C5" w:rsidP="008E2CD9">
            <w:pPr>
              <w:jc w:val="both"/>
            </w:pPr>
          </w:p>
        </w:tc>
      </w:tr>
      <w:tr w:rsidR="003C149C" w:rsidRPr="00BB599E" w14:paraId="6924CA0D" w14:textId="77777777" w:rsidTr="0093084E">
        <w:trPr>
          <w:trHeight w:val="274"/>
        </w:trPr>
        <w:tc>
          <w:tcPr>
            <w:tcW w:w="703" w:type="dxa"/>
            <w:shd w:val="clear" w:color="auto" w:fill="FFFFFF" w:themeFill="background1"/>
          </w:tcPr>
          <w:p w14:paraId="45E67CED" w14:textId="77777777" w:rsidR="003C149C" w:rsidRPr="00BB599E" w:rsidRDefault="003C149C" w:rsidP="008E2CD9">
            <w:pPr>
              <w:numPr>
                <w:ilvl w:val="0"/>
                <w:numId w:val="31"/>
              </w:numPr>
              <w:tabs>
                <w:tab w:val="center" w:pos="284"/>
              </w:tabs>
              <w:ind w:left="0" w:firstLine="0"/>
            </w:pPr>
          </w:p>
        </w:tc>
        <w:tc>
          <w:tcPr>
            <w:tcW w:w="2978" w:type="dxa"/>
            <w:shd w:val="clear" w:color="auto" w:fill="auto"/>
          </w:tcPr>
          <w:p w14:paraId="3653776D" w14:textId="20E84BB6" w:rsidR="003C149C" w:rsidRPr="00BB599E" w:rsidRDefault="003C149C" w:rsidP="008E2CD9">
            <w:pPr>
              <w:jc w:val="both"/>
            </w:pPr>
            <w:r w:rsidRPr="00BB599E">
              <w:rPr>
                <w:vertAlign w:val="superscript"/>
              </w:rPr>
              <w:t>4</w:t>
            </w:r>
            <w:r w:rsidRPr="00BB599E">
              <w:t xml:space="preserve"> Jaunajiem zinātniekiem, kuriem projekta īstenošanas ietvaros pilnveidota kompetence, norāda "K", ja plānots nodrošināt karjeras izaugsmi, "A", ja plānots nodrošināt zinātniskā personāla atjaunošanu.</w:t>
            </w:r>
          </w:p>
        </w:tc>
        <w:tc>
          <w:tcPr>
            <w:tcW w:w="3830" w:type="dxa"/>
            <w:shd w:val="clear" w:color="auto" w:fill="auto"/>
          </w:tcPr>
          <w:p w14:paraId="3B195695" w14:textId="359D70FA" w:rsidR="003C149C" w:rsidRPr="00BB599E" w:rsidRDefault="005272C0" w:rsidP="008E2CD9">
            <w:pPr>
              <w:contextualSpacing/>
              <w:jc w:val="both"/>
              <w:rPr>
                <w:b/>
              </w:rPr>
            </w:pPr>
            <w:r w:rsidRPr="00BB599E">
              <w:rPr>
                <w:b/>
              </w:rPr>
              <w:t xml:space="preserve">FM: </w:t>
            </w:r>
            <w:r w:rsidR="003C149C" w:rsidRPr="00BB599E">
              <w:t>Lūdzam papildināt MK noteikumu projektu ar regulējumu, kas paredz papildināt spēkā esošos MK noteikumus ar 1.</w:t>
            </w:r>
            <w:r w:rsidR="003C149C" w:rsidRPr="00BB599E">
              <w:rPr>
                <w:vertAlign w:val="superscript"/>
              </w:rPr>
              <w:t xml:space="preserve">1 </w:t>
            </w:r>
            <w:r w:rsidR="003C149C" w:rsidRPr="00BB599E">
              <w:t xml:space="preserve">pielikuma “Projektā iesaistīto zinātnisko darbinieku noslodze PLE izteiksmē projekta īstenošanas periodā” piezīmēs minēto terminu “karjeras izaugsme” un </w:t>
            </w:r>
            <w:r w:rsidR="003C149C" w:rsidRPr="00BB599E">
              <w:lastRenderedPageBreak/>
              <w:t>“zinātniskā personāla atjaunošana” definīcijām.</w:t>
            </w:r>
          </w:p>
        </w:tc>
        <w:tc>
          <w:tcPr>
            <w:tcW w:w="3967" w:type="dxa"/>
            <w:shd w:val="clear" w:color="auto" w:fill="auto"/>
          </w:tcPr>
          <w:p w14:paraId="3612A658" w14:textId="77777777" w:rsidR="003C149C" w:rsidRPr="00BB599E" w:rsidRDefault="003C149C" w:rsidP="008E2CD9">
            <w:pPr>
              <w:jc w:val="both"/>
              <w:rPr>
                <w:b/>
              </w:rPr>
            </w:pPr>
            <w:r w:rsidRPr="00BB599E">
              <w:rPr>
                <w:b/>
              </w:rPr>
              <w:lastRenderedPageBreak/>
              <w:t>Ņemts vērā.</w:t>
            </w:r>
          </w:p>
          <w:p w14:paraId="561B5EA1" w14:textId="77777777" w:rsidR="003C149C" w:rsidRPr="00BB599E" w:rsidRDefault="003C149C" w:rsidP="008E2CD9">
            <w:pPr>
              <w:jc w:val="both"/>
              <w:rPr>
                <w:b/>
              </w:rPr>
            </w:pPr>
          </w:p>
        </w:tc>
        <w:tc>
          <w:tcPr>
            <w:tcW w:w="3388" w:type="dxa"/>
            <w:gridSpan w:val="3"/>
            <w:shd w:val="clear" w:color="auto" w:fill="auto"/>
          </w:tcPr>
          <w:p w14:paraId="04844A40" w14:textId="2EAE523E" w:rsidR="003C149C" w:rsidRPr="00BB599E" w:rsidRDefault="003C149C" w:rsidP="008E2CD9">
            <w:pPr>
              <w:jc w:val="both"/>
            </w:pPr>
            <w:r w:rsidRPr="00BB599E">
              <w:t>Izteikt 1.</w:t>
            </w:r>
            <w:r w:rsidRPr="00BB599E">
              <w:rPr>
                <w:vertAlign w:val="superscript"/>
              </w:rPr>
              <w:t>1</w:t>
            </w:r>
            <w:r w:rsidRPr="00BB599E">
              <w:t xml:space="preserve"> pielikuma </w:t>
            </w:r>
            <w:r w:rsidR="00763B76" w:rsidRPr="00763B76">
              <w:t>4</w:t>
            </w:r>
            <w:r w:rsidR="00763B76">
              <w:t>.</w:t>
            </w:r>
            <w:r w:rsidRPr="00BB599E">
              <w:t xml:space="preserve"> piezīmi šādā redakcijā:</w:t>
            </w:r>
          </w:p>
          <w:p w14:paraId="62212947" w14:textId="77777777" w:rsidR="003C149C" w:rsidRPr="00BB599E" w:rsidRDefault="003C149C" w:rsidP="008E2CD9">
            <w:pPr>
              <w:jc w:val="both"/>
            </w:pPr>
          </w:p>
          <w:p w14:paraId="2D397331" w14:textId="77777777" w:rsidR="003C149C" w:rsidRPr="00BB599E" w:rsidRDefault="003C149C" w:rsidP="008E2CD9">
            <w:pPr>
              <w:jc w:val="both"/>
            </w:pPr>
            <w:r w:rsidRPr="00BB599E">
              <w:t>"</w:t>
            </w:r>
            <w:r w:rsidRPr="00BB599E">
              <w:rPr>
                <w:vertAlign w:val="superscript"/>
              </w:rPr>
              <w:t>4</w:t>
            </w:r>
            <w:r w:rsidRPr="00BB599E">
              <w:t xml:space="preserve"> Jaunajiem zinātniekiem, kuriem projekta īstenošanas ietvaros plānots pilnveidot kompetenci, norāda:</w:t>
            </w:r>
          </w:p>
          <w:p w14:paraId="1004F5F2" w14:textId="77777777" w:rsidR="003C149C" w:rsidRPr="00BB599E" w:rsidRDefault="003C149C" w:rsidP="008E2CD9">
            <w:pPr>
              <w:jc w:val="both"/>
            </w:pPr>
            <w:r w:rsidRPr="00BB599E">
              <w:t xml:space="preserve">– "K", ja plānots nodrošināt karjeras izaugsmi, ko pamato izmaiņas jaunā zinātnieka </w:t>
            </w:r>
            <w:r w:rsidRPr="00BB599E">
              <w:lastRenderedPageBreak/>
              <w:t xml:space="preserve">amata pienākumu aprakstā, paaugstinot personas atbildības līmeni vai vadības pienākumu apjomu; </w:t>
            </w:r>
          </w:p>
          <w:p w14:paraId="730A31C8" w14:textId="295C01E8" w:rsidR="003C149C" w:rsidRPr="00BB599E" w:rsidRDefault="003C149C" w:rsidP="008E2CD9">
            <w:pPr>
              <w:jc w:val="both"/>
            </w:pPr>
            <w:r w:rsidRPr="00BB599E">
              <w:t>– "A", ja plānots nodrošināt zinātniskā personāla atjaunošanu, nodibinot darba tiesiskās attiecības ar jauno zinātnieku, lai persona aizvietotu zinātnieku, kurš izbeidzis darba tiesiskās attiecības labuma guvēja institūcijā."</w:t>
            </w:r>
          </w:p>
        </w:tc>
      </w:tr>
      <w:tr w:rsidR="0032255A" w:rsidRPr="00BB599E" w14:paraId="59E22ACF" w14:textId="77777777" w:rsidTr="0093084E">
        <w:trPr>
          <w:trHeight w:val="274"/>
        </w:trPr>
        <w:tc>
          <w:tcPr>
            <w:tcW w:w="703" w:type="dxa"/>
            <w:shd w:val="clear" w:color="auto" w:fill="FFFFFF" w:themeFill="background1"/>
          </w:tcPr>
          <w:p w14:paraId="24CB6230" w14:textId="77777777" w:rsidR="0032255A" w:rsidRPr="00BB599E" w:rsidRDefault="0032255A" w:rsidP="008E2CD9">
            <w:pPr>
              <w:tabs>
                <w:tab w:val="center" w:pos="284"/>
              </w:tabs>
            </w:pPr>
          </w:p>
        </w:tc>
        <w:tc>
          <w:tcPr>
            <w:tcW w:w="14163" w:type="dxa"/>
            <w:gridSpan w:val="6"/>
            <w:shd w:val="clear" w:color="auto" w:fill="auto"/>
          </w:tcPr>
          <w:p w14:paraId="72E1C226" w14:textId="42CF34E0" w:rsidR="0032255A" w:rsidRPr="00BB599E" w:rsidRDefault="0032255A" w:rsidP="008E2CD9">
            <w:pPr>
              <w:jc w:val="both"/>
              <w:rPr>
                <w:b/>
              </w:rPr>
            </w:pPr>
            <w:r w:rsidRPr="00BB599E">
              <w:rPr>
                <w:b/>
              </w:rPr>
              <w:t>Anotācija</w:t>
            </w:r>
          </w:p>
        </w:tc>
      </w:tr>
      <w:tr w:rsidR="0032255A" w:rsidRPr="00BB599E" w14:paraId="1DD21CBE" w14:textId="77777777" w:rsidTr="0093084E">
        <w:trPr>
          <w:trHeight w:val="558"/>
        </w:trPr>
        <w:tc>
          <w:tcPr>
            <w:tcW w:w="703" w:type="dxa"/>
            <w:shd w:val="clear" w:color="auto" w:fill="FFFFFF" w:themeFill="background1"/>
          </w:tcPr>
          <w:p w14:paraId="5767CB2A" w14:textId="77777777" w:rsidR="0032255A" w:rsidRPr="00BB599E" w:rsidRDefault="0032255A" w:rsidP="008E2CD9">
            <w:pPr>
              <w:numPr>
                <w:ilvl w:val="0"/>
                <w:numId w:val="31"/>
              </w:numPr>
              <w:tabs>
                <w:tab w:val="center" w:pos="284"/>
              </w:tabs>
              <w:ind w:left="0" w:firstLine="0"/>
            </w:pPr>
          </w:p>
        </w:tc>
        <w:tc>
          <w:tcPr>
            <w:tcW w:w="2978" w:type="dxa"/>
            <w:shd w:val="clear" w:color="auto" w:fill="auto"/>
          </w:tcPr>
          <w:p w14:paraId="43E9E718" w14:textId="4CE6E39E" w:rsidR="0032255A" w:rsidRPr="00BB599E" w:rsidRDefault="00885C69" w:rsidP="008E2CD9">
            <w:pPr>
              <w:jc w:val="both"/>
              <w:rPr>
                <w:vertAlign w:val="superscript"/>
              </w:rPr>
            </w:pPr>
            <w:r w:rsidRPr="00BB599E">
              <w:t>Svītrot 24.</w:t>
            </w:r>
            <w:r w:rsidRPr="00BB599E">
              <w:rPr>
                <w:vertAlign w:val="superscript"/>
              </w:rPr>
              <w:t>1</w:t>
            </w:r>
            <w:r w:rsidRPr="00BB599E">
              <w:t> 4. apakšpunktu</w:t>
            </w:r>
          </w:p>
        </w:tc>
        <w:tc>
          <w:tcPr>
            <w:tcW w:w="3830" w:type="dxa"/>
            <w:shd w:val="clear" w:color="auto" w:fill="auto"/>
          </w:tcPr>
          <w:p w14:paraId="33A77D83" w14:textId="77777777" w:rsidR="005272C0" w:rsidRPr="00BB599E" w:rsidRDefault="005272C0" w:rsidP="008E2CD9">
            <w:pPr>
              <w:contextualSpacing/>
              <w:jc w:val="both"/>
              <w:rPr>
                <w:b/>
              </w:rPr>
            </w:pPr>
            <w:r w:rsidRPr="00BB599E">
              <w:rPr>
                <w:b/>
              </w:rPr>
              <w:t xml:space="preserve">FM </w:t>
            </w:r>
            <w:r w:rsidRPr="00BB599E">
              <w:t>(23.04.19. iebildums)</w:t>
            </w:r>
          </w:p>
          <w:p w14:paraId="7F535F94" w14:textId="6F047619" w:rsidR="0032255A" w:rsidRPr="00BB599E" w:rsidRDefault="0032255A" w:rsidP="008E2CD9">
            <w:pPr>
              <w:contextualSpacing/>
              <w:jc w:val="both"/>
            </w:pPr>
            <w:r w:rsidRPr="00BB599E">
              <w:t>1.</w:t>
            </w:r>
            <w:r w:rsidRPr="00BB599E">
              <w:tab/>
              <w:t xml:space="preserve">Lūdzam papildināt anotācijas I sadaļas “Tiesību akta projekta izstrādes nepieciešamība” 2.punktu “Pašreizējā situācija un problēmas, kuru risināšanai tiesību akta projekts izstrādāts, tiesiskā regulējuma mērķis un būtība” (turpmāk – anotācija I sadaļas 2.punkts) ar pamatojumu MK noteikumu projekta 13.punktā iekļautajām izmaiņām. </w:t>
            </w:r>
          </w:p>
        </w:tc>
        <w:tc>
          <w:tcPr>
            <w:tcW w:w="3967" w:type="dxa"/>
            <w:shd w:val="clear" w:color="auto" w:fill="auto"/>
          </w:tcPr>
          <w:p w14:paraId="4FDEE8FF" w14:textId="77777777" w:rsidR="005272C0" w:rsidRPr="00BB599E" w:rsidRDefault="005272C0" w:rsidP="008E2CD9">
            <w:pPr>
              <w:jc w:val="both"/>
              <w:rPr>
                <w:b/>
              </w:rPr>
            </w:pPr>
            <w:r w:rsidRPr="00BB599E">
              <w:rPr>
                <w:b/>
              </w:rPr>
              <w:t>Ņemts vērā.</w:t>
            </w:r>
          </w:p>
          <w:p w14:paraId="3C86A521" w14:textId="6E264F14" w:rsidR="0032255A" w:rsidRPr="00BB599E" w:rsidRDefault="00195A92" w:rsidP="008E2CD9">
            <w:pPr>
              <w:jc w:val="both"/>
              <w:rPr>
                <w:b/>
              </w:rPr>
            </w:pPr>
            <w:r w:rsidRPr="00BB599E">
              <w:t>Skaidrojam, ka pamatojums MK noteikumu projekta 13.punktā iekļautajām izmaiņām ir sniegts anotācijas I sadaļas 2.punkta otrās daļas 4. punktā.</w:t>
            </w:r>
          </w:p>
        </w:tc>
        <w:tc>
          <w:tcPr>
            <w:tcW w:w="3388" w:type="dxa"/>
            <w:gridSpan w:val="3"/>
            <w:shd w:val="clear" w:color="auto" w:fill="auto"/>
          </w:tcPr>
          <w:p w14:paraId="1479C047" w14:textId="7095CE11" w:rsidR="0032255A" w:rsidRPr="00BB599E" w:rsidRDefault="00195A92" w:rsidP="00763B76">
            <w:pPr>
              <w:jc w:val="both"/>
            </w:pPr>
            <w:r w:rsidRPr="00BB599E">
              <w:rPr>
                <w:rFonts w:eastAsiaTheme="minorEastAsia"/>
              </w:rPr>
              <w:t xml:space="preserve">4. Projekta rezultātu ilgtspējas nosacījumu aktualizācija, no ilgtspējas kritērijiem izslēdzot tādu rezultātu uzturēšanu, pilnveidi vai aktualizāciju, kas nesniedz ieguldījumu RIS3 noteikto mērķu sasniegšanā un SAM 1.1.1. iznākuma rādītāju izpildē </w:t>
            </w:r>
          </w:p>
        </w:tc>
      </w:tr>
      <w:tr w:rsidR="005A34FA" w:rsidRPr="00BB599E" w14:paraId="04231B2B" w14:textId="77777777" w:rsidTr="0093084E">
        <w:trPr>
          <w:trHeight w:val="2730"/>
        </w:trPr>
        <w:tc>
          <w:tcPr>
            <w:tcW w:w="703" w:type="dxa"/>
            <w:shd w:val="clear" w:color="auto" w:fill="FFFFFF" w:themeFill="background1"/>
          </w:tcPr>
          <w:p w14:paraId="00A939D7" w14:textId="77777777" w:rsidR="005A34FA" w:rsidRPr="00BB599E" w:rsidRDefault="005A34FA" w:rsidP="008E2CD9">
            <w:pPr>
              <w:numPr>
                <w:ilvl w:val="0"/>
                <w:numId w:val="31"/>
              </w:numPr>
              <w:tabs>
                <w:tab w:val="center" w:pos="284"/>
              </w:tabs>
              <w:ind w:left="0" w:firstLine="0"/>
            </w:pPr>
          </w:p>
        </w:tc>
        <w:tc>
          <w:tcPr>
            <w:tcW w:w="2978" w:type="dxa"/>
            <w:shd w:val="clear" w:color="auto" w:fill="auto"/>
          </w:tcPr>
          <w:p w14:paraId="771CA500" w14:textId="77777777" w:rsidR="005A34FA" w:rsidRPr="00BB599E" w:rsidRDefault="005A34FA" w:rsidP="008E2CD9">
            <w:pPr>
              <w:jc w:val="both"/>
              <w:rPr>
                <w:vertAlign w:val="superscript"/>
              </w:rPr>
            </w:pPr>
          </w:p>
        </w:tc>
        <w:tc>
          <w:tcPr>
            <w:tcW w:w="3830" w:type="dxa"/>
            <w:shd w:val="clear" w:color="auto" w:fill="auto"/>
          </w:tcPr>
          <w:p w14:paraId="3B86E301" w14:textId="77777777" w:rsidR="005A34FA" w:rsidRPr="00BB599E" w:rsidRDefault="005A34FA" w:rsidP="008E2CD9">
            <w:pPr>
              <w:contextualSpacing/>
              <w:jc w:val="both"/>
              <w:rPr>
                <w:b/>
              </w:rPr>
            </w:pPr>
            <w:r w:rsidRPr="00BB599E">
              <w:rPr>
                <w:b/>
              </w:rPr>
              <w:t xml:space="preserve">FM </w:t>
            </w:r>
            <w:r w:rsidRPr="00BB599E">
              <w:t>(23.04.19. iebildums)</w:t>
            </w:r>
          </w:p>
          <w:p w14:paraId="20F2DE2D" w14:textId="2109DC9D" w:rsidR="005A34FA" w:rsidRPr="00BB599E" w:rsidRDefault="005A34FA" w:rsidP="008E2CD9">
            <w:pPr>
              <w:contextualSpacing/>
              <w:jc w:val="both"/>
            </w:pPr>
            <w:r w:rsidRPr="00BB599E">
              <w:t>2.</w:t>
            </w:r>
            <w:r w:rsidRPr="00BB599E">
              <w:tab/>
              <w:t>Lūdzam papildināt anotācijas I sadaļas 2.punktu ar izsekojamu informāciju par plānotajām finansējuma pārdalēm starp 1.1.1.1.pasākuma projektu iesniegumu atlašu kārtām, norādot konkrētus ERAF un valsts budžeta finansējuma apmērus, kurus plānots pārdalīt, t.sk. informāciju par atlikumiem un neatbilstoši veiktajiem izdevumiem pirmajā un otrajā projektu iesniegumu atlases kārtā.</w:t>
            </w:r>
          </w:p>
        </w:tc>
        <w:tc>
          <w:tcPr>
            <w:tcW w:w="3967" w:type="dxa"/>
            <w:vMerge w:val="restart"/>
            <w:shd w:val="clear" w:color="auto" w:fill="auto"/>
          </w:tcPr>
          <w:p w14:paraId="768F4873" w14:textId="77777777" w:rsidR="005A34FA" w:rsidRPr="00E66DC2" w:rsidRDefault="005A34FA" w:rsidP="008E2CD9">
            <w:pPr>
              <w:jc w:val="both"/>
              <w:rPr>
                <w:b/>
              </w:rPr>
            </w:pPr>
            <w:r w:rsidRPr="00E66DC2">
              <w:rPr>
                <w:b/>
              </w:rPr>
              <w:t>Ņemts vērā.</w:t>
            </w:r>
          </w:p>
          <w:p w14:paraId="544CFF7C" w14:textId="41F94B08" w:rsidR="005A34FA" w:rsidRPr="00E66DC2" w:rsidRDefault="005A34FA" w:rsidP="008E2CD9">
            <w:pPr>
              <w:jc w:val="both"/>
            </w:pPr>
            <w:r w:rsidRPr="00E66DC2">
              <w:t>Precizēt</w:t>
            </w:r>
            <w:r>
              <w:t>a anotācija</w:t>
            </w:r>
            <w:r w:rsidRPr="00E66DC2">
              <w:t xml:space="preserve"> un aktualizēts anotācijas pielikums, kurā pārskatāmi 1.tabulā norādīti dati par 1.1.1.1. pasākuma:</w:t>
            </w:r>
          </w:p>
          <w:p w14:paraId="554DDC74" w14:textId="77A14A29" w:rsidR="005A34FA" w:rsidRPr="00E66DC2" w:rsidRDefault="005A34FA" w:rsidP="008E2CD9">
            <w:pPr>
              <w:jc w:val="both"/>
            </w:pPr>
            <w:r w:rsidRPr="00E66DC2">
              <w:t>– pirmās un otrās kārtas projektu publiskajām attiecināmajām izmaksām sadalījumā pa finanšu avotiem un projektu veidiem, ko pamato KPVIS uz 10.05.2019. pieejamā informācija;</w:t>
            </w:r>
          </w:p>
          <w:p w14:paraId="340A8403" w14:textId="5D87C519" w:rsidR="005A34FA" w:rsidRDefault="005A34FA" w:rsidP="008E2CD9">
            <w:pPr>
              <w:jc w:val="both"/>
            </w:pPr>
            <w:r w:rsidRPr="00E66DC2">
              <w:t>– trešajai kārtai pieejamais publiskais finansējums sadalījumā pa finanšu avotiem un projektu veidiem, kas aprēķināts, ņemot vērā a) pirmajā un otrajā kārtā pieejamo publisko finansējumu, (kas neietver neatbilstoši veiktos izdevumus); b) noteikumu projektā trešajai kārtai piemērojamo publiskā finansējuma intensitāti</w:t>
            </w:r>
            <w:r>
              <w:t>, kas vienāda ar otrajā projektu iesniegumu atlases kārtā piemēroto publiskā finansējuma atbalsta intensitāti</w:t>
            </w:r>
            <w:r w:rsidRPr="00E66DC2">
              <w:t xml:space="preserve">. </w:t>
            </w:r>
          </w:p>
          <w:p w14:paraId="20421607" w14:textId="5901AFED" w:rsidR="005A34FA" w:rsidRPr="00E66DC2" w:rsidRDefault="005A34FA" w:rsidP="001620D9">
            <w:pPr>
              <w:jc w:val="both"/>
              <w:rPr>
                <w:highlight w:val="yellow"/>
              </w:rPr>
            </w:pPr>
            <w:r>
              <w:t xml:space="preserve">Skaidrojam, ka atbilstoši atbildīgās iestādes piemērotajai aprēķinu metodikai, trešajai kārtai pieejamā publiskā finansējuma aprēķināšanai nav nepieciešams izmantot pirmās un otrās projektu iesniegumu atlases kārtas ietvaros neatbilstoši veikto izmaksu apmēru un „atlikumus”. </w:t>
            </w:r>
            <w:r w:rsidRPr="00E66DC2">
              <w:t xml:space="preserve"> </w:t>
            </w:r>
          </w:p>
        </w:tc>
        <w:tc>
          <w:tcPr>
            <w:tcW w:w="3388" w:type="dxa"/>
            <w:gridSpan w:val="3"/>
            <w:vMerge w:val="restart"/>
            <w:shd w:val="clear" w:color="auto" w:fill="auto"/>
          </w:tcPr>
          <w:p w14:paraId="60CE5E60" w14:textId="708263E4" w:rsidR="005A34FA" w:rsidRPr="000767DB" w:rsidRDefault="005A34FA" w:rsidP="005A34FA">
            <w:pPr>
              <w:jc w:val="both"/>
            </w:pPr>
            <w:r w:rsidRPr="000767DB">
              <w:t>Anotācijas I sadaļas 2. punkta pirmā daļa:</w:t>
            </w:r>
          </w:p>
          <w:p w14:paraId="4E7B4E5B" w14:textId="3C154DCC" w:rsidR="000767DB" w:rsidRPr="000767DB" w:rsidRDefault="000767DB" w:rsidP="000767DB">
            <w:pPr>
              <w:spacing w:before="60" w:after="60"/>
              <w:ind w:left="101" w:right="102"/>
              <w:contextualSpacing/>
              <w:jc w:val="both"/>
              <w:rPr>
                <w:rFonts w:eastAsiaTheme="minorEastAsia"/>
              </w:rPr>
            </w:pPr>
            <w:r w:rsidRPr="000767DB">
              <w:rPr>
                <w:rFonts w:eastAsiaTheme="minorEastAsia"/>
              </w:rPr>
              <w:t>3. noteikt trešajai projektu iesniegumu atlases kārtai pieejamo publisko finansējumu (MK noteikumu 12.</w:t>
            </w:r>
            <w:r w:rsidRPr="000767DB">
              <w:rPr>
                <w:rFonts w:eastAsiaTheme="minorEastAsia"/>
                <w:vertAlign w:val="superscript"/>
              </w:rPr>
              <w:t>2</w:t>
            </w:r>
            <w:r w:rsidRPr="000767DB">
              <w:rPr>
                <w:rFonts w:eastAsiaTheme="minorEastAsia"/>
              </w:rPr>
              <w:t> punkts), kas aprēķināts, ņemot vērā 1.1.1.1. pasākumam pieejamo kopējo publisko finansējumu, pirmās un otrās projektu iesniegumu atlases kārtas ietvaros pieejamo publiskā finansējuma apmēru un trešajai projektu iesniegumu atlases kārtai noteikto publiskā finansējuma atbalsta intensitāti, kas ir vienāda ar otrajā projektu iesniegumu atlases kārtā piemēroto publiskā finansējuma atbalsta intensitāti (MK noteikumu 12.</w:t>
            </w:r>
            <w:r w:rsidRPr="000767DB">
              <w:rPr>
                <w:rFonts w:eastAsiaTheme="minorEastAsia"/>
                <w:vertAlign w:val="superscript"/>
              </w:rPr>
              <w:t>1</w:t>
            </w:r>
            <w:r w:rsidRPr="000767DB">
              <w:rPr>
                <w:rFonts w:eastAsiaTheme="minorEastAsia"/>
              </w:rPr>
              <w:t> 1.2. un 12.</w:t>
            </w:r>
            <w:r w:rsidRPr="000767DB">
              <w:rPr>
                <w:rFonts w:eastAsiaTheme="minorEastAsia"/>
                <w:vertAlign w:val="superscript"/>
              </w:rPr>
              <w:t>2</w:t>
            </w:r>
            <w:r w:rsidRPr="000767DB">
              <w:rPr>
                <w:rFonts w:eastAsiaTheme="minorEastAsia"/>
              </w:rPr>
              <w:t xml:space="preserve"> 1.2. apakšpunkts). </w:t>
            </w:r>
          </w:p>
          <w:p w14:paraId="6B79D60B" w14:textId="77777777" w:rsidR="000767DB" w:rsidRPr="000767DB" w:rsidRDefault="000767DB" w:rsidP="000767DB">
            <w:pPr>
              <w:spacing w:before="60" w:after="60"/>
              <w:ind w:left="101" w:right="102"/>
              <w:contextualSpacing/>
              <w:jc w:val="both"/>
              <w:rPr>
                <w:rFonts w:eastAsiaTheme="minorEastAsia"/>
              </w:rPr>
            </w:pPr>
            <w:r w:rsidRPr="000767DB">
              <w:rPr>
                <w:rFonts w:eastAsiaTheme="minorEastAsia"/>
              </w:rPr>
              <w:t xml:space="preserve">Šīs anotācijas pielikumā sniegta detalizēta un izsekojama informācija par 1.1.1.1. pasākuma trešajai projektu iesniegumu atlases kārtai pieejamā publiskā finansējuma aprēķiniem, kas veikti, </w:t>
            </w:r>
            <w:r w:rsidRPr="000767DB">
              <w:rPr>
                <w:rFonts w:eastAsiaTheme="minorEastAsia"/>
              </w:rPr>
              <w:lastRenderedPageBreak/>
              <w:t xml:space="preserve">izslēdzot </w:t>
            </w:r>
            <w:r w:rsidRPr="000767DB">
              <w:rPr>
                <w:szCs w:val="22"/>
              </w:rPr>
              <w:t xml:space="preserve">risku, ka kāds no otrās projektu iesniegumu atlases kārtas projektu pieteikumu iesniedzējiem pārsūdz projektu iesniegumu vērtēšanas komisijas lēmumu, jo otrajā projektu iesniegumu atlases kārtā pieejamā publiskā finansējuma aprēķinos ņemti vērā dati par tādu projektu īstenošanai nepieciešamo publisko finansējumu, kuriem ir šāds projekta statuss: </w:t>
            </w:r>
            <w:r w:rsidRPr="000767DB">
              <w:rPr>
                <w:i/>
                <w:szCs w:val="22"/>
              </w:rPr>
              <w:t xml:space="preserve">līgums; apstiprināts </w:t>
            </w:r>
            <w:r w:rsidRPr="000767DB">
              <w:rPr>
                <w:szCs w:val="22"/>
              </w:rPr>
              <w:t>vai</w:t>
            </w:r>
            <w:r w:rsidRPr="000767DB">
              <w:rPr>
                <w:i/>
                <w:szCs w:val="22"/>
              </w:rPr>
              <w:t xml:space="preserve"> iesniegti precizējumi</w:t>
            </w:r>
            <w:r w:rsidRPr="000767DB">
              <w:rPr>
                <w:szCs w:val="22"/>
              </w:rPr>
              <w:t>.</w:t>
            </w:r>
          </w:p>
          <w:p w14:paraId="2253CE6E" w14:textId="050C934B" w:rsidR="005A34FA" w:rsidRPr="000767DB" w:rsidRDefault="005A34FA" w:rsidP="00E41853">
            <w:pPr>
              <w:jc w:val="both"/>
            </w:pPr>
          </w:p>
        </w:tc>
      </w:tr>
      <w:tr w:rsidR="005A34FA" w:rsidRPr="00BB599E" w14:paraId="4E6626F7" w14:textId="77777777" w:rsidTr="0093084E">
        <w:trPr>
          <w:trHeight w:val="1124"/>
        </w:trPr>
        <w:tc>
          <w:tcPr>
            <w:tcW w:w="703" w:type="dxa"/>
            <w:shd w:val="clear" w:color="auto" w:fill="FFFFFF" w:themeFill="background1"/>
          </w:tcPr>
          <w:p w14:paraId="44C78E3F" w14:textId="270F2249" w:rsidR="005A34FA" w:rsidRPr="00E66DC2" w:rsidRDefault="005A34FA" w:rsidP="008E2CD9">
            <w:pPr>
              <w:numPr>
                <w:ilvl w:val="0"/>
                <w:numId w:val="31"/>
              </w:numPr>
              <w:tabs>
                <w:tab w:val="center" w:pos="284"/>
              </w:tabs>
              <w:ind w:left="0" w:firstLine="0"/>
            </w:pPr>
          </w:p>
        </w:tc>
        <w:tc>
          <w:tcPr>
            <w:tcW w:w="2978" w:type="dxa"/>
            <w:shd w:val="clear" w:color="auto" w:fill="auto"/>
          </w:tcPr>
          <w:p w14:paraId="36A8E440" w14:textId="77777777" w:rsidR="005A34FA" w:rsidRPr="00BB599E" w:rsidRDefault="005A34FA" w:rsidP="008E2CD9">
            <w:pPr>
              <w:jc w:val="both"/>
              <w:rPr>
                <w:vertAlign w:val="superscript"/>
              </w:rPr>
            </w:pPr>
          </w:p>
        </w:tc>
        <w:tc>
          <w:tcPr>
            <w:tcW w:w="3830" w:type="dxa"/>
            <w:shd w:val="clear" w:color="auto" w:fill="auto"/>
          </w:tcPr>
          <w:p w14:paraId="389FCB90" w14:textId="272A1CB8" w:rsidR="005A34FA" w:rsidRPr="00BB599E" w:rsidRDefault="005A34FA" w:rsidP="008E2CD9">
            <w:pPr>
              <w:contextualSpacing/>
              <w:jc w:val="both"/>
              <w:rPr>
                <w:b/>
              </w:rPr>
            </w:pPr>
            <w:r w:rsidRPr="00BB599E">
              <w:rPr>
                <w:b/>
              </w:rPr>
              <w:t xml:space="preserve">FM </w:t>
            </w:r>
            <w:r w:rsidRPr="00BB599E">
              <w:t>(</w:t>
            </w:r>
            <w:r>
              <w:t>09</w:t>
            </w:r>
            <w:r w:rsidRPr="00BB599E">
              <w:t>.0</w:t>
            </w:r>
            <w:r>
              <w:t>5</w:t>
            </w:r>
            <w:r w:rsidRPr="00BB599E">
              <w:t>.19. iebildums)</w:t>
            </w:r>
          </w:p>
          <w:p w14:paraId="08492B2B" w14:textId="7AE6B5FF" w:rsidR="005A34FA" w:rsidRPr="00691854" w:rsidRDefault="005A34FA" w:rsidP="008E2CD9">
            <w:pPr>
              <w:contextualSpacing/>
              <w:jc w:val="both"/>
            </w:pPr>
            <w:r w:rsidRPr="00691854">
              <w:t xml:space="preserve">Uzturam š.g. 23.aprīļa atzinuma izteikto iebildumu, kas ietverts izziņas 23.punktā, lūdzot papildināt anotācijas I sadaļas “Tiesību akta projekta izstrādes nepieciešamība” 2.punktu “Pašreizējā situācija un problēmas, kuru risināšanai tiesību akta projekts izstrādāts, tiesiskā regulējuma mērķis un būtība” (turpmāk – anotācijas I sadaļas 2.punkts) vai anotācijas pielikumu ar izsekojamu informāciju par plānotajām finansējuma pārdalēm starp 1.1.1.1.pasākuma projektu iesniegumu atlašu kārtām, </w:t>
            </w:r>
            <w:r w:rsidRPr="00691854">
              <w:lastRenderedPageBreak/>
              <w:t>aprakstot vai pārskatāmi vienā tabulā norādot konkrētus ERAF un valsts budžeta finansējuma apmērus un informāciju par atlikumiem un neatbilstoši veiktajiem izdevumiem pirmajā un otrajā projektu iesniegumu atlases kārtā. Skaidrojam, ka anotācijas pielikumā pievienotajos aprēķinos nav iekļauta pārskatāma informācija par pirmās un otrās projektu iesniegumu atlases kārtas atlikumu un neatbilstoši veikto izdevumu apmēriem, t.sk. lūdzam precizēt anotācijas pielikumu, norādot kolonnās izmantoto saīsinājumu skaidrojumus un pielikuma kolonnās norādītās aprēķinu formulas, jo tajās ir atsauces uz neesošām kolonnām.</w:t>
            </w:r>
          </w:p>
        </w:tc>
        <w:tc>
          <w:tcPr>
            <w:tcW w:w="3967" w:type="dxa"/>
            <w:vMerge/>
            <w:shd w:val="clear" w:color="auto" w:fill="auto"/>
          </w:tcPr>
          <w:p w14:paraId="7A09C1C5" w14:textId="77777777" w:rsidR="005A34FA" w:rsidRPr="00BB599E" w:rsidRDefault="005A34FA" w:rsidP="008E2CD9">
            <w:pPr>
              <w:jc w:val="both"/>
              <w:rPr>
                <w:b/>
              </w:rPr>
            </w:pPr>
          </w:p>
        </w:tc>
        <w:tc>
          <w:tcPr>
            <w:tcW w:w="3388" w:type="dxa"/>
            <w:gridSpan w:val="3"/>
            <w:vMerge/>
            <w:shd w:val="clear" w:color="auto" w:fill="auto"/>
          </w:tcPr>
          <w:p w14:paraId="635BA8C3" w14:textId="26BC66CF" w:rsidR="005A34FA" w:rsidRPr="00BB599E" w:rsidRDefault="005A34FA" w:rsidP="00E41853">
            <w:pPr>
              <w:jc w:val="both"/>
            </w:pPr>
          </w:p>
        </w:tc>
      </w:tr>
      <w:tr w:rsidR="005A34FA" w:rsidRPr="00BB599E" w14:paraId="1D0A1518" w14:textId="77777777" w:rsidTr="0093084E">
        <w:trPr>
          <w:trHeight w:val="1124"/>
        </w:trPr>
        <w:tc>
          <w:tcPr>
            <w:tcW w:w="703" w:type="dxa"/>
            <w:shd w:val="clear" w:color="auto" w:fill="FFFFFF" w:themeFill="background1"/>
          </w:tcPr>
          <w:p w14:paraId="7EBF7088" w14:textId="77777777" w:rsidR="005A34FA" w:rsidRPr="009A0F31" w:rsidRDefault="005A34FA" w:rsidP="008E2CD9">
            <w:pPr>
              <w:numPr>
                <w:ilvl w:val="0"/>
                <w:numId w:val="31"/>
              </w:numPr>
              <w:tabs>
                <w:tab w:val="center" w:pos="284"/>
              </w:tabs>
              <w:ind w:left="0" w:firstLine="0"/>
            </w:pPr>
          </w:p>
        </w:tc>
        <w:tc>
          <w:tcPr>
            <w:tcW w:w="2978" w:type="dxa"/>
            <w:shd w:val="clear" w:color="auto" w:fill="auto"/>
          </w:tcPr>
          <w:p w14:paraId="114D1AE7" w14:textId="77777777" w:rsidR="005A34FA" w:rsidRPr="00BB599E" w:rsidRDefault="005A34FA" w:rsidP="008E2CD9">
            <w:pPr>
              <w:jc w:val="both"/>
              <w:rPr>
                <w:vertAlign w:val="superscript"/>
              </w:rPr>
            </w:pPr>
          </w:p>
        </w:tc>
        <w:tc>
          <w:tcPr>
            <w:tcW w:w="3830" w:type="dxa"/>
            <w:shd w:val="clear" w:color="auto" w:fill="auto"/>
          </w:tcPr>
          <w:p w14:paraId="5522C180" w14:textId="77777777" w:rsidR="005A34FA" w:rsidRPr="00BB599E" w:rsidRDefault="005A34FA" w:rsidP="008E2CD9">
            <w:pPr>
              <w:contextualSpacing/>
              <w:jc w:val="both"/>
              <w:rPr>
                <w:b/>
              </w:rPr>
            </w:pPr>
            <w:r w:rsidRPr="00BB599E">
              <w:rPr>
                <w:b/>
              </w:rPr>
              <w:t xml:space="preserve">FM </w:t>
            </w:r>
            <w:r w:rsidRPr="00BB599E">
              <w:t>(</w:t>
            </w:r>
            <w:r>
              <w:t>09</w:t>
            </w:r>
            <w:r w:rsidRPr="00BB599E">
              <w:t>.0</w:t>
            </w:r>
            <w:r>
              <w:t>5</w:t>
            </w:r>
            <w:r w:rsidRPr="00BB599E">
              <w:t>.19. iebildums)</w:t>
            </w:r>
          </w:p>
          <w:p w14:paraId="560DCF62" w14:textId="7719A7F3" w:rsidR="005A34FA" w:rsidRPr="00BB599E" w:rsidRDefault="005A34FA" w:rsidP="008E2CD9">
            <w:pPr>
              <w:contextualSpacing/>
              <w:jc w:val="both"/>
              <w:rPr>
                <w:b/>
              </w:rPr>
            </w:pPr>
            <w:r>
              <w:t>Uzturam š.g. 23.aprīļa atzinumā izteikto iebildumu, kas ietverts izziņas 24.punktā, lūdzot</w:t>
            </w:r>
            <w:r w:rsidRPr="00466AA5">
              <w:t xml:space="preserve"> papildināt </w:t>
            </w:r>
            <w:r w:rsidRPr="006767A2">
              <w:t>anotācijas I sadaļas 2.punkt</w:t>
            </w:r>
            <w:r>
              <w:t>a I sadaļu “</w:t>
            </w:r>
            <w:r w:rsidRPr="00B96AF8">
              <w:rPr>
                <w:rFonts w:eastAsiaTheme="minorEastAsia"/>
              </w:rPr>
              <w:t xml:space="preserve">Trešā projektu iesniegumu atlases </w:t>
            </w:r>
            <w:r w:rsidRPr="00D94234">
              <w:rPr>
                <w:rFonts w:eastAsiaTheme="minorEastAsia"/>
              </w:rPr>
              <w:t>kārta</w:t>
            </w:r>
            <w:r w:rsidRPr="00D94234">
              <w:t xml:space="preserve">” ar informāciju, vai pie finansējuma pārdales ir ņemts vērā risks, ka kāds no otrās projektu atlases kārtas projektu pieteikumu </w:t>
            </w:r>
            <w:r w:rsidRPr="00D94234">
              <w:lastRenderedPageBreak/>
              <w:t>iesniedzējiem pārsūdz projektu iesniegumu vērtēšanas komisijas lēmumu.</w:t>
            </w:r>
          </w:p>
        </w:tc>
        <w:tc>
          <w:tcPr>
            <w:tcW w:w="3967" w:type="dxa"/>
            <w:shd w:val="clear" w:color="auto" w:fill="auto"/>
          </w:tcPr>
          <w:p w14:paraId="796925CC" w14:textId="77777777" w:rsidR="005A34FA" w:rsidRPr="00BB599E" w:rsidRDefault="005A34FA" w:rsidP="008E2CD9">
            <w:pPr>
              <w:jc w:val="both"/>
              <w:rPr>
                <w:b/>
              </w:rPr>
            </w:pPr>
            <w:r w:rsidRPr="00BB599E">
              <w:rPr>
                <w:b/>
              </w:rPr>
              <w:lastRenderedPageBreak/>
              <w:t>Ņemts vērā.</w:t>
            </w:r>
          </w:p>
          <w:p w14:paraId="6AD9B6AB" w14:textId="77777777" w:rsidR="005A34FA" w:rsidRPr="00BB599E" w:rsidRDefault="005A34FA" w:rsidP="008E2CD9">
            <w:pPr>
              <w:jc w:val="both"/>
              <w:rPr>
                <w:b/>
              </w:rPr>
            </w:pPr>
          </w:p>
        </w:tc>
        <w:tc>
          <w:tcPr>
            <w:tcW w:w="3388" w:type="dxa"/>
            <w:gridSpan w:val="3"/>
            <w:vMerge/>
            <w:shd w:val="clear" w:color="auto" w:fill="auto"/>
          </w:tcPr>
          <w:p w14:paraId="3D41B6AE" w14:textId="165DEDC0" w:rsidR="005A34FA" w:rsidRPr="00BB599E" w:rsidRDefault="005A34FA" w:rsidP="00E41853">
            <w:pPr>
              <w:jc w:val="both"/>
            </w:pPr>
          </w:p>
        </w:tc>
      </w:tr>
      <w:tr w:rsidR="005A34FA" w:rsidRPr="00BB599E" w14:paraId="6B5695AD" w14:textId="77777777" w:rsidTr="0093084E">
        <w:trPr>
          <w:trHeight w:val="1124"/>
        </w:trPr>
        <w:tc>
          <w:tcPr>
            <w:tcW w:w="703" w:type="dxa"/>
            <w:shd w:val="clear" w:color="auto" w:fill="FFFFFF" w:themeFill="background1"/>
          </w:tcPr>
          <w:p w14:paraId="05FC65D9" w14:textId="77777777" w:rsidR="005A34FA" w:rsidRPr="00BB599E" w:rsidRDefault="005A34FA" w:rsidP="008E2CD9">
            <w:pPr>
              <w:numPr>
                <w:ilvl w:val="0"/>
                <w:numId w:val="31"/>
              </w:numPr>
              <w:tabs>
                <w:tab w:val="center" w:pos="284"/>
              </w:tabs>
              <w:ind w:left="0" w:firstLine="0"/>
            </w:pPr>
          </w:p>
        </w:tc>
        <w:tc>
          <w:tcPr>
            <w:tcW w:w="2978" w:type="dxa"/>
            <w:shd w:val="clear" w:color="auto" w:fill="auto"/>
          </w:tcPr>
          <w:p w14:paraId="3EDBF153" w14:textId="77777777" w:rsidR="005A34FA" w:rsidRPr="00BB599E" w:rsidRDefault="005A34FA" w:rsidP="008E2CD9">
            <w:pPr>
              <w:jc w:val="both"/>
              <w:rPr>
                <w:vertAlign w:val="superscript"/>
              </w:rPr>
            </w:pPr>
          </w:p>
        </w:tc>
        <w:tc>
          <w:tcPr>
            <w:tcW w:w="3830" w:type="dxa"/>
            <w:shd w:val="clear" w:color="auto" w:fill="auto"/>
          </w:tcPr>
          <w:p w14:paraId="40BF8417" w14:textId="77777777" w:rsidR="005A34FA" w:rsidRPr="00BB599E" w:rsidRDefault="005A34FA" w:rsidP="008E2CD9">
            <w:pPr>
              <w:contextualSpacing/>
              <w:jc w:val="both"/>
              <w:rPr>
                <w:b/>
              </w:rPr>
            </w:pPr>
            <w:r w:rsidRPr="00BB599E">
              <w:rPr>
                <w:b/>
              </w:rPr>
              <w:t xml:space="preserve">FM </w:t>
            </w:r>
            <w:r w:rsidRPr="00BB599E">
              <w:t>(23.04.19. iebildums)</w:t>
            </w:r>
          </w:p>
          <w:p w14:paraId="16C5DF89" w14:textId="726208D2" w:rsidR="005A34FA" w:rsidRPr="00BB599E" w:rsidRDefault="005A34FA" w:rsidP="008E2CD9">
            <w:pPr>
              <w:contextualSpacing/>
              <w:jc w:val="both"/>
            </w:pPr>
            <w:r w:rsidRPr="00BB599E">
              <w:t>3.</w:t>
            </w:r>
            <w:r w:rsidRPr="00BB599E">
              <w:tab/>
              <w:t>Lūdzam papildināt anotācijas I sadaļas 2.punktu ar skaidrojumu, pēc kādiem principiem tika plānota finansējuma pārdale no otrās projektu iesniegumu atlases kārtas, ņemot vērā, ka otrajā projektu iesniegumu atlases kārtā vēl turpinās projektu iesniegumu vērtēšana.</w:t>
            </w:r>
          </w:p>
        </w:tc>
        <w:tc>
          <w:tcPr>
            <w:tcW w:w="3967" w:type="dxa"/>
            <w:shd w:val="clear" w:color="auto" w:fill="auto"/>
          </w:tcPr>
          <w:p w14:paraId="7C219CF7" w14:textId="77777777" w:rsidR="005A34FA" w:rsidRPr="00BB599E" w:rsidRDefault="005A34FA" w:rsidP="008E2CD9">
            <w:pPr>
              <w:jc w:val="both"/>
              <w:rPr>
                <w:b/>
              </w:rPr>
            </w:pPr>
            <w:r w:rsidRPr="00BB599E">
              <w:rPr>
                <w:b/>
              </w:rPr>
              <w:t>Ņemts vērā.</w:t>
            </w:r>
          </w:p>
          <w:p w14:paraId="401D5134" w14:textId="7D2E0510" w:rsidR="005A34FA" w:rsidRPr="00BB599E" w:rsidRDefault="005A34FA" w:rsidP="008E2CD9">
            <w:pPr>
              <w:jc w:val="both"/>
              <w:rPr>
                <w:b/>
              </w:rPr>
            </w:pPr>
            <w:r w:rsidRPr="00BB599E">
              <w:t>Papildināta</w:t>
            </w:r>
            <w:r w:rsidRPr="00BB599E">
              <w:rPr>
                <w:b/>
              </w:rPr>
              <w:t xml:space="preserve"> </w:t>
            </w:r>
            <w:r w:rsidRPr="00BB599E">
              <w:t>anotācijas I sadaļas 2.punkta pirmā daļa</w:t>
            </w:r>
            <w:r w:rsidR="00D502F8">
              <w:t>.</w:t>
            </w:r>
          </w:p>
        </w:tc>
        <w:tc>
          <w:tcPr>
            <w:tcW w:w="3388" w:type="dxa"/>
            <w:gridSpan w:val="3"/>
            <w:vMerge/>
            <w:shd w:val="clear" w:color="auto" w:fill="auto"/>
          </w:tcPr>
          <w:p w14:paraId="3FC107D7" w14:textId="63CBFC3E" w:rsidR="005A34FA" w:rsidRPr="00BB599E" w:rsidRDefault="005A34FA" w:rsidP="005A34FA">
            <w:pPr>
              <w:jc w:val="both"/>
            </w:pPr>
          </w:p>
        </w:tc>
      </w:tr>
      <w:tr w:rsidR="005272C0" w:rsidRPr="00BB599E" w14:paraId="7BDF1B47" w14:textId="77777777" w:rsidTr="0093084E">
        <w:trPr>
          <w:trHeight w:val="1778"/>
        </w:trPr>
        <w:tc>
          <w:tcPr>
            <w:tcW w:w="703" w:type="dxa"/>
            <w:shd w:val="clear" w:color="auto" w:fill="FFFFFF" w:themeFill="background1"/>
          </w:tcPr>
          <w:p w14:paraId="21401C8F" w14:textId="77777777" w:rsidR="005272C0" w:rsidRPr="00BB599E" w:rsidRDefault="005272C0" w:rsidP="008E2CD9">
            <w:pPr>
              <w:numPr>
                <w:ilvl w:val="0"/>
                <w:numId w:val="31"/>
              </w:numPr>
              <w:tabs>
                <w:tab w:val="center" w:pos="284"/>
              </w:tabs>
              <w:ind w:left="0" w:firstLine="0"/>
            </w:pPr>
          </w:p>
        </w:tc>
        <w:tc>
          <w:tcPr>
            <w:tcW w:w="2978" w:type="dxa"/>
            <w:shd w:val="clear" w:color="auto" w:fill="auto"/>
          </w:tcPr>
          <w:p w14:paraId="33945777" w14:textId="77777777" w:rsidR="005272C0" w:rsidRPr="00BB599E" w:rsidRDefault="005272C0" w:rsidP="008E2CD9">
            <w:pPr>
              <w:jc w:val="both"/>
              <w:rPr>
                <w:vertAlign w:val="superscript"/>
              </w:rPr>
            </w:pPr>
          </w:p>
        </w:tc>
        <w:tc>
          <w:tcPr>
            <w:tcW w:w="3830" w:type="dxa"/>
            <w:shd w:val="clear" w:color="auto" w:fill="auto"/>
          </w:tcPr>
          <w:p w14:paraId="13879D60" w14:textId="77777777" w:rsidR="002E2B44" w:rsidRPr="00BB599E" w:rsidRDefault="002E2B44" w:rsidP="008E2CD9">
            <w:pPr>
              <w:contextualSpacing/>
              <w:jc w:val="both"/>
              <w:rPr>
                <w:b/>
              </w:rPr>
            </w:pPr>
            <w:r w:rsidRPr="00BB599E">
              <w:rPr>
                <w:b/>
              </w:rPr>
              <w:t xml:space="preserve">FM </w:t>
            </w:r>
            <w:r w:rsidRPr="00BB599E">
              <w:t>(23.04.19. iebildums)</w:t>
            </w:r>
          </w:p>
          <w:p w14:paraId="797950A8" w14:textId="77777777" w:rsidR="005272C0" w:rsidRPr="00BB599E" w:rsidRDefault="005272C0" w:rsidP="008E2CD9">
            <w:pPr>
              <w:contextualSpacing/>
              <w:jc w:val="both"/>
            </w:pPr>
            <w:r w:rsidRPr="00BB599E">
              <w:t>4.</w:t>
            </w:r>
            <w:r w:rsidRPr="00BB599E">
              <w:tab/>
              <w:t>Lūdzam papildināt anotācijas I</w:t>
            </w:r>
          </w:p>
          <w:p w14:paraId="5CEC4EF0" w14:textId="55D3F882" w:rsidR="005272C0" w:rsidRPr="00BB599E" w:rsidRDefault="005272C0" w:rsidP="008E2CD9">
            <w:pPr>
              <w:contextualSpacing/>
              <w:jc w:val="both"/>
            </w:pPr>
            <w:r w:rsidRPr="00BB599E">
              <w:t xml:space="preserve"> sadaļas 2.</w:t>
            </w:r>
            <w:r w:rsidR="00921736">
              <w:t xml:space="preserve"> </w:t>
            </w:r>
            <w:r w:rsidRPr="00BB599E">
              <w:t>punktu ar identificētajiem iznākumu rādītāju riskiem, ņemot vērā, ka anotācijā ir norādīts, ka tie ir identificēti, analizējot SAM 1.1.1. pasākumu iznākuma rādītāju izpildes tendences.</w:t>
            </w:r>
          </w:p>
        </w:tc>
        <w:tc>
          <w:tcPr>
            <w:tcW w:w="3967" w:type="dxa"/>
            <w:shd w:val="clear" w:color="auto" w:fill="auto"/>
          </w:tcPr>
          <w:p w14:paraId="072088A1" w14:textId="46C83FED" w:rsidR="005272C0" w:rsidRPr="00BB599E" w:rsidRDefault="00FA1959" w:rsidP="008E2CD9">
            <w:pPr>
              <w:jc w:val="both"/>
              <w:rPr>
                <w:b/>
              </w:rPr>
            </w:pPr>
            <w:r w:rsidRPr="00BB599E">
              <w:rPr>
                <w:b/>
              </w:rPr>
              <w:t>Ņemts vērā.</w:t>
            </w:r>
          </w:p>
          <w:p w14:paraId="709D3DCD" w14:textId="23E0ABDD" w:rsidR="00FA1959" w:rsidRPr="00BB599E" w:rsidRDefault="00FA1959" w:rsidP="00D502F8">
            <w:pPr>
              <w:contextualSpacing/>
              <w:jc w:val="both"/>
              <w:rPr>
                <w:b/>
              </w:rPr>
            </w:pPr>
            <w:r w:rsidRPr="00BB599E">
              <w:t>Papildināta</w:t>
            </w:r>
            <w:r w:rsidRPr="00BB599E">
              <w:rPr>
                <w:b/>
              </w:rPr>
              <w:t xml:space="preserve"> </w:t>
            </w:r>
            <w:r w:rsidRPr="00BB599E">
              <w:t>anotācijas I sadaļas 2.punkta otrā daļa, sniedzot informāciju par SAM 1.1.1. ietvaros uzņemtajām saistībām.</w:t>
            </w:r>
          </w:p>
        </w:tc>
        <w:tc>
          <w:tcPr>
            <w:tcW w:w="3388" w:type="dxa"/>
            <w:gridSpan w:val="3"/>
            <w:shd w:val="clear" w:color="auto" w:fill="auto"/>
          </w:tcPr>
          <w:p w14:paraId="5B58E1E6" w14:textId="4BFD54BF" w:rsidR="005272C0" w:rsidRPr="00BB599E" w:rsidRDefault="00FA1959" w:rsidP="008E2CD9">
            <w:pPr>
              <w:jc w:val="both"/>
            </w:pPr>
            <w:r w:rsidRPr="00BB599E">
              <w:t>SAM 1.1.1. pasākuma ietvaros uzņemtās saistības veido 51% no plānotās i.1.1.1.g rādītāja vērtības un 59% no plānotās i.1.1.1.ck (CO26) rādītāja vērtības.</w:t>
            </w:r>
          </w:p>
        </w:tc>
      </w:tr>
      <w:tr w:rsidR="001A76CC" w:rsidRPr="00BB599E" w14:paraId="06BF0EE4" w14:textId="77777777" w:rsidTr="0093084E">
        <w:trPr>
          <w:trHeight w:val="1823"/>
        </w:trPr>
        <w:tc>
          <w:tcPr>
            <w:tcW w:w="703" w:type="dxa"/>
            <w:shd w:val="clear" w:color="auto" w:fill="FFFFFF" w:themeFill="background1"/>
          </w:tcPr>
          <w:p w14:paraId="510E6A5B" w14:textId="06263F6A" w:rsidR="001A76CC" w:rsidRPr="00BB599E" w:rsidRDefault="001A76CC" w:rsidP="008E2CD9">
            <w:pPr>
              <w:numPr>
                <w:ilvl w:val="0"/>
                <w:numId w:val="31"/>
              </w:numPr>
              <w:tabs>
                <w:tab w:val="center" w:pos="284"/>
              </w:tabs>
              <w:ind w:left="0" w:firstLine="0"/>
            </w:pPr>
          </w:p>
        </w:tc>
        <w:tc>
          <w:tcPr>
            <w:tcW w:w="2978" w:type="dxa"/>
            <w:shd w:val="clear" w:color="auto" w:fill="auto"/>
          </w:tcPr>
          <w:p w14:paraId="3112FE60" w14:textId="77777777" w:rsidR="001A76CC" w:rsidRPr="00BB599E" w:rsidRDefault="001A76CC" w:rsidP="008E2CD9">
            <w:pPr>
              <w:jc w:val="both"/>
              <w:rPr>
                <w:vertAlign w:val="superscript"/>
              </w:rPr>
            </w:pPr>
          </w:p>
        </w:tc>
        <w:tc>
          <w:tcPr>
            <w:tcW w:w="3830" w:type="dxa"/>
            <w:shd w:val="clear" w:color="auto" w:fill="auto"/>
          </w:tcPr>
          <w:p w14:paraId="54AD1CE1" w14:textId="77777777" w:rsidR="002E2B44" w:rsidRPr="00BB599E" w:rsidRDefault="002E2B44" w:rsidP="008E2CD9">
            <w:pPr>
              <w:contextualSpacing/>
              <w:jc w:val="both"/>
              <w:rPr>
                <w:b/>
              </w:rPr>
            </w:pPr>
            <w:r w:rsidRPr="00BB599E">
              <w:rPr>
                <w:b/>
              </w:rPr>
              <w:t xml:space="preserve">FM </w:t>
            </w:r>
            <w:r w:rsidRPr="00BB599E">
              <w:t>(23.04.19. iebildums)</w:t>
            </w:r>
          </w:p>
          <w:p w14:paraId="40B57022" w14:textId="5DD8D96C" w:rsidR="001A76CC" w:rsidRPr="00BB599E" w:rsidRDefault="001A76CC" w:rsidP="008E2CD9">
            <w:pPr>
              <w:contextualSpacing/>
              <w:jc w:val="both"/>
            </w:pPr>
            <w:r w:rsidRPr="00BB599E">
              <w:t>5.</w:t>
            </w:r>
            <w:r w:rsidRPr="00BB599E">
              <w:tab/>
              <w:t xml:space="preserve">Lūdzam papildināt anotācijas I. sadaļas 2.punktu ar skaidrojumu, kā MK noteikumu projektā iekļautie grozījumi ietekmēs īstenošanā esošus projektus un vai attiecīgie grozījumi nav </w:t>
            </w:r>
            <w:r w:rsidRPr="00BB599E">
              <w:lastRenderedPageBreak/>
              <w:t>uzskatāmi par būtiskām izmaiņām.</w:t>
            </w:r>
          </w:p>
        </w:tc>
        <w:tc>
          <w:tcPr>
            <w:tcW w:w="3967" w:type="dxa"/>
            <w:shd w:val="clear" w:color="auto" w:fill="auto"/>
          </w:tcPr>
          <w:p w14:paraId="2F5AFE1F" w14:textId="77777777" w:rsidR="00D822C4" w:rsidRPr="00BB599E" w:rsidRDefault="00D822C4" w:rsidP="008E2CD9">
            <w:pPr>
              <w:jc w:val="both"/>
              <w:rPr>
                <w:b/>
              </w:rPr>
            </w:pPr>
            <w:r w:rsidRPr="00BB599E">
              <w:rPr>
                <w:b/>
              </w:rPr>
              <w:lastRenderedPageBreak/>
              <w:t>Ņemts vērā.</w:t>
            </w:r>
          </w:p>
          <w:p w14:paraId="0B9B983B" w14:textId="4EAFB4C9" w:rsidR="001A76CC" w:rsidRPr="00BB599E" w:rsidRDefault="00D822C4" w:rsidP="008E2CD9">
            <w:pPr>
              <w:jc w:val="both"/>
              <w:rPr>
                <w:b/>
              </w:rPr>
            </w:pPr>
            <w:r w:rsidRPr="00BB599E">
              <w:t>Papildināta</w:t>
            </w:r>
            <w:r w:rsidRPr="00BB599E">
              <w:rPr>
                <w:b/>
              </w:rPr>
              <w:t xml:space="preserve"> </w:t>
            </w:r>
            <w:r w:rsidRPr="00BB599E">
              <w:t>anotācijas I sadaļas 2.punkta noslēguma daļa.</w:t>
            </w:r>
          </w:p>
        </w:tc>
        <w:tc>
          <w:tcPr>
            <w:tcW w:w="3388" w:type="dxa"/>
            <w:gridSpan w:val="3"/>
            <w:shd w:val="clear" w:color="auto" w:fill="auto"/>
          </w:tcPr>
          <w:p w14:paraId="6B2BB4AC" w14:textId="77777777" w:rsidR="001A76CC" w:rsidRPr="00BB599E" w:rsidRDefault="001A76CC" w:rsidP="008E2CD9">
            <w:pPr>
              <w:jc w:val="both"/>
            </w:pPr>
          </w:p>
        </w:tc>
      </w:tr>
      <w:tr w:rsidR="00921736" w:rsidRPr="00BB599E" w14:paraId="26D4E9C2" w14:textId="77777777" w:rsidTr="0093084E">
        <w:trPr>
          <w:trHeight w:val="1125"/>
        </w:trPr>
        <w:tc>
          <w:tcPr>
            <w:tcW w:w="703" w:type="dxa"/>
            <w:shd w:val="clear" w:color="auto" w:fill="FFFFFF" w:themeFill="background1"/>
          </w:tcPr>
          <w:p w14:paraId="35A034E0" w14:textId="77777777" w:rsidR="00921736" w:rsidRPr="009A0F31" w:rsidRDefault="00921736" w:rsidP="008E2CD9">
            <w:pPr>
              <w:numPr>
                <w:ilvl w:val="0"/>
                <w:numId w:val="31"/>
              </w:numPr>
              <w:tabs>
                <w:tab w:val="center" w:pos="284"/>
              </w:tabs>
              <w:ind w:left="0" w:firstLine="0"/>
            </w:pPr>
          </w:p>
        </w:tc>
        <w:tc>
          <w:tcPr>
            <w:tcW w:w="2978" w:type="dxa"/>
            <w:shd w:val="clear" w:color="auto" w:fill="auto"/>
          </w:tcPr>
          <w:p w14:paraId="5E193A88" w14:textId="77777777" w:rsidR="00921736" w:rsidRPr="00BB599E" w:rsidRDefault="00921736" w:rsidP="008E2CD9">
            <w:pPr>
              <w:jc w:val="both"/>
              <w:rPr>
                <w:vertAlign w:val="superscript"/>
              </w:rPr>
            </w:pPr>
          </w:p>
        </w:tc>
        <w:tc>
          <w:tcPr>
            <w:tcW w:w="3830" w:type="dxa"/>
            <w:shd w:val="clear" w:color="auto" w:fill="auto"/>
          </w:tcPr>
          <w:p w14:paraId="4913A3BE" w14:textId="77777777" w:rsidR="00921736" w:rsidRPr="00BB599E" w:rsidRDefault="00921736" w:rsidP="008E2CD9">
            <w:pPr>
              <w:contextualSpacing/>
              <w:jc w:val="both"/>
              <w:rPr>
                <w:b/>
              </w:rPr>
            </w:pPr>
            <w:r w:rsidRPr="00BB599E">
              <w:rPr>
                <w:b/>
              </w:rPr>
              <w:t xml:space="preserve">FM </w:t>
            </w:r>
            <w:r w:rsidRPr="00BB599E">
              <w:t>(</w:t>
            </w:r>
            <w:r>
              <w:t>09</w:t>
            </w:r>
            <w:r w:rsidRPr="00BB599E">
              <w:t>.0</w:t>
            </w:r>
            <w:r>
              <w:t>5</w:t>
            </w:r>
            <w:r w:rsidRPr="00BB599E">
              <w:t>.19. iebildums)</w:t>
            </w:r>
          </w:p>
          <w:p w14:paraId="08E7665A" w14:textId="3AE09C2B" w:rsidR="00921736" w:rsidRPr="00BB599E" w:rsidRDefault="00921736" w:rsidP="008E2CD9">
            <w:pPr>
              <w:contextualSpacing/>
              <w:jc w:val="both"/>
              <w:rPr>
                <w:b/>
              </w:rPr>
            </w:pPr>
            <w:r>
              <w:t xml:space="preserve">Uzturam š.g. 23.aprīļa atzinumā izteikto iebildumu, kas ietverts izziņas 26.punktā, lūdzot papildināt </w:t>
            </w:r>
            <w:r w:rsidRPr="00466AA5">
              <w:t>anotācija</w:t>
            </w:r>
            <w:r>
              <w:t>s I sadaļas 2.punktu ar</w:t>
            </w:r>
            <w:r w:rsidRPr="00D94234">
              <w:t xml:space="preserve"> skaidrojumu, kā attiecīgie grozījumi ietekmēs īstenošanā esošus projektus, t.i. vai būs jāveic grozījumi līgumos par projekta īstenošanu.</w:t>
            </w:r>
          </w:p>
        </w:tc>
        <w:tc>
          <w:tcPr>
            <w:tcW w:w="3967" w:type="dxa"/>
            <w:shd w:val="clear" w:color="auto" w:fill="auto"/>
          </w:tcPr>
          <w:p w14:paraId="4E3712F5" w14:textId="77777777" w:rsidR="009A0F31" w:rsidRPr="00BB599E" w:rsidRDefault="009A0F31" w:rsidP="008E2CD9">
            <w:pPr>
              <w:jc w:val="both"/>
              <w:rPr>
                <w:b/>
              </w:rPr>
            </w:pPr>
            <w:r w:rsidRPr="00BB599E">
              <w:rPr>
                <w:b/>
              </w:rPr>
              <w:t>Ņemts vērā.</w:t>
            </w:r>
          </w:p>
          <w:p w14:paraId="304E303C" w14:textId="77777777" w:rsidR="00921736" w:rsidRPr="00BB599E" w:rsidRDefault="00921736" w:rsidP="008E2CD9">
            <w:pPr>
              <w:jc w:val="both"/>
              <w:rPr>
                <w:b/>
              </w:rPr>
            </w:pPr>
          </w:p>
        </w:tc>
        <w:tc>
          <w:tcPr>
            <w:tcW w:w="3388" w:type="dxa"/>
            <w:gridSpan w:val="3"/>
            <w:shd w:val="clear" w:color="auto" w:fill="auto"/>
          </w:tcPr>
          <w:p w14:paraId="429D47B6" w14:textId="4616612D" w:rsidR="00921736" w:rsidRPr="00BB599E" w:rsidRDefault="009A0F31" w:rsidP="008E2CD9">
            <w:pPr>
              <w:jc w:val="both"/>
            </w:pPr>
            <w:r w:rsidRPr="009A0F31">
              <w:t xml:space="preserve">Divos līgumos par otrās projektu iesniegumu atlases kārtas projekta īstenošanu nepieciešams veikt grozījumus, kas saistīti ar </w:t>
            </w:r>
            <w:proofErr w:type="spellStart"/>
            <w:r w:rsidRPr="009A0F31">
              <w:t>vidusposma</w:t>
            </w:r>
            <w:proofErr w:type="spellEnd"/>
            <w:r w:rsidRPr="009A0F31">
              <w:t xml:space="preserve"> un gala rezultātu zinātniskās kvalitātes </w:t>
            </w:r>
            <w:proofErr w:type="spellStart"/>
            <w:r w:rsidRPr="009A0F31">
              <w:t>izvērtējumam</w:t>
            </w:r>
            <w:proofErr w:type="spellEnd"/>
            <w:r w:rsidRPr="009A0F31">
              <w:t xml:space="preserve"> nepieciešamās dokumentācijas iesniegšanu Sadarbības iestādē. Līguma grozījumu rezultātā finansējuma saņēmējam tiek radīti labvēlīgāki nosacījumi, salīdzinot ar esošo situāciju.</w:t>
            </w:r>
          </w:p>
        </w:tc>
      </w:tr>
      <w:tr w:rsidR="00265AB7" w:rsidRPr="00BB599E" w14:paraId="0459CCA3" w14:textId="77777777" w:rsidTr="0093084E">
        <w:trPr>
          <w:trHeight w:val="1125"/>
        </w:trPr>
        <w:tc>
          <w:tcPr>
            <w:tcW w:w="703" w:type="dxa"/>
            <w:shd w:val="clear" w:color="auto" w:fill="FFFFFF" w:themeFill="background1"/>
          </w:tcPr>
          <w:p w14:paraId="058FD6B2" w14:textId="77777777" w:rsidR="00265AB7" w:rsidRPr="009A0F31" w:rsidRDefault="00265AB7" w:rsidP="008E2CD9">
            <w:pPr>
              <w:numPr>
                <w:ilvl w:val="0"/>
                <w:numId w:val="31"/>
              </w:numPr>
              <w:tabs>
                <w:tab w:val="center" w:pos="284"/>
              </w:tabs>
              <w:ind w:left="0" w:firstLine="0"/>
            </w:pPr>
          </w:p>
        </w:tc>
        <w:tc>
          <w:tcPr>
            <w:tcW w:w="2978" w:type="dxa"/>
            <w:shd w:val="clear" w:color="auto" w:fill="auto"/>
          </w:tcPr>
          <w:p w14:paraId="7A2C2900" w14:textId="420FB409" w:rsidR="00265AB7" w:rsidRPr="00265AB7" w:rsidRDefault="00265AB7" w:rsidP="00265AB7">
            <w:pPr>
              <w:contextualSpacing/>
              <w:jc w:val="both"/>
            </w:pPr>
            <w:r w:rsidRPr="00265AB7">
              <w:t>4. Projekta rezultātu ilgtspējas nosacījumu aktualizācija, no ilgtspējas kritērijiem izslēdzot tādu rezultātu uzturēšanu, pilnveidi vai aktualizāciju, kas nesniedz ieguldījumu RIS3 noteikto mērķu sasniegšanā un SAM 1.1.1. iznākuma rādītāju izpildē (noteikumu projekta 10. punkts, svītrots MK noteikumu 24.</w:t>
            </w:r>
            <w:r w:rsidRPr="00265AB7">
              <w:rPr>
                <w:vertAlign w:val="superscript"/>
              </w:rPr>
              <w:t>1</w:t>
            </w:r>
            <w:r>
              <w:t> </w:t>
            </w:r>
            <w:r w:rsidRPr="00265AB7">
              <w:t>4. apakšpunkts).</w:t>
            </w:r>
          </w:p>
        </w:tc>
        <w:tc>
          <w:tcPr>
            <w:tcW w:w="3830" w:type="dxa"/>
            <w:shd w:val="clear" w:color="auto" w:fill="auto"/>
          </w:tcPr>
          <w:p w14:paraId="5508DA20" w14:textId="77777777" w:rsidR="00265AB7" w:rsidRDefault="00265AB7" w:rsidP="008E2CD9">
            <w:pPr>
              <w:contextualSpacing/>
              <w:jc w:val="both"/>
            </w:pPr>
            <w:r>
              <w:rPr>
                <w:b/>
              </w:rPr>
              <w:t xml:space="preserve">Tieslietu ministrija </w:t>
            </w:r>
            <w:r w:rsidRPr="00265AB7">
              <w:t>(TM)</w:t>
            </w:r>
            <w:r>
              <w:rPr>
                <w:b/>
              </w:rPr>
              <w:t xml:space="preserve"> </w:t>
            </w:r>
            <w:r w:rsidRPr="00265AB7">
              <w:t>(28.05.2019. iebildums)</w:t>
            </w:r>
          </w:p>
          <w:p w14:paraId="4FA4D6B7" w14:textId="77777777" w:rsidR="00265AB7" w:rsidRPr="00312404" w:rsidRDefault="00265AB7" w:rsidP="00265AB7">
            <w:pPr>
              <w:jc w:val="both"/>
              <w:rPr>
                <w:bCs/>
              </w:rPr>
            </w:pPr>
            <w:r w:rsidRPr="00312404">
              <w:rPr>
                <w:bCs/>
              </w:rPr>
              <w:t xml:space="preserve">Vēršam uzmanību, ka nav sniegts noteikumu projektā 10.un 16. punktā paredzētais grozījumu nepieciešamības pamatojums. Ievērojot minēto, lūdzam noteikumu projekta anotācijas I sadaļas 2. punktu aizpildīt atbilstoši Ministru kabineta 2009.gada 15. decembra instrukcijas Nr. 19 "Tiesību akta projekta sākotnējās ietekmes </w:t>
            </w:r>
            <w:r w:rsidRPr="00312404">
              <w:rPr>
                <w:bCs/>
              </w:rPr>
              <w:lastRenderedPageBreak/>
              <w:t>izvērtēšanas kārtība" 14. punktam, sniedzot izvērstu pamatojumu noteikumu projektā paredzēto grozījumu nepieciešamībai.</w:t>
            </w:r>
          </w:p>
          <w:p w14:paraId="0B2DEA00" w14:textId="4C4608C6" w:rsidR="00265AB7" w:rsidRPr="00BB599E" w:rsidRDefault="00265AB7" w:rsidP="008E2CD9">
            <w:pPr>
              <w:contextualSpacing/>
              <w:jc w:val="both"/>
              <w:rPr>
                <w:b/>
              </w:rPr>
            </w:pPr>
          </w:p>
        </w:tc>
        <w:tc>
          <w:tcPr>
            <w:tcW w:w="3967" w:type="dxa"/>
            <w:shd w:val="clear" w:color="auto" w:fill="auto"/>
          </w:tcPr>
          <w:p w14:paraId="4C2F286A" w14:textId="77777777" w:rsidR="00265AB7" w:rsidRPr="00BB599E" w:rsidRDefault="00265AB7" w:rsidP="00265AB7">
            <w:pPr>
              <w:jc w:val="both"/>
              <w:rPr>
                <w:b/>
              </w:rPr>
            </w:pPr>
            <w:r w:rsidRPr="00BB599E">
              <w:rPr>
                <w:b/>
              </w:rPr>
              <w:lastRenderedPageBreak/>
              <w:t>Ņemts vērā.</w:t>
            </w:r>
          </w:p>
          <w:p w14:paraId="7B76C55B" w14:textId="1D37AF41" w:rsidR="00265AB7" w:rsidRPr="00265AB7" w:rsidRDefault="00265AB7" w:rsidP="008E2CD9">
            <w:pPr>
              <w:jc w:val="both"/>
            </w:pPr>
            <w:r>
              <w:t>Papildināta anotācija.</w:t>
            </w:r>
          </w:p>
        </w:tc>
        <w:tc>
          <w:tcPr>
            <w:tcW w:w="3388" w:type="dxa"/>
            <w:gridSpan w:val="3"/>
            <w:shd w:val="clear" w:color="auto" w:fill="auto"/>
          </w:tcPr>
          <w:p w14:paraId="69794836" w14:textId="69D90BEF" w:rsidR="004A7CCF" w:rsidRDefault="004A7CCF" w:rsidP="004A7CCF">
            <w:pPr>
              <w:jc w:val="both"/>
            </w:pPr>
            <w:r>
              <w:t>4. Projekta rezultātu ilgtspējas nosacījumu aktualizācija (noteikumu projekta 10. punkts, svītrots MK noteikumu 24.</w:t>
            </w:r>
            <w:r w:rsidRPr="004A7CCF">
              <w:rPr>
                <w:vertAlign w:val="superscript"/>
              </w:rPr>
              <w:t>1</w:t>
            </w:r>
            <w:r>
              <w:t xml:space="preserve"> 4. apakšpunkts), no ilgtspējas kritērijiem izslēdzot tādu rezultātu uzturēšanu, pilnveidi vai aktualizāciju, kas nesniedz ieguldījumu RIS3 noteikto mērķu sasniegšanā un SAM 1.1.1. iznākuma rādītāju izpildē. </w:t>
            </w:r>
          </w:p>
          <w:p w14:paraId="6CD4412A" w14:textId="77777777" w:rsidR="004A7CCF" w:rsidRDefault="004A7CCF" w:rsidP="004A7CCF">
            <w:pPr>
              <w:jc w:val="both"/>
            </w:pPr>
            <w:r>
              <w:lastRenderedPageBreak/>
              <w:t>Ilgtspējas nosacījumu aktualizāciju pamato šādi apsvērumi:</w:t>
            </w:r>
          </w:p>
          <w:p w14:paraId="25D4EAA3" w14:textId="4B1A83F8" w:rsidR="004A7CCF" w:rsidRDefault="004A7CCF" w:rsidP="004A7CCF">
            <w:pPr>
              <w:jc w:val="both"/>
            </w:pPr>
            <w:r>
              <w:t>4.1.  1.1.1.1. pasākums ir viens no instrumentiem Latvijas inovācijas sistēmas stiprināšanai un pārejai uz inovatīvu ekonomiku atbilstoši RIS3 mērķiem, kas izvirzīti, lai atraisītu Latvijas ekonomikas attīstības potenciālu un sekmētu tautsaimniecības izaugsmi, ko raksturo produktivitātes pieaugums tautsaimniecībā un Latvijas pozīcija Eiropas inovāciju rādītāju grupā. RIS3 rādītāju izpilde ir tieši atkarīga no 1.1.1.1. pasākuma iznākuma rādītāju izpildes, tai skaitā a) zinātnisko rakstu skaits, kuru izstrādei un publicēšanai ir sniegts atbalsts, b) jaunu produktu un tehnoloģiju skaits, kas ir komercializējamas un kuru izstrādei sniegts atbalsts. Uz 27.05.2019. sasniegtas 369 minēto iznākuma rādītāju vienības;</w:t>
            </w:r>
          </w:p>
          <w:p w14:paraId="167E3F94" w14:textId="2022C715" w:rsidR="004A7CCF" w:rsidRPr="009A0F31" w:rsidRDefault="004A7CCF" w:rsidP="004A7CCF">
            <w:pPr>
              <w:jc w:val="both"/>
            </w:pPr>
            <w:r>
              <w:t xml:space="preserve">4.2. pētījuma specifikai atbilstoši projekta rezultāti, kas minēti MK noteikumu </w:t>
            </w:r>
            <w:r>
              <w:lastRenderedPageBreak/>
              <w:t>24.1 4. apakšpunktā nesniedz tiešu ieguldījumu tautsaimniecības attīstībā un inovācijas sistēmas kapacitātes palielināšanā. Uz 27.05.2019. sasniegtas 3940 minēto rezultātu vienības (91%</w:t>
            </w:r>
            <w:r w:rsidR="0067231B">
              <w:t xml:space="preserve"> no salīdzināmo rezultātu kopskaita</w:t>
            </w:r>
            <w:r>
              <w:t>). Šādu rezultātu uzturēšanas, pilnveides un aktualizācijas monitorings pētniecības projektu pārskata perioda (dzīves cikla) laikā rada nepamatotu administratīvo slogu.</w:t>
            </w:r>
          </w:p>
        </w:tc>
      </w:tr>
      <w:tr w:rsidR="0093084E" w:rsidRPr="00BB599E" w14:paraId="3D53A39A" w14:textId="77777777" w:rsidTr="0093084E">
        <w:trPr>
          <w:trHeight w:val="1125"/>
        </w:trPr>
        <w:tc>
          <w:tcPr>
            <w:tcW w:w="703" w:type="dxa"/>
            <w:shd w:val="clear" w:color="auto" w:fill="FFFFFF" w:themeFill="background1"/>
          </w:tcPr>
          <w:p w14:paraId="040C41B7" w14:textId="5E1C048D" w:rsidR="0093084E" w:rsidRPr="009A0F31" w:rsidRDefault="0093084E" w:rsidP="008E2CD9">
            <w:pPr>
              <w:numPr>
                <w:ilvl w:val="0"/>
                <w:numId w:val="31"/>
              </w:numPr>
              <w:tabs>
                <w:tab w:val="center" w:pos="284"/>
              </w:tabs>
              <w:ind w:left="0" w:firstLine="0"/>
            </w:pPr>
          </w:p>
        </w:tc>
        <w:tc>
          <w:tcPr>
            <w:tcW w:w="2978" w:type="dxa"/>
            <w:shd w:val="clear" w:color="auto" w:fill="auto"/>
          </w:tcPr>
          <w:p w14:paraId="6541BB4E" w14:textId="77777777" w:rsidR="0093084E" w:rsidRPr="00BB599E" w:rsidRDefault="0093084E" w:rsidP="008E2CD9">
            <w:pPr>
              <w:jc w:val="both"/>
              <w:rPr>
                <w:vertAlign w:val="superscript"/>
              </w:rPr>
            </w:pPr>
          </w:p>
        </w:tc>
        <w:tc>
          <w:tcPr>
            <w:tcW w:w="3830" w:type="dxa"/>
            <w:shd w:val="clear" w:color="auto" w:fill="auto"/>
          </w:tcPr>
          <w:p w14:paraId="0E046A8C" w14:textId="520DEBF4" w:rsidR="0093084E" w:rsidRPr="004A7CCF" w:rsidRDefault="0093084E" w:rsidP="004A7CCF">
            <w:pPr>
              <w:contextualSpacing/>
              <w:jc w:val="both"/>
            </w:pPr>
            <w:r w:rsidRPr="004A7CCF">
              <w:rPr>
                <w:b/>
              </w:rPr>
              <w:t>TM</w:t>
            </w:r>
            <w:r w:rsidRPr="004A7CCF">
              <w:t xml:space="preserve"> (28.05.2019. iebildums)</w:t>
            </w:r>
          </w:p>
          <w:p w14:paraId="25BB9786" w14:textId="74D9137B" w:rsidR="0093084E" w:rsidRPr="004A7CCF" w:rsidRDefault="0093084E" w:rsidP="008E2CD9">
            <w:pPr>
              <w:contextualSpacing/>
              <w:jc w:val="both"/>
            </w:pPr>
            <w:r w:rsidRPr="004A7CCF">
              <w:t xml:space="preserve">Vēršam uzmanību, ka noteikumu projekta anotāciju nepieciešams aizpildīt atbilstoši Ministru kabineta 2009. gada 7. aprīļa noteikumu Nr. 300 ''Ministru kabineta kārtības rullis'' 3. punktam, kas noteic, ka Ministru kabineta tiesību akta projektam pievieno anotāciju, kurā aizpildīta vismaz sadaļa par tiesību akta projekta nepieciešamību, tas ir, anotācijas I sadaļa, bet pārējās anotācijas sadaļas aizpilda, ja tiesību akta projekts skar attiecīgajā anotācijas sadaļā minētos jautājumus. Norādām, </w:t>
            </w:r>
            <w:r w:rsidRPr="004A7CCF">
              <w:lastRenderedPageBreak/>
              <w:t xml:space="preserve">ka Tieslietu ministrijai nav iespējams precīzi izvērtēt, kuras noteikumu projekta normas ir ieviestas atbilstoši noteikumu projekta 22. punktā norādītajai Eiropas Komisijas 2014.gada 17.jūnija Regulai (ES) Nr.651/2014, ar ko noteiktas atbalsta kategorijas atzīst par saderīgām ar iekšējo tirgu, piemērojot Līguma 107. un 108.pantu 25. panta 6. punktam. Ņemot vērā iepriekš minēto, lūdzam precizēt noteikumu projekta anotāciju, jo Tieslietu ministrija varēs sniegt precīzu </w:t>
            </w:r>
            <w:proofErr w:type="spellStart"/>
            <w:r w:rsidRPr="004A7CCF">
              <w:t>izvērtējumu</w:t>
            </w:r>
            <w:proofErr w:type="spellEnd"/>
            <w:r w:rsidRPr="004A7CCF">
              <w:t xml:space="preserve"> par noteikumu projekta atbilstību iepriekš minētajai regulai pēc anotācijas V sadaļas, jo īpaši tās 1. tabulas, aizpildīšanas.</w:t>
            </w:r>
          </w:p>
        </w:tc>
        <w:tc>
          <w:tcPr>
            <w:tcW w:w="7355" w:type="dxa"/>
            <w:gridSpan w:val="4"/>
            <w:shd w:val="clear" w:color="auto" w:fill="auto"/>
          </w:tcPr>
          <w:p w14:paraId="336899B0" w14:textId="77777777" w:rsidR="0093084E" w:rsidRPr="00BB599E" w:rsidRDefault="0093084E" w:rsidP="004A7CCF">
            <w:pPr>
              <w:jc w:val="both"/>
              <w:rPr>
                <w:b/>
              </w:rPr>
            </w:pPr>
            <w:r w:rsidRPr="00BB599E">
              <w:rPr>
                <w:b/>
              </w:rPr>
              <w:lastRenderedPageBreak/>
              <w:t>Ņemts vērā.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387"/>
              <w:gridCol w:w="1842"/>
              <w:gridCol w:w="1751"/>
              <w:gridCol w:w="2006"/>
            </w:tblGrid>
            <w:tr w:rsidR="0093084E" w:rsidRPr="00600B68" w14:paraId="5B955148" w14:textId="77777777" w:rsidTr="0093084E">
              <w:tc>
                <w:tcPr>
                  <w:tcW w:w="5000" w:type="pct"/>
                  <w:gridSpan w:val="4"/>
                  <w:vAlign w:val="center"/>
                  <w:hideMark/>
                </w:tcPr>
                <w:p w14:paraId="6416D925" w14:textId="77777777" w:rsidR="0093084E" w:rsidRPr="00600B68" w:rsidRDefault="0093084E" w:rsidP="006D0FEC">
                  <w:pPr>
                    <w:framePr w:hSpace="180" w:wrap="around" w:vAnchor="text" w:hAnchor="text" w:x="-123" w:y="1"/>
                    <w:suppressOverlap/>
                    <w:jc w:val="center"/>
                    <w:rPr>
                      <w:b/>
                      <w:bCs/>
                    </w:rPr>
                  </w:pPr>
                  <w:r w:rsidRPr="00600B68">
                    <w:rPr>
                      <w:b/>
                      <w:bCs/>
                    </w:rPr>
                    <w:t>1.tabula</w:t>
                  </w:r>
                  <w:r w:rsidRPr="00600B68">
                    <w:rPr>
                      <w:b/>
                      <w:bCs/>
                    </w:rPr>
                    <w:br/>
                    <w:t>Tiesību akta projekta atbilstība ES tiesību aktiem</w:t>
                  </w:r>
                </w:p>
              </w:tc>
            </w:tr>
            <w:tr w:rsidR="0093084E" w:rsidRPr="00600B68" w14:paraId="137BCD42" w14:textId="77777777" w:rsidTr="0093084E">
              <w:tc>
                <w:tcPr>
                  <w:tcW w:w="1495" w:type="pct"/>
                  <w:vAlign w:val="center"/>
                  <w:hideMark/>
                </w:tcPr>
                <w:p w14:paraId="0A5C2621" w14:textId="77777777" w:rsidR="0093084E" w:rsidRPr="00600B68" w:rsidRDefault="0093084E" w:rsidP="006D0FEC">
                  <w:pPr>
                    <w:framePr w:hSpace="180" w:wrap="around" w:vAnchor="text" w:hAnchor="text" w:x="-123" w:y="1"/>
                    <w:suppressOverlap/>
                    <w:jc w:val="both"/>
                  </w:pPr>
                  <w:r w:rsidRPr="00600B68">
                    <w:t>Attiecīgā ES tiesību akta datums, numurs un nosaukums</w:t>
                  </w:r>
                </w:p>
              </w:tc>
              <w:tc>
                <w:tcPr>
                  <w:tcW w:w="3505" w:type="pct"/>
                  <w:gridSpan w:val="3"/>
                  <w:vAlign w:val="center"/>
                  <w:hideMark/>
                </w:tcPr>
                <w:p w14:paraId="0C2F73D8" w14:textId="77777777" w:rsidR="0093084E" w:rsidRPr="00600B68" w:rsidRDefault="0093084E" w:rsidP="006D0FEC">
                  <w:pPr>
                    <w:framePr w:hSpace="180" w:wrap="around" w:vAnchor="text" w:hAnchor="text" w:x="-123" w:y="1"/>
                    <w:spacing w:before="10"/>
                    <w:ind w:right="113"/>
                    <w:suppressOverlap/>
                    <w:jc w:val="both"/>
                  </w:pPr>
                  <w:r w:rsidRPr="00600B68">
                    <w:t>Komisijas regula Nr. 651/2014</w:t>
                  </w:r>
                </w:p>
              </w:tc>
            </w:tr>
            <w:tr w:rsidR="0093084E" w:rsidRPr="00600B68" w14:paraId="2280BFA4" w14:textId="77777777" w:rsidTr="0093084E">
              <w:tc>
                <w:tcPr>
                  <w:tcW w:w="1495" w:type="pct"/>
                  <w:vAlign w:val="center"/>
                  <w:hideMark/>
                </w:tcPr>
                <w:p w14:paraId="0F7E21C4" w14:textId="77777777" w:rsidR="0093084E" w:rsidRPr="00600B68" w:rsidRDefault="0093084E" w:rsidP="006D0FEC">
                  <w:pPr>
                    <w:framePr w:hSpace="180" w:wrap="around" w:vAnchor="text" w:hAnchor="text" w:x="-123" w:y="1"/>
                    <w:suppressOverlap/>
                    <w:jc w:val="center"/>
                  </w:pPr>
                  <w:r w:rsidRPr="00600B68">
                    <w:t>A</w:t>
                  </w:r>
                </w:p>
              </w:tc>
              <w:tc>
                <w:tcPr>
                  <w:tcW w:w="1153" w:type="pct"/>
                  <w:vAlign w:val="center"/>
                  <w:hideMark/>
                </w:tcPr>
                <w:p w14:paraId="74E205EF" w14:textId="77777777" w:rsidR="0093084E" w:rsidRPr="00600B68" w:rsidRDefault="0093084E" w:rsidP="006D0FEC">
                  <w:pPr>
                    <w:framePr w:hSpace="180" w:wrap="around" w:vAnchor="text" w:hAnchor="text" w:x="-123" w:y="1"/>
                    <w:suppressOverlap/>
                    <w:jc w:val="center"/>
                  </w:pPr>
                  <w:r w:rsidRPr="00600B68">
                    <w:t>B</w:t>
                  </w:r>
                </w:p>
              </w:tc>
              <w:tc>
                <w:tcPr>
                  <w:tcW w:w="1096" w:type="pct"/>
                  <w:vAlign w:val="center"/>
                  <w:hideMark/>
                </w:tcPr>
                <w:p w14:paraId="1E0AA8B3" w14:textId="77777777" w:rsidR="0093084E" w:rsidRPr="00600B68" w:rsidRDefault="0093084E" w:rsidP="006D0FEC">
                  <w:pPr>
                    <w:framePr w:hSpace="180" w:wrap="around" w:vAnchor="text" w:hAnchor="text" w:x="-123" w:y="1"/>
                    <w:suppressOverlap/>
                    <w:jc w:val="center"/>
                  </w:pPr>
                  <w:r w:rsidRPr="00600B68">
                    <w:t>C</w:t>
                  </w:r>
                </w:p>
              </w:tc>
              <w:tc>
                <w:tcPr>
                  <w:tcW w:w="1256" w:type="pct"/>
                  <w:vAlign w:val="center"/>
                  <w:hideMark/>
                </w:tcPr>
                <w:p w14:paraId="19F68CB5" w14:textId="77777777" w:rsidR="0093084E" w:rsidRPr="00600B68" w:rsidRDefault="0093084E" w:rsidP="006D0FEC">
                  <w:pPr>
                    <w:framePr w:hSpace="180" w:wrap="around" w:vAnchor="text" w:hAnchor="text" w:x="-123" w:y="1"/>
                    <w:suppressOverlap/>
                    <w:jc w:val="center"/>
                  </w:pPr>
                  <w:r w:rsidRPr="00600B68">
                    <w:t>D</w:t>
                  </w:r>
                </w:p>
              </w:tc>
            </w:tr>
            <w:tr w:rsidR="0093084E" w:rsidRPr="00600B68" w14:paraId="32D2B879" w14:textId="77777777" w:rsidTr="0093084E">
              <w:tc>
                <w:tcPr>
                  <w:tcW w:w="1495" w:type="pct"/>
                </w:tcPr>
                <w:p w14:paraId="4044BFC9" w14:textId="70D0E198" w:rsidR="0093084E" w:rsidRPr="00600B68" w:rsidRDefault="0093084E" w:rsidP="006D0FEC">
                  <w:pPr>
                    <w:pStyle w:val="naiskr"/>
                    <w:framePr w:hSpace="180" w:wrap="around" w:vAnchor="text" w:hAnchor="text" w:x="-123" w:y="1"/>
                    <w:spacing w:before="0" w:after="0"/>
                    <w:suppressOverlap/>
                    <w:jc w:val="both"/>
                    <w:rPr>
                      <w:lang w:eastAsia="en-US"/>
                    </w:rPr>
                  </w:pPr>
                  <w:r>
                    <w:rPr>
                      <w:lang w:eastAsia="en-US"/>
                    </w:rPr>
                    <w:t>…</w:t>
                  </w:r>
                </w:p>
              </w:tc>
              <w:tc>
                <w:tcPr>
                  <w:tcW w:w="1153" w:type="pct"/>
                </w:tcPr>
                <w:p w14:paraId="287E4741" w14:textId="2347625D" w:rsidR="0093084E" w:rsidRPr="00600B68" w:rsidRDefault="0093084E" w:rsidP="006D0FEC">
                  <w:pPr>
                    <w:pStyle w:val="naiskr"/>
                    <w:framePr w:hSpace="180" w:wrap="around" w:vAnchor="text" w:hAnchor="text" w:x="-123" w:y="1"/>
                    <w:spacing w:before="0" w:after="0"/>
                    <w:suppressOverlap/>
                    <w:jc w:val="both"/>
                    <w:rPr>
                      <w:lang w:eastAsia="en-US"/>
                    </w:rPr>
                  </w:pPr>
                </w:p>
              </w:tc>
              <w:tc>
                <w:tcPr>
                  <w:tcW w:w="1096" w:type="pct"/>
                </w:tcPr>
                <w:p w14:paraId="53C2BF23" w14:textId="5ECAC07D" w:rsidR="0093084E" w:rsidRPr="00600B68" w:rsidRDefault="0093084E" w:rsidP="006D0FEC">
                  <w:pPr>
                    <w:pStyle w:val="naiskr"/>
                    <w:framePr w:hSpace="180" w:wrap="around" w:vAnchor="text" w:hAnchor="text" w:x="-123" w:y="1"/>
                    <w:spacing w:before="0" w:after="0"/>
                    <w:suppressOverlap/>
                    <w:jc w:val="both"/>
                    <w:rPr>
                      <w:lang w:eastAsia="en-US"/>
                    </w:rPr>
                  </w:pPr>
                </w:p>
              </w:tc>
              <w:tc>
                <w:tcPr>
                  <w:tcW w:w="1256" w:type="pct"/>
                </w:tcPr>
                <w:p w14:paraId="1CCE5655" w14:textId="514853FC" w:rsidR="0093084E" w:rsidRPr="00600B68" w:rsidRDefault="0093084E" w:rsidP="006D0FEC">
                  <w:pPr>
                    <w:pStyle w:val="naiskr"/>
                    <w:framePr w:hSpace="180" w:wrap="around" w:vAnchor="text" w:hAnchor="text" w:x="-123" w:y="1"/>
                    <w:spacing w:before="0" w:after="0"/>
                    <w:suppressOverlap/>
                    <w:jc w:val="both"/>
                    <w:rPr>
                      <w:lang w:eastAsia="en-US"/>
                    </w:rPr>
                  </w:pPr>
                </w:p>
              </w:tc>
            </w:tr>
            <w:tr w:rsidR="0093084E" w:rsidRPr="00600B68" w14:paraId="6D397B9E" w14:textId="77777777" w:rsidTr="0093084E">
              <w:tc>
                <w:tcPr>
                  <w:tcW w:w="1495" w:type="pct"/>
                  <w:vAlign w:val="center"/>
                </w:tcPr>
                <w:p w14:paraId="58FBB945" w14:textId="77777777" w:rsidR="0093084E" w:rsidRPr="00600B68" w:rsidRDefault="0093084E" w:rsidP="006D0FEC">
                  <w:pPr>
                    <w:framePr w:hSpace="180" w:wrap="around" w:vAnchor="text" w:hAnchor="text" w:x="-123" w:y="1"/>
                    <w:spacing w:before="10"/>
                    <w:ind w:left="113" w:right="113"/>
                    <w:suppressOverlap/>
                    <w:jc w:val="both"/>
                  </w:pPr>
                  <w:r>
                    <w:t>Komisijas r</w:t>
                  </w:r>
                  <w:r w:rsidRPr="00600B68">
                    <w:t>egulas Nr. 651/2014 2</w:t>
                  </w:r>
                  <w:r>
                    <w:t>5</w:t>
                  </w:r>
                  <w:r w:rsidRPr="00600B68">
                    <w:t xml:space="preserve">. panta </w:t>
                  </w:r>
                  <w:r>
                    <w:t>6</w:t>
                  </w:r>
                  <w:r w:rsidRPr="00600B68">
                    <w:t>. punkts</w:t>
                  </w:r>
                </w:p>
              </w:tc>
              <w:tc>
                <w:tcPr>
                  <w:tcW w:w="1153" w:type="pct"/>
                  <w:vAlign w:val="center"/>
                </w:tcPr>
                <w:p w14:paraId="4BFF7890" w14:textId="77777777" w:rsidR="0093084E" w:rsidRPr="00600B68" w:rsidRDefault="0093084E" w:rsidP="006D0FEC">
                  <w:pPr>
                    <w:framePr w:hSpace="180" w:wrap="around" w:vAnchor="text" w:hAnchor="text" w:x="-123" w:y="1"/>
                    <w:spacing w:before="10"/>
                    <w:ind w:left="113" w:right="113"/>
                    <w:suppressOverlap/>
                    <w:jc w:val="both"/>
                  </w:pPr>
                  <w:r w:rsidRPr="00600B68">
                    <w:t xml:space="preserve">Noteikumu projekta </w:t>
                  </w:r>
                  <w:r>
                    <w:t>2</w:t>
                  </w:r>
                  <w:r w:rsidRPr="00600B68">
                    <w:t>1. punkts (MK noteikumu</w:t>
                  </w:r>
                  <w:r>
                    <w:t xml:space="preserve"> 3. pielikuma tabulas</w:t>
                  </w:r>
                  <w:r w:rsidRPr="00600B68">
                    <w:t xml:space="preserve"> </w:t>
                  </w:r>
                  <w:r>
                    <w:t>14. </w:t>
                  </w:r>
                  <w:r w:rsidRPr="00600B68">
                    <w:t>punkts)</w:t>
                  </w:r>
                </w:p>
              </w:tc>
              <w:tc>
                <w:tcPr>
                  <w:tcW w:w="1096" w:type="pct"/>
                  <w:vAlign w:val="center"/>
                </w:tcPr>
                <w:p w14:paraId="22C106C1" w14:textId="77777777" w:rsidR="0093084E" w:rsidRPr="00600B68" w:rsidRDefault="0093084E" w:rsidP="006D0FEC">
                  <w:pPr>
                    <w:framePr w:hSpace="180" w:wrap="around" w:vAnchor="text" w:hAnchor="text" w:x="-123" w:y="1"/>
                    <w:spacing w:before="10"/>
                    <w:ind w:left="113" w:right="113"/>
                    <w:suppressOverlap/>
                    <w:jc w:val="both"/>
                  </w:pPr>
                  <w:r w:rsidRPr="00600B68">
                    <w:t>ieviesta pilnībā</w:t>
                  </w:r>
                </w:p>
              </w:tc>
              <w:tc>
                <w:tcPr>
                  <w:tcW w:w="1256" w:type="pct"/>
                  <w:vAlign w:val="center"/>
                </w:tcPr>
                <w:p w14:paraId="622CD6CE" w14:textId="77777777" w:rsidR="0093084E" w:rsidRPr="00600B68" w:rsidRDefault="0093084E" w:rsidP="006D0FEC">
                  <w:pPr>
                    <w:framePr w:hSpace="180" w:wrap="around" w:vAnchor="text" w:hAnchor="text" w:x="-123" w:y="1"/>
                    <w:spacing w:before="10"/>
                    <w:ind w:left="113" w:right="113"/>
                    <w:suppressOverlap/>
                    <w:jc w:val="both"/>
                  </w:pPr>
                  <w:r w:rsidRPr="00600B68">
                    <w:t>neparedz stingrākas prasības</w:t>
                  </w:r>
                </w:p>
              </w:tc>
            </w:tr>
          </w:tbl>
          <w:p w14:paraId="1D756FED" w14:textId="77777777" w:rsidR="0093084E" w:rsidRPr="009A0F31" w:rsidRDefault="0093084E" w:rsidP="008E2CD9">
            <w:pPr>
              <w:jc w:val="both"/>
            </w:pPr>
          </w:p>
        </w:tc>
      </w:tr>
      <w:tr w:rsidR="009A0F31" w:rsidRPr="00BB599E" w14:paraId="097285EB" w14:textId="77777777" w:rsidTr="0093084E">
        <w:trPr>
          <w:trHeight w:val="351"/>
        </w:trPr>
        <w:tc>
          <w:tcPr>
            <w:tcW w:w="703" w:type="dxa"/>
            <w:shd w:val="clear" w:color="auto" w:fill="FFFFFF" w:themeFill="background1"/>
          </w:tcPr>
          <w:p w14:paraId="07D5A366" w14:textId="77777777" w:rsidR="009A0F31" w:rsidRPr="009A0F31" w:rsidRDefault="009A0F31" w:rsidP="008E2CD9">
            <w:pPr>
              <w:tabs>
                <w:tab w:val="center" w:pos="284"/>
              </w:tabs>
            </w:pPr>
          </w:p>
        </w:tc>
        <w:tc>
          <w:tcPr>
            <w:tcW w:w="14163" w:type="dxa"/>
            <w:gridSpan w:val="6"/>
            <w:shd w:val="clear" w:color="auto" w:fill="auto"/>
          </w:tcPr>
          <w:p w14:paraId="3BDC31E2" w14:textId="41F3DEA8" w:rsidR="009A0F31" w:rsidRPr="009A0F31" w:rsidRDefault="009A0F31" w:rsidP="008E2CD9">
            <w:pPr>
              <w:jc w:val="both"/>
            </w:pPr>
            <w:r>
              <w:t>Priekšlikum</w:t>
            </w:r>
            <w:r w:rsidR="004118C7">
              <w:t>s</w:t>
            </w:r>
          </w:p>
        </w:tc>
      </w:tr>
      <w:tr w:rsidR="009A0F31" w:rsidRPr="00BB599E" w14:paraId="1885A1DB" w14:textId="77777777" w:rsidTr="0093084E">
        <w:trPr>
          <w:trHeight w:val="699"/>
        </w:trPr>
        <w:tc>
          <w:tcPr>
            <w:tcW w:w="703" w:type="dxa"/>
            <w:tcBorders>
              <w:bottom w:val="single" w:sz="4" w:space="0" w:color="auto"/>
            </w:tcBorders>
            <w:shd w:val="clear" w:color="auto" w:fill="FFFFFF" w:themeFill="background1"/>
          </w:tcPr>
          <w:p w14:paraId="014895DE" w14:textId="77777777" w:rsidR="009A0F31" w:rsidRPr="009A0F31" w:rsidRDefault="009A0F31" w:rsidP="008E2CD9">
            <w:pPr>
              <w:numPr>
                <w:ilvl w:val="0"/>
                <w:numId w:val="31"/>
              </w:numPr>
              <w:tabs>
                <w:tab w:val="center" w:pos="284"/>
              </w:tabs>
              <w:ind w:left="0" w:firstLine="0"/>
            </w:pPr>
          </w:p>
        </w:tc>
        <w:tc>
          <w:tcPr>
            <w:tcW w:w="2978" w:type="dxa"/>
            <w:tcBorders>
              <w:bottom w:val="single" w:sz="4" w:space="0" w:color="auto"/>
            </w:tcBorders>
            <w:shd w:val="clear" w:color="auto" w:fill="auto"/>
          </w:tcPr>
          <w:p w14:paraId="58AA1C1F" w14:textId="4E2FC8B3" w:rsidR="009A0F31" w:rsidRPr="009A0F31" w:rsidRDefault="009A0F31" w:rsidP="008E2CD9">
            <w:pPr>
              <w:jc w:val="both"/>
              <w:rPr>
                <w:vertAlign w:val="superscript"/>
              </w:rPr>
            </w:pPr>
            <w:r w:rsidRPr="009A0F31">
              <w:t>2.19.</w:t>
            </w:r>
            <w:r w:rsidRPr="009A0F31">
              <w:rPr>
                <w:vertAlign w:val="superscript"/>
              </w:rPr>
              <w:t>1</w:t>
            </w:r>
            <w:r w:rsidRPr="009A0F31">
              <w:t> projekta daļa – finansējuma saņēmēja vai sadarbības partnera projekta ietvaros īstenots apakšprojekts, kuram piemēro šo noteikumu 21.2. vai 22.3. punktā minētā projekta nosacījumus</w:t>
            </w:r>
          </w:p>
        </w:tc>
        <w:tc>
          <w:tcPr>
            <w:tcW w:w="3830" w:type="dxa"/>
            <w:tcBorders>
              <w:bottom w:val="single" w:sz="4" w:space="0" w:color="auto"/>
            </w:tcBorders>
            <w:shd w:val="clear" w:color="auto" w:fill="auto"/>
          </w:tcPr>
          <w:p w14:paraId="2368FF91" w14:textId="77777777" w:rsidR="009A0F31" w:rsidRDefault="009A0F31" w:rsidP="008E2CD9">
            <w:pPr>
              <w:contextualSpacing/>
              <w:jc w:val="both"/>
            </w:pPr>
            <w:r w:rsidRPr="00F51793">
              <w:rPr>
                <w:b/>
              </w:rPr>
              <w:t>FM</w:t>
            </w:r>
            <w:r w:rsidRPr="009A0F31">
              <w:t xml:space="preserve"> (09.05.2019. priekšlikums)</w:t>
            </w:r>
          </w:p>
          <w:p w14:paraId="1105AD21" w14:textId="473E6CBE" w:rsidR="009A0F31" w:rsidRPr="009A0F31" w:rsidRDefault="009A0F31" w:rsidP="008E2CD9">
            <w:pPr>
              <w:contextualSpacing/>
              <w:jc w:val="both"/>
            </w:pPr>
            <w:r w:rsidRPr="009A0F31">
              <w:t xml:space="preserve">Lūdzam izvērtēt MK noteikumu projekta 4.punktā noteiktā termina “projekta daļa” skaidrojuma lietderību, vienlaikus vēršot uzmanību termina skaidrojamā ietvertā vārda “apakšprojekts” nozīmei. Skaidrojam, ka ar MK noteikuma projektā ietvertā regulējuma spēkā stāšanos vairs netiks noteikts </w:t>
            </w:r>
            <w:r w:rsidRPr="009A0F31">
              <w:lastRenderedPageBreak/>
              <w:t>procentuāls ierobežojums viena projekta ietvaros, tāpēc MK noteikumu projekta 4.punktā ietvertās izmaiņas vairs nav nepieciešamas, savukārt vārda “apakšprojekts” lietošana MK noteikumu projekta 4.punktā var radīt interpretāciju, ka viena projekta ietvaros var tikt plānoti savstarpēji neatkarīgi projekti.</w:t>
            </w:r>
          </w:p>
        </w:tc>
        <w:tc>
          <w:tcPr>
            <w:tcW w:w="3967" w:type="dxa"/>
            <w:tcBorders>
              <w:bottom w:val="single" w:sz="4" w:space="0" w:color="auto"/>
            </w:tcBorders>
            <w:shd w:val="clear" w:color="auto" w:fill="auto"/>
          </w:tcPr>
          <w:p w14:paraId="7C56C6DC" w14:textId="77777777" w:rsidR="009A0F31" w:rsidRDefault="009A0F31" w:rsidP="008E2CD9">
            <w:pPr>
              <w:jc w:val="both"/>
            </w:pPr>
            <w:r w:rsidRPr="009A0F31">
              <w:lastRenderedPageBreak/>
              <w:t xml:space="preserve">IZM </w:t>
            </w:r>
            <w:r>
              <w:t xml:space="preserve">ir izvērtējusi FM priekšlikumu un sniedz papildu </w:t>
            </w:r>
            <w:r w:rsidRPr="009A0F31">
              <w:t>skaidrojum</w:t>
            </w:r>
            <w:r>
              <w:t>u</w:t>
            </w:r>
            <w:r w:rsidRPr="009A0F31">
              <w:t>:</w:t>
            </w:r>
          </w:p>
          <w:p w14:paraId="36AF6A59" w14:textId="77777777" w:rsidR="00F51793" w:rsidRDefault="003111F4" w:rsidP="008E2CD9">
            <w:pPr>
              <w:jc w:val="both"/>
            </w:pPr>
            <w:r>
              <w:t xml:space="preserve">– MK noteikumu papildināti ar </w:t>
            </w:r>
            <w:r w:rsidRPr="009A0F31">
              <w:t>2.19.</w:t>
            </w:r>
            <w:r w:rsidRPr="009A0F31">
              <w:rPr>
                <w:vertAlign w:val="superscript"/>
              </w:rPr>
              <w:t>1</w:t>
            </w:r>
            <w:r w:rsidRPr="009A0F31">
              <w:t> </w:t>
            </w:r>
            <w:r>
              <w:t>apakšpunktu, lai skaidrotu MK noteikumos lietoto terminu „projekta daļa”, tai skaitā MK noteikumu 2.13., 23.4., 23.5., 23.6., 27.2., 27.3.3., 30.3., 33.2., 61.1., 61.2.1. un 3. pielikum</w:t>
            </w:r>
            <w:r w:rsidR="00F51793">
              <w:t>s;</w:t>
            </w:r>
          </w:p>
          <w:p w14:paraId="21CF7E17" w14:textId="0C871EA5" w:rsidR="009A0F31" w:rsidRPr="009A0F31" w:rsidRDefault="009A0F31" w:rsidP="008E2CD9">
            <w:pPr>
              <w:jc w:val="both"/>
            </w:pPr>
            <w:r>
              <w:t>– </w:t>
            </w:r>
            <w:r w:rsidRPr="009A0F31">
              <w:t>2.19.</w:t>
            </w:r>
            <w:r w:rsidRPr="009A0F31">
              <w:rPr>
                <w:vertAlign w:val="superscript"/>
              </w:rPr>
              <w:t>1</w:t>
            </w:r>
            <w:r w:rsidRPr="009A0F31">
              <w:t> </w:t>
            </w:r>
            <w:r>
              <w:t xml:space="preserve">apakšpunktā sniegta norāde, ka </w:t>
            </w:r>
            <w:r w:rsidR="003111F4">
              <w:t>projekta daļai (</w:t>
            </w:r>
            <w:r>
              <w:t>apakšprojektam</w:t>
            </w:r>
            <w:r w:rsidR="003111F4">
              <w:t>)</w:t>
            </w:r>
            <w:r>
              <w:t xml:space="preserve"> piemēro MK noteikumu </w:t>
            </w:r>
            <w:r w:rsidRPr="009A0F31">
              <w:t xml:space="preserve">21.2. </w:t>
            </w:r>
            <w:r>
              <w:t>un</w:t>
            </w:r>
            <w:r w:rsidRPr="009A0F31">
              <w:t xml:space="preserve"> 22.3. </w:t>
            </w:r>
            <w:r>
              <w:t>apakš</w:t>
            </w:r>
            <w:r w:rsidRPr="009A0F31">
              <w:t>punkt</w:t>
            </w:r>
            <w:r>
              <w:t>ā minētos nosacījumus, proti, projekta daļas (apakšprojektus)</w:t>
            </w:r>
            <w:r w:rsidRPr="009A0F31">
              <w:t xml:space="preserve"> </w:t>
            </w:r>
            <w:r>
              <w:t xml:space="preserve">īsteno, lai sasniegtu kopīgu mērķi. </w:t>
            </w:r>
            <w:r w:rsidR="003111F4">
              <w:t xml:space="preserve">Tādējādi nav iespējama </w:t>
            </w:r>
            <w:r w:rsidR="003111F4">
              <w:lastRenderedPageBreak/>
              <w:t xml:space="preserve">interpretācija, ka </w:t>
            </w:r>
            <w:r w:rsidR="003111F4" w:rsidRPr="009A0F31">
              <w:t>viena projekta ietvaros var tikt plānoti savstarpēji neatkarīgi projekti.</w:t>
            </w:r>
          </w:p>
        </w:tc>
        <w:tc>
          <w:tcPr>
            <w:tcW w:w="3388" w:type="dxa"/>
            <w:gridSpan w:val="3"/>
            <w:tcBorders>
              <w:bottom w:val="single" w:sz="4" w:space="0" w:color="auto"/>
            </w:tcBorders>
            <w:shd w:val="clear" w:color="auto" w:fill="auto"/>
          </w:tcPr>
          <w:p w14:paraId="30250D8D" w14:textId="2E562D72" w:rsidR="009A0F31" w:rsidRPr="009A0F31" w:rsidRDefault="009A0F31" w:rsidP="008E2CD9">
            <w:pPr>
              <w:jc w:val="both"/>
            </w:pPr>
            <w:r w:rsidRPr="009A0F31">
              <w:lastRenderedPageBreak/>
              <w:t>2.19.</w:t>
            </w:r>
            <w:r w:rsidRPr="009A0F31">
              <w:rPr>
                <w:vertAlign w:val="superscript"/>
              </w:rPr>
              <w:t>1</w:t>
            </w:r>
            <w:r w:rsidRPr="009A0F31">
              <w:t> projekta daļa – finansējuma saņēmēja vai sadarbības partnera projekta ietvaros īstenots apakšprojekts, kuram piemēro šo noteikumu 21.2. vai 22.3. </w:t>
            </w:r>
            <w:r>
              <w:t>apakš</w:t>
            </w:r>
            <w:r w:rsidRPr="009A0F31">
              <w:t>punktā minētā projekta nosacījumus</w:t>
            </w:r>
          </w:p>
        </w:tc>
      </w:tr>
      <w:tr w:rsidR="00C959F2" w:rsidRPr="00BB599E" w14:paraId="710ACB66" w14:textId="77777777" w:rsidTr="0093084E">
        <w:trPr>
          <w:trHeight w:val="699"/>
        </w:trPr>
        <w:tc>
          <w:tcPr>
            <w:tcW w:w="14866" w:type="dxa"/>
            <w:gridSpan w:val="7"/>
            <w:tcBorders>
              <w:left w:val="nil"/>
              <w:bottom w:val="nil"/>
              <w:right w:val="nil"/>
            </w:tcBorders>
            <w:shd w:val="clear" w:color="auto" w:fill="FFFFFF" w:themeFill="background1"/>
          </w:tcPr>
          <w:p w14:paraId="20B25BE7" w14:textId="77777777" w:rsidR="00C959F2" w:rsidRDefault="00C959F2" w:rsidP="008750E0">
            <w:pPr>
              <w:tabs>
                <w:tab w:val="center" w:pos="284"/>
              </w:tabs>
            </w:pPr>
          </w:p>
          <w:p w14:paraId="08919C7D" w14:textId="77777777" w:rsidR="00C959F2" w:rsidRPr="00600B68" w:rsidRDefault="00C959F2" w:rsidP="00C959F2">
            <w:pPr>
              <w:rPr>
                <w:sz w:val="20"/>
                <w:szCs w:val="20"/>
              </w:rPr>
            </w:pPr>
            <w:r w:rsidRPr="00600B68">
              <w:rPr>
                <w:sz w:val="20"/>
                <w:szCs w:val="20"/>
              </w:rPr>
              <w:fldChar w:fldCharType="begin"/>
            </w:r>
            <w:r w:rsidRPr="00600B68">
              <w:rPr>
                <w:sz w:val="20"/>
                <w:szCs w:val="20"/>
              </w:rPr>
              <w:instrText xml:space="preserve"> DATE  \@ "dd.MM.yyyy H:mm"  \* MERGEFORMAT </w:instrText>
            </w:r>
            <w:r w:rsidRPr="00600B68">
              <w:rPr>
                <w:sz w:val="20"/>
                <w:szCs w:val="20"/>
              </w:rPr>
              <w:fldChar w:fldCharType="separate"/>
            </w:r>
            <w:r w:rsidR="006D0FEC">
              <w:rPr>
                <w:noProof/>
                <w:sz w:val="20"/>
                <w:szCs w:val="20"/>
              </w:rPr>
              <w:t>05.06.2019 16:10</w:t>
            </w:r>
            <w:r w:rsidRPr="00600B68">
              <w:rPr>
                <w:sz w:val="20"/>
                <w:szCs w:val="20"/>
              </w:rPr>
              <w:fldChar w:fldCharType="end"/>
            </w:r>
          </w:p>
          <w:p w14:paraId="552D0F1F" w14:textId="77777777" w:rsidR="00C959F2" w:rsidRDefault="00C959F2" w:rsidP="00C959F2">
            <w:pPr>
              <w:rPr>
                <w:sz w:val="20"/>
                <w:szCs w:val="20"/>
              </w:rPr>
            </w:pPr>
            <w:r w:rsidRPr="00600B68">
              <w:rPr>
                <w:sz w:val="20"/>
                <w:szCs w:val="20"/>
              </w:rPr>
              <w:fldChar w:fldCharType="begin"/>
            </w:r>
            <w:r w:rsidRPr="00600B68">
              <w:rPr>
                <w:sz w:val="20"/>
                <w:szCs w:val="20"/>
              </w:rPr>
              <w:instrText xml:space="preserve"> NUMWORDS   \* MERGEFORMAT </w:instrText>
            </w:r>
            <w:r w:rsidRPr="00600B68">
              <w:rPr>
                <w:sz w:val="20"/>
                <w:szCs w:val="20"/>
              </w:rPr>
              <w:fldChar w:fldCharType="separate"/>
            </w:r>
            <w:r w:rsidR="006D0FEC">
              <w:rPr>
                <w:noProof/>
                <w:sz w:val="20"/>
                <w:szCs w:val="20"/>
              </w:rPr>
              <w:t>6529</w:t>
            </w:r>
            <w:r w:rsidRPr="00600B68">
              <w:rPr>
                <w:sz w:val="20"/>
                <w:szCs w:val="20"/>
              </w:rPr>
              <w:fldChar w:fldCharType="end"/>
            </w:r>
          </w:p>
          <w:p w14:paraId="60464F45" w14:textId="77777777" w:rsidR="00C959F2" w:rsidRPr="00600B68" w:rsidRDefault="00C959F2" w:rsidP="00C959F2">
            <w:pPr>
              <w:rPr>
                <w:sz w:val="20"/>
                <w:szCs w:val="20"/>
              </w:rPr>
            </w:pPr>
            <w:proofErr w:type="spellStart"/>
            <w:r w:rsidRPr="00600B68">
              <w:rPr>
                <w:sz w:val="20"/>
                <w:szCs w:val="20"/>
              </w:rPr>
              <w:t>I.Švirksta</w:t>
            </w:r>
            <w:proofErr w:type="spellEnd"/>
            <w:r w:rsidRPr="00600B68">
              <w:rPr>
                <w:sz w:val="20"/>
                <w:szCs w:val="20"/>
              </w:rPr>
              <w:t xml:space="preserve"> 67047878</w:t>
            </w:r>
          </w:p>
          <w:p w14:paraId="04F2C8B7" w14:textId="4269329C" w:rsidR="00C959F2" w:rsidRPr="009A0F31" w:rsidRDefault="00A81BE1" w:rsidP="000767DB">
            <w:pPr>
              <w:tabs>
                <w:tab w:val="left" w:pos="2340"/>
                <w:tab w:val="center" w:pos="4153"/>
                <w:tab w:val="right" w:pos="8306"/>
              </w:tabs>
            </w:pPr>
            <w:hyperlink r:id="rId9" w:history="1">
              <w:r w:rsidR="00C959F2" w:rsidRPr="00600B68">
                <w:rPr>
                  <w:rStyle w:val="Hyperlink"/>
                  <w:color w:val="auto"/>
                  <w:sz w:val="20"/>
                  <w:szCs w:val="20"/>
                </w:rPr>
                <w:t>inta.svirksta@</w:t>
              </w:r>
              <w:bookmarkStart w:id="3" w:name="_GoBack"/>
              <w:bookmarkEnd w:id="3"/>
              <w:r w:rsidR="00C959F2" w:rsidRPr="00600B68">
                <w:rPr>
                  <w:rStyle w:val="Hyperlink"/>
                  <w:color w:val="auto"/>
                  <w:sz w:val="20"/>
                  <w:szCs w:val="20"/>
                </w:rPr>
                <w:t>izm.gov.lv</w:t>
              </w:r>
            </w:hyperlink>
          </w:p>
        </w:tc>
      </w:tr>
    </w:tbl>
    <w:p w14:paraId="0BA0FB95" w14:textId="028F99F9" w:rsidR="006A46C5" w:rsidRPr="00BB599E" w:rsidRDefault="006A46C5"/>
    <w:p w14:paraId="17831BA2" w14:textId="4E2EF6F2" w:rsidR="00CF649C" w:rsidRPr="00BB599E" w:rsidRDefault="00CF649C" w:rsidP="009F5A4F">
      <w:pPr>
        <w:pStyle w:val="Header"/>
        <w:tabs>
          <w:tab w:val="left" w:pos="2340"/>
        </w:tabs>
        <w:jc w:val="both"/>
        <w:rPr>
          <w:sz w:val="20"/>
          <w:szCs w:val="20"/>
        </w:rPr>
      </w:pPr>
    </w:p>
    <w:sectPr w:rsidR="00CF649C" w:rsidRPr="00BB599E" w:rsidSect="004B6353">
      <w:headerReference w:type="even" r:id="rId10"/>
      <w:headerReference w:type="default" r:id="rId11"/>
      <w:footerReference w:type="default" r:id="rId12"/>
      <w:headerReference w:type="first" r:id="rId13"/>
      <w:footerReference w:type="first" r:id="rId14"/>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6CF36" w14:textId="77777777" w:rsidR="00A81BE1" w:rsidRDefault="00A81BE1">
      <w:r>
        <w:separator/>
      </w:r>
    </w:p>
  </w:endnote>
  <w:endnote w:type="continuationSeparator" w:id="0">
    <w:p w14:paraId="25F11D71" w14:textId="77777777" w:rsidR="00A81BE1" w:rsidRDefault="00A8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B0E1A" w14:textId="1C8F458C" w:rsidR="005C489B" w:rsidRPr="005351B4" w:rsidRDefault="005C489B" w:rsidP="008610BC">
    <w:pPr>
      <w:ind w:left="-567"/>
      <w:contextualSpacing/>
      <w:jc w:val="both"/>
      <w:rPr>
        <w:sz w:val="18"/>
        <w:szCs w:val="18"/>
      </w:rPr>
    </w:pPr>
    <w:r w:rsidRPr="005351B4">
      <w:rPr>
        <w:noProof/>
        <w:color w:val="000000" w:themeColor="text1"/>
        <w:sz w:val="18"/>
        <w:szCs w:val="18"/>
      </w:rPr>
      <w:fldChar w:fldCharType="begin"/>
    </w:r>
    <w:r w:rsidRPr="005351B4">
      <w:rPr>
        <w:noProof/>
        <w:color w:val="000000" w:themeColor="text1"/>
        <w:sz w:val="18"/>
        <w:szCs w:val="18"/>
      </w:rPr>
      <w:instrText xml:space="preserve"> FILENAME   \* MERGEFORMAT </w:instrText>
    </w:r>
    <w:r w:rsidRPr="005351B4">
      <w:rPr>
        <w:noProof/>
        <w:color w:val="000000" w:themeColor="text1"/>
        <w:sz w:val="18"/>
        <w:szCs w:val="18"/>
      </w:rPr>
      <w:fldChar w:fldCharType="separate"/>
    </w:r>
    <w:r w:rsidR="006D0FEC">
      <w:rPr>
        <w:noProof/>
        <w:color w:val="000000" w:themeColor="text1"/>
        <w:sz w:val="18"/>
        <w:szCs w:val="18"/>
      </w:rPr>
      <w:t>IZMIzz_050619_1111</w:t>
    </w:r>
    <w:r w:rsidRPr="005351B4">
      <w:rPr>
        <w:noProof/>
        <w:color w:val="000000" w:themeColor="text1"/>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0B9DC" w14:textId="2778FF8F" w:rsidR="005C489B" w:rsidRPr="009D1501" w:rsidRDefault="005C489B" w:rsidP="008610BC">
    <w:pPr>
      <w:ind w:left="-567"/>
      <w:contextualSpacing/>
      <w:jc w:val="both"/>
      <w:rPr>
        <w:b/>
        <w:bCs/>
        <w:noProof/>
        <w:vanish/>
        <w:color w:val="000000"/>
        <w:sz w:val="20"/>
        <w:szCs w:val="20"/>
      </w:rPr>
    </w:pPr>
    <w:r>
      <w:rPr>
        <w:noProof/>
        <w:color w:val="000000" w:themeColor="text1"/>
        <w:sz w:val="20"/>
        <w:szCs w:val="20"/>
      </w:rPr>
      <w:fldChar w:fldCharType="begin"/>
    </w:r>
    <w:r>
      <w:rPr>
        <w:noProof/>
        <w:color w:val="000000" w:themeColor="text1"/>
        <w:sz w:val="20"/>
        <w:szCs w:val="20"/>
      </w:rPr>
      <w:instrText xml:space="preserve"> FILENAME   \* MERGEFORMAT </w:instrText>
    </w:r>
    <w:r>
      <w:rPr>
        <w:noProof/>
        <w:color w:val="000000" w:themeColor="text1"/>
        <w:sz w:val="20"/>
        <w:szCs w:val="20"/>
      </w:rPr>
      <w:fldChar w:fldCharType="separate"/>
    </w:r>
    <w:r w:rsidR="006D0FEC">
      <w:rPr>
        <w:noProof/>
        <w:color w:val="000000" w:themeColor="text1"/>
        <w:sz w:val="20"/>
        <w:szCs w:val="20"/>
      </w:rPr>
      <w:t>IZMIzz_050619_1111</w:t>
    </w:r>
    <w:r>
      <w:rPr>
        <w:noProof/>
        <w:color w:val="000000" w:themeColor="tex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C14DE" w14:textId="77777777" w:rsidR="00A81BE1" w:rsidRDefault="00A81BE1">
      <w:r>
        <w:separator/>
      </w:r>
    </w:p>
  </w:footnote>
  <w:footnote w:type="continuationSeparator" w:id="0">
    <w:p w14:paraId="2CE591D1" w14:textId="77777777" w:rsidR="00A81BE1" w:rsidRDefault="00A81BE1">
      <w:r>
        <w:continuationSeparator/>
      </w:r>
    </w:p>
  </w:footnote>
  <w:footnote w:id="1">
    <w:p w14:paraId="24DBA3EF" w14:textId="3A74A823" w:rsidR="005C489B" w:rsidRDefault="005C489B">
      <w:pPr>
        <w:pStyle w:val="FootnoteText"/>
      </w:pPr>
      <w:r>
        <w:rPr>
          <w:rStyle w:val="FootnoteReference"/>
        </w:rPr>
        <w:footnoteRef/>
      </w:r>
      <w:r>
        <w:t xml:space="preserve"> </w:t>
      </w:r>
      <w:r w:rsidRPr="009308C6">
        <w:t>24.</w:t>
      </w:r>
      <w:r w:rsidRPr="009308C6">
        <w:tab/>
        <w:t xml:space="preserve">Gadījumos,  ja Eiropas Komisijas ekspertu sniegtais atzinums ir negatīvs, Sadarbības iestāde  pēc  22. punktā norādītas informācijas nosūtīšanas Atbildīgajai iestādei organizē starpinstitūciju sanāksmi ar Atbildīgo iestādi, pieaicinot Finansējuma saņēmēju. Sanāksmes laikā tiek izskatīti Eiropas Komisijas ekspertu atzinumi,  novērtējuma ietekme uz projekta turpmāko īstenošanas gaitu zinātniskā </w:t>
      </w:r>
      <w:proofErr w:type="spellStart"/>
      <w:r w:rsidRPr="009308C6">
        <w:t>izvērtējuma</w:t>
      </w:r>
      <w:proofErr w:type="spellEnd"/>
      <w:r w:rsidRPr="009308C6">
        <w:t xml:space="preserve"> </w:t>
      </w:r>
      <w:proofErr w:type="spellStart"/>
      <w:r w:rsidRPr="009308C6">
        <w:t>vidusposmā</w:t>
      </w:r>
      <w:proofErr w:type="spellEnd"/>
      <w:r w:rsidRPr="009308C6">
        <w:t xml:space="preserve"> gadījumā vai iespējamām finanšu korekcijām zinātniskā gala </w:t>
      </w:r>
      <w:proofErr w:type="spellStart"/>
      <w:r w:rsidRPr="009308C6">
        <w:t>izvērtējuma</w:t>
      </w:r>
      <w:proofErr w:type="spellEnd"/>
      <w:r w:rsidRPr="009308C6">
        <w:t xml:space="preserve"> gadījumā.  Atbildīgā iestāde atzinumu  par 22. punktā norādīto informāciju sniedz 10 darbdienu laikā pēc starpresoru sanāksmes. Sanāksmes laikā pieņemto lēmumu protokolēšanu nodrošina Sadarbības iestāde.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9FF53" w14:textId="77777777" w:rsidR="005C489B" w:rsidRDefault="005C489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94EF3E" w14:textId="77777777" w:rsidR="005C489B" w:rsidRDefault="005C48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C8F07" w14:textId="77777777" w:rsidR="005C489B" w:rsidRDefault="005C489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0FEC">
      <w:rPr>
        <w:rStyle w:val="PageNumber"/>
        <w:noProof/>
      </w:rPr>
      <w:t>32</w:t>
    </w:r>
    <w:r>
      <w:rPr>
        <w:rStyle w:val="PageNumber"/>
      </w:rPr>
      <w:fldChar w:fldCharType="end"/>
    </w:r>
  </w:p>
  <w:p w14:paraId="1F87B2A5" w14:textId="77777777" w:rsidR="005C489B" w:rsidRDefault="005C48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20734" w14:textId="77777777" w:rsidR="005C489B" w:rsidRPr="006C4AF5" w:rsidRDefault="005C489B" w:rsidP="006C4AF5">
    <w:pPr>
      <w:pStyle w:val="Header"/>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2770"/>
    <w:multiLevelType w:val="hybridMultilevel"/>
    <w:tmpl w:val="D58875EA"/>
    <w:lvl w:ilvl="0" w:tplc="FAB82618">
      <w:start w:val="1"/>
      <w:numFmt w:val="decimal"/>
      <w:lvlText w:val="%1)"/>
      <w:lvlJc w:val="left"/>
      <w:pPr>
        <w:ind w:left="1080" w:hanging="360"/>
      </w:pPr>
      <w:rPr>
        <w:rFonts w:eastAsia="SimSun" w:hint="default"/>
        <w:color w:val="auto"/>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3D1231C"/>
    <w:multiLevelType w:val="hybridMultilevel"/>
    <w:tmpl w:val="A4AAAF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04C82618"/>
    <w:multiLevelType w:val="hybridMultilevel"/>
    <w:tmpl w:val="EF88F6CC"/>
    <w:lvl w:ilvl="0" w:tplc="39C4A53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4F438D5"/>
    <w:multiLevelType w:val="hybridMultilevel"/>
    <w:tmpl w:val="02CEDA54"/>
    <w:lvl w:ilvl="0" w:tplc="C590D03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5983921"/>
    <w:multiLevelType w:val="hybridMultilevel"/>
    <w:tmpl w:val="AAC60E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7671A81"/>
    <w:multiLevelType w:val="hybridMultilevel"/>
    <w:tmpl w:val="E85A4A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A187A77"/>
    <w:multiLevelType w:val="hybridMultilevel"/>
    <w:tmpl w:val="187839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7F5089"/>
    <w:multiLevelType w:val="hybridMultilevel"/>
    <w:tmpl w:val="9BF80F08"/>
    <w:lvl w:ilvl="0" w:tplc="67E647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0B894291"/>
    <w:multiLevelType w:val="hybridMultilevel"/>
    <w:tmpl w:val="CA9A2896"/>
    <w:lvl w:ilvl="0" w:tplc="67E647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1A521CF"/>
    <w:multiLevelType w:val="hybridMultilevel"/>
    <w:tmpl w:val="7EB203CA"/>
    <w:lvl w:ilvl="0" w:tplc="9D147BF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23A7A8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6D47318"/>
    <w:multiLevelType w:val="multilevel"/>
    <w:tmpl w:val="E9F03D54"/>
    <w:lvl w:ilvl="0">
      <w:start w:val="30"/>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nsid w:val="16F72EC8"/>
    <w:multiLevelType w:val="hybridMultilevel"/>
    <w:tmpl w:val="E8E43440"/>
    <w:lvl w:ilvl="0" w:tplc="17461F08">
      <w:start w:val="1"/>
      <w:numFmt w:val="lowerLetter"/>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AD8062D"/>
    <w:multiLevelType w:val="hybridMultilevel"/>
    <w:tmpl w:val="88688F50"/>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nsid w:val="217F3450"/>
    <w:multiLevelType w:val="hybridMultilevel"/>
    <w:tmpl w:val="258E1F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F15CE6"/>
    <w:multiLevelType w:val="hybridMultilevel"/>
    <w:tmpl w:val="AA32B06A"/>
    <w:lvl w:ilvl="0" w:tplc="82045B3C">
      <w:start w:val="1"/>
      <w:numFmt w:val="decimal"/>
      <w:lvlText w:val="%1."/>
      <w:lvlJc w:val="left"/>
      <w:pPr>
        <w:ind w:left="644" w:hanging="360"/>
      </w:pPr>
      <w:rPr>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644"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235243D2"/>
    <w:multiLevelType w:val="hybridMultilevel"/>
    <w:tmpl w:val="D0D076BE"/>
    <w:lvl w:ilvl="0" w:tplc="C1C8CE18">
      <w:start w:val="1"/>
      <w:numFmt w:val="decimal"/>
      <w:pStyle w:val="Style1"/>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90D0139"/>
    <w:multiLevelType w:val="hybridMultilevel"/>
    <w:tmpl w:val="0D002E2C"/>
    <w:lvl w:ilvl="0" w:tplc="5F604DF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2AD849BB"/>
    <w:multiLevelType w:val="hybridMultilevel"/>
    <w:tmpl w:val="C3AE8FC6"/>
    <w:lvl w:ilvl="0" w:tplc="0426000F">
      <w:start w:val="1"/>
      <w:numFmt w:val="decimal"/>
      <w:lvlText w:val="%1."/>
      <w:lvlJc w:val="left"/>
      <w:pPr>
        <w:ind w:left="785"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nsid w:val="2B701C03"/>
    <w:multiLevelType w:val="hybridMultilevel"/>
    <w:tmpl w:val="7C64870A"/>
    <w:lvl w:ilvl="0" w:tplc="11BC9F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2DED29E9"/>
    <w:multiLevelType w:val="hybridMultilevel"/>
    <w:tmpl w:val="6412972C"/>
    <w:lvl w:ilvl="0" w:tplc="46BAAFF8">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20080A"/>
    <w:multiLevelType w:val="hybridMultilevel"/>
    <w:tmpl w:val="3CAC1C46"/>
    <w:lvl w:ilvl="0" w:tplc="67E647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04748C8"/>
    <w:multiLevelType w:val="multilevel"/>
    <w:tmpl w:val="6D9C5786"/>
    <w:lvl w:ilvl="0">
      <w:start w:val="2"/>
      <w:numFmt w:val="decimal"/>
      <w:lvlText w:val="%1."/>
      <w:lvlJc w:val="left"/>
      <w:pPr>
        <w:ind w:left="720" w:hanging="360"/>
      </w:pPr>
      <w:rPr>
        <w:rFonts w:hint="default"/>
        <w:b w:val="0"/>
        <w:i w:val="0"/>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32966A9B"/>
    <w:multiLevelType w:val="hybridMultilevel"/>
    <w:tmpl w:val="ED3CBD7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BEB720F"/>
    <w:multiLevelType w:val="hybridMultilevel"/>
    <w:tmpl w:val="A1A8505C"/>
    <w:lvl w:ilvl="0" w:tplc="FD16EDF0">
      <w:start w:val="1"/>
      <w:numFmt w:val="decimal"/>
      <w:lvlText w:val="%1."/>
      <w:lvlJc w:val="left"/>
      <w:pPr>
        <w:ind w:left="648" w:hanging="360"/>
      </w:pPr>
      <w:rPr>
        <w:rFonts w:hint="default"/>
      </w:r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abstractNum w:abstractNumId="25">
    <w:nsid w:val="417A316B"/>
    <w:multiLevelType w:val="hybridMultilevel"/>
    <w:tmpl w:val="19982E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9632116"/>
    <w:multiLevelType w:val="hybridMultilevel"/>
    <w:tmpl w:val="15EC67A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nsid w:val="4C01778C"/>
    <w:multiLevelType w:val="hybridMultilevel"/>
    <w:tmpl w:val="AA006FDC"/>
    <w:lvl w:ilvl="0" w:tplc="7FC2D930">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4D0F6EA4"/>
    <w:multiLevelType w:val="hybridMultilevel"/>
    <w:tmpl w:val="084ED9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14E6743"/>
    <w:multiLevelType w:val="hybridMultilevel"/>
    <w:tmpl w:val="2EDE66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1D17466"/>
    <w:multiLevelType w:val="hybridMultilevel"/>
    <w:tmpl w:val="1DF82C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28F0C64"/>
    <w:multiLevelType w:val="hybridMultilevel"/>
    <w:tmpl w:val="7C6CE16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nsid w:val="54DC4A0C"/>
    <w:multiLevelType w:val="hybridMultilevel"/>
    <w:tmpl w:val="32BCA3C0"/>
    <w:lvl w:ilvl="0" w:tplc="B8307814">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8FF6DD8"/>
    <w:multiLevelType w:val="hybridMultilevel"/>
    <w:tmpl w:val="AB9067E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BF17CB1"/>
    <w:multiLevelType w:val="hybridMultilevel"/>
    <w:tmpl w:val="187839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2224D1"/>
    <w:multiLevelType w:val="hybridMultilevel"/>
    <w:tmpl w:val="52F4EC2A"/>
    <w:lvl w:ilvl="0" w:tplc="C09E1B66">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nsid w:val="646258EE"/>
    <w:multiLevelType w:val="hybridMultilevel"/>
    <w:tmpl w:val="917CDCCA"/>
    <w:lvl w:ilvl="0" w:tplc="6C7650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nsid w:val="659717EB"/>
    <w:multiLevelType w:val="hybridMultilevel"/>
    <w:tmpl w:val="D58875EA"/>
    <w:lvl w:ilvl="0" w:tplc="FAB82618">
      <w:start w:val="1"/>
      <w:numFmt w:val="decimal"/>
      <w:lvlText w:val="%1)"/>
      <w:lvlJc w:val="left"/>
      <w:pPr>
        <w:ind w:left="1080" w:hanging="360"/>
      </w:pPr>
      <w:rPr>
        <w:rFonts w:eastAsia="SimSun" w:hint="default"/>
        <w:color w:val="auto"/>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nsid w:val="65B34612"/>
    <w:multiLevelType w:val="hybridMultilevel"/>
    <w:tmpl w:val="AC44300E"/>
    <w:lvl w:ilvl="0" w:tplc="93825D88">
      <w:start w:val="3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66E52782"/>
    <w:multiLevelType w:val="hybridMultilevel"/>
    <w:tmpl w:val="DEEEE2B2"/>
    <w:lvl w:ilvl="0" w:tplc="539CE9E0">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8D0493C"/>
    <w:multiLevelType w:val="hybridMultilevel"/>
    <w:tmpl w:val="071657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F461263"/>
    <w:multiLevelType w:val="hybridMultilevel"/>
    <w:tmpl w:val="0F58E3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2">
    <w:nsid w:val="72DF2C08"/>
    <w:multiLevelType w:val="multilevel"/>
    <w:tmpl w:val="DD18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A06B19"/>
    <w:multiLevelType w:val="hybridMultilevel"/>
    <w:tmpl w:val="42FE75B8"/>
    <w:lvl w:ilvl="0" w:tplc="9E8AC608">
      <w:start w:val="1"/>
      <w:numFmt w:val="decimal"/>
      <w:lvlText w:val="%1."/>
      <w:lvlJc w:val="left"/>
      <w:pPr>
        <w:ind w:left="720" w:hanging="360"/>
      </w:pPr>
      <w:rPr>
        <w:rFonts w:ascii="Times New Roman" w:hAnsi="Times New Roman" w:cs="Times New Roman" w:hint="default"/>
        <w:b w:val="0"/>
        <w:i w:val="0"/>
        <w:color w:val="auto"/>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4">
    <w:nsid w:val="756C0947"/>
    <w:multiLevelType w:val="hybridMultilevel"/>
    <w:tmpl w:val="39F03C72"/>
    <w:lvl w:ilvl="0" w:tplc="597EAB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nsid w:val="76557685"/>
    <w:multiLevelType w:val="hybridMultilevel"/>
    <w:tmpl w:val="EE6C6008"/>
    <w:lvl w:ilvl="0" w:tplc="4BE632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6">
    <w:nsid w:val="7E5B3103"/>
    <w:multiLevelType w:val="hybridMultilevel"/>
    <w:tmpl w:val="ADBED14A"/>
    <w:lvl w:ilvl="0" w:tplc="0426000F">
      <w:start w:val="4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5"/>
  </w:num>
  <w:num w:numId="2">
    <w:abstractNumId w:val="30"/>
  </w:num>
  <w:num w:numId="3">
    <w:abstractNumId w:val="22"/>
  </w:num>
  <w:num w:numId="4">
    <w:abstractNumId w:val="46"/>
  </w:num>
  <w:num w:numId="5">
    <w:abstractNumId w:val="39"/>
  </w:num>
  <w:num w:numId="6">
    <w:abstractNumId w:val="4"/>
  </w:num>
  <w:num w:numId="7">
    <w:abstractNumId w:val="28"/>
  </w:num>
  <w:num w:numId="8">
    <w:abstractNumId w:val="23"/>
  </w:num>
  <w:num w:numId="9">
    <w:abstractNumId w:val="2"/>
  </w:num>
  <w:num w:numId="10">
    <w:abstractNumId w:val="12"/>
  </w:num>
  <w:num w:numId="11">
    <w:abstractNumId w:val="25"/>
  </w:num>
  <w:num w:numId="12">
    <w:abstractNumId w:val="7"/>
  </w:num>
  <w:num w:numId="13">
    <w:abstractNumId w:val="11"/>
  </w:num>
  <w:num w:numId="14">
    <w:abstractNumId w:val="21"/>
  </w:num>
  <w:num w:numId="15">
    <w:abstractNumId w:val="33"/>
  </w:num>
  <w:num w:numId="16">
    <w:abstractNumId w:val="8"/>
  </w:num>
  <w:num w:numId="17">
    <w:abstractNumId w:val="5"/>
  </w:num>
  <w:num w:numId="18">
    <w:abstractNumId w:val="41"/>
  </w:num>
  <w:num w:numId="19">
    <w:abstractNumId w:val="29"/>
  </w:num>
  <w:num w:numId="20">
    <w:abstractNumId w:val="34"/>
  </w:num>
  <w:num w:numId="21">
    <w:abstractNumId w:val="14"/>
  </w:num>
  <w:num w:numId="22">
    <w:abstractNumId w:val="3"/>
  </w:num>
  <w:num w:numId="23">
    <w:abstractNumId w:val="6"/>
  </w:num>
  <w:num w:numId="24">
    <w:abstractNumId w:val="24"/>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9"/>
  </w:num>
  <w:num w:numId="33">
    <w:abstractNumId w:val="19"/>
  </w:num>
  <w:num w:numId="34">
    <w:abstractNumId w:val="27"/>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40"/>
  </w:num>
  <w:num w:numId="38">
    <w:abstractNumId w:val="36"/>
  </w:num>
  <w:num w:numId="39">
    <w:abstractNumId w:val="44"/>
  </w:num>
  <w:num w:numId="40">
    <w:abstractNumId w:val="45"/>
  </w:num>
  <w:num w:numId="41">
    <w:abstractNumId w:val="32"/>
  </w:num>
  <w:num w:numId="42">
    <w:abstractNumId w:val="38"/>
  </w:num>
  <w:num w:numId="43">
    <w:abstractNumId w:val="31"/>
  </w:num>
  <w:num w:numId="44">
    <w:abstractNumId w:val="16"/>
  </w:num>
  <w:num w:numId="45">
    <w:abstractNumId w:val="26"/>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D7B"/>
    <w:rsid w:val="00001028"/>
    <w:rsid w:val="00001F89"/>
    <w:rsid w:val="00003049"/>
    <w:rsid w:val="0000331B"/>
    <w:rsid w:val="00003461"/>
    <w:rsid w:val="00003A94"/>
    <w:rsid w:val="00003C53"/>
    <w:rsid w:val="0000456E"/>
    <w:rsid w:val="00004C56"/>
    <w:rsid w:val="00005118"/>
    <w:rsid w:val="0000529C"/>
    <w:rsid w:val="00005344"/>
    <w:rsid w:val="00005456"/>
    <w:rsid w:val="000055EA"/>
    <w:rsid w:val="00005EAD"/>
    <w:rsid w:val="00006473"/>
    <w:rsid w:val="00006A8A"/>
    <w:rsid w:val="00006B67"/>
    <w:rsid w:val="00006BF1"/>
    <w:rsid w:val="00006FB3"/>
    <w:rsid w:val="00007F81"/>
    <w:rsid w:val="000109AA"/>
    <w:rsid w:val="0001118D"/>
    <w:rsid w:val="0001131F"/>
    <w:rsid w:val="00011663"/>
    <w:rsid w:val="00011750"/>
    <w:rsid w:val="000117DB"/>
    <w:rsid w:val="00011950"/>
    <w:rsid w:val="000119A9"/>
    <w:rsid w:val="0001249F"/>
    <w:rsid w:val="000125C0"/>
    <w:rsid w:val="0001270C"/>
    <w:rsid w:val="000136AA"/>
    <w:rsid w:val="00013929"/>
    <w:rsid w:val="00013B4C"/>
    <w:rsid w:val="00013B77"/>
    <w:rsid w:val="00013BF6"/>
    <w:rsid w:val="00013EAF"/>
    <w:rsid w:val="0001405C"/>
    <w:rsid w:val="00015314"/>
    <w:rsid w:val="00015383"/>
    <w:rsid w:val="0001554C"/>
    <w:rsid w:val="00015AB8"/>
    <w:rsid w:val="00015B94"/>
    <w:rsid w:val="00015C77"/>
    <w:rsid w:val="00015DE5"/>
    <w:rsid w:val="000165C7"/>
    <w:rsid w:val="00016F65"/>
    <w:rsid w:val="000172E2"/>
    <w:rsid w:val="00017449"/>
    <w:rsid w:val="00017551"/>
    <w:rsid w:val="0001764C"/>
    <w:rsid w:val="0001799B"/>
    <w:rsid w:val="00020249"/>
    <w:rsid w:val="00021104"/>
    <w:rsid w:val="00022338"/>
    <w:rsid w:val="000223DC"/>
    <w:rsid w:val="0002256C"/>
    <w:rsid w:val="0002296A"/>
    <w:rsid w:val="00022A2A"/>
    <w:rsid w:val="00022B0F"/>
    <w:rsid w:val="00022B9A"/>
    <w:rsid w:val="00022D32"/>
    <w:rsid w:val="0002356D"/>
    <w:rsid w:val="00023BE9"/>
    <w:rsid w:val="00023C9F"/>
    <w:rsid w:val="00023EBF"/>
    <w:rsid w:val="00023FB2"/>
    <w:rsid w:val="00023FD6"/>
    <w:rsid w:val="0002416A"/>
    <w:rsid w:val="0002446C"/>
    <w:rsid w:val="0002481A"/>
    <w:rsid w:val="00024B80"/>
    <w:rsid w:val="00024CCD"/>
    <w:rsid w:val="00024D20"/>
    <w:rsid w:val="000253DB"/>
    <w:rsid w:val="00025CB0"/>
    <w:rsid w:val="00025CDA"/>
    <w:rsid w:val="00026569"/>
    <w:rsid w:val="000265DE"/>
    <w:rsid w:val="00026D23"/>
    <w:rsid w:val="0002700E"/>
    <w:rsid w:val="000273E2"/>
    <w:rsid w:val="00027531"/>
    <w:rsid w:val="000275B3"/>
    <w:rsid w:val="000278E7"/>
    <w:rsid w:val="00027A63"/>
    <w:rsid w:val="00027F9D"/>
    <w:rsid w:val="0003019F"/>
    <w:rsid w:val="0003045A"/>
    <w:rsid w:val="000307B5"/>
    <w:rsid w:val="00030D4D"/>
    <w:rsid w:val="000310AF"/>
    <w:rsid w:val="00032457"/>
    <w:rsid w:val="00032BE2"/>
    <w:rsid w:val="0003393C"/>
    <w:rsid w:val="0003413A"/>
    <w:rsid w:val="000342B8"/>
    <w:rsid w:val="00034709"/>
    <w:rsid w:val="000349CA"/>
    <w:rsid w:val="000349E5"/>
    <w:rsid w:val="00035067"/>
    <w:rsid w:val="0003557A"/>
    <w:rsid w:val="000356FA"/>
    <w:rsid w:val="00035C06"/>
    <w:rsid w:val="00035EF0"/>
    <w:rsid w:val="000366DF"/>
    <w:rsid w:val="00036C6D"/>
    <w:rsid w:val="00036C93"/>
    <w:rsid w:val="00037524"/>
    <w:rsid w:val="000376CD"/>
    <w:rsid w:val="000379CE"/>
    <w:rsid w:val="00037A77"/>
    <w:rsid w:val="00037B6B"/>
    <w:rsid w:val="00037B8C"/>
    <w:rsid w:val="00040A5C"/>
    <w:rsid w:val="00040CCD"/>
    <w:rsid w:val="000417C6"/>
    <w:rsid w:val="0004194C"/>
    <w:rsid w:val="00041F91"/>
    <w:rsid w:val="00043005"/>
    <w:rsid w:val="000433A6"/>
    <w:rsid w:val="0004345F"/>
    <w:rsid w:val="00043484"/>
    <w:rsid w:val="000434DA"/>
    <w:rsid w:val="000435C1"/>
    <w:rsid w:val="00043EFE"/>
    <w:rsid w:val="00044026"/>
    <w:rsid w:val="00044106"/>
    <w:rsid w:val="000453CF"/>
    <w:rsid w:val="00045F34"/>
    <w:rsid w:val="00046075"/>
    <w:rsid w:val="00046382"/>
    <w:rsid w:val="00046CAD"/>
    <w:rsid w:val="00046D4C"/>
    <w:rsid w:val="00046F5C"/>
    <w:rsid w:val="00046FFD"/>
    <w:rsid w:val="00047219"/>
    <w:rsid w:val="00047385"/>
    <w:rsid w:val="000477BE"/>
    <w:rsid w:val="00047A6C"/>
    <w:rsid w:val="00047E39"/>
    <w:rsid w:val="00050554"/>
    <w:rsid w:val="00050D42"/>
    <w:rsid w:val="000511FB"/>
    <w:rsid w:val="00051765"/>
    <w:rsid w:val="00052C5A"/>
    <w:rsid w:val="00053706"/>
    <w:rsid w:val="000537B7"/>
    <w:rsid w:val="00053E04"/>
    <w:rsid w:val="00055F7E"/>
    <w:rsid w:val="000560E4"/>
    <w:rsid w:val="000566F0"/>
    <w:rsid w:val="00056AE0"/>
    <w:rsid w:val="00057149"/>
    <w:rsid w:val="00057556"/>
    <w:rsid w:val="000579E6"/>
    <w:rsid w:val="00060E03"/>
    <w:rsid w:val="0006159B"/>
    <w:rsid w:val="000619AB"/>
    <w:rsid w:val="000620A4"/>
    <w:rsid w:val="00062297"/>
    <w:rsid w:val="00062EAA"/>
    <w:rsid w:val="00062EBF"/>
    <w:rsid w:val="000641B8"/>
    <w:rsid w:val="000641CE"/>
    <w:rsid w:val="0006492A"/>
    <w:rsid w:val="00064AB5"/>
    <w:rsid w:val="00065271"/>
    <w:rsid w:val="00065B27"/>
    <w:rsid w:val="00066176"/>
    <w:rsid w:val="0006618D"/>
    <w:rsid w:val="00066885"/>
    <w:rsid w:val="0006694E"/>
    <w:rsid w:val="00066A37"/>
    <w:rsid w:val="00066C2C"/>
    <w:rsid w:val="00066F05"/>
    <w:rsid w:val="0006779E"/>
    <w:rsid w:val="000709AB"/>
    <w:rsid w:val="000709F7"/>
    <w:rsid w:val="00070B47"/>
    <w:rsid w:val="00072483"/>
    <w:rsid w:val="000725BE"/>
    <w:rsid w:val="00072628"/>
    <w:rsid w:val="000728ED"/>
    <w:rsid w:val="000733F5"/>
    <w:rsid w:val="000733FF"/>
    <w:rsid w:val="00073888"/>
    <w:rsid w:val="00073C0D"/>
    <w:rsid w:val="000745ED"/>
    <w:rsid w:val="00074EDF"/>
    <w:rsid w:val="0007526C"/>
    <w:rsid w:val="0007577A"/>
    <w:rsid w:val="000757DA"/>
    <w:rsid w:val="00075AB3"/>
    <w:rsid w:val="00075F21"/>
    <w:rsid w:val="000767DB"/>
    <w:rsid w:val="000775D0"/>
    <w:rsid w:val="00077A80"/>
    <w:rsid w:val="00080A08"/>
    <w:rsid w:val="00080A3E"/>
    <w:rsid w:val="0008109F"/>
    <w:rsid w:val="0008111F"/>
    <w:rsid w:val="00081B0F"/>
    <w:rsid w:val="00081C05"/>
    <w:rsid w:val="00082242"/>
    <w:rsid w:val="00082729"/>
    <w:rsid w:val="0008283D"/>
    <w:rsid w:val="00082BB8"/>
    <w:rsid w:val="00082D17"/>
    <w:rsid w:val="00082FD2"/>
    <w:rsid w:val="00083090"/>
    <w:rsid w:val="00083214"/>
    <w:rsid w:val="000837C4"/>
    <w:rsid w:val="00083B8F"/>
    <w:rsid w:val="00083CFE"/>
    <w:rsid w:val="000848BC"/>
    <w:rsid w:val="00084B11"/>
    <w:rsid w:val="00085322"/>
    <w:rsid w:val="0008656F"/>
    <w:rsid w:val="00086AB9"/>
    <w:rsid w:val="00086BCE"/>
    <w:rsid w:val="00086F36"/>
    <w:rsid w:val="000872E9"/>
    <w:rsid w:val="0008799E"/>
    <w:rsid w:val="00090168"/>
    <w:rsid w:val="00090888"/>
    <w:rsid w:val="00090C76"/>
    <w:rsid w:val="00091033"/>
    <w:rsid w:val="00091E89"/>
    <w:rsid w:val="00091F10"/>
    <w:rsid w:val="000922BF"/>
    <w:rsid w:val="000922E8"/>
    <w:rsid w:val="00092EC4"/>
    <w:rsid w:val="0009302B"/>
    <w:rsid w:val="000934D7"/>
    <w:rsid w:val="00093D05"/>
    <w:rsid w:val="00093EC2"/>
    <w:rsid w:val="00094307"/>
    <w:rsid w:val="000958A2"/>
    <w:rsid w:val="000959A6"/>
    <w:rsid w:val="00095D1D"/>
    <w:rsid w:val="000965E7"/>
    <w:rsid w:val="000965F6"/>
    <w:rsid w:val="0009695E"/>
    <w:rsid w:val="000970AA"/>
    <w:rsid w:val="000978E1"/>
    <w:rsid w:val="00097DF8"/>
    <w:rsid w:val="000A0041"/>
    <w:rsid w:val="000A06FC"/>
    <w:rsid w:val="000A11C6"/>
    <w:rsid w:val="000A137C"/>
    <w:rsid w:val="000A14FA"/>
    <w:rsid w:val="000A1A02"/>
    <w:rsid w:val="000A223E"/>
    <w:rsid w:val="000A2915"/>
    <w:rsid w:val="000A34FF"/>
    <w:rsid w:val="000A3E09"/>
    <w:rsid w:val="000A3E8C"/>
    <w:rsid w:val="000A4035"/>
    <w:rsid w:val="000A483A"/>
    <w:rsid w:val="000A4B5F"/>
    <w:rsid w:val="000A55D2"/>
    <w:rsid w:val="000A5A10"/>
    <w:rsid w:val="000A6046"/>
    <w:rsid w:val="000A6096"/>
    <w:rsid w:val="000A64D3"/>
    <w:rsid w:val="000A6AB6"/>
    <w:rsid w:val="000A77B9"/>
    <w:rsid w:val="000A7877"/>
    <w:rsid w:val="000A7886"/>
    <w:rsid w:val="000A7B4B"/>
    <w:rsid w:val="000A7EA7"/>
    <w:rsid w:val="000B0403"/>
    <w:rsid w:val="000B057B"/>
    <w:rsid w:val="000B06E7"/>
    <w:rsid w:val="000B0C94"/>
    <w:rsid w:val="000B15E5"/>
    <w:rsid w:val="000B1BD7"/>
    <w:rsid w:val="000B2094"/>
    <w:rsid w:val="000B237D"/>
    <w:rsid w:val="000B2382"/>
    <w:rsid w:val="000B24E5"/>
    <w:rsid w:val="000B2FF1"/>
    <w:rsid w:val="000B3171"/>
    <w:rsid w:val="000B34A5"/>
    <w:rsid w:val="000B3739"/>
    <w:rsid w:val="000B3A96"/>
    <w:rsid w:val="000B4746"/>
    <w:rsid w:val="000B5808"/>
    <w:rsid w:val="000B62D8"/>
    <w:rsid w:val="000B6E96"/>
    <w:rsid w:val="000B7966"/>
    <w:rsid w:val="000B7CB1"/>
    <w:rsid w:val="000C03BE"/>
    <w:rsid w:val="000C0402"/>
    <w:rsid w:val="000C0966"/>
    <w:rsid w:val="000C0AE6"/>
    <w:rsid w:val="000C0D0D"/>
    <w:rsid w:val="000C0F55"/>
    <w:rsid w:val="000C1664"/>
    <w:rsid w:val="000C185C"/>
    <w:rsid w:val="000C1F26"/>
    <w:rsid w:val="000C2555"/>
    <w:rsid w:val="000C2565"/>
    <w:rsid w:val="000C29DC"/>
    <w:rsid w:val="000C3077"/>
    <w:rsid w:val="000C3545"/>
    <w:rsid w:val="000C4838"/>
    <w:rsid w:val="000C498A"/>
    <w:rsid w:val="000C4A6E"/>
    <w:rsid w:val="000C4B9A"/>
    <w:rsid w:val="000C4C16"/>
    <w:rsid w:val="000C56FC"/>
    <w:rsid w:val="000C5A7F"/>
    <w:rsid w:val="000C5D56"/>
    <w:rsid w:val="000C6C7B"/>
    <w:rsid w:val="000C7907"/>
    <w:rsid w:val="000C7A11"/>
    <w:rsid w:val="000C7F5E"/>
    <w:rsid w:val="000D00AC"/>
    <w:rsid w:val="000D0AED"/>
    <w:rsid w:val="000D1B36"/>
    <w:rsid w:val="000D2427"/>
    <w:rsid w:val="000D2786"/>
    <w:rsid w:val="000D2A3B"/>
    <w:rsid w:val="000D2A8F"/>
    <w:rsid w:val="000D3602"/>
    <w:rsid w:val="000D3E45"/>
    <w:rsid w:val="000D3FDF"/>
    <w:rsid w:val="000D424E"/>
    <w:rsid w:val="000D42F8"/>
    <w:rsid w:val="000D4358"/>
    <w:rsid w:val="000D47F3"/>
    <w:rsid w:val="000D4D89"/>
    <w:rsid w:val="000D640C"/>
    <w:rsid w:val="000D6B7E"/>
    <w:rsid w:val="000D6BBD"/>
    <w:rsid w:val="000D6CDB"/>
    <w:rsid w:val="000D6D90"/>
    <w:rsid w:val="000D7606"/>
    <w:rsid w:val="000D7751"/>
    <w:rsid w:val="000D7769"/>
    <w:rsid w:val="000D7BFE"/>
    <w:rsid w:val="000D7C23"/>
    <w:rsid w:val="000E0527"/>
    <w:rsid w:val="000E0A16"/>
    <w:rsid w:val="000E0C44"/>
    <w:rsid w:val="000E1163"/>
    <w:rsid w:val="000E1665"/>
    <w:rsid w:val="000E1BFA"/>
    <w:rsid w:val="000E2142"/>
    <w:rsid w:val="000E21D0"/>
    <w:rsid w:val="000E29A9"/>
    <w:rsid w:val="000E2A38"/>
    <w:rsid w:val="000E2A39"/>
    <w:rsid w:val="000E2ACC"/>
    <w:rsid w:val="000E2D68"/>
    <w:rsid w:val="000E30C9"/>
    <w:rsid w:val="000E34C2"/>
    <w:rsid w:val="000E3DD3"/>
    <w:rsid w:val="000E3F9A"/>
    <w:rsid w:val="000E4897"/>
    <w:rsid w:val="000E48CA"/>
    <w:rsid w:val="000E541F"/>
    <w:rsid w:val="000E5509"/>
    <w:rsid w:val="000E5704"/>
    <w:rsid w:val="000E585F"/>
    <w:rsid w:val="000E5A75"/>
    <w:rsid w:val="000E5FEE"/>
    <w:rsid w:val="000E61B0"/>
    <w:rsid w:val="000E62C6"/>
    <w:rsid w:val="000E66F8"/>
    <w:rsid w:val="000F054F"/>
    <w:rsid w:val="000F05B0"/>
    <w:rsid w:val="000F079D"/>
    <w:rsid w:val="000F09CF"/>
    <w:rsid w:val="000F0D9D"/>
    <w:rsid w:val="000F1CB4"/>
    <w:rsid w:val="000F1D56"/>
    <w:rsid w:val="000F2534"/>
    <w:rsid w:val="000F28D9"/>
    <w:rsid w:val="000F2D43"/>
    <w:rsid w:val="000F2F9A"/>
    <w:rsid w:val="000F33DB"/>
    <w:rsid w:val="000F3545"/>
    <w:rsid w:val="000F36EE"/>
    <w:rsid w:val="000F38C1"/>
    <w:rsid w:val="000F3AA0"/>
    <w:rsid w:val="000F40AE"/>
    <w:rsid w:val="000F48F7"/>
    <w:rsid w:val="000F4AEB"/>
    <w:rsid w:val="000F4B40"/>
    <w:rsid w:val="000F4C3B"/>
    <w:rsid w:val="000F4E7B"/>
    <w:rsid w:val="000F5069"/>
    <w:rsid w:val="000F5493"/>
    <w:rsid w:val="000F57C3"/>
    <w:rsid w:val="000F5807"/>
    <w:rsid w:val="000F5C37"/>
    <w:rsid w:val="000F5DF0"/>
    <w:rsid w:val="000F63DC"/>
    <w:rsid w:val="000F641C"/>
    <w:rsid w:val="000F6686"/>
    <w:rsid w:val="000F6A0B"/>
    <w:rsid w:val="000F6E4E"/>
    <w:rsid w:val="000F710C"/>
    <w:rsid w:val="000F722C"/>
    <w:rsid w:val="000F733A"/>
    <w:rsid w:val="000F754F"/>
    <w:rsid w:val="000F7695"/>
    <w:rsid w:val="000F7EBF"/>
    <w:rsid w:val="00100B6C"/>
    <w:rsid w:val="001012E3"/>
    <w:rsid w:val="00101403"/>
    <w:rsid w:val="00101EEB"/>
    <w:rsid w:val="00102311"/>
    <w:rsid w:val="00102DF7"/>
    <w:rsid w:val="00103522"/>
    <w:rsid w:val="0010375A"/>
    <w:rsid w:val="0010389C"/>
    <w:rsid w:val="001038ED"/>
    <w:rsid w:val="001042B0"/>
    <w:rsid w:val="001051DF"/>
    <w:rsid w:val="001056A1"/>
    <w:rsid w:val="00105C4A"/>
    <w:rsid w:val="00106CC7"/>
    <w:rsid w:val="00106F4F"/>
    <w:rsid w:val="001071D3"/>
    <w:rsid w:val="001073D7"/>
    <w:rsid w:val="001075A8"/>
    <w:rsid w:val="00107AD5"/>
    <w:rsid w:val="00107DD6"/>
    <w:rsid w:val="00110259"/>
    <w:rsid w:val="001104C5"/>
    <w:rsid w:val="00110AA9"/>
    <w:rsid w:val="001110C2"/>
    <w:rsid w:val="001113AB"/>
    <w:rsid w:val="0011254D"/>
    <w:rsid w:val="00112D97"/>
    <w:rsid w:val="00112DDA"/>
    <w:rsid w:val="00112F8E"/>
    <w:rsid w:val="001135C7"/>
    <w:rsid w:val="001139C2"/>
    <w:rsid w:val="00114559"/>
    <w:rsid w:val="00114A73"/>
    <w:rsid w:val="00114EA9"/>
    <w:rsid w:val="00115757"/>
    <w:rsid w:val="00115ED0"/>
    <w:rsid w:val="00116012"/>
    <w:rsid w:val="00116235"/>
    <w:rsid w:val="0011683C"/>
    <w:rsid w:val="00117174"/>
    <w:rsid w:val="001179E8"/>
    <w:rsid w:val="00117AE1"/>
    <w:rsid w:val="00117CD7"/>
    <w:rsid w:val="00117D06"/>
    <w:rsid w:val="00117F10"/>
    <w:rsid w:val="0012021B"/>
    <w:rsid w:val="001210AD"/>
    <w:rsid w:val="0012165C"/>
    <w:rsid w:val="0012222D"/>
    <w:rsid w:val="00122740"/>
    <w:rsid w:val="00123224"/>
    <w:rsid w:val="001233D5"/>
    <w:rsid w:val="0012406A"/>
    <w:rsid w:val="001253A0"/>
    <w:rsid w:val="001255E6"/>
    <w:rsid w:val="00125C9B"/>
    <w:rsid w:val="00125E6F"/>
    <w:rsid w:val="00127614"/>
    <w:rsid w:val="00127928"/>
    <w:rsid w:val="00127A65"/>
    <w:rsid w:val="00130118"/>
    <w:rsid w:val="0013053A"/>
    <w:rsid w:val="0013066A"/>
    <w:rsid w:val="0013089A"/>
    <w:rsid w:val="00130B1F"/>
    <w:rsid w:val="00130F3D"/>
    <w:rsid w:val="00131593"/>
    <w:rsid w:val="001315EF"/>
    <w:rsid w:val="00131E13"/>
    <w:rsid w:val="00131E54"/>
    <w:rsid w:val="00131F39"/>
    <w:rsid w:val="001322C9"/>
    <w:rsid w:val="00132375"/>
    <w:rsid w:val="00132AEC"/>
    <w:rsid w:val="00132E73"/>
    <w:rsid w:val="001330FA"/>
    <w:rsid w:val="00133505"/>
    <w:rsid w:val="00133AF4"/>
    <w:rsid w:val="00134188"/>
    <w:rsid w:val="0013471C"/>
    <w:rsid w:val="00135437"/>
    <w:rsid w:val="001360E2"/>
    <w:rsid w:val="00136C0D"/>
    <w:rsid w:val="00137403"/>
    <w:rsid w:val="00137A59"/>
    <w:rsid w:val="00137BE9"/>
    <w:rsid w:val="00140044"/>
    <w:rsid w:val="00140706"/>
    <w:rsid w:val="00140A22"/>
    <w:rsid w:val="0014122A"/>
    <w:rsid w:val="001414F4"/>
    <w:rsid w:val="00141E85"/>
    <w:rsid w:val="0014233C"/>
    <w:rsid w:val="001427AA"/>
    <w:rsid w:val="001428B0"/>
    <w:rsid w:val="00142B11"/>
    <w:rsid w:val="0014319C"/>
    <w:rsid w:val="001436B3"/>
    <w:rsid w:val="00143976"/>
    <w:rsid w:val="00143DAC"/>
    <w:rsid w:val="00143FE6"/>
    <w:rsid w:val="00144231"/>
    <w:rsid w:val="00144622"/>
    <w:rsid w:val="00144709"/>
    <w:rsid w:val="00144781"/>
    <w:rsid w:val="00144917"/>
    <w:rsid w:val="00144F38"/>
    <w:rsid w:val="0014512F"/>
    <w:rsid w:val="001456EB"/>
    <w:rsid w:val="0014594D"/>
    <w:rsid w:val="00145CC0"/>
    <w:rsid w:val="00146636"/>
    <w:rsid w:val="0014702D"/>
    <w:rsid w:val="00147177"/>
    <w:rsid w:val="001473D3"/>
    <w:rsid w:val="0014748B"/>
    <w:rsid w:val="00147596"/>
    <w:rsid w:val="001478F3"/>
    <w:rsid w:val="00147E2E"/>
    <w:rsid w:val="00147F08"/>
    <w:rsid w:val="00150624"/>
    <w:rsid w:val="001508D5"/>
    <w:rsid w:val="001516AB"/>
    <w:rsid w:val="001516BD"/>
    <w:rsid w:val="00152718"/>
    <w:rsid w:val="00152B5A"/>
    <w:rsid w:val="00152E65"/>
    <w:rsid w:val="00152F5E"/>
    <w:rsid w:val="001530CF"/>
    <w:rsid w:val="00153172"/>
    <w:rsid w:val="001536BD"/>
    <w:rsid w:val="00153AE1"/>
    <w:rsid w:val="00153C00"/>
    <w:rsid w:val="00153F12"/>
    <w:rsid w:val="0015412E"/>
    <w:rsid w:val="001543DB"/>
    <w:rsid w:val="00154602"/>
    <w:rsid w:val="00154DF9"/>
    <w:rsid w:val="00154E6B"/>
    <w:rsid w:val="00154E7E"/>
    <w:rsid w:val="00155473"/>
    <w:rsid w:val="00155817"/>
    <w:rsid w:val="00155DC2"/>
    <w:rsid w:val="00156068"/>
    <w:rsid w:val="00156CF9"/>
    <w:rsid w:val="00156D90"/>
    <w:rsid w:val="00156E9F"/>
    <w:rsid w:val="00157599"/>
    <w:rsid w:val="00157A57"/>
    <w:rsid w:val="00157A5B"/>
    <w:rsid w:val="00157A9B"/>
    <w:rsid w:val="00157DB6"/>
    <w:rsid w:val="00157EC2"/>
    <w:rsid w:val="001613A2"/>
    <w:rsid w:val="00161478"/>
    <w:rsid w:val="00161B3A"/>
    <w:rsid w:val="001620AA"/>
    <w:rsid w:val="001620D9"/>
    <w:rsid w:val="00162114"/>
    <w:rsid w:val="00162A68"/>
    <w:rsid w:val="00162C51"/>
    <w:rsid w:val="00162E08"/>
    <w:rsid w:val="001633F1"/>
    <w:rsid w:val="00163600"/>
    <w:rsid w:val="0016363B"/>
    <w:rsid w:val="0016416D"/>
    <w:rsid w:val="00164477"/>
    <w:rsid w:val="00164ED9"/>
    <w:rsid w:val="0016531E"/>
    <w:rsid w:val="0016565C"/>
    <w:rsid w:val="00165A08"/>
    <w:rsid w:val="00166314"/>
    <w:rsid w:val="00166746"/>
    <w:rsid w:val="0016680B"/>
    <w:rsid w:val="00166A1F"/>
    <w:rsid w:val="00167590"/>
    <w:rsid w:val="00167918"/>
    <w:rsid w:val="00167922"/>
    <w:rsid w:val="00167A9A"/>
    <w:rsid w:val="00167C1E"/>
    <w:rsid w:val="0017037A"/>
    <w:rsid w:val="0017043B"/>
    <w:rsid w:val="0017052B"/>
    <w:rsid w:val="001706A1"/>
    <w:rsid w:val="00170752"/>
    <w:rsid w:val="00170914"/>
    <w:rsid w:val="00170DF2"/>
    <w:rsid w:val="00171E71"/>
    <w:rsid w:val="0017257D"/>
    <w:rsid w:val="0017299F"/>
    <w:rsid w:val="0017350B"/>
    <w:rsid w:val="00173D50"/>
    <w:rsid w:val="00173F16"/>
    <w:rsid w:val="00174841"/>
    <w:rsid w:val="00174ABB"/>
    <w:rsid w:val="00174B72"/>
    <w:rsid w:val="00174ECD"/>
    <w:rsid w:val="00175B20"/>
    <w:rsid w:val="001761FD"/>
    <w:rsid w:val="0017623B"/>
    <w:rsid w:val="001766F1"/>
    <w:rsid w:val="0017788E"/>
    <w:rsid w:val="00177D61"/>
    <w:rsid w:val="00180125"/>
    <w:rsid w:val="001808CA"/>
    <w:rsid w:val="00180923"/>
    <w:rsid w:val="00180CE5"/>
    <w:rsid w:val="00180DF6"/>
    <w:rsid w:val="0018147D"/>
    <w:rsid w:val="00181853"/>
    <w:rsid w:val="00181BAA"/>
    <w:rsid w:val="00181D2D"/>
    <w:rsid w:val="001820A4"/>
    <w:rsid w:val="0018210A"/>
    <w:rsid w:val="001828FD"/>
    <w:rsid w:val="00182DE0"/>
    <w:rsid w:val="00183249"/>
    <w:rsid w:val="00183627"/>
    <w:rsid w:val="00183787"/>
    <w:rsid w:val="0018386C"/>
    <w:rsid w:val="00184479"/>
    <w:rsid w:val="0018455F"/>
    <w:rsid w:val="0018457C"/>
    <w:rsid w:val="0018472C"/>
    <w:rsid w:val="00184792"/>
    <w:rsid w:val="00184838"/>
    <w:rsid w:val="001852A4"/>
    <w:rsid w:val="001855A4"/>
    <w:rsid w:val="00185711"/>
    <w:rsid w:val="00185755"/>
    <w:rsid w:val="001863D4"/>
    <w:rsid w:val="00186ED2"/>
    <w:rsid w:val="00187398"/>
    <w:rsid w:val="00187F73"/>
    <w:rsid w:val="00187FB0"/>
    <w:rsid w:val="001901F5"/>
    <w:rsid w:val="001902E9"/>
    <w:rsid w:val="00190327"/>
    <w:rsid w:val="001905AC"/>
    <w:rsid w:val="001906A5"/>
    <w:rsid w:val="00190A0A"/>
    <w:rsid w:val="00190D91"/>
    <w:rsid w:val="0019196E"/>
    <w:rsid w:val="00191ED8"/>
    <w:rsid w:val="0019257C"/>
    <w:rsid w:val="001926F2"/>
    <w:rsid w:val="00192BB0"/>
    <w:rsid w:val="00192DF0"/>
    <w:rsid w:val="00192F32"/>
    <w:rsid w:val="00193408"/>
    <w:rsid w:val="00193B69"/>
    <w:rsid w:val="00193BCE"/>
    <w:rsid w:val="001945D2"/>
    <w:rsid w:val="00194B87"/>
    <w:rsid w:val="00194ED9"/>
    <w:rsid w:val="0019569A"/>
    <w:rsid w:val="00195962"/>
    <w:rsid w:val="00195A92"/>
    <w:rsid w:val="001973E6"/>
    <w:rsid w:val="00197533"/>
    <w:rsid w:val="001977E7"/>
    <w:rsid w:val="00197CCA"/>
    <w:rsid w:val="001A04E6"/>
    <w:rsid w:val="001A0973"/>
    <w:rsid w:val="001A0D8A"/>
    <w:rsid w:val="001A192D"/>
    <w:rsid w:val="001A2310"/>
    <w:rsid w:val="001A2D06"/>
    <w:rsid w:val="001A31E5"/>
    <w:rsid w:val="001A3950"/>
    <w:rsid w:val="001A3DE0"/>
    <w:rsid w:val="001A4AD7"/>
    <w:rsid w:val="001A4B38"/>
    <w:rsid w:val="001A4B3B"/>
    <w:rsid w:val="001A5082"/>
    <w:rsid w:val="001A5212"/>
    <w:rsid w:val="001A5223"/>
    <w:rsid w:val="001A531C"/>
    <w:rsid w:val="001A5C13"/>
    <w:rsid w:val="001A61CB"/>
    <w:rsid w:val="001A662A"/>
    <w:rsid w:val="001A6A1C"/>
    <w:rsid w:val="001A6D86"/>
    <w:rsid w:val="001A7147"/>
    <w:rsid w:val="001A72A7"/>
    <w:rsid w:val="001A76CC"/>
    <w:rsid w:val="001A78E6"/>
    <w:rsid w:val="001A7C72"/>
    <w:rsid w:val="001B084B"/>
    <w:rsid w:val="001B0CEC"/>
    <w:rsid w:val="001B0DED"/>
    <w:rsid w:val="001B0FFC"/>
    <w:rsid w:val="001B104E"/>
    <w:rsid w:val="001B1623"/>
    <w:rsid w:val="001B1CF2"/>
    <w:rsid w:val="001B2494"/>
    <w:rsid w:val="001B2509"/>
    <w:rsid w:val="001B2B3F"/>
    <w:rsid w:val="001B329B"/>
    <w:rsid w:val="001B3824"/>
    <w:rsid w:val="001B3C2B"/>
    <w:rsid w:val="001B3ED9"/>
    <w:rsid w:val="001B4005"/>
    <w:rsid w:val="001B4388"/>
    <w:rsid w:val="001B463E"/>
    <w:rsid w:val="001B49E0"/>
    <w:rsid w:val="001B4D46"/>
    <w:rsid w:val="001B5302"/>
    <w:rsid w:val="001B5377"/>
    <w:rsid w:val="001B5864"/>
    <w:rsid w:val="001B5B79"/>
    <w:rsid w:val="001B5DC4"/>
    <w:rsid w:val="001B5DDA"/>
    <w:rsid w:val="001B5FBA"/>
    <w:rsid w:val="001B6553"/>
    <w:rsid w:val="001B6647"/>
    <w:rsid w:val="001B6A47"/>
    <w:rsid w:val="001B6B0A"/>
    <w:rsid w:val="001B6C3C"/>
    <w:rsid w:val="001C0089"/>
    <w:rsid w:val="001C0824"/>
    <w:rsid w:val="001C0901"/>
    <w:rsid w:val="001C0A15"/>
    <w:rsid w:val="001C0B83"/>
    <w:rsid w:val="001C1004"/>
    <w:rsid w:val="001C100B"/>
    <w:rsid w:val="001C1220"/>
    <w:rsid w:val="001C13CE"/>
    <w:rsid w:val="001C1510"/>
    <w:rsid w:val="001C17E2"/>
    <w:rsid w:val="001C1989"/>
    <w:rsid w:val="001C1ED2"/>
    <w:rsid w:val="001C2033"/>
    <w:rsid w:val="001C2066"/>
    <w:rsid w:val="001C28FD"/>
    <w:rsid w:val="001C309E"/>
    <w:rsid w:val="001C3163"/>
    <w:rsid w:val="001C3349"/>
    <w:rsid w:val="001C3E58"/>
    <w:rsid w:val="001C47FD"/>
    <w:rsid w:val="001C4ABA"/>
    <w:rsid w:val="001C509E"/>
    <w:rsid w:val="001C546B"/>
    <w:rsid w:val="001C553B"/>
    <w:rsid w:val="001C5EA2"/>
    <w:rsid w:val="001C6608"/>
    <w:rsid w:val="001C6680"/>
    <w:rsid w:val="001C6C7D"/>
    <w:rsid w:val="001C79E3"/>
    <w:rsid w:val="001C7A3E"/>
    <w:rsid w:val="001D01B3"/>
    <w:rsid w:val="001D0393"/>
    <w:rsid w:val="001D0BF6"/>
    <w:rsid w:val="001D1CB1"/>
    <w:rsid w:val="001D2232"/>
    <w:rsid w:val="001D260F"/>
    <w:rsid w:val="001D2AC0"/>
    <w:rsid w:val="001D2DBA"/>
    <w:rsid w:val="001D2FD0"/>
    <w:rsid w:val="001D3830"/>
    <w:rsid w:val="001D39B3"/>
    <w:rsid w:val="001D3A53"/>
    <w:rsid w:val="001D3BA6"/>
    <w:rsid w:val="001D4F43"/>
    <w:rsid w:val="001D4F79"/>
    <w:rsid w:val="001D4FEC"/>
    <w:rsid w:val="001D5564"/>
    <w:rsid w:val="001D593A"/>
    <w:rsid w:val="001D5D62"/>
    <w:rsid w:val="001D67A2"/>
    <w:rsid w:val="001D6FAA"/>
    <w:rsid w:val="001D70FA"/>
    <w:rsid w:val="001D736D"/>
    <w:rsid w:val="001D7617"/>
    <w:rsid w:val="001D768C"/>
    <w:rsid w:val="001D787D"/>
    <w:rsid w:val="001D7BA9"/>
    <w:rsid w:val="001E00EF"/>
    <w:rsid w:val="001E039D"/>
    <w:rsid w:val="001E0CFC"/>
    <w:rsid w:val="001E1398"/>
    <w:rsid w:val="001E22E7"/>
    <w:rsid w:val="001E2714"/>
    <w:rsid w:val="001E385E"/>
    <w:rsid w:val="001E398C"/>
    <w:rsid w:val="001E4094"/>
    <w:rsid w:val="001E40BB"/>
    <w:rsid w:val="001E4456"/>
    <w:rsid w:val="001E480E"/>
    <w:rsid w:val="001E4DDC"/>
    <w:rsid w:val="001E58C0"/>
    <w:rsid w:val="001E5EAA"/>
    <w:rsid w:val="001E62BC"/>
    <w:rsid w:val="001E6BFD"/>
    <w:rsid w:val="001E73AA"/>
    <w:rsid w:val="001E7716"/>
    <w:rsid w:val="001E774F"/>
    <w:rsid w:val="001E78AC"/>
    <w:rsid w:val="001E7C1D"/>
    <w:rsid w:val="001E7F44"/>
    <w:rsid w:val="001E7F89"/>
    <w:rsid w:val="001F073F"/>
    <w:rsid w:val="001F07B8"/>
    <w:rsid w:val="001F19B5"/>
    <w:rsid w:val="001F1AD9"/>
    <w:rsid w:val="001F2AA2"/>
    <w:rsid w:val="001F3009"/>
    <w:rsid w:val="001F3358"/>
    <w:rsid w:val="001F35CB"/>
    <w:rsid w:val="001F36A2"/>
    <w:rsid w:val="001F390F"/>
    <w:rsid w:val="001F3A8B"/>
    <w:rsid w:val="001F550B"/>
    <w:rsid w:val="001F5CD1"/>
    <w:rsid w:val="001F5DEF"/>
    <w:rsid w:val="001F6810"/>
    <w:rsid w:val="001F7257"/>
    <w:rsid w:val="001F72CD"/>
    <w:rsid w:val="001F7739"/>
    <w:rsid w:val="001F7BB6"/>
    <w:rsid w:val="001F7BFA"/>
    <w:rsid w:val="0020011B"/>
    <w:rsid w:val="0020084A"/>
    <w:rsid w:val="0020084C"/>
    <w:rsid w:val="00200886"/>
    <w:rsid w:val="00200B57"/>
    <w:rsid w:val="00200F51"/>
    <w:rsid w:val="00201449"/>
    <w:rsid w:val="002014D7"/>
    <w:rsid w:val="0020187E"/>
    <w:rsid w:val="00201CF1"/>
    <w:rsid w:val="00201DC6"/>
    <w:rsid w:val="00201DE8"/>
    <w:rsid w:val="00201EB6"/>
    <w:rsid w:val="00202116"/>
    <w:rsid w:val="00202375"/>
    <w:rsid w:val="002024ED"/>
    <w:rsid w:val="002025EA"/>
    <w:rsid w:val="00202884"/>
    <w:rsid w:val="00202E44"/>
    <w:rsid w:val="00203556"/>
    <w:rsid w:val="002046CF"/>
    <w:rsid w:val="00204B13"/>
    <w:rsid w:val="00204D0F"/>
    <w:rsid w:val="00204DB6"/>
    <w:rsid w:val="002056ED"/>
    <w:rsid w:val="00205C3A"/>
    <w:rsid w:val="00207D61"/>
    <w:rsid w:val="00210B53"/>
    <w:rsid w:val="00211273"/>
    <w:rsid w:val="002114BA"/>
    <w:rsid w:val="00211548"/>
    <w:rsid w:val="00211698"/>
    <w:rsid w:val="00211793"/>
    <w:rsid w:val="002117BD"/>
    <w:rsid w:val="0021187E"/>
    <w:rsid w:val="002119B2"/>
    <w:rsid w:val="00211C11"/>
    <w:rsid w:val="00212345"/>
    <w:rsid w:val="002129DC"/>
    <w:rsid w:val="00213029"/>
    <w:rsid w:val="00213210"/>
    <w:rsid w:val="00213469"/>
    <w:rsid w:val="002138A2"/>
    <w:rsid w:val="00214069"/>
    <w:rsid w:val="002143C4"/>
    <w:rsid w:val="00214412"/>
    <w:rsid w:val="0021457C"/>
    <w:rsid w:val="00214809"/>
    <w:rsid w:val="00214902"/>
    <w:rsid w:val="002149A1"/>
    <w:rsid w:val="00214E7A"/>
    <w:rsid w:val="00215769"/>
    <w:rsid w:val="00215785"/>
    <w:rsid w:val="002159DF"/>
    <w:rsid w:val="00215BFE"/>
    <w:rsid w:val="00215C44"/>
    <w:rsid w:val="00215E45"/>
    <w:rsid w:val="00216E73"/>
    <w:rsid w:val="0021774C"/>
    <w:rsid w:val="00217FF6"/>
    <w:rsid w:val="00220012"/>
    <w:rsid w:val="0022024E"/>
    <w:rsid w:val="00220B96"/>
    <w:rsid w:val="00220E0E"/>
    <w:rsid w:val="0022146C"/>
    <w:rsid w:val="002216B3"/>
    <w:rsid w:val="00221B2E"/>
    <w:rsid w:val="00221EBE"/>
    <w:rsid w:val="00222386"/>
    <w:rsid w:val="0022272B"/>
    <w:rsid w:val="002228A8"/>
    <w:rsid w:val="00222D42"/>
    <w:rsid w:val="00222F51"/>
    <w:rsid w:val="002230E1"/>
    <w:rsid w:val="00223361"/>
    <w:rsid w:val="00223443"/>
    <w:rsid w:val="00223A95"/>
    <w:rsid w:val="002244BA"/>
    <w:rsid w:val="00224663"/>
    <w:rsid w:val="002247AA"/>
    <w:rsid w:val="00224B35"/>
    <w:rsid w:val="00224CC7"/>
    <w:rsid w:val="00224DA7"/>
    <w:rsid w:val="002260C4"/>
    <w:rsid w:val="002260EF"/>
    <w:rsid w:val="002261CB"/>
    <w:rsid w:val="00226449"/>
    <w:rsid w:val="002264F6"/>
    <w:rsid w:val="0022676A"/>
    <w:rsid w:val="002268BF"/>
    <w:rsid w:val="00227A54"/>
    <w:rsid w:val="00227BDE"/>
    <w:rsid w:val="00227C12"/>
    <w:rsid w:val="00227C2F"/>
    <w:rsid w:val="00230045"/>
    <w:rsid w:val="0023014E"/>
    <w:rsid w:val="002302C7"/>
    <w:rsid w:val="00230469"/>
    <w:rsid w:val="002308FA"/>
    <w:rsid w:val="00230C8C"/>
    <w:rsid w:val="0023132F"/>
    <w:rsid w:val="00231670"/>
    <w:rsid w:val="00231AA5"/>
    <w:rsid w:val="00232D9A"/>
    <w:rsid w:val="00232E05"/>
    <w:rsid w:val="00232F90"/>
    <w:rsid w:val="0023339B"/>
    <w:rsid w:val="0023366D"/>
    <w:rsid w:val="00233CD3"/>
    <w:rsid w:val="002342B4"/>
    <w:rsid w:val="0023469C"/>
    <w:rsid w:val="00234C4B"/>
    <w:rsid w:val="00234C71"/>
    <w:rsid w:val="00235511"/>
    <w:rsid w:val="00235E33"/>
    <w:rsid w:val="0023626A"/>
    <w:rsid w:val="00236402"/>
    <w:rsid w:val="002366E0"/>
    <w:rsid w:val="00236729"/>
    <w:rsid w:val="00236DE1"/>
    <w:rsid w:val="002372EE"/>
    <w:rsid w:val="002372FD"/>
    <w:rsid w:val="0023764D"/>
    <w:rsid w:val="00237834"/>
    <w:rsid w:val="002400D7"/>
    <w:rsid w:val="00240C8D"/>
    <w:rsid w:val="00240E49"/>
    <w:rsid w:val="002415BC"/>
    <w:rsid w:val="00241F37"/>
    <w:rsid w:val="002424B6"/>
    <w:rsid w:val="002427C6"/>
    <w:rsid w:val="00242918"/>
    <w:rsid w:val="0024298B"/>
    <w:rsid w:val="00242A7D"/>
    <w:rsid w:val="00242E2D"/>
    <w:rsid w:val="0024338E"/>
    <w:rsid w:val="002434B2"/>
    <w:rsid w:val="00243C65"/>
    <w:rsid w:val="0024418E"/>
    <w:rsid w:val="002442F4"/>
    <w:rsid w:val="002445C4"/>
    <w:rsid w:val="002445EA"/>
    <w:rsid w:val="00244B2A"/>
    <w:rsid w:val="00244ECE"/>
    <w:rsid w:val="00244FC5"/>
    <w:rsid w:val="0024503E"/>
    <w:rsid w:val="00245CC5"/>
    <w:rsid w:val="00245D1D"/>
    <w:rsid w:val="00246035"/>
    <w:rsid w:val="00246B5B"/>
    <w:rsid w:val="00247DD7"/>
    <w:rsid w:val="00247F32"/>
    <w:rsid w:val="00250229"/>
    <w:rsid w:val="00250340"/>
    <w:rsid w:val="00250EDA"/>
    <w:rsid w:val="00251108"/>
    <w:rsid w:val="00251356"/>
    <w:rsid w:val="00251502"/>
    <w:rsid w:val="002518E8"/>
    <w:rsid w:val="00251C10"/>
    <w:rsid w:val="002520B5"/>
    <w:rsid w:val="00252267"/>
    <w:rsid w:val="00252A85"/>
    <w:rsid w:val="00252E1E"/>
    <w:rsid w:val="00253080"/>
    <w:rsid w:val="00253451"/>
    <w:rsid w:val="00253587"/>
    <w:rsid w:val="002537D1"/>
    <w:rsid w:val="002538BA"/>
    <w:rsid w:val="00254192"/>
    <w:rsid w:val="0025469D"/>
    <w:rsid w:val="0025472F"/>
    <w:rsid w:val="002552B1"/>
    <w:rsid w:val="002557C3"/>
    <w:rsid w:val="0025580A"/>
    <w:rsid w:val="00255A10"/>
    <w:rsid w:val="00255D01"/>
    <w:rsid w:val="0025667C"/>
    <w:rsid w:val="00256AE9"/>
    <w:rsid w:val="00256E55"/>
    <w:rsid w:val="00257188"/>
    <w:rsid w:val="00257E0E"/>
    <w:rsid w:val="00257FF4"/>
    <w:rsid w:val="002607E2"/>
    <w:rsid w:val="00260BD2"/>
    <w:rsid w:val="00260FCB"/>
    <w:rsid w:val="002615F5"/>
    <w:rsid w:val="002616B9"/>
    <w:rsid w:val="0026217B"/>
    <w:rsid w:val="002629E4"/>
    <w:rsid w:val="00262B00"/>
    <w:rsid w:val="00262B78"/>
    <w:rsid w:val="00262D19"/>
    <w:rsid w:val="00263325"/>
    <w:rsid w:val="002633B1"/>
    <w:rsid w:val="002636CE"/>
    <w:rsid w:val="002637AA"/>
    <w:rsid w:val="00263FE3"/>
    <w:rsid w:val="00264089"/>
    <w:rsid w:val="0026484B"/>
    <w:rsid w:val="00264B86"/>
    <w:rsid w:val="00265417"/>
    <w:rsid w:val="002654F6"/>
    <w:rsid w:val="00265593"/>
    <w:rsid w:val="00265A04"/>
    <w:rsid w:val="00265AB7"/>
    <w:rsid w:val="00266271"/>
    <w:rsid w:val="00266CDD"/>
    <w:rsid w:val="002675EA"/>
    <w:rsid w:val="00267BC5"/>
    <w:rsid w:val="00267C38"/>
    <w:rsid w:val="00267CBE"/>
    <w:rsid w:val="00267E0B"/>
    <w:rsid w:val="0027008A"/>
    <w:rsid w:val="002705CC"/>
    <w:rsid w:val="00270680"/>
    <w:rsid w:val="00271103"/>
    <w:rsid w:val="00271AA3"/>
    <w:rsid w:val="002721FA"/>
    <w:rsid w:val="0027230C"/>
    <w:rsid w:val="00272B99"/>
    <w:rsid w:val="0027300F"/>
    <w:rsid w:val="002732E0"/>
    <w:rsid w:val="0027333D"/>
    <w:rsid w:val="00273485"/>
    <w:rsid w:val="0027380D"/>
    <w:rsid w:val="002738AC"/>
    <w:rsid w:val="00273974"/>
    <w:rsid w:val="00273BE6"/>
    <w:rsid w:val="00274097"/>
    <w:rsid w:val="002740C8"/>
    <w:rsid w:val="0027468E"/>
    <w:rsid w:val="00274826"/>
    <w:rsid w:val="00274E43"/>
    <w:rsid w:val="00275005"/>
    <w:rsid w:val="002752AB"/>
    <w:rsid w:val="002756D6"/>
    <w:rsid w:val="0027573C"/>
    <w:rsid w:val="00275805"/>
    <w:rsid w:val="00276B5A"/>
    <w:rsid w:val="00277860"/>
    <w:rsid w:val="00277905"/>
    <w:rsid w:val="00277DFF"/>
    <w:rsid w:val="00277F1D"/>
    <w:rsid w:val="0028148A"/>
    <w:rsid w:val="002814A7"/>
    <w:rsid w:val="002815D0"/>
    <w:rsid w:val="002820A7"/>
    <w:rsid w:val="002827B0"/>
    <w:rsid w:val="002836A6"/>
    <w:rsid w:val="00283B82"/>
    <w:rsid w:val="00283E13"/>
    <w:rsid w:val="00283F3B"/>
    <w:rsid w:val="00284763"/>
    <w:rsid w:val="00284A2D"/>
    <w:rsid w:val="0028532A"/>
    <w:rsid w:val="00286478"/>
    <w:rsid w:val="002866A8"/>
    <w:rsid w:val="00286A8E"/>
    <w:rsid w:val="00286B53"/>
    <w:rsid w:val="00287222"/>
    <w:rsid w:val="0028727C"/>
    <w:rsid w:val="00287EDD"/>
    <w:rsid w:val="00290A94"/>
    <w:rsid w:val="0029141B"/>
    <w:rsid w:val="00291F6D"/>
    <w:rsid w:val="0029202F"/>
    <w:rsid w:val="002927D3"/>
    <w:rsid w:val="00292EC8"/>
    <w:rsid w:val="002938AD"/>
    <w:rsid w:val="00293DC7"/>
    <w:rsid w:val="00294BDE"/>
    <w:rsid w:val="00294EA6"/>
    <w:rsid w:val="00295DB6"/>
    <w:rsid w:val="002965C0"/>
    <w:rsid w:val="00296E1A"/>
    <w:rsid w:val="00296E3F"/>
    <w:rsid w:val="0029788B"/>
    <w:rsid w:val="00297D1B"/>
    <w:rsid w:val="00297F4D"/>
    <w:rsid w:val="002A0226"/>
    <w:rsid w:val="002A0290"/>
    <w:rsid w:val="002A0661"/>
    <w:rsid w:val="002A0B7F"/>
    <w:rsid w:val="002A1CF2"/>
    <w:rsid w:val="002A1F59"/>
    <w:rsid w:val="002A2018"/>
    <w:rsid w:val="002A2044"/>
    <w:rsid w:val="002A2ED0"/>
    <w:rsid w:val="002A329F"/>
    <w:rsid w:val="002A33D9"/>
    <w:rsid w:val="002A3474"/>
    <w:rsid w:val="002A35BF"/>
    <w:rsid w:val="002A3A84"/>
    <w:rsid w:val="002A3BBF"/>
    <w:rsid w:val="002A3CEC"/>
    <w:rsid w:val="002A4223"/>
    <w:rsid w:val="002A4AA8"/>
    <w:rsid w:val="002A4C3E"/>
    <w:rsid w:val="002A56BC"/>
    <w:rsid w:val="002A5C53"/>
    <w:rsid w:val="002A6156"/>
    <w:rsid w:val="002A6AD6"/>
    <w:rsid w:val="002A72CC"/>
    <w:rsid w:val="002A76AB"/>
    <w:rsid w:val="002A79C7"/>
    <w:rsid w:val="002A7A4F"/>
    <w:rsid w:val="002A7AFE"/>
    <w:rsid w:val="002B011D"/>
    <w:rsid w:val="002B01DB"/>
    <w:rsid w:val="002B05EB"/>
    <w:rsid w:val="002B09C0"/>
    <w:rsid w:val="002B100F"/>
    <w:rsid w:val="002B107A"/>
    <w:rsid w:val="002B125E"/>
    <w:rsid w:val="002B13B3"/>
    <w:rsid w:val="002B183D"/>
    <w:rsid w:val="002B1A70"/>
    <w:rsid w:val="002B1B11"/>
    <w:rsid w:val="002B1DBF"/>
    <w:rsid w:val="002B1DC8"/>
    <w:rsid w:val="002B1DD8"/>
    <w:rsid w:val="002B207F"/>
    <w:rsid w:val="002B24E0"/>
    <w:rsid w:val="002B2A48"/>
    <w:rsid w:val="002B2BEE"/>
    <w:rsid w:val="002B30FC"/>
    <w:rsid w:val="002B31AD"/>
    <w:rsid w:val="002B3471"/>
    <w:rsid w:val="002B3EA7"/>
    <w:rsid w:val="002B465E"/>
    <w:rsid w:val="002B4ABD"/>
    <w:rsid w:val="002B4ACB"/>
    <w:rsid w:val="002B4BAE"/>
    <w:rsid w:val="002B4F67"/>
    <w:rsid w:val="002B50A2"/>
    <w:rsid w:val="002B538B"/>
    <w:rsid w:val="002B5520"/>
    <w:rsid w:val="002B578A"/>
    <w:rsid w:val="002B581B"/>
    <w:rsid w:val="002B6176"/>
    <w:rsid w:val="002B6732"/>
    <w:rsid w:val="002B6C7C"/>
    <w:rsid w:val="002B7D9C"/>
    <w:rsid w:val="002B7E7E"/>
    <w:rsid w:val="002C00C2"/>
    <w:rsid w:val="002C019F"/>
    <w:rsid w:val="002C0745"/>
    <w:rsid w:val="002C1543"/>
    <w:rsid w:val="002C196B"/>
    <w:rsid w:val="002C1A02"/>
    <w:rsid w:val="002C1EF3"/>
    <w:rsid w:val="002C2448"/>
    <w:rsid w:val="002C2892"/>
    <w:rsid w:val="002C2E22"/>
    <w:rsid w:val="002C4037"/>
    <w:rsid w:val="002C43D0"/>
    <w:rsid w:val="002C4992"/>
    <w:rsid w:val="002C5081"/>
    <w:rsid w:val="002C54AB"/>
    <w:rsid w:val="002C58AB"/>
    <w:rsid w:val="002C5A6E"/>
    <w:rsid w:val="002C64F1"/>
    <w:rsid w:val="002C652C"/>
    <w:rsid w:val="002C6B15"/>
    <w:rsid w:val="002C6D84"/>
    <w:rsid w:val="002C6EE1"/>
    <w:rsid w:val="002C7D21"/>
    <w:rsid w:val="002C7D8E"/>
    <w:rsid w:val="002D10B2"/>
    <w:rsid w:val="002D1564"/>
    <w:rsid w:val="002D190C"/>
    <w:rsid w:val="002D1B9B"/>
    <w:rsid w:val="002D1CA4"/>
    <w:rsid w:val="002D1CFA"/>
    <w:rsid w:val="002D1FF8"/>
    <w:rsid w:val="002D29FD"/>
    <w:rsid w:val="002D2C09"/>
    <w:rsid w:val="002D2C45"/>
    <w:rsid w:val="002D2D40"/>
    <w:rsid w:val="002D3461"/>
    <w:rsid w:val="002D4324"/>
    <w:rsid w:val="002D4366"/>
    <w:rsid w:val="002D4969"/>
    <w:rsid w:val="002D4EE1"/>
    <w:rsid w:val="002D4F01"/>
    <w:rsid w:val="002D4F49"/>
    <w:rsid w:val="002D58AB"/>
    <w:rsid w:val="002D608B"/>
    <w:rsid w:val="002D69B7"/>
    <w:rsid w:val="002D778E"/>
    <w:rsid w:val="002D7AFC"/>
    <w:rsid w:val="002D7EC3"/>
    <w:rsid w:val="002D7F3D"/>
    <w:rsid w:val="002E0161"/>
    <w:rsid w:val="002E04D7"/>
    <w:rsid w:val="002E06DD"/>
    <w:rsid w:val="002E0AFE"/>
    <w:rsid w:val="002E13BE"/>
    <w:rsid w:val="002E171A"/>
    <w:rsid w:val="002E17EF"/>
    <w:rsid w:val="002E194A"/>
    <w:rsid w:val="002E1D62"/>
    <w:rsid w:val="002E1E81"/>
    <w:rsid w:val="002E1EA1"/>
    <w:rsid w:val="002E2A24"/>
    <w:rsid w:val="002E2B44"/>
    <w:rsid w:val="002E2D2C"/>
    <w:rsid w:val="002E3D66"/>
    <w:rsid w:val="002E3F11"/>
    <w:rsid w:val="002E4B11"/>
    <w:rsid w:val="002E4F70"/>
    <w:rsid w:val="002E5042"/>
    <w:rsid w:val="002E57CE"/>
    <w:rsid w:val="002E5886"/>
    <w:rsid w:val="002E5AD3"/>
    <w:rsid w:val="002E635D"/>
    <w:rsid w:val="002E645A"/>
    <w:rsid w:val="002E7562"/>
    <w:rsid w:val="002E7AE1"/>
    <w:rsid w:val="002E7F8A"/>
    <w:rsid w:val="002F071F"/>
    <w:rsid w:val="002F16D5"/>
    <w:rsid w:val="002F17FF"/>
    <w:rsid w:val="002F1A24"/>
    <w:rsid w:val="002F1A90"/>
    <w:rsid w:val="002F1C2F"/>
    <w:rsid w:val="002F2151"/>
    <w:rsid w:val="002F254B"/>
    <w:rsid w:val="002F297E"/>
    <w:rsid w:val="002F347F"/>
    <w:rsid w:val="002F3D1C"/>
    <w:rsid w:val="002F4EA1"/>
    <w:rsid w:val="002F52DE"/>
    <w:rsid w:val="002F55C1"/>
    <w:rsid w:val="002F5715"/>
    <w:rsid w:val="002F5E1A"/>
    <w:rsid w:val="002F64DE"/>
    <w:rsid w:val="002F797A"/>
    <w:rsid w:val="002F7C2A"/>
    <w:rsid w:val="002F7D9C"/>
    <w:rsid w:val="00300483"/>
    <w:rsid w:val="003012BB"/>
    <w:rsid w:val="0030133B"/>
    <w:rsid w:val="00301B1D"/>
    <w:rsid w:val="00301C91"/>
    <w:rsid w:val="00301EE7"/>
    <w:rsid w:val="003026F0"/>
    <w:rsid w:val="00302E83"/>
    <w:rsid w:val="003033B5"/>
    <w:rsid w:val="00303F2B"/>
    <w:rsid w:val="00303FE0"/>
    <w:rsid w:val="003042C9"/>
    <w:rsid w:val="00304607"/>
    <w:rsid w:val="0030467A"/>
    <w:rsid w:val="00304D4E"/>
    <w:rsid w:val="00304D61"/>
    <w:rsid w:val="00304EF8"/>
    <w:rsid w:val="00304FFD"/>
    <w:rsid w:val="00305069"/>
    <w:rsid w:val="00305608"/>
    <w:rsid w:val="00305B72"/>
    <w:rsid w:val="00305C41"/>
    <w:rsid w:val="0030610A"/>
    <w:rsid w:val="00306627"/>
    <w:rsid w:val="0030675F"/>
    <w:rsid w:val="003069DD"/>
    <w:rsid w:val="00306CAB"/>
    <w:rsid w:val="0030777A"/>
    <w:rsid w:val="00307C25"/>
    <w:rsid w:val="00310DB4"/>
    <w:rsid w:val="00310E75"/>
    <w:rsid w:val="003110A8"/>
    <w:rsid w:val="00311100"/>
    <w:rsid w:val="003111F4"/>
    <w:rsid w:val="0031146F"/>
    <w:rsid w:val="0031150D"/>
    <w:rsid w:val="00311747"/>
    <w:rsid w:val="00311795"/>
    <w:rsid w:val="003117B1"/>
    <w:rsid w:val="00311B70"/>
    <w:rsid w:val="00311CBE"/>
    <w:rsid w:val="00312280"/>
    <w:rsid w:val="0031237C"/>
    <w:rsid w:val="00312766"/>
    <w:rsid w:val="00312CD0"/>
    <w:rsid w:val="00312F94"/>
    <w:rsid w:val="003130B8"/>
    <w:rsid w:val="00313F60"/>
    <w:rsid w:val="00313F6A"/>
    <w:rsid w:val="0031449F"/>
    <w:rsid w:val="003145A5"/>
    <w:rsid w:val="003148B9"/>
    <w:rsid w:val="00314A2E"/>
    <w:rsid w:val="00314B4E"/>
    <w:rsid w:val="00315223"/>
    <w:rsid w:val="00315246"/>
    <w:rsid w:val="00315266"/>
    <w:rsid w:val="00315580"/>
    <w:rsid w:val="00315763"/>
    <w:rsid w:val="003160A9"/>
    <w:rsid w:val="0031682B"/>
    <w:rsid w:val="0031693B"/>
    <w:rsid w:val="003169CE"/>
    <w:rsid w:val="00316F0A"/>
    <w:rsid w:val="00316F8A"/>
    <w:rsid w:val="003178A5"/>
    <w:rsid w:val="00317DC7"/>
    <w:rsid w:val="003200F9"/>
    <w:rsid w:val="003202E0"/>
    <w:rsid w:val="00320CEB"/>
    <w:rsid w:val="00320F38"/>
    <w:rsid w:val="00321183"/>
    <w:rsid w:val="00321694"/>
    <w:rsid w:val="003217DE"/>
    <w:rsid w:val="00321F0A"/>
    <w:rsid w:val="0032216D"/>
    <w:rsid w:val="003223CE"/>
    <w:rsid w:val="0032255A"/>
    <w:rsid w:val="00322A2D"/>
    <w:rsid w:val="00322C61"/>
    <w:rsid w:val="00322E80"/>
    <w:rsid w:val="00323002"/>
    <w:rsid w:val="00323DF7"/>
    <w:rsid w:val="00324D5B"/>
    <w:rsid w:val="00325045"/>
    <w:rsid w:val="0032580D"/>
    <w:rsid w:val="00325AF2"/>
    <w:rsid w:val="00325D91"/>
    <w:rsid w:val="00325E20"/>
    <w:rsid w:val="00326349"/>
    <w:rsid w:val="003267B4"/>
    <w:rsid w:val="00326F51"/>
    <w:rsid w:val="003278EC"/>
    <w:rsid w:val="00327A31"/>
    <w:rsid w:val="00327EF6"/>
    <w:rsid w:val="0033015C"/>
    <w:rsid w:val="003303B7"/>
    <w:rsid w:val="00330931"/>
    <w:rsid w:val="00331193"/>
    <w:rsid w:val="00331F2E"/>
    <w:rsid w:val="00333172"/>
    <w:rsid w:val="003333D4"/>
    <w:rsid w:val="00333A95"/>
    <w:rsid w:val="00333EFE"/>
    <w:rsid w:val="0033421D"/>
    <w:rsid w:val="00334317"/>
    <w:rsid w:val="00334951"/>
    <w:rsid w:val="0033537E"/>
    <w:rsid w:val="003356D6"/>
    <w:rsid w:val="003357E7"/>
    <w:rsid w:val="00336115"/>
    <w:rsid w:val="0033621D"/>
    <w:rsid w:val="003362A9"/>
    <w:rsid w:val="003363E9"/>
    <w:rsid w:val="00336411"/>
    <w:rsid w:val="00336687"/>
    <w:rsid w:val="00336694"/>
    <w:rsid w:val="0033678D"/>
    <w:rsid w:val="00336813"/>
    <w:rsid w:val="00336DCF"/>
    <w:rsid w:val="003370BD"/>
    <w:rsid w:val="0033720D"/>
    <w:rsid w:val="003373E8"/>
    <w:rsid w:val="00337823"/>
    <w:rsid w:val="00337A7B"/>
    <w:rsid w:val="00337B08"/>
    <w:rsid w:val="00340558"/>
    <w:rsid w:val="00341A21"/>
    <w:rsid w:val="00342C07"/>
    <w:rsid w:val="003437BC"/>
    <w:rsid w:val="00343C71"/>
    <w:rsid w:val="00344138"/>
    <w:rsid w:val="00344147"/>
    <w:rsid w:val="0034430D"/>
    <w:rsid w:val="003443DD"/>
    <w:rsid w:val="0034486D"/>
    <w:rsid w:val="00344CE5"/>
    <w:rsid w:val="00344D5A"/>
    <w:rsid w:val="00344E9B"/>
    <w:rsid w:val="00345D63"/>
    <w:rsid w:val="00345F7F"/>
    <w:rsid w:val="003460DF"/>
    <w:rsid w:val="003463D4"/>
    <w:rsid w:val="0034691F"/>
    <w:rsid w:val="00346E9C"/>
    <w:rsid w:val="00346EB6"/>
    <w:rsid w:val="00347874"/>
    <w:rsid w:val="00347EDB"/>
    <w:rsid w:val="00350529"/>
    <w:rsid w:val="00350797"/>
    <w:rsid w:val="00351A85"/>
    <w:rsid w:val="00351F9D"/>
    <w:rsid w:val="003522E8"/>
    <w:rsid w:val="003522FA"/>
    <w:rsid w:val="0035298C"/>
    <w:rsid w:val="003530F2"/>
    <w:rsid w:val="0035370E"/>
    <w:rsid w:val="00353989"/>
    <w:rsid w:val="003539A7"/>
    <w:rsid w:val="00353E06"/>
    <w:rsid w:val="00354E3F"/>
    <w:rsid w:val="003556CC"/>
    <w:rsid w:val="00355B7A"/>
    <w:rsid w:val="0035617C"/>
    <w:rsid w:val="00356E7E"/>
    <w:rsid w:val="00356EB8"/>
    <w:rsid w:val="00356F8F"/>
    <w:rsid w:val="00357236"/>
    <w:rsid w:val="003573A6"/>
    <w:rsid w:val="00357791"/>
    <w:rsid w:val="00357B83"/>
    <w:rsid w:val="00360152"/>
    <w:rsid w:val="00360216"/>
    <w:rsid w:val="0036139F"/>
    <w:rsid w:val="003614A6"/>
    <w:rsid w:val="003614A8"/>
    <w:rsid w:val="0036160E"/>
    <w:rsid w:val="00361665"/>
    <w:rsid w:val="003616B3"/>
    <w:rsid w:val="00361767"/>
    <w:rsid w:val="00361883"/>
    <w:rsid w:val="00361DCA"/>
    <w:rsid w:val="00361FDD"/>
    <w:rsid w:val="00362262"/>
    <w:rsid w:val="00362610"/>
    <w:rsid w:val="003629AD"/>
    <w:rsid w:val="00362B6E"/>
    <w:rsid w:val="003630EA"/>
    <w:rsid w:val="0036324C"/>
    <w:rsid w:val="00363830"/>
    <w:rsid w:val="00363D2D"/>
    <w:rsid w:val="00363F6A"/>
    <w:rsid w:val="0036430C"/>
    <w:rsid w:val="00364838"/>
    <w:rsid w:val="003649AD"/>
    <w:rsid w:val="00364BB6"/>
    <w:rsid w:val="00364CBA"/>
    <w:rsid w:val="00364D6B"/>
    <w:rsid w:val="003651DA"/>
    <w:rsid w:val="00365408"/>
    <w:rsid w:val="003659CC"/>
    <w:rsid w:val="00365CC0"/>
    <w:rsid w:val="003666BE"/>
    <w:rsid w:val="003668DF"/>
    <w:rsid w:val="00366D05"/>
    <w:rsid w:val="0036735D"/>
    <w:rsid w:val="003675DD"/>
    <w:rsid w:val="00367688"/>
    <w:rsid w:val="003679DE"/>
    <w:rsid w:val="003703FB"/>
    <w:rsid w:val="00371B54"/>
    <w:rsid w:val="00372221"/>
    <w:rsid w:val="003729E8"/>
    <w:rsid w:val="00372CF2"/>
    <w:rsid w:val="00373368"/>
    <w:rsid w:val="00373A53"/>
    <w:rsid w:val="00374726"/>
    <w:rsid w:val="003749F1"/>
    <w:rsid w:val="00374ADE"/>
    <w:rsid w:val="00374C7E"/>
    <w:rsid w:val="00374F80"/>
    <w:rsid w:val="003761C7"/>
    <w:rsid w:val="003761FE"/>
    <w:rsid w:val="0037639F"/>
    <w:rsid w:val="00377353"/>
    <w:rsid w:val="0037736B"/>
    <w:rsid w:val="0037798B"/>
    <w:rsid w:val="00377B8B"/>
    <w:rsid w:val="003803C5"/>
    <w:rsid w:val="003809F9"/>
    <w:rsid w:val="00381BDA"/>
    <w:rsid w:val="00381F57"/>
    <w:rsid w:val="0038216E"/>
    <w:rsid w:val="003822E5"/>
    <w:rsid w:val="0038294B"/>
    <w:rsid w:val="003830B8"/>
    <w:rsid w:val="003831C0"/>
    <w:rsid w:val="00383262"/>
    <w:rsid w:val="00383440"/>
    <w:rsid w:val="00384C8B"/>
    <w:rsid w:val="00384EF2"/>
    <w:rsid w:val="00385106"/>
    <w:rsid w:val="003855A3"/>
    <w:rsid w:val="003857D8"/>
    <w:rsid w:val="00385B31"/>
    <w:rsid w:val="00385D13"/>
    <w:rsid w:val="00385F41"/>
    <w:rsid w:val="00386636"/>
    <w:rsid w:val="003867C1"/>
    <w:rsid w:val="00387F14"/>
    <w:rsid w:val="003903CE"/>
    <w:rsid w:val="003905A1"/>
    <w:rsid w:val="00391041"/>
    <w:rsid w:val="00391EF8"/>
    <w:rsid w:val="003921AE"/>
    <w:rsid w:val="00392447"/>
    <w:rsid w:val="00392FBD"/>
    <w:rsid w:val="00393B5B"/>
    <w:rsid w:val="00393BC8"/>
    <w:rsid w:val="00394EAB"/>
    <w:rsid w:val="00394FAD"/>
    <w:rsid w:val="00397458"/>
    <w:rsid w:val="003974B5"/>
    <w:rsid w:val="00397982"/>
    <w:rsid w:val="00397A96"/>
    <w:rsid w:val="003A02EE"/>
    <w:rsid w:val="003A04A5"/>
    <w:rsid w:val="003A0546"/>
    <w:rsid w:val="003A09C4"/>
    <w:rsid w:val="003A157A"/>
    <w:rsid w:val="003A18CC"/>
    <w:rsid w:val="003A2634"/>
    <w:rsid w:val="003A283F"/>
    <w:rsid w:val="003A2A16"/>
    <w:rsid w:val="003A2B4C"/>
    <w:rsid w:val="003A2FDD"/>
    <w:rsid w:val="003A38FE"/>
    <w:rsid w:val="003A3AFD"/>
    <w:rsid w:val="003A3C43"/>
    <w:rsid w:val="003A422B"/>
    <w:rsid w:val="003A4285"/>
    <w:rsid w:val="003A59AD"/>
    <w:rsid w:val="003A5ABE"/>
    <w:rsid w:val="003A5CCC"/>
    <w:rsid w:val="003A5E66"/>
    <w:rsid w:val="003A6B7F"/>
    <w:rsid w:val="003A6F92"/>
    <w:rsid w:val="003A70FF"/>
    <w:rsid w:val="003A74D2"/>
    <w:rsid w:val="003A756B"/>
    <w:rsid w:val="003A764B"/>
    <w:rsid w:val="003A7902"/>
    <w:rsid w:val="003A7BD4"/>
    <w:rsid w:val="003B083F"/>
    <w:rsid w:val="003B119F"/>
    <w:rsid w:val="003B136A"/>
    <w:rsid w:val="003B14EA"/>
    <w:rsid w:val="003B1679"/>
    <w:rsid w:val="003B23D7"/>
    <w:rsid w:val="003B252C"/>
    <w:rsid w:val="003B312D"/>
    <w:rsid w:val="003B34CB"/>
    <w:rsid w:val="003B38F9"/>
    <w:rsid w:val="003B3AB4"/>
    <w:rsid w:val="003B3AFF"/>
    <w:rsid w:val="003B3CA8"/>
    <w:rsid w:val="003B42A6"/>
    <w:rsid w:val="003B45D5"/>
    <w:rsid w:val="003B494E"/>
    <w:rsid w:val="003B5124"/>
    <w:rsid w:val="003B52FE"/>
    <w:rsid w:val="003B55EE"/>
    <w:rsid w:val="003B572A"/>
    <w:rsid w:val="003B5779"/>
    <w:rsid w:val="003B5A50"/>
    <w:rsid w:val="003B5E1A"/>
    <w:rsid w:val="003B60D7"/>
    <w:rsid w:val="003B6325"/>
    <w:rsid w:val="003B64A5"/>
    <w:rsid w:val="003B67A1"/>
    <w:rsid w:val="003B69D3"/>
    <w:rsid w:val="003B70A3"/>
    <w:rsid w:val="003B71E0"/>
    <w:rsid w:val="003B7509"/>
    <w:rsid w:val="003B7861"/>
    <w:rsid w:val="003B78A4"/>
    <w:rsid w:val="003C063B"/>
    <w:rsid w:val="003C1393"/>
    <w:rsid w:val="003C144E"/>
    <w:rsid w:val="003C149C"/>
    <w:rsid w:val="003C17E2"/>
    <w:rsid w:val="003C1A07"/>
    <w:rsid w:val="003C1E74"/>
    <w:rsid w:val="003C20A2"/>
    <w:rsid w:val="003C2673"/>
    <w:rsid w:val="003C27A2"/>
    <w:rsid w:val="003C2BDF"/>
    <w:rsid w:val="003C2FA1"/>
    <w:rsid w:val="003C52B7"/>
    <w:rsid w:val="003C5320"/>
    <w:rsid w:val="003C567C"/>
    <w:rsid w:val="003C58D3"/>
    <w:rsid w:val="003C59B8"/>
    <w:rsid w:val="003C5DB1"/>
    <w:rsid w:val="003C6506"/>
    <w:rsid w:val="003C6809"/>
    <w:rsid w:val="003C6904"/>
    <w:rsid w:val="003C6B00"/>
    <w:rsid w:val="003C75F3"/>
    <w:rsid w:val="003C7897"/>
    <w:rsid w:val="003C79C8"/>
    <w:rsid w:val="003D0937"/>
    <w:rsid w:val="003D0BF1"/>
    <w:rsid w:val="003D0C92"/>
    <w:rsid w:val="003D16AB"/>
    <w:rsid w:val="003D17E6"/>
    <w:rsid w:val="003D1A20"/>
    <w:rsid w:val="003D1AC9"/>
    <w:rsid w:val="003D280C"/>
    <w:rsid w:val="003D2AC9"/>
    <w:rsid w:val="003D2CD8"/>
    <w:rsid w:val="003D34DE"/>
    <w:rsid w:val="003D3724"/>
    <w:rsid w:val="003D4035"/>
    <w:rsid w:val="003D42AB"/>
    <w:rsid w:val="003D46A7"/>
    <w:rsid w:val="003D4B4C"/>
    <w:rsid w:val="003D5DB8"/>
    <w:rsid w:val="003D62CF"/>
    <w:rsid w:val="003D6376"/>
    <w:rsid w:val="003D67CE"/>
    <w:rsid w:val="003D70BE"/>
    <w:rsid w:val="003D7168"/>
    <w:rsid w:val="003D76CC"/>
    <w:rsid w:val="003D7B6E"/>
    <w:rsid w:val="003E0258"/>
    <w:rsid w:val="003E05EE"/>
    <w:rsid w:val="003E0C75"/>
    <w:rsid w:val="003E1235"/>
    <w:rsid w:val="003E16BC"/>
    <w:rsid w:val="003E2493"/>
    <w:rsid w:val="003E275B"/>
    <w:rsid w:val="003E2A35"/>
    <w:rsid w:val="003E2B56"/>
    <w:rsid w:val="003E2CE1"/>
    <w:rsid w:val="003E2DCB"/>
    <w:rsid w:val="003E30E6"/>
    <w:rsid w:val="003E389A"/>
    <w:rsid w:val="003E40BF"/>
    <w:rsid w:val="003E4C3F"/>
    <w:rsid w:val="003E4D7C"/>
    <w:rsid w:val="003E4F12"/>
    <w:rsid w:val="003E5CFD"/>
    <w:rsid w:val="003E5FA8"/>
    <w:rsid w:val="003E6060"/>
    <w:rsid w:val="003E6252"/>
    <w:rsid w:val="003E626A"/>
    <w:rsid w:val="003E6669"/>
    <w:rsid w:val="003E6B6A"/>
    <w:rsid w:val="003E6B81"/>
    <w:rsid w:val="003E7DDB"/>
    <w:rsid w:val="003F0478"/>
    <w:rsid w:val="003F06EA"/>
    <w:rsid w:val="003F0B2C"/>
    <w:rsid w:val="003F1200"/>
    <w:rsid w:val="003F1421"/>
    <w:rsid w:val="003F1844"/>
    <w:rsid w:val="003F1E21"/>
    <w:rsid w:val="003F241E"/>
    <w:rsid w:val="003F28C0"/>
    <w:rsid w:val="003F363B"/>
    <w:rsid w:val="003F3B45"/>
    <w:rsid w:val="003F3EE6"/>
    <w:rsid w:val="003F500C"/>
    <w:rsid w:val="003F52B2"/>
    <w:rsid w:val="003F656E"/>
    <w:rsid w:val="003F65EF"/>
    <w:rsid w:val="003F6748"/>
    <w:rsid w:val="003F716E"/>
    <w:rsid w:val="003F733C"/>
    <w:rsid w:val="003F7634"/>
    <w:rsid w:val="003F775D"/>
    <w:rsid w:val="003F7A7E"/>
    <w:rsid w:val="003F7DB7"/>
    <w:rsid w:val="00400061"/>
    <w:rsid w:val="0040068A"/>
    <w:rsid w:val="00400755"/>
    <w:rsid w:val="00400813"/>
    <w:rsid w:val="00400E17"/>
    <w:rsid w:val="00400F9D"/>
    <w:rsid w:val="004010D5"/>
    <w:rsid w:val="004013AD"/>
    <w:rsid w:val="004013C9"/>
    <w:rsid w:val="00402215"/>
    <w:rsid w:val="004022AA"/>
    <w:rsid w:val="00402B69"/>
    <w:rsid w:val="00402C35"/>
    <w:rsid w:val="00402D97"/>
    <w:rsid w:val="0040405B"/>
    <w:rsid w:val="00404195"/>
    <w:rsid w:val="00404211"/>
    <w:rsid w:val="004042A4"/>
    <w:rsid w:val="00404346"/>
    <w:rsid w:val="004043F3"/>
    <w:rsid w:val="0040459D"/>
    <w:rsid w:val="00404BAF"/>
    <w:rsid w:val="00404D2F"/>
    <w:rsid w:val="00404DAA"/>
    <w:rsid w:val="00404DDD"/>
    <w:rsid w:val="0040578B"/>
    <w:rsid w:val="004061E6"/>
    <w:rsid w:val="004065D6"/>
    <w:rsid w:val="004067A0"/>
    <w:rsid w:val="0040687D"/>
    <w:rsid w:val="0040687E"/>
    <w:rsid w:val="0040709D"/>
    <w:rsid w:val="0040713F"/>
    <w:rsid w:val="004075A3"/>
    <w:rsid w:val="00407973"/>
    <w:rsid w:val="00410182"/>
    <w:rsid w:val="00410C48"/>
    <w:rsid w:val="0041109D"/>
    <w:rsid w:val="00411638"/>
    <w:rsid w:val="004118C7"/>
    <w:rsid w:val="00412B3F"/>
    <w:rsid w:val="0041310F"/>
    <w:rsid w:val="004132FD"/>
    <w:rsid w:val="00414066"/>
    <w:rsid w:val="00415294"/>
    <w:rsid w:val="004155A0"/>
    <w:rsid w:val="004155EF"/>
    <w:rsid w:val="00415ADC"/>
    <w:rsid w:val="00415D75"/>
    <w:rsid w:val="00416277"/>
    <w:rsid w:val="00416621"/>
    <w:rsid w:val="0041691B"/>
    <w:rsid w:val="00416B1D"/>
    <w:rsid w:val="00416E24"/>
    <w:rsid w:val="0041754D"/>
    <w:rsid w:val="00417DCA"/>
    <w:rsid w:val="0042009F"/>
    <w:rsid w:val="0042015A"/>
    <w:rsid w:val="0042063D"/>
    <w:rsid w:val="00420841"/>
    <w:rsid w:val="004214A7"/>
    <w:rsid w:val="00421706"/>
    <w:rsid w:val="004219BD"/>
    <w:rsid w:val="00421CBF"/>
    <w:rsid w:val="00422387"/>
    <w:rsid w:val="00422B23"/>
    <w:rsid w:val="004233B9"/>
    <w:rsid w:val="00423A60"/>
    <w:rsid w:val="00423C47"/>
    <w:rsid w:val="00423E03"/>
    <w:rsid w:val="0042574E"/>
    <w:rsid w:val="004262F1"/>
    <w:rsid w:val="0042651C"/>
    <w:rsid w:val="00426703"/>
    <w:rsid w:val="00426C32"/>
    <w:rsid w:val="00426E9B"/>
    <w:rsid w:val="00427149"/>
    <w:rsid w:val="004271DE"/>
    <w:rsid w:val="00427A75"/>
    <w:rsid w:val="00427ABC"/>
    <w:rsid w:val="00427D55"/>
    <w:rsid w:val="00430429"/>
    <w:rsid w:val="0043083F"/>
    <w:rsid w:val="00430A76"/>
    <w:rsid w:val="00431DB2"/>
    <w:rsid w:val="0043233C"/>
    <w:rsid w:val="00432972"/>
    <w:rsid w:val="00432AF2"/>
    <w:rsid w:val="00432B4A"/>
    <w:rsid w:val="00432BAB"/>
    <w:rsid w:val="00433310"/>
    <w:rsid w:val="0043396D"/>
    <w:rsid w:val="00433AAD"/>
    <w:rsid w:val="00433BD3"/>
    <w:rsid w:val="004345A6"/>
    <w:rsid w:val="0043484F"/>
    <w:rsid w:val="00434886"/>
    <w:rsid w:val="00434FC4"/>
    <w:rsid w:val="004351CD"/>
    <w:rsid w:val="00435A07"/>
    <w:rsid w:val="00435B2F"/>
    <w:rsid w:val="00435E03"/>
    <w:rsid w:val="0043626B"/>
    <w:rsid w:val="0043649F"/>
    <w:rsid w:val="00437129"/>
    <w:rsid w:val="0043718A"/>
    <w:rsid w:val="004373E1"/>
    <w:rsid w:val="004374A3"/>
    <w:rsid w:val="00437A7E"/>
    <w:rsid w:val="00437B6C"/>
    <w:rsid w:val="00437EEB"/>
    <w:rsid w:val="00440144"/>
    <w:rsid w:val="0044064E"/>
    <w:rsid w:val="00440805"/>
    <w:rsid w:val="004412E1"/>
    <w:rsid w:val="00441554"/>
    <w:rsid w:val="00441CD7"/>
    <w:rsid w:val="004421DA"/>
    <w:rsid w:val="00442E48"/>
    <w:rsid w:val="0044388E"/>
    <w:rsid w:val="00443DCD"/>
    <w:rsid w:val="00443E7E"/>
    <w:rsid w:val="004445CC"/>
    <w:rsid w:val="00444BE9"/>
    <w:rsid w:val="00444C06"/>
    <w:rsid w:val="004454DF"/>
    <w:rsid w:val="00445EC3"/>
    <w:rsid w:val="00446804"/>
    <w:rsid w:val="004478D4"/>
    <w:rsid w:val="00450380"/>
    <w:rsid w:val="0045056A"/>
    <w:rsid w:val="004505C6"/>
    <w:rsid w:val="00450E8E"/>
    <w:rsid w:val="00451D59"/>
    <w:rsid w:val="00451E95"/>
    <w:rsid w:val="004520CD"/>
    <w:rsid w:val="00452A16"/>
    <w:rsid w:val="00452AD5"/>
    <w:rsid w:val="00452DF3"/>
    <w:rsid w:val="00452FCA"/>
    <w:rsid w:val="004534F5"/>
    <w:rsid w:val="00453765"/>
    <w:rsid w:val="004546CC"/>
    <w:rsid w:val="00454EC3"/>
    <w:rsid w:val="0045502D"/>
    <w:rsid w:val="004552E4"/>
    <w:rsid w:val="0045530A"/>
    <w:rsid w:val="004554AE"/>
    <w:rsid w:val="004554C3"/>
    <w:rsid w:val="00455FB6"/>
    <w:rsid w:val="004562AB"/>
    <w:rsid w:val="004563C5"/>
    <w:rsid w:val="00456BE2"/>
    <w:rsid w:val="00456C21"/>
    <w:rsid w:val="00457197"/>
    <w:rsid w:val="00457555"/>
    <w:rsid w:val="0045765A"/>
    <w:rsid w:val="00457790"/>
    <w:rsid w:val="004577CF"/>
    <w:rsid w:val="00457971"/>
    <w:rsid w:val="00457DD8"/>
    <w:rsid w:val="00457F98"/>
    <w:rsid w:val="004601E1"/>
    <w:rsid w:val="004603D0"/>
    <w:rsid w:val="0046069E"/>
    <w:rsid w:val="00461A03"/>
    <w:rsid w:val="00461DBB"/>
    <w:rsid w:val="004620C6"/>
    <w:rsid w:val="004624AE"/>
    <w:rsid w:val="0046250E"/>
    <w:rsid w:val="004629A8"/>
    <w:rsid w:val="00462E9C"/>
    <w:rsid w:val="00463220"/>
    <w:rsid w:val="0046333A"/>
    <w:rsid w:val="00463515"/>
    <w:rsid w:val="0046395E"/>
    <w:rsid w:val="00464AA5"/>
    <w:rsid w:val="00464B48"/>
    <w:rsid w:val="00465231"/>
    <w:rsid w:val="004661AF"/>
    <w:rsid w:val="004662AD"/>
    <w:rsid w:val="00466516"/>
    <w:rsid w:val="00466692"/>
    <w:rsid w:val="004671CD"/>
    <w:rsid w:val="00467B65"/>
    <w:rsid w:val="004712A4"/>
    <w:rsid w:val="00471833"/>
    <w:rsid w:val="00471AF8"/>
    <w:rsid w:val="00471EA5"/>
    <w:rsid w:val="004720C9"/>
    <w:rsid w:val="00472144"/>
    <w:rsid w:val="00472257"/>
    <w:rsid w:val="00472E49"/>
    <w:rsid w:val="004732BB"/>
    <w:rsid w:val="00473678"/>
    <w:rsid w:val="00473A55"/>
    <w:rsid w:val="00474761"/>
    <w:rsid w:val="0047476F"/>
    <w:rsid w:val="00474C60"/>
    <w:rsid w:val="00475913"/>
    <w:rsid w:val="00475944"/>
    <w:rsid w:val="00475DF0"/>
    <w:rsid w:val="004762F3"/>
    <w:rsid w:val="004763D7"/>
    <w:rsid w:val="00476525"/>
    <w:rsid w:val="004767B7"/>
    <w:rsid w:val="00476935"/>
    <w:rsid w:val="00476DA7"/>
    <w:rsid w:val="004770F9"/>
    <w:rsid w:val="00477210"/>
    <w:rsid w:val="004772E2"/>
    <w:rsid w:val="0047739F"/>
    <w:rsid w:val="004773EE"/>
    <w:rsid w:val="00477BB0"/>
    <w:rsid w:val="00477F97"/>
    <w:rsid w:val="00480460"/>
    <w:rsid w:val="0048054B"/>
    <w:rsid w:val="0048065F"/>
    <w:rsid w:val="00480A2D"/>
    <w:rsid w:val="00480AFB"/>
    <w:rsid w:val="00481247"/>
    <w:rsid w:val="00482406"/>
    <w:rsid w:val="004828D1"/>
    <w:rsid w:val="004828DC"/>
    <w:rsid w:val="00482FF7"/>
    <w:rsid w:val="00483098"/>
    <w:rsid w:val="00483AFB"/>
    <w:rsid w:val="0048402B"/>
    <w:rsid w:val="004840F3"/>
    <w:rsid w:val="0048414A"/>
    <w:rsid w:val="004848FA"/>
    <w:rsid w:val="00484D9A"/>
    <w:rsid w:val="0048550E"/>
    <w:rsid w:val="00485C56"/>
    <w:rsid w:val="00485D18"/>
    <w:rsid w:val="00486B79"/>
    <w:rsid w:val="00486CA2"/>
    <w:rsid w:val="00487F62"/>
    <w:rsid w:val="00490B25"/>
    <w:rsid w:val="00490FD6"/>
    <w:rsid w:val="00491168"/>
    <w:rsid w:val="004911C4"/>
    <w:rsid w:val="00491AD5"/>
    <w:rsid w:val="00492C5E"/>
    <w:rsid w:val="00492EAB"/>
    <w:rsid w:val="00493AAE"/>
    <w:rsid w:val="00494490"/>
    <w:rsid w:val="00494CC8"/>
    <w:rsid w:val="004952FE"/>
    <w:rsid w:val="004955E7"/>
    <w:rsid w:val="0049569E"/>
    <w:rsid w:val="0049589C"/>
    <w:rsid w:val="00495EF1"/>
    <w:rsid w:val="00496035"/>
    <w:rsid w:val="00496337"/>
    <w:rsid w:val="004965D0"/>
    <w:rsid w:val="004967C8"/>
    <w:rsid w:val="0049684E"/>
    <w:rsid w:val="00496ED4"/>
    <w:rsid w:val="00497D4A"/>
    <w:rsid w:val="00497F68"/>
    <w:rsid w:val="004A0441"/>
    <w:rsid w:val="004A084C"/>
    <w:rsid w:val="004A0A40"/>
    <w:rsid w:val="004A0F07"/>
    <w:rsid w:val="004A15B3"/>
    <w:rsid w:val="004A1D01"/>
    <w:rsid w:val="004A246D"/>
    <w:rsid w:val="004A2A54"/>
    <w:rsid w:val="004A2EF3"/>
    <w:rsid w:val="004A3B0D"/>
    <w:rsid w:val="004A44A1"/>
    <w:rsid w:val="004A4743"/>
    <w:rsid w:val="004A50AF"/>
    <w:rsid w:val="004A52F5"/>
    <w:rsid w:val="004A58C4"/>
    <w:rsid w:val="004A5D3A"/>
    <w:rsid w:val="004A5D52"/>
    <w:rsid w:val="004A6302"/>
    <w:rsid w:val="004A6897"/>
    <w:rsid w:val="004A692B"/>
    <w:rsid w:val="004A6DE8"/>
    <w:rsid w:val="004A6E82"/>
    <w:rsid w:val="004A6EB6"/>
    <w:rsid w:val="004A70BC"/>
    <w:rsid w:val="004A735E"/>
    <w:rsid w:val="004A75D6"/>
    <w:rsid w:val="004A767E"/>
    <w:rsid w:val="004A78F8"/>
    <w:rsid w:val="004A794C"/>
    <w:rsid w:val="004A7CCF"/>
    <w:rsid w:val="004B0A74"/>
    <w:rsid w:val="004B17F2"/>
    <w:rsid w:val="004B1F07"/>
    <w:rsid w:val="004B22F8"/>
    <w:rsid w:val="004B2B2A"/>
    <w:rsid w:val="004B2CAD"/>
    <w:rsid w:val="004B3AC8"/>
    <w:rsid w:val="004B3E61"/>
    <w:rsid w:val="004B3EC7"/>
    <w:rsid w:val="004B4216"/>
    <w:rsid w:val="004B5664"/>
    <w:rsid w:val="004B592C"/>
    <w:rsid w:val="004B61C6"/>
    <w:rsid w:val="004B6353"/>
    <w:rsid w:val="004B63DA"/>
    <w:rsid w:val="004B67A1"/>
    <w:rsid w:val="004B6E09"/>
    <w:rsid w:val="004C01AC"/>
    <w:rsid w:val="004C047A"/>
    <w:rsid w:val="004C079C"/>
    <w:rsid w:val="004C0CAB"/>
    <w:rsid w:val="004C1204"/>
    <w:rsid w:val="004C2107"/>
    <w:rsid w:val="004C2E42"/>
    <w:rsid w:val="004C3A76"/>
    <w:rsid w:val="004C4F79"/>
    <w:rsid w:val="004C56A1"/>
    <w:rsid w:val="004C5B8C"/>
    <w:rsid w:val="004C5FC6"/>
    <w:rsid w:val="004C6435"/>
    <w:rsid w:val="004C649B"/>
    <w:rsid w:val="004C6AF2"/>
    <w:rsid w:val="004C6CB2"/>
    <w:rsid w:val="004C6F8E"/>
    <w:rsid w:val="004C706F"/>
    <w:rsid w:val="004C70BF"/>
    <w:rsid w:val="004C78A4"/>
    <w:rsid w:val="004C7B60"/>
    <w:rsid w:val="004C7B9C"/>
    <w:rsid w:val="004C7D55"/>
    <w:rsid w:val="004C7F66"/>
    <w:rsid w:val="004D089A"/>
    <w:rsid w:val="004D0A9A"/>
    <w:rsid w:val="004D0FB8"/>
    <w:rsid w:val="004D1097"/>
    <w:rsid w:val="004D1324"/>
    <w:rsid w:val="004D164C"/>
    <w:rsid w:val="004D1CB7"/>
    <w:rsid w:val="004D1FA2"/>
    <w:rsid w:val="004D3184"/>
    <w:rsid w:val="004D33C9"/>
    <w:rsid w:val="004D3A2E"/>
    <w:rsid w:val="004D3DDD"/>
    <w:rsid w:val="004D41CB"/>
    <w:rsid w:val="004D480E"/>
    <w:rsid w:val="004D4ACF"/>
    <w:rsid w:val="004D5030"/>
    <w:rsid w:val="004D6045"/>
    <w:rsid w:val="004D62FA"/>
    <w:rsid w:val="004D63A5"/>
    <w:rsid w:val="004D6C1D"/>
    <w:rsid w:val="004D7080"/>
    <w:rsid w:val="004D7546"/>
    <w:rsid w:val="004D7EC5"/>
    <w:rsid w:val="004E0023"/>
    <w:rsid w:val="004E02B0"/>
    <w:rsid w:val="004E09CC"/>
    <w:rsid w:val="004E0B29"/>
    <w:rsid w:val="004E0E11"/>
    <w:rsid w:val="004E0F08"/>
    <w:rsid w:val="004E1546"/>
    <w:rsid w:val="004E158B"/>
    <w:rsid w:val="004E19DC"/>
    <w:rsid w:val="004E2165"/>
    <w:rsid w:val="004E280F"/>
    <w:rsid w:val="004E2880"/>
    <w:rsid w:val="004E2897"/>
    <w:rsid w:val="004E2C77"/>
    <w:rsid w:val="004E2C8E"/>
    <w:rsid w:val="004E35E8"/>
    <w:rsid w:val="004E38EB"/>
    <w:rsid w:val="004E4879"/>
    <w:rsid w:val="004E50F0"/>
    <w:rsid w:val="004E6A03"/>
    <w:rsid w:val="004E6BCF"/>
    <w:rsid w:val="004E763A"/>
    <w:rsid w:val="004E7E7A"/>
    <w:rsid w:val="004F0070"/>
    <w:rsid w:val="004F0087"/>
    <w:rsid w:val="004F0409"/>
    <w:rsid w:val="004F0468"/>
    <w:rsid w:val="004F0C3D"/>
    <w:rsid w:val="004F0C51"/>
    <w:rsid w:val="004F118A"/>
    <w:rsid w:val="004F2073"/>
    <w:rsid w:val="004F263C"/>
    <w:rsid w:val="004F2BB1"/>
    <w:rsid w:val="004F2EC7"/>
    <w:rsid w:val="004F38B8"/>
    <w:rsid w:val="004F3CE8"/>
    <w:rsid w:val="004F3FD2"/>
    <w:rsid w:val="004F44AD"/>
    <w:rsid w:val="004F5D78"/>
    <w:rsid w:val="004F6BFB"/>
    <w:rsid w:val="004F7160"/>
    <w:rsid w:val="004F7170"/>
    <w:rsid w:val="004F741F"/>
    <w:rsid w:val="004F7E4A"/>
    <w:rsid w:val="00500402"/>
    <w:rsid w:val="0050147C"/>
    <w:rsid w:val="0050182B"/>
    <w:rsid w:val="00501AF3"/>
    <w:rsid w:val="00502579"/>
    <w:rsid w:val="005025FC"/>
    <w:rsid w:val="005029F7"/>
    <w:rsid w:val="005033B9"/>
    <w:rsid w:val="00503C42"/>
    <w:rsid w:val="00503D4C"/>
    <w:rsid w:val="00504C0C"/>
    <w:rsid w:val="00504E48"/>
    <w:rsid w:val="00505E0E"/>
    <w:rsid w:val="00505FBD"/>
    <w:rsid w:val="00506191"/>
    <w:rsid w:val="005070FF"/>
    <w:rsid w:val="00507172"/>
    <w:rsid w:val="0050794A"/>
    <w:rsid w:val="00510605"/>
    <w:rsid w:val="00510EFE"/>
    <w:rsid w:val="00511393"/>
    <w:rsid w:val="005114D4"/>
    <w:rsid w:val="00511CB0"/>
    <w:rsid w:val="00512868"/>
    <w:rsid w:val="00512A71"/>
    <w:rsid w:val="00512BBC"/>
    <w:rsid w:val="0051335E"/>
    <w:rsid w:val="005134FB"/>
    <w:rsid w:val="005135FD"/>
    <w:rsid w:val="0051366C"/>
    <w:rsid w:val="00513D51"/>
    <w:rsid w:val="005141E9"/>
    <w:rsid w:val="00514267"/>
    <w:rsid w:val="005155DB"/>
    <w:rsid w:val="0051595F"/>
    <w:rsid w:val="00515BBA"/>
    <w:rsid w:val="00515F0A"/>
    <w:rsid w:val="00516503"/>
    <w:rsid w:val="0051684F"/>
    <w:rsid w:val="00516A92"/>
    <w:rsid w:val="00516B9F"/>
    <w:rsid w:val="00517693"/>
    <w:rsid w:val="00517B30"/>
    <w:rsid w:val="00520496"/>
    <w:rsid w:val="005205AB"/>
    <w:rsid w:val="00520909"/>
    <w:rsid w:val="00520FE0"/>
    <w:rsid w:val="0052200C"/>
    <w:rsid w:val="00522302"/>
    <w:rsid w:val="00522491"/>
    <w:rsid w:val="00522BE8"/>
    <w:rsid w:val="005231CD"/>
    <w:rsid w:val="00523378"/>
    <w:rsid w:val="0052346C"/>
    <w:rsid w:val="005243F1"/>
    <w:rsid w:val="005244FB"/>
    <w:rsid w:val="005247F9"/>
    <w:rsid w:val="00524EFD"/>
    <w:rsid w:val="00525101"/>
    <w:rsid w:val="00525222"/>
    <w:rsid w:val="0052550F"/>
    <w:rsid w:val="00525E2F"/>
    <w:rsid w:val="00526C0F"/>
    <w:rsid w:val="0052702A"/>
    <w:rsid w:val="005272C0"/>
    <w:rsid w:val="005273BD"/>
    <w:rsid w:val="005276E9"/>
    <w:rsid w:val="00530397"/>
    <w:rsid w:val="005303FC"/>
    <w:rsid w:val="00530717"/>
    <w:rsid w:val="0053084C"/>
    <w:rsid w:val="00530F73"/>
    <w:rsid w:val="005327B5"/>
    <w:rsid w:val="005327C0"/>
    <w:rsid w:val="00532A7B"/>
    <w:rsid w:val="00533438"/>
    <w:rsid w:val="005337FE"/>
    <w:rsid w:val="005339A2"/>
    <w:rsid w:val="00533B8E"/>
    <w:rsid w:val="00533C7F"/>
    <w:rsid w:val="00533E09"/>
    <w:rsid w:val="00533FF3"/>
    <w:rsid w:val="00534143"/>
    <w:rsid w:val="0053435F"/>
    <w:rsid w:val="005351B4"/>
    <w:rsid w:val="00535417"/>
    <w:rsid w:val="0053564E"/>
    <w:rsid w:val="00535833"/>
    <w:rsid w:val="00535EF6"/>
    <w:rsid w:val="00536D28"/>
    <w:rsid w:val="00536F7B"/>
    <w:rsid w:val="005372C5"/>
    <w:rsid w:val="005377A5"/>
    <w:rsid w:val="00537A26"/>
    <w:rsid w:val="005404E7"/>
    <w:rsid w:val="005408A9"/>
    <w:rsid w:val="00540E47"/>
    <w:rsid w:val="005413CC"/>
    <w:rsid w:val="005417F5"/>
    <w:rsid w:val="00541D29"/>
    <w:rsid w:val="00542140"/>
    <w:rsid w:val="00542292"/>
    <w:rsid w:val="00542E2F"/>
    <w:rsid w:val="00543283"/>
    <w:rsid w:val="005432C1"/>
    <w:rsid w:val="005435A3"/>
    <w:rsid w:val="0054364C"/>
    <w:rsid w:val="00543F44"/>
    <w:rsid w:val="00543F6B"/>
    <w:rsid w:val="00543FF0"/>
    <w:rsid w:val="0054480A"/>
    <w:rsid w:val="00545A8F"/>
    <w:rsid w:val="00546329"/>
    <w:rsid w:val="00546747"/>
    <w:rsid w:val="0054695C"/>
    <w:rsid w:val="00546F54"/>
    <w:rsid w:val="00547510"/>
    <w:rsid w:val="005479A7"/>
    <w:rsid w:val="00547ECC"/>
    <w:rsid w:val="0055068E"/>
    <w:rsid w:val="005515D0"/>
    <w:rsid w:val="00551D5A"/>
    <w:rsid w:val="00551EC3"/>
    <w:rsid w:val="00552276"/>
    <w:rsid w:val="0055232E"/>
    <w:rsid w:val="0055257D"/>
    <w:rsid w:val="00552C1D"/>
    <w:rsid w:val="005536F0"/>
    <w:rsid w:val="005540A6"/>
    <w:rsid w:val="00554744"/>
    <w:rsid w:val="0055475E"/>
    <w:rsid w:val="005548F4"/>
    <w:rsid w:val="00554A44"/>
    <w:rsid w:val="00554C53"/>
    <w:rsid w:val="00554F18"/>
    <w:rsid w:val="00555220"/>
    <w:rsid w:val="00555427"/>
    <w:rsid w:val="005555F0"/>
    <w:rsid w:val="00555739"/>
    <w:rsid w:val="00556211"/>
    <w:rsid w:val="00556280"/>
    <w:rsid w:val="00556E75"/>
    <w:rsid w:val="005571AA"/>
    <w:rsid w:val="00557C25"/>
    <w:rsid w:val="00557D87"/>
    <w:rsid w:val="005605E0"/>
    <w:rsid w:val="0056069A"/>
    <w:rsid w:val="00560C3B"/>
    <w:rsid w:val="00560DBA"/>
    <w:rsid w:val="005610F7"/>
    <w:rsid w:val="00561B22"/>
    <w:rsid w:val="00561E36"/>
    <w:rsid w:val="00561EA1"/>
    <w:rsid w:val="00562251"/>
    <w:rsid w:val="00562799"/>
    <w:rsid w:val="00562800"/>
    <w:rsid w:val="00562994"/>
    <w:rsid w:val="005630F5"/>
    <w:rsid w:val="00563556"/>
    <w:rsid w:val="0056362B"/>
    <w:rsid w:val="005636BE"/>
    <w:rsid w:val="00563BA5"/>
    <w:rsid w:val="00563E1E"/>
    <w:rsid w:val="00563E37"/>
    <w:rsid w:val="005642E6"/>
    <w:rsid w:val="00564804"/>
    <w:rsid w:val="00565598"/>
    <w:rsid w:val="00565651"/>
    <w:rsid w:val="00565B5A"/>
    <w:rsid w:val="00566C62"/>
    <w:rsid w:val="0056741D"/>
    <w:rsid w:val="00567E8F"/>
    <w:rsid w:val="00570240"/>
    <w:rsid w:val="005702D6"/>
    <w:rsid w:val="00570455"/>
    <w:rsid w:val="0057066F"/>
    <w:rsid w:val="00570BA0"/>
    <w:rsid w:val="00571276"/>
    <w:rsid w:val="00571DEF"/>
    <w:rsid w:val="00572588"/>
    <w:rsid w:val="00572807"/>
    <w:rsid w:val="00573072"/>
    <w:rsid w:val="00573A50"/>
    <w:rsid w:val="00573D2C"/>
    <w:rsid w:val="0057468D"/>
    <w:rsid w:val="005746D2"/>
    <w:rsid w:val="0057495A"/>
    <w:rsid w:val="00574E8A"/>
    <w:rsid w:val="00575CEA"/>
    <w:rsid w:val="005772D8"/>
    <w:rsid w:val="00577775"/>
    <w:rsid w:val="00577AE1"/>
    <w:rsid w:val="00577D95"/>
    <w:rsid w:val="00577E35"/>
    <w:rsid w:val="00580182"/>
    <w:rsid w:val="005804F0"/>
    <w:rsid w:val="005807A2"/>
    <w:rsid w:val="00580B4C"/>
    <w:rsid w:val="0058121A"/>
    <w:rsid w:val="0058179C"/>
    <w:rsid w:val="00581863"/>
    <w:rsid w:val="00581DE7"/>
    <w:rsid w:val="00581EA3"/>
    <w:rsid w:val="0058205A"/>
    <w:rsid w:val="0058260B"/>
    <w:rsid w:val="00582920"/>
    <w:rsid w:val="00582C15"/>
    <w:rsid w:val="00582FD0"/>
    <w:rsid w:val="005837AF"/>
    <w:rsid w:val="005844AC"/>
    <w:rsid w:val="005844AD"/>
    <w:rsid w:val="005846C1"/>
    <w:rsid w:val="00584D1E"/>
    <w:rsid w:val="00584DC4"/>
    <w:rsid w:val="00585475"/>
    <w:rsid w:val="00586795"/>
    <w:rsid w:val="005867CB"/>
    <w:rsid w:val="00586A6C"/>
    <w:rsid w:val="00586B82"/>
    <w:rsid w:val="00587539"/>
    <w:rsid w:val="00587672"/>
    <w:rsid w:val="0058778A"/>
    <w:rsid w:val="005879E9"/>
    <w:rsid w:val="00587C77"/>
    <w:rsid w:val="00587E13"/>
    <w:rsid w:val="00587F51"/>
    <w:rsid w:val="005901E1"/>
    <w:rsid w:val="005906DD"/>
    <w:rsid w:val="00591023"/>
    <w:rsid w:val="00591815"/>
    <w:rsid w:val="00591D8E"/>
    <w:rsid w:val="00591F71"/>
    <w:rsid w:val="00592AEC"/>
    <w:rsid w:val="005933AA"/>
    <w:rsid w:val="00593549"/>
    <w:rsid w:val="0059364B"/>
    <w:rsid w:val="005936B8"/>
    <w:rsid w:val="005940AA"/>
    <w:rsid w:val="00594614"/>
    <w:rsid w:val="00594E10"/>
    <w:rsid w:val="0059500D"/>
    <w:rsid w:val="005951B1"/>
    <w:rsid w:val="005957A2"/>
    <w:rsid w:val="00595C0E"/>
    <w:rsid w:val="00595D31"/>
    <w:rsid w:val="005962A4"/>
    <w:rsid w:val="00596306"/>
    <w:rsid w:val="00596487"/>
    <w:rsid w:val="0059675D"/>
    <w:rsid w:val="005976FC"/>
    <w:rsid w:val="005979F2"/>
    <w:rsid w:val="005A07E8"/>
    <w:rsid w:val="005A0809"/>
    <w:rsid w:val="005A0A3F"/>
    <w:rsid w:val="005A0B91"/>
    <w:rsid w:val="005A0DE3"/>
    <w:rsid w:val="005A0EF3"/>
    <w:rsid w:val="005A1494"/>
    <w:rsid w:val="005A252D"/>
    <w:rsid w:val="005A27D7"/>
    <w:rsid w:val="005A308A"/>
    <w:rsid w:val="005A3127"/>
    <w:rsid w:val="005A31EB"/>
    <w:rsid w:val="005A3389"/>
    <w:rsid w:val="005A34FA"/>
    <w:rsid w:val="005A3590"/>
    <w:rsid w:val="005A4A1C"/>
    <w:rsid w:val="005A4C0D"/>
    <w:rsid w:val="005A5BD8"/>
    <w:rsid w:val="005A692A"/>
    <w:rsid w:val="005A6AB8"/>
    <w:rsid w:val="005A7495"/>
    <w:rsid w:val="005A773F"/>
    <w:rsid w:val="005B0412"/>
    <w:rsid w:val="005B0613"/>
    <w:rsid w:val="005B0925"/>
    <w:rsid w:val="005B0A6B"/>
    <w:rsid w:val="005B11C2"/>
    <w:rsid w:val="005B14CD"/>
    <w:rsid w:val="005B16D6"/>
    <w:rsid w:val="005B180A"/>
    <w:rsid w:val="005B25B7"/>
    <w:rsid w:val="005B2AB4"/>
    <w:rsid w:val="005B320F"/>
    <w:rsid w:val="005B322F"/>
    <w:rsid w:val="005B382C"/>
    <w:rsid w:val="005B3C11"/>
    <w:rsid w:val="005B3E89"/>
    <w:rsid w:val="005B3F92"/>
    <w:rsid w:val="005B40DA"/>
    <w:rsid w:val="005B40F5"/>
    <w:rsid w:val="005B4226"/>
    <w:rsid w:val="005B4528"/>
    <w:rsid w:val="005B4A83"/>
    <w:rsid w:val="005B5A12"/>
    <w:rsid w:val="005B5AA4"/>
    <w:rsid w:val="005B656B"/>
    <w:rsid w:val="005B6AC1"/>
    <w:rsid w:val="005B71B3"/>
    <w:rsid w:val="005B76A4"/>
    <w:rsid w:val="005B7B00"/>
    <w:rsid w:val="005C04A7"/>
    <w:rsid w:val="005C088F"/>
    <w:rsid w:val="005C0E8C"/>
    <w:rsid w:val="005C17A4"/>
    <w:rsid w:val="005C1929"/>
    <w:rsid w:val="005C1A33"/>
    <w:rsid w:val="005C2373"/>
    <w:rsid w:val="005C2775"/>
    <w:rsid w:val="005C27CC"/>
    <w:rsid w:val="005C3224"/>
    <w:rsid w:val="005C370D"/>
    <w:rsid w:val="005C3992"/>
    <w:rsid w:val="005C487C"/>
    <w:rsid w:val="005C489B"/>
    <w:rsid w:val="005C4A36"/>
    <w:rsid w:val="005C4BA7"/>
    <w:rsid w:val="005C4D2F"/>
    <w:rsid w:val="005C4D8A"/>
    <w:rsid w:val="005C504E"/>
    <w:rsid w:val="005C5458"/>
    <w:rsid w:val="005C5469"/>
    <w:rsid w:val="005C5D46"/>
    <w:rsid w:val="005C5D4F"/>
    <w:rsid w:val="005C6153"/>
    <w:rsid w:val="005C7430"/>
    <w:rsid w:val="005C78B0"/>
    <w:rsid w:val="005C7B95"/>
    <w:rsid w:val="005D01EB"/>
    <w:rsid w:val="005D0DFB"/>
    <w:rsid w:val="005D0E87"/>
    <w:rsid w:val="005D1112"/>
    <w:rsid w:val="005D1470"/>
    <w:rsid w:val="005D184F"/>
    <w:rsid w:val="005D237C"/>
    <w:rsid w:val="005D25E2"/>
    <w:rsid w:val="005D25FF"/>
    <w:rsid w:val="005D2632"/>
    <w:rsid w:val="005D28E6"/>
    <w:rsid w:val="005D2CFD"/>
    <w:rsid w:val="005D38E0"/>
    <w:rsid w:val="005D3F32"/>
    <w:rsid w:val="005D4C6E"/>
    <w:rsid w:val="005D4E3E"/>
    <w:rsid w:val="005D5DEF"/>
    <w:rsid w:val="005D5EED"/>
    <w:rsid w:val="005D61A3"/>
    <w:rsid w:val="005D6793"/>
    <w:rsid w:val="005D67F7"/>
    <w:rsid w:val="005D7D7E"/>
    <w:rsid w:val="005D7EEF"/>
    <w:rsid w:val="005E0B59"/>
    <w:rsid w:val="005E1105"/>
    <w:rsid w:val="005E13F5"/>
    <w:rsid w:val="005E162F"/>
    <w:rsid w:val="005E1D75"/>
    <w:rsid w:val="005E21A5"/>
    <w:rsid w:val="005E21D9"/>
    <w:rsid w:val="005E27AE"/>
    <w:rsid w:val="005E2C60"/>
    <w:rsid w:val="005E2D72"/>
    <w:rsid w:val="005E2F41"/>
    <w:rsid w:val="005E31F6"/>
    <w:rsid w:val="005E3453"/>
    <w:rsid w:val="005E3622"/>
    <w:rsid w:val="005E4119"/>
    <w:rsid w:val="005E42C8"/>
    <w:rsid w:val="005E48A6"/>
    <w:rsid w:val="005E51C0"/>
    <w:rsid w:val="005E60B3"/>
    <w:rsid w:val="005E64C5"/>
    <w:rsid w:val="005E64CF"/>
    <w:rsid w:val="005E65F8"/>
    <w:rsid w:val="005E676C"/>
    <w:rsid w:val="005E6CB9"/>
    <w:rsid w:val="005E7005"/>
    <w:rsid w:val="005E7AB0"/>
    <w:rsid w:val="005E7C18"/>
    <w:rsid w:val="005E7F14"/>
    <w:rsid w:val="005E7FA8"/>
    <w:rsid w:val="005F0154"/>
    <w:rsid w:val="005F0176"/>
    <w:rsid w:val="005F021D"/>
    <w:rsid w:val="005F1179"/>
    <w:rsid w:val="005F1AD3"/>
    <w:rsid w:val="005F1EAC"/>
    <w:rsid w:val="005F1FEC"/>
    <w:rsid w:val="005F2D9A"/>
    <w:rsid w:val="005F308F"/>
    <w:rsid w:val="005F38B5"/>
    <w:rsid w:val="005F399D"/>
    <w:rsid w:val="005F3E49"/>
    <w:rsid w:val="005F4869"/>
    <w:rsid w:val="005F4BFD"/>
    <w:rsid w:val="005F52D8"/>
    <w:rsid w:val="005F5702"/>
    <w:rsid w:val="005F5748"/>
    <w:rsid w:val="005F5834"/>
    <w:rsid w:val="005F5D4B"/>
    <w:rsid w:val="005F5DF0"/>
    <w:rsid w:val="005F5E11"/>
    <w:rsid w:val="005F6071"/>
    <w:rsid w:val="005F6743"/>
    <w:rsid w:val="005F6B0A"/>
    <w:rsid w:val="005F6CC7"/>
    <w:rsid w:val="005F6FA8"/>
    <w:rsid w:val="005F79FE"/>
    <w:rsid w:val="00600325"/>
    <w:rsid w:val="006003E5"/>
    <w:rsid w:val="006009FD"/>
    <w:rsid w:val="00600E63"/>
    <w:rsid w:val="0060113C"/>
    <w:rsid w:val="00601561"/>
    <w:rsid w:val="0060196F"/>
    <w:rsid w:val="00601E55"/>
    <w:rsid w:val="00602037"/>
    <w:rsid w:val="006025DA"/>
    <w:rsid w:val="00602872"/>
    <w:rsid w:val="006029DD"/>
    <w:rsid w:val="00602C6A"/>
    <w:rsid w:val="00603014"/>
    <w:rsid w:val="00603AF5"/>
    <w:rsid w:val="006041C2"/>
    <w:rsid w:val="00604C54"/>
    <w:rsid w:val="00605310"/>
    <w:rsid w:val="0060537B"/>
    <w:rsid w:val="006053E9"/>
    <w:rsid w:val="00605A40"/>
    <w:rsid w:val="00605EC3"/>
    <w:rsid w:val="00606379"/>
    <w:rsid w:val="00606C66"/>
    <w:rsid w:val="006075B7"/>
    <w:rsid w:val="00607935"/>
    <w:rsid w:val="00610145"/>
    <w:rsid w:val="00610D1F"/>
    <w:rsid w:val="00610F4A"/>
    <w:rsid w:val="00611AD8"/>
    <w:rsid w:val="006121A5"/>
    <w:rsid w:val="006123C6"/>
    <w:rsid w:val="00612967"/>
    <w:rsid w:val="00612C02"/>
    <w:rsid w:val="00612CDD"/>
    <w:rsid w:val="00612D72"/>
    <w:rsid w:val="006131B2"/>
    <w:rsid w:val="00613718"/>
    <w:rsid w:val="00613A42"/>
    <w:rsid w:val="006149F7"/>
    <w:rsid w:val="00614C71"/>
    <w:rsid w:val="00614DD7"/>
    <w:rsid w:val="00615075"/>
    <w:rsid w:val="00615222"/>
    <w:rsid w:val="0061562E"/>
    <w:rsid w:val="00615D10"/>
    <w:rsid w:val="00616A1A"/>
    <w:rsid w:val="00616D41"/>
    <w:rsid w:val="00617292"/>
    <w:rsid w:val="006200A9"/>
    <w:rsid w:val="0062144B"/>
    <w:rsid w:val="00622225"/>
    <w:rsid w:val="00622D03"/>
    <w:rsid w:val="00622DCD"/>
    <w:rsid w:val="00622F57"/>
    <w:rsid w:val="00623DD5"/>
    <w:rsid w:val="00623E21"/>
    <w:rsid w:val="00624269"/>
    <w:rsid w:val="006244A2"/>
    <w:rsid w:val="00624A34"/>
    <w:rsid w:val="0062568D"/>
    <w:rsid w:val="006256D3"/>
    <w:rsid w:val="00625DC9"/>
    <w:rsid w:val="00625E12"/>
    <w:rsid w:val="006263A2"/>
    <w:rsid w:val="006267F5"/>
    <w:rsid w:val="00626C85"/>
    <w:rsid w:val="00626F2D"/>
    <w:rsid w:val="00627006"/>
    <w:rsid w:val="00627337"/>
    <w:rsid w:val="00630069"/>
    <w:rsid w:val="00630583"/>
    <w:rsid w:val="006305A8"/>
    <w:rsid w:val="00630D2E"/>
    <w:rsid w:val="00630D39"/>
    <w:rsid w:val="00631E19"/>
    <w:rsid w:val="00632076"/>
    <w:rsid w:val="00632209"/>
    <w:rsid w:val="006329F5"/>
    <w:rsid w:val="00633146"/>
    <w:rsid w:val="00633E76"/>
    <w:rsid w:val="00633EC9"/>
    <w:rsid w:val="006340F5"/>
    <w:rsid w:val="00634273"/>
    <w:rsid w:val="00634542"/>
    <w:rsid w:val="00634E8F"/>
    <w:rsid w:val="00635379"/>
    <w:rsid w:val="006354EB"/>
    <w:rsid w:val="00635E4D"/>
    <w:rsid w:val="0063620C"/>
    <w:rsid w:val="00636567"/>
    <w:rsid w:val="006368D1"/>
    <w:rsid w:val="00637859"/>
    <w:rsid w:val="00637E18"/>
    <w:rsid w:val="0064032E"/>
    <w:rsid w:val="0064038D"/>
    <w:rsid w:val="00640A19"/>
    <w:rsid w:val="00641A0B"/>
    <w:rsid w:val="00641D5A"/>
    <w:rsid w:val="00641E06"/>
    <w:rsid w:val="006428DC"/>
    <w:rsid w:val="00643007"/>
    <w:rsid w:val="006431D0"/>
    <w:rsid w:val="00643232"/>
    <w:rsid w:val="006432C5"/>
    <w:rsid w:val="006436FA"/>
    <w:rsid w:val="00643852"/>
    <w:rsid w:val="00643C27"/>
    <w:rsid w:val="0064403C"/>
    <w:rsid w:val="0064447A"/>
    <w:rsid w:val="00644874"/>
    <w:rsid w:val="00644B1B"/>
    <w:rsid w:val="006455E7"/>
    <w:rsid w:val="00645758"/>
    <w:rsid w:val="00645812"/>
    <w:rsid w:val="006461A1"/>
    <w:rsid w:val="00646872"/>
    <w:rsid w:val="00646DAC"/>
    <w:rsid w:val="006471A3"/>
    <w:rsid w:val="00647422"/>
    <w:rsid w:val="00647E6B"/>
    <w:rsid w:val="00650E84"/>
    <w:rsid w:val="0065198B"/>
    <w:rsid w:val="006523CE"/>
    <w:rsid w:val="006525AF"/>
    <w:rsid w:val="0065266A"/>
    <w:rsid w:val="00652EF8"/>
    <w:rsid w:val="0065313F"/>
    <w:rsid w:val="006537B1"/>
    <w:rsid w:val="00653815"/>
    <w:rsid w:val="0065388D"/>
    <w:rsid w:val="00653F32"/>
    <w:rsid w:val="00653F9C"/>
    <w:rsid w:val="006540B7"/>
    <w:rsid w:val="006548F1"/>
    <w:rsid w:val="006549E8"/>
    <w:rsid w:val="00655470"/>
    <w:rsid w:val="00655705"/>
    <w:rsid w:val="006559A3"/>
    <w:rsid w:val="00656417"/>
    <w:rsid w:val="006565D1"/>
    <w:rsid w:val="00656FEE"/>
    <w:rsid w:val="0065702D"/>
    <w:rsid w:val="0065758F"/>
    <w:rsid w:val="00657888"/>
    <w:rsid w:val="00657C90"/>
    <w:rsid w:val="00657F14"/>
    <w:rsid w:val="00660037"/>
    <w:rsid w:val="006603E3"/>
    <w:rsid w:val="0066049B"/>
    <w:rsid w:val="00660772"/>
    <w:rsid w:val="006607AA"/>
    <w:rsid w:val="00660897"/>
    <w:rsid w:val="00660C51"/>
    <w:rsid w:val="00661028"/>
    <w:rsid w:val="00661342"/>
    <w:rsid w:val="0066159A"/>
    <w:rsid w:val="006617BD"/>
    <w:rsid w:val="00661836"/>
    <w:rsid w:val="0066194D"/>
    <w:rsid w:val="00661CD3"/>
    <w:rsid w:val="0066262D"/>
    <w:rsid w:val="00662E52"/>
    <w:rsid w:val="0066324A"/>
    <w:rsid w:val="00663C29"/>
    <w:rsid w:val="00663F5D"/>
    <w:rsid w:val="00664695"/>
    <w:rsid w:val="00664840"/>
    <w:rsid w:val="00664B44"/>
    <w:rsid w:val="0066501A"/>
    <w:rsid w:val="006652BF"/>
    <w:rsid w:val="006656BF"/>
    <w:rsid w:val="0066630C"/>
    <w:rsid w:val="00666D02"/>
    <w:rsid w:val="00667A33"/>
    <w:rsid w:val="00667BBD"/>
    <w:rsid w:val="00667D69"/>
    <w:rsid w:val="00667E77"/>
    <w:rsid w:val="00671149"/>
    <w:rsid w:val="0067137F"/>
    <w:rsid w:val="00671615"/>
    <w:rsid w:val="00671741"/>
    <w:rsid w:val="00671766"/>
    <w:rsid w:val="00671911"/>
    <w:rsid w:val="0067231B"/>
    <w:rsid w:val="00672914"/>
    <w:rsid w:val="00672A01"/>
    <w:rsid w:val="00672DD5"/>
    <w:rsid w:val="0067392D"/>
    <w:rsid w:val="00673E1C"/>
    <w:rsid w:val="006744C3"/>
    <w:rsid w:val="00674597"/>
    <w:rsid w:val="006752EE"/>
    <w:rsid w:val="0067537F"/>
    <w:rsid w:val="0067555E"/>
    <w:rsid w:val="0067575D"/>
    <w:rsid w:val="00675CD6"/>
    <w:rsid w:val="00675F12"/>
    <w:rsid w:val="0067625F"/>
    <w:rsid w:val="00676410"/>
    <w:rsid w:val="00676CAE"/>
    <w:rsid w:val="00676F75"/>
    <w:rsid w:val="00680509"/>
    <w:rsid w:val="006805CB"/>
    <w:rsid w:val="00680DA5"/>
    <w:rsid w:val="006811E4"/>
    <w:rsid w:val="00681CC1"/>
    <w:rsid w:val="0068233B"/>
    <w:rsid w:val="00682A31"/>
    <w:rsid w:val="00682E11"/>
    <w:rsid w:val="00683081"/>
    <w:rsid w:val="006830F2"/>
    <w:rsid w:val="0068335B"/>
    <w:rsid w:val="006845BD"/>
    <w:rsid w:val="00684C95"/>
    <w:rsid w:val="006850D3"/>
    <w:rsid w:val="00685249"/>
    <w:rsid w:val="006856B9"/>
    <w:rsid w:val="00685BDE"/>
    <w:rsid w:val="00686085"/>
    <w:rsid w:val="00686761"/>
    <w:rsid w:val="00687423"/>
    <w:rsid w:val="006877E4"/>
    <w:rsid w:val="00687B1C"/>
    <w:rsid w:val="00687C0D"/>
    <w:rsid w:val="00690E99"/>
    <w:rsid w:val="00691237"/>
    <w:rsid w:val="006914CC"/>
    <w:rsid w:val="00691854"/>
    <w:rsid w:val="00691887"/>
    <w:rsid w:val="00691C2D"/>
    <w:rsid w:val="006920E6"/>
    <w:rsid w:val="0069222D"/>
    <w:rsid w:val="00692555"/>
    <w:rsid w:val="006925B0"/>
    <w:rsid w:val="00693324"/>
    <w:rsid w:val="00693540"/>
    <w:rsid w:val="00694069"/>
    <w:rsid w:val="00694189"/>
    <w:rsid w:val="0069580D"/>
    <w:rsid w:val="00695DFD"/>
    <w:rsid w:val="00696566"/>
    <w:rsid w:val="006966BA"/>
    <w:rsid w:val="00696A38"/>
    <w:rsid w:val="00696D80"/>
    <w:rsid w:val="00696E5A"/>
    <w:rsid w:val="0069722D"/>
    <w:rsid w:val="006977EA"/>
    <w:rsid w:val="00697BEF"/>
    <w:rsid w:val="00697DF4"/>
    <w:rsid w:val="006A0052"/>
    <w:rsid w:val="006A0419"/>
    <w:rsid w:val="006A0845"/>
    <w:rsid w:val="006A0A9E"/>
    <w:rsid w:val="006A0E88"/>
    <w:rsid w:val="006A1D37"/>
    <w:rsid w:val="006A1ED5"/>
    <w:rsid w:val="006A1F1C"/>
    <w:rsid w:val="006A2532"/>
    <w:rsid w:val="006A30DF"/>
    <w:rsid w:val="006A3836"/>
    <w:rsid w:val="006A3DD3"/>
    <w:rsid w:val="006A4625"/>
    <w:rsid w:val="006A46C5"/>
    <w:rsid w:val="006A47AE"/>
    <w:rsid w:val="006A48AE"/>
    <w:rsid w:val="006A4C66"/>
    <w:rsid w:val="006A58CB"/>
    <w:rsid w:val="006A5B22"/>
    <w:rsid w:val="006A5B5E"/>
    <w:rsid w:val="006A67CB"/>
    <w:rsid w:val="006A7BFB"/>
    <w:rsid w:val="006A7D2A"/>
    <w:rsid w:val="006B02AA"/>
    <w:rsid w:val="006B0368"/>
    <w:rsid w:val="006B0A7F"/>
    <w:rsid w:val="006B0F6E"/>
    <w:rsid w:val="006B1D7B"/>
    <w:rsid w:val="006B1FBC"/>
    <w:rsid w:val="006B2070"/>
    <w:rsid w:val="006B270D"/>
    <w:rsid w:val="006B2796"/>
    <w:rsid w:val="006B27B2"/>
    <w:rsid w:val="006B27C7"/>
    <w:rsid w:val="006B27D4"/>
    <w:rsid w:val="006B288B"/>
    <w:rsid w:val="006B2C9C"/>
    <w:rsid w:val="006B3518"/>
    <w:rsid w:val="006B3B80"/>
    <w:rsid w:val="006B3DE2"/>
    <w:rsid w:val="006B41C7"/>
    <w:rsid w:val="006B4867"/>
    <w:rsid w:val="006B48EB"/>
    <w:rsid w:val="006B4A78"/>
    <w:rsid w:val="006B4C00"/>
    <w:rsid w:val="006B523A"/>
    <w:rsid w:val="006B56D1"/>
    <w:rsid w:val="006B56FC"/>
    <w:rsid w:val="006B6017"/>
    <w:rsid w:val="006B659A"/>
    <w:rsid w:val="006B678D"/>
    <w:rsid w:val="006B6B03"/>
    <w:rsid w:val="006B6DDA"/>
    <w:rsid w:val="006B73D9"/>
    <w:rsid w:val="006B7DF0"/>
    <w:rsid w:val="006B7E74"/>
    <w:rsid w:val="006C0166"/>
    <w:rsid w:val="006C05EE"/>
    <w:rsid w:val="006C0B12"/>
    <w:rsid w:val="006C0D75"/>
    <w:rsid w:val="006C1C48"/>
    <w:rsid w:val="006C1E7C"/>
    <w:rsid w:val="006C1E8A"/>
    <w:rsid w:val="006C1F03"/>
    <w:rsid w:val="006C20BF"/>
    <w:rsid w:val="006C323D"/>
    <w:rsid w:val="006C3C1D"/>
    <w:rsid w:val="006C3C7E"/>
    <w:rsid w:val="006C41FF"/>
    <w:rsid w:val="006C442E"/>
    <w:rsid w:val="006C4AC6"/>
    <w:rsid w:val="006C4AF5"/>
    <w:rsid w:val="006C5145"/>
    <w:rsid w:val="006C584D"/>
    <w:rsid w:val="006C5B6D"/>
    <w:rsid w:val="006C5FB6"/>
    <w:rsid w:val="006C6398"/>
    <w:rsid w:val="006C65A8"/>
    <w:rsid w:val="006C6E85"/>
    <w:rsid w:val="006C705B"/>
    <w:rsid w:val="006C78CF"/>
    <w:rsid w:val="006C7A69"/>
    <w:rsid w:val="006D022A"/>
    <w:rsid w:val="006D05AD"/>
    <w:rsid w:val="006D086A"/>
    <w:rsid w:val="006D0C5A"/>
    <w:rsid w:val="006D0EC1"/>
    <w:rsid w:val="006D0FEC"/>
    <w:rsid w:val="006D155E"/>
    <w:rsid w:val="006D16F8"/>
    <w:rsid w:val="006D1813"/>
    <w:rsid w:val="006D1AF5"/>
    <w:rsid w:val="006D24A9"/>
    <w:rsid w:val="006D2AF3"/>
    <w:rsid w:val="006D2FE1"/>
    <w:rsid w:val="006D3FE9"/>
    <w:rsid w:val="006D4718"/>
    <w:rsid w:val="006D4C0A"/>
    <w:rsid w:val="006D4D79"/>
    <w:rsid w:val="006D4FBD"/>
    <w:rsid w:val="006D530A"/>
    <w:rsid w:val="006D5364"/>
    <w:rsid w:val="006D5879"/>
    <w:rsid w:val="006D618C"/>
    <w:rsid w:val="006D63FD"/>
    <w:rsid w:val="006D65B4"/>
    <w:rsid w:val="006D6A4F"/>
    <w:rsid w:val="006D6CE5"/>
    <w:rsid w:val="006D754A"/>
    <w:rsid w:val="006D7B9C"/>
    <w:rsid w:val="006E0025"/>
    <w:rsid w:val="006E04C6"/>
    <w:rsid w:val="006E0A65"/>
    <w:rsid w:val="006E18B7"/>
    <w:rsid w:val="006E1B01"/>
    <w:rsid w:val="006E1E2A"/>
    <w:rsid w:val="006E2A7A"/>
    <w:rsid w:val="006E3872"/>
    <w:rsid w:val="006E3E3D"/>
    <w:rsid w:val="006E3EEB"/>
    <w:rsid w:val="006E4836"/>
    <w:rsid w:val="006E5DDD"/>
    <w:rsid w:val="006E7811"/>
    <w:rsid w:val="006F04DA"/>
    <w:rsid w:val="006F0557"/>
    <w:rsid w:val="006F0EA3"/>
    <w:rsid w:val="006F1B5D"/>
    <w:rsid w:val="006F1E18"/>
    <w:rsid w:val="006F212B"/>
    <w:rsid w:val="006F28FE"/>
    <w:rsid w:val="006F3110"/>
    <w:rsid w:val="006F34AC"/>
    <w:rsid w:val="006F34EA"/>
    <w:rsid w:val="006F359D"/>
    <w:rsid w:val="006F37F7"/>
    <w:rsid w:val="006F4044"/>
    <w:rsid w:val="006F4575"/>
    <w:rsid w:val="006F469A"/>
    <w:rsid w:val="006F4A61"/>
    <w:rsid w:val="006F4ADC"/>
    <w:rsid w:val="006F4CAD"/>
    <w:rsid w:val="006F510A"/>
    <w:rsid w:val="006F51E3"/>
    <w:rsid w:val="006F578A"/>
    <w:rsid w:val="006F5799"/>
    <w:rsid w:val="006F5893"/>
    <w:rsid w:val="006F5C06"/>
    <w:rsid w:val="006F643D"/>
    <w:rsid w:val="006F6497"/>
    <w:rsid w:val="006F657F"/>
    <w:rsid w:val="006F675C"/>
    <w:rsid w:val="006F6AC4"/>
    <w:rsid w:val="006F6D13"/>
    <w:rsid w:val="006F75CB"/>
    <w:rsid w:val="006F75D3"/>
    <w:rsid w:val="006F7759"/>
    <w:rsid w:val="006F7D95"/>
    <w:rsid w:val="00700C3B"/>
    <w:rsid w:val="00700D41"/>
    <w:rsid w:val="00701524"/>
    <w:rsid w:val="00701ACF"/>
    <w:rsid w:val="00701B21"/>
    <w:rsid w:val="00701D0B"/>
    <w:rsid w:val="007022AF"/>
    <w:rsid w:val="00702384"/>
    <w:rsid w:val="00702D00"/>
    <w:rsid w:val="00703346"/>
    <w:rsid w:val="00703482"/>
    <w:rsid w:val="00703BFB"/>
    <w:rsid w:val="00703E65"/>
    <w:rsid w:val="00704818"/>
    <w:rsid w:val="00704831"/>
    <w:rsid w:val="00704A06"/>
    <w:rsid w:val="00704BAE"/>
    <w:rsid w:val="0070544E"/>
    <w:rsid w:val="00705807"/>
    <w:rsid w:val="00705895"/>
    <w:rsid w:val="00705C74"/>
    <w:rsid w:val="00705C78"/>
    <w:rsid w:val="0070600A"/>
    <w:rsid w:val="007060E1"/>
    <w:rsid w:val="0070677E"/>
    <w:rsid w:val="00706824"/>
    <w:rsid w:val="00706B68"/>
    <w:rsid w:val="00706B85"/>
    <w:rsid w:val="007071BF"/>
    <w:rsid w:val="007071FC"/>
    <w:rsid w:val="00707C84"/>
    <w:rsid w:val="00710299"/>
    <w:rsid w:val="00710A12"/>
    <w:rsid w:val="00710A59"/>
    <w:rsid w:val="00710ED2"/>
    <w:rsid w:val="00710FDE"/>
    <w:rsid w:val="007116C7"/>
    <w:rsid w:val="00711B59"/>
    <w:rsid w:val="00711C5A"/>
    <w:rsid w:val="007128C7"/>
    <w:rsid w:val="00712B2B"/>
    <w:rsid w:val="00712B66"/>
    <w:rsid w:val="00712FCB"/>
    <w:rsid w:val="00713C31"/>
    <w:rsid w:val="0071428D"/>
    <w:rsid w:val="00714317"/>
    <w:rsid w:val="007143BE"/>
    <w:rsid w:val="007144C9"/>
    <w:rsid w:val="00715049"/>
    <w:rsid w:val="0071593D"/>
    <w:rsid w:val="00715A4B"/>
    <w:rsid w:val="00716B3C"/>
    <w:rsid w:val="007170C2"/>
    <w:rsid w:val="00717EE4"/>
    <w:rsid w:val="00717F2D"/>
    <w:rsid w:val="00720453"/>
    <w:rsid w:val="0072078F"/>
    <w:rsid w:val="00720853"/>
    <w:rsid w:val="00721087"/>
    <w:rsid w:val="0072178E"/>
    <w:rsid w:val="00721C58"/>
    <w:rsid w:val="00721C9F"/>
    <w:rsid w:val="00722129"/>
    <w:rsid w:val="0072278B"/>
    <w:rsid w:val="00722A24"/>
    <w:rsid w:val="00722EF6"/>
    <w:rsid w:val="00723912"/>
    <w:rsid w:val="00723E10"/>
    <w:rsid w:val="00724173"/>
    <w:rsid w:val="00724380"/>
    <w:rsid w:val="00725635"/>
    <w:rsid w:val="007258C4"/>
    <w:rsid w:val="007260F4"/>
    <w:rsid w:val="00726730"/>
    <w:rsid w:val="0072681F"/>
    <w:rsid w:val="0072695A"/>
    <w:rsid w:val="00730598"/>
    <w:rsid w:val="00730F8D"/>
    <w:rsid w:val="007312D7"/>
    <w:rsid w:val="00731C24"/>
    <w:rsid w:val="007320A7"/>
    <w:rsid w:val="0073257E"/>
    <w:rsid w:val="00732863"/>
    <w:rsid w:val="00732A32"/>
    <w:rsid w:val="00732DF4"/>
    <w:rsid w:val="00733066"/>
    <w:rsid w:val="00733469"/>
    <w:rsid w:val="0073348A"/>
    <w:rsid w:val="00733539"/>
    <w:rsid w:val="00733700"/>
    <w:rsid w:val="00733A56"/>
    <w:rsid w:val="00733BFA"/>
    <w:rsid w:val="00733FF8"/>
    <w:rsid w:val="00734937"/>
    <w:rsid w:val="007353EF"/>
    <w:rsid w:val="00735557"/>
    <w:rsid w:val="00735612"/>
    <w:rsid w:val="007356B4"/>
    <w:rsid w:val="00737108"/>
    <w:rsid w:val="00737628"/>
    <w:rsid w:val="007379CE"/>
    <w:rsid w:val="00737B64"/>
    <w:rsid w:val="007402A9"/>
    <w:rsid w:val="0074038E"/>
    <w:rsid w:val="007414EF"/>
    <w:rsid w:val="007419A7"/>
    <w:rsid w:val="00741B21"/>
    <w:rsid w:val="00741DD8"/>
    <w:rsid w:val="00741E49"/>
    <w:rsid w:val="0074250D"/>
    <w:rsid w:val="00742D16"/>
    <w:rsid w:val="007433CD"/>
    <w:rsid w:val="0074362F"/>
    <w:rsid w:val="007445E2"/>
    <w:rsid w:val="00744A84"/>
    <w:rsid w:val="007451B4"/>
    <w:rsid w:val="00745496"/>
    <w:rsid w:val="007460DA"/>
    <w:rsid w:val="0074705B"/>
    <w:rsid w:val="007470EC"/>
    <w:rsid w:val="00747118"/>
    <w:rsid w:val="00747408"/>
    <w:rsid w:val="007479F8"/>
    <w:rsid w:val="00747F19"/>
    <w:rsid w:val="0075020B"/>
    <w:rsid w:val="00750AD7"/>
    <w:rsid w:val="00751017"/>
    <w:rsid w:val="00751960"/>
    <w:rsid w:val="00751EDF"/>
    <w:rsid w:val="00752582"/>
    <w:rsid w:val="00753273"/>
    <w:rsid w:val="007533A5"/>
    <w:rsid w:val="007535C7"/>
    <w:rsid w:val="0075493D"/>
    <w:rsid w:val="00755043"/>
    <w:rsid w:val="0075646C"/>
    <w:rsid w:val="00756551"/>
    <w:rsid w:val="00757066"/>
    <w:rsid w:val="007572B8"/>
    <w:rsid w:val="00757769"/>
    <w:rsid w:val="0075782D"/>
    <w:rsid w:val="0076067E"/>
    <w:rsid w:val="007609CE"/>
    <w:rsid w:val="00761008"/>
    <w:rsid w:val="0076111E"/>
    <w:rsid w:val="0076158B"/>
    <w:rsid w:val="007618A1"/>
    <w:rsid w:val="00761BFD"/>
    <w:rsid w:val="00761C02"/>
    <w:rsid w:val="00761D5C"/>
    <w:rsid w:val="00761FE5"/>
    <w:rsid w:val="00762476"/>
    <w:rsid w:val="00762A18"/>
    <w:rsid w:val="00762D34"/>
    <w:rsid w:val="00763990"/>
    <w:rsid w:val="00763AE2"/>
    <w:rsid w:val="00763B76"/>
    <w:rsid w:val="00763F73"/>
    <w:rsid w:val="00764259"/>
    <w:rsid w:val="0076442C"/>
    <w:rsid w:val="00764517"/>
    <w:rsid w:val="0076467D"/>
    <w:rsid w:val="00764767"/>
    <w:rsid w:val="007649AD"/>
    <w:rsid w:val="00764B66"/>
    <w:rsid w:val="00764BD6"/>
    <w:rsid w:val="00764EB3"/>
    <w:rsid w:val="00765531"/>
    <w:rsid w:val="007657EB"/>
    <w:rsid w:val="007658F1"/>
    <w:rsid w:val="00765B6E"/>
    <w:rsid w:val="00765FC5"/>
    <w:rsid w:val="00766D90"/>
    <w:rsid w:val="0076730D"/>
    <w:rsid w:val="00767C19"/>
    <w:rsid w:val="00767D4E"/>
    <w:rsid w:val="00770441"/>
    <w:rsid w:val="00770BD8"/>
    <w:rsid w:val="00771067"/>
    <w:rsid w:val="00771274"/>
    <w:rsid w:val="00771889"/>
    <w:rsid w:val="007721EB"/>
    <w:rsid w:val="007722ED"/>
    <w:rsid w:val="00772693"/>
    <w:rsid w:val="00773AB1"/>
    <w:rsid w:val="00773D38"/>
    <w:rsid w:val="00774AF6"/>
    <w:rsid w:val="00774EC8"/>
    <w:rsid w:val="00775669"/>
    <w:rsid w:val="00775B57"/>
    <w:rsid w:val="00776781"/>
    <w:rsid w:val="00777446"/>
    <w:rsid w:val="0077746F"/>
    <w:rsid w:val="007776CC"/>
    <w:rsid w:val="007777FC"/>
    <w:rsid w:val="00777922"/>
    <w:rsid w:val="00777CE9"/>
    <w:rsid w:val="007802F6"/>
    <w:rsid w:val="0078056B"/>
    <w:rsid w:val="00780D05"/>
    <w:rsid w:val="00782058"/>
    <w:rsid w:val="00782AB1"/>
    <w:rsid w:val="00782BBD"/>
    <w:rsid w:val="007839AC"/>
    <w:rsid w:val="00783B28"/>
    <w:rsid w:val="00783C7B"/>
    <w:rsid w:val="0078415B"/>
    <w:rsid w:val="00784C24"/>
    <w:rsid w:val="00784EBA"/>
    <w:rsid w:val="00784EE6"/>
    <w:rsid w:val="0078556C"/>
    <w:rsid w:val="007855C5"/>
    <w:rsid w:val="007856D3"/>
    <w:rsid w:val="00785ABD"/>
    <w:rsid w:val="00785F35"/>
    <w:rsid w:val="007860C6"/>
    <w:rsid w:val="00786254"/>
    <w:rsid w:val="0078630C"/>
    <w:rsid w:val="00786DB0"/>
    <w:rsid w:val="0078703C"/>
    <w:rsid w:val="00787D47"/>
    <w:rsid w:val="00787DFE"/>
    <w:rsid w:val="0079014E"/>
    <w:rsid w:val="00790E5B"/>
    <w:rsid w:val="00790FC3"/>
    <w:rsid w:val="0079148B"/>
    <w:rsid w:val="00791608"/>
    <w:rsid w:val="00791711"/>
    <w:rsid w:val="00792497"/>
    <w:rsid w:val="00792575"/>
    <w:rsid w:val="00792971"/>
    <w:rsid w:val="00792C91"/>
    <w:rsid w:val="0079334B"/>
    <w:rsid w:val="00793368"/>
    <w:rsid w:val="007935C6"/>
    <w:rsid w:val="00794129"/>
    <w:rsid w:val="00794162"/>
    <w:rsid w:val="00794516"/>
    <w:rsid w:val="00794878"/>
    <w:rsid w:val="00794CCB"/>
    <w:rsid w:val="00794E22"/>
    <w:rsid w:val="00795367"/>
    <w:rsid w:val="00795512"/>
    <w:rsid w:val="007956C9"/>
    <w:rsid w:val="007958B1"/>
    <w:rsid w:val="00795A32"/>
    <w:rsid w:val="00795AB7"/>
    <w:rsid w:val="00795E37"/>
    <w:rsid w:val="00796227"/>
    <w:rsid w:val="00796743"/>
    <w:rsid w:val="00796786"/>
    <w:rsid w:val="0079694C"/>
    <w:rsid w:val="00796D89"/>
    <w:rsid w:val="00796DA2"/>
    <w:rsid w:val="007A0056"/>
    <w:rsid w:val="007A0415"/>
    <w:rsid w:val="007A06BA"/>
    <w:rsid w:val="007A0CB9"/>
    <w:rsid w:val="007A1570"/>
    <w:rsid w:val="007A27BD"/>
    <w:rsid w:val="007A294A"/>
    <w:rsid w:val="007A3433"/>
    <w:rsid w:val="007A37E4"/>
    <w:rsid w:val="007A4C96"/>
    <w:rsid w:val="007A51A6"/>
    <w:rsid w:val="007A523D"/>
    <w:rsid w:val="007A53FB"/>
    <w:rsid w:val="007A5629"/>
    <w:rsid w:val="007A56E5"/>
    <w:rsid w:val="007A5AB0"/>
    <w:rsid w:val="007A5AD4"/>
    <w:rsid w:val="007A60CA"/>
    <w:rsid w:val="007A6195"/>
    <w:rsid w:val="007A6F0F"/>
    <w:rsid w:val="007A6FEC"/>
    <w:rsid w:val="007A705C"/>
    <w:rsid w:val="007A708C"/>
    <w:rsid w:val="007A73EB"/>
    <w:rsid w:val="007A75B5"/>
    <w:rsid w:val="007A7985"/>
    <w:rsid w:val="007A7ABE"/>
    <w:rsid w:val="007A7D66"/>
    <w:rsid w:val="007A7E95"/>
    <w:rsid w:val="007B03C5"/>
    <w:rsid w:val="007B21FD"/>
    <w:rsid w:val="007B26E1"/>
    <w:rsid w:val="007B2C10"/>
    <w:rsid w:val="007B2C3D"/>
    <w:rsid w:val="007B3045"/>
    <w:rsid w:val="007B3180"/>
    <w:rsid w:val="007B33AF"/>
    <w:rsid w:val="007B3B55"/>
    <w:rsid w:val="007B4C0F"/>
    <w:rsid w:val="007B4D48"/>
    <w:rsid w:val="007B50FA"/>
    <w:rsid w:val="007B547F"/>
    <w:rsid w:val="007B5822"/>
    <w:rsid w:val="007B58FC"/>
    <w:rsid w:val="007B5E25"/>
    <w:rsid w:val="007B613A"/>
    <w:rsid w:val="007B6398"/>
    <w:rsid w:val="007B6E0E"/>
    <w:rsid w:val="007B7F7D"/>
    <w:rsid w:val="007C0B5B"/>
    <w:rsid w:val="007C14B4"/>
    <w:rsid w:val="007C2355"/>
    <w:rsid w:val="007C27FB"/>
    <w:rsid w:val="007C2BBE"/>
    <w:rsid w:val="007C2CBB"/>
    <w:rsid w:val="007C2E5B"/>
    <w:rsid w:val="007C309C"/>
    <w:rsid w:val="007C31F3"/>
    <w:rsid w:val="007C3675"/>
    <w:rsid w:val="007C374F"/>
    <w:rsid w:val="007C4209"/>
    <w:rsid w:val="007C42F9"/>
    <w:rsid w:val="007C47FA"/>
    <w:rsid w:val="007C4DEB"/>
    <w:rsid w:val="007C500F"/>
    <w:rsid w:val="007C5845"/>
    <w:rsid w:val="007C5B69"/>
    <w:rsid w:val="007C5EB9"/>
    <w:rsid w:val="007C64FF"/>
    <w:rsid w:val="007C674D"/>
    <w:rsid w:val="007C6A93"/>
    <w:rsid w:val="007C6B98"/>
    <w:rsid w:val="007C6CBB"/>
    <w:rsid w:val="007C6CE4"/>
    <w:rsid w:val="007C7449"/>
    <w:rsid w:val="007C7536"/>
    <w:rsid w:val="007C79E2"/>
    <w:rsid w:val="007C7A03"/>
    <w:rsid w:val="007C7A90"/>
    <w:rsid w:val="007C7E83"/>
    <w:rsid w:val="007C7EA5"/>
    <w:rsid w:val="007D0245"/>
    <w:rsid w:val="007D07E6"/>
    <w:rsid w:val="007D08EF"/>
    <w:rsid w:val="007D135B"/>
    <w:rsid w:val="007D18D9"/>
    <w:rsid w:val="007D1983"/>
    <w:rsid w:val="007D1A95"/>
    <w:rsid w:val="007D245E"/>
    <w:rsid w:val="007D327B"/>
    <w:rsid w:val="007D3764"/>
    <w:rsid w:val="007D3C0E"/>
    <w:rsid w:val="007D3E38"/>
    <w:rsid w:val="007D458B"/>
    <w:rsid w:val="007D458E"/>
    <w:rsid w:val="007D46FE"/>
    <w:rsid w:val="007D485A"/>
    <w:rsid w:val="007D49EF"/>
    <w:rsid w:val="007D50B5"/>
    <w:rsid w:val="007D54FF"/>
    <w:rsid w:val="007D57D4"/>
    <w:rsid w:val="007D5C39"/>
    <w:rsid w:val="007D5E67"/>
    <w:rsid w:val="007D6315"/>
    <w:rsid w:val="007D724A"/>
    <w:rsid w:val="007D736A"/>
    <w:rsid w:val="007D7545"/>
    <w:rsid w:val="007D75A3"/>
    <w:rsid w:val="007D798C"/>
    <w:rsid w:val="007E04A3"/>
    <w:rsid w:val="007E06A3"/>
    <w:rsid w:val="007E0BC6"/>
    <w:rsid w:val="007E0D81"/>
    <w:rsid w:val="007E0F93"/>
    <w:rsid w:val="007E1513"/>
    <w:rsid w:val="007E16E2"/>
    <w:rsid w:val="007E19EC"/>
    <w:rsid w:val="007E19FE"/>
    <w:rsid w:val="007E1AAC"/>
    <w:rsid w:val="007E2C7E"/>
    <w:rsid w:val="007E3B9C"/>
    <w:rsid w:val="007E3E25"/>
    <w:rsid w:val="007E4A2F"/>
    <w:rsid w:val="007E4F4E"/>
    <w:rsid w:val="007E587D"/>
    <w:rsid w:val="007E5A25"/>
    <w:rsid w:val="007E5C4A"/>
    <w:rsid w:val="007E5FB0"/>
    <w:rsid w:val="007E6915"/>
    <w:rsid w:val="007E6B2D"/>
    <w:rsid w:val="007E7215"/>
    <w:rsid w:val="007E74CA"/>
    <w:rsid w:val="007E74F0"/>
    <w:rsid w:val="007E756D"/>
    <w:rsid w:val="007E7582"/>
    <w:rsid w:val="007E7A5D"/>
    <w:rsid w:val="007E7AD3"/>
    <w:rsid w:val="007E7CD5"/>
    <w:rsid w:val="007F0070"/>
    <w:rsid w:val="007F0441"/>
    <w:rsid w:val="007F083B"/>
    <w:rsid w:val="007F0DFB"/>
    <w:rsid w:val="007F0E99"/>
    <w:rsid w:val="007F1A83"/>
    <w:rsid w:val="007F1BE9"/>
    <w:rsid w:val="007F20F1"/>
    <w:rsid w:val="007F2A38"/>
    <w:rsid w:val="007F3767"/>
    <w:rsid w:val="007F380E"/>
    <w:rsid w:val="007F401E"/>
    <w:rsid w:val="007F4224"/>
    <w:rsid w:val="007F4DD2"/>
    <w:rsid w:val="007F4FB9"/>
    <w:rsid w:val="007F5065"/>
    <w:rsid w:val="007F56E5"/>
    <w:rsid w:val="007F5785"/>
    <w:rsid w:val="007F69E2"/>
    <w:rsid w:val="007F6E63"/>
    <w:rsid w:val="007F7022"/>
    <w:rsid w:val="007F71D8"/>
    <w:rsid w:val="007F7690"/>
    <w:rsid w:val="00800B70"/>
    <w:rsid w:val="00800BC4"/>
    <w:rsid w:val="008011CC"/>
    <w:rsid w:val="00801363"/>
    <w:rsid w:val="00801404"/>
    <w:rsid w:val="008017AA"/>
    <w:rsid w:val="008017EC"/>
    <w:rsid w:val="00801CBA"/>
    <w:rsid w:val="00801D92"/>
    <w:rsid w:val="008020D0"/>
    <w:rsid w:val="00802A4F"/>
    <w:rsid w:val="008041B8"/>
    <w:rsid w:val="00804BCF"/>
    <w:rsid w:val="00804F83"/>
    <w:rsid w:val="00804FA4"/>
    <w:rsid w:val="00805275"/>
    <w:rsid w:val="00805883"/>
    <w:rsid w:val="0080590D"/>
    <w:rsid w:val="008063DF"/>
    <w:rsid w:val="00806A62"/>
    <w:rsid w:val="00806E55"/>
    <w:rsid w:val="00806EFB"/>
    <w:rsid w:val="0080716A"/>
    <w:rsid w:val="008075CE"/>
    <w:rsid w:val="00807D35"/>
    <w:rsid w:val="0081096A"/>
    <w:rsid w:val="00810AD4"/>
    <w:rsid w:val="00810E00"/>
    <w:rsid w:val="008111CB"/>
    <w:rsid w:val="00811325"/>
    <w:rsid w:val="00811CA9"/>
    <w:rsid w:val="00812179"/>
    <w:rsid w:val="0081239C"/>
    <w:rsid w:val="008124E2"/>
    <w:rsid w:val="0081299C"/>
    <w:rsid w:val="00812D10"/>
    <w:rsid w:val="0081300B"/>
    <w:rsid w:val="0081303D"/>
    <w:rsid w:val="0081373B"/>
    <w:rsid w:val="00813928"/>
    <w:rsid w:val="00815321"/>
    <w:rsid w:val="00815D9A"/>
    <w:rsid w:val="008166DB"/>
    <w:rsid w:val="0081688E"/>
    <w:rsid w:val="008173E0"/>
    <w:rsid w:val="008175C1"/>
    <w:rsid w:val="00817DB6"/>
    <w:rsid w:val="00820074"/>
    <w:rsid w:val="008200D4"/>
    <w:rsid w:val="00820370"/>
    <w:rsid w:val="00820CC6"/>
    <w:rsid w:val="00821A0F"/>
    <w:rsid w:val="00821F13"/>
    <w:rsid w:val="00822C41"/>
    <w:rsid w:val="00823DEB"/>
    <w:rsid w:val="0082471B"/>
    <w:rsid w:val="00824ACF"/>
    <w:rsid w:val="00825043"/>
    <w:rsid w:val="00825267"/>
    <w:rsid w:val="008264EC"/>
    <w:rsid w:val="00826886"/>
    <w:rsid w:val="008268BF"/>
    <w:rsid w:val="00826A65"/>
    <w:rsid w:val="00826CA2"/>
    <w:rsid w:val="00827668"/>
    <w:rsid w:val="0082796E"/>
    <w:rsid w:val="00827C0D"/>
    <w:rsid w:val="0083032E"/>
    <w:rsid w:val="00830642"/>
    <w:rsid w:val="00830F26"/>
    <w:rsid w:val="00831020"/>
    <w:rsid w:val="00831250"/>
    <w:rsid w:val="00831411"/>
    <w:rsid w:val="008315AD"/>
    <w:rsid w:val="0083184A"/>
    <w:rsid w:val="00831B4E"/>
    <w:rsid w:val="00831D1D"/>
    <w:rsid w:val="00831D8D"/>
    <w:rsid w:val="00831F3E"/>
    <w:rsid w:val="008322D9"/>
    <w:rsid w:val="00832D5E"/>
    <w:rsid w:val="00832EC3"/>
    <w:rsid w:val="0083310A"/>
    <w:rsid w:val="008331CD"/>
    <w:rsid w:val="008333B7"/>
    <w:rsid w:val="008334B0"/>
    <w:rsid w:val="0083354D"/>
    <w:rsid w:val="008336EC"/>
    <w:rsid w:val="008337B9"/>
    <w:rsid w:val="00833A95"/>
    <w:rsid w:val="00834DDE"/>
    <w:rsid w:val="00834FD2"/>
    <w:rsid w:val="00835084"/>
    <w:rsid w:val="008350C2"/>
    <w:rsid w:val="00835184"/>
    <w:rsid w:val="00835569"/>
    <w:rsid w:val="00835651"/>
    <w:rsid w:val="00835802"/>
    <w:rsid w:val="00836295"/>
    <w:rsid w:val="00836FE0"/>
    <w:rsid w:val="008370EE"/>
    <w:rsid w:val="00837B8B"/>
    <w:rsid w:val="00837FF4"/>
    <w:rsid w:val="00840198"/>
    <w:rsid w:val="0084093F"/>
    <w:rsid w:val="0084098A"/>
    <w:rsid w:val="00840C24"/>
    <w:rsid w:val="00840DB0"/>
    <w:rsid w:val="00840EDE"/>
    <w:rsid w:val="008418A5"/>
    <w:rsid w:val="008420B6"/>
    <w:rsid w:val="00843088"/>
    <w:rsid w:val="008431F0"/>
    <w:rsid w:val="00843548"/>
    <w:rsid w:val="0084383C"/>
    <w:rsid w:val="00843CC0"/>
    <w:rsid w:val="00843CF4"/>
    <w:rsid w:val="00844018"/>
    <w:rsid w:val="00844ADD"/>
    <w:rsid w:val="00844DAC"/>
    <w:rsid w:val="00844E4C"/>
    <w:rsid w:val="00845058"/>
    <w:rsid w:val="0084534E"/>
    <w:rsid w:val="00845397"/>
    <w:rsid w:val="00846062"/>
    <w:rsid w:val="0084627E"/>
    <w:rsid w:val="0084636B"/>
    <w:rsid w:val="00846842"/>
    <w:rsid w:val="0084687C"/>
    <w:rsid w:val="008474C1"/>
    <w:rsid w:val="00847A02"/>
    <w:rsid w:val="00847A97"/>
    <w:rsid w:val="00847C1C"/>
    <w:rsid w:val="00847CA4"/>
    <w:rsid w:val="008500AD"/>
    <w:rsid w:val="008501FD"/>
    <w:rsid w:val="0085055E"/>
    <w:rsid w:val="00850951"/>
    <w:rsid w:val="00850C3B"/>
    <w:rsid w:val="00851605"/>
    <w:rsid w:val="008520D2"/>
    <w:rsid w:val="00852CA0"/>
    <w:rsid w:val="00852D85"/>
    <w:rsid w:val="00852EB8"/>
    <w:rsid w:val="00852EBE"/>
    <w:rsid w:val="00852F6C"/>
    <w:rsid w:val="008540C6"/>
    <w:rsid w:val="0085465C"/>
    <w:rsid w:val="00854967"/>
    <w:rsid w:val="00854F9F"/>
    <w:rsid w:val="0085540B"/>
    <w:rsid w:val="00855511"/>
    <w:rsid w:val="0085582C"/>
    <w:rsid w:val="008559E2"/>
    <w:rsid w:val="00855FD3"/>
    <w:rsid w:val="0085665F"/>
    <w:rsid w:val="0085669D"/>
    <w:rsid w:val="008566AF"/>
    <w:rsid w:val="00856727"/>
    <w:rsid w:val="008568A3"/>
    <w:rsid w:val="00857086"/>
    <w:rsid w:val="00857572"/>
    <w:rsid w:val="008575E6"/>
    <w:rsid w:val="00860485"/>
    <w:rsid w:val="00860886"/>
    <w:rsid w:val="00860F4D"/>
    <w:rsid w:val="008610BC"/>
    <w:rsid w:val="008611DE"/>
    <w:rsid w:val="00861375"/>
    <w:rsid w:val="00861C56"/>
    <w:rsid w:val="00861F29"/>
    <w:rsid w:val="008620A2"/>
    <w:rsid w:val="00862741"/>
    <w:rsid w:val="00862BBD"/>
    <w:rsid w:val="00863ABC"/>
    <w:rsid w:val="00863B14"/>
    <w:rsid w:val="00863BA5"/>
    <w:rsid w:val="00863C9F"/>
    <w:rsid w:val="008645D6"/>
    <w:rsid w:val="00864986"/>
    <w:rsid w:val="0086552B"/>
    <w:rsid w:val="008655A2"/>
    <w:rsid w:val="008656B2"/>
    <w:rsid w:val="0086584F"/>
    <w:rsid w:val="00865A50"/>
    <w:rsid w:val="00865CD4"/>
    <w:rsid w:val="00866113"/>
    <w:rsid w:val="00866A1A"/>
    <w:rsid w:val="0086715D"/>
    <w:rsid w:val="008671C7"/>
    <w:rsid w:val="00867A44"/>
    <w:rsid w:val="00867B5D"/>
    <w:rsid w:val="00867BAD"/>
    <w:rsid w:val="00867EB8"/>
    <w:rsid w:val="00870335"/>
    <w:rsid w:val="00870AA2"/>
    <w:rsid w:val="00870D4B"/>
    <w:rsid w:val="00871262"/>
    <w:rsid w:val="0087133B"/>
    <w:rsid w:val="008718ED"/>
    <w:rsid w:val="00871C6E"/>
    <w:rsid w:val="008727DC"/>
    <w:rsid w:val="00872DE3"/>
    <w:rsid w:val="00872FFE"/>
    <w:rsid w:val="00873A9E"/>
    <w:rsid w:val="00873D88"/>
    <w:rsid w:val="0087433B"/>
    <w:rsid w:val="008750E0"/>
    <w:rsid w:val="00876077"/>
    <w:rsid w:val="0087621E"/>
    <w:rsid w:val="008767B2"/>
    <w:rsid w:val="00876D11"/>
    <w:rsid w:val="00876EF9"/>
    <w:rsid w:val="0087714C"/>
    <w:rsid w:val="00877265"/>
    <w:rsid w:val="00877328"/>
    <w:rsid w:val="00877431"/>
    <w:rsid w:val="00877809"/>
    <w:rsid w:val="0087787A"/>
    <w:rsid w:val="00880168"/>
    <w:rsid w:val="008802F0"/>
    <w:rsid w:val="00880992"/>
    <w:rsid w:val="0088167D"/>
    <w:rsid w:val="00881690"/>
    <w:rsid w:val="00881692"/>
    <w:rsid w:val="0088207F"/>
    <w:rsid w:val="0088210E"/>
    <w:rsid w:val="00882B26"/>
    <w:rsid w:val="00882E73"/>
    <w:rsid w:val="00883143"/>
    <w:rsid w:val="008840E7"/>
    <w:rsid w:val="0088504D"/>
    <w:rsid w:val="00885B38"/>
    <w:rsid w:val="00885C69"/>
    <w:rsid w:val="00885C94"/>
    <w:rsid w:val="00886154"/>
    <w:rsid w:val="00886DEB"/>
    <w:rsid w:val="00887CDA"/>
    <w:rsid w:val="00887D68"/>
    <w:rsid w:val="00890277"/>
    <w:rsid w:val="0089061A"/>
    <w:rsid w:val="00890E5F"/>
    <w:rsid w:val="008915C6"/>
    <w:rsid w:val="00891677"/>
    <w:rsid w:val="008918CB"/>
    <w:rsid w:val="0089251C"/>
    <w:rsid w:val="008926FD"/>
    <w:rsid w:val="008927DF"/>
    <w:rsid w:val="00892C8A"/>
    <w:rsid w:val="00892DB5"/>
    <w:rsid w:val="00892E41"/>
    <w:rsid w:val="008932E9"/>
    <w:rsid w:val="00893719"/>
    <w:rsid w:val="00894368"/>
    <w:rsid w:val="008947C1"/>
    <w:rsid w:val="00894B61"/>
    <w:rsid w:val="00895255"/>
    <w:rsid w:val="008959E0"/>
    <w:rsid w:val="00895DF1"/>
    <w:rsid w:val="00896639"/>
    <w:rsid w:val="00896645"/>
    <w:rsid w:val="0089672D"/>
    <w:rsid w:val="00896B86"/>
    <w:rsid w:val="00896FAB"/>
    <w:rsid w:val="00897245"/>
    <w:rsid w:val="0089729C"/>
    <w:rsid w:val="008974C2"/>
    <w:rsid w:val="008975D2"/>
    <w:rsid w:val="008976AE"/>
    <w:rsid w:val="008977FC"/>
    <w:rsid w:val="00897939"/>
    <w:rsid w:val="00897C39"/>
    <w:rsid w:val="00897F91"/>
    <w:rsid w:val="008A035B"/>
    <w:rsid w:val="008A0452"/>
    <w:rsid w:val="008A0459"/>
    <w:rsid w:val="008A0463"/>
    <w:rsid w:val="008A0637"/>
    <w:rsid w:val="008A0A70"/>
    <w:rsid w:val="008A0C23"/>
    <w:rsid w:val="008A1218"/>
    <w:rsid w:val="008A15B6"/>
    <w:rsid w:val="008A1A6E"/>
    <w:rsid w:val="008A202A"/>
    <w:rsid w:val="008A2CFF"/>
    <w:rsid w:val="008A34FD"/>
    <w:rsid w:val="008A369F"/>
    <w:rsid w:val="008A36C9"/>
    <w:rsid w:val="008A4ED9"/>
    <w:rsid w:val="008A52FF"/>
    <w:rsid w:val="008A5378"/>
    <w:rsid w:val="008A571D"/>
    <w:rsid w:val="008A5AF9"/>
    <w:rsid w:val="008A5E18"/>
    <w:rsid w:val="008A68D0"/>
    <w:rsid w:val="008A7028"/>
    <w:rsid w:val="008A771F"/>
    <w:rsid w:val="008B0343"/>
    <w:rsid w:val="008B16DE"/>
    <w:rsid w:val="008B1B86"/>
    <w:rsid w:val="008B251F"/>
    <w:rsid w:val="008B2602"/>
    <w:rsid w:val="008B2712"/>
    <w:rsid w:val="008B2727"/>
    <w:rsid w:val="008B28D9"/>
    <w:rsid w:val="008B28E1"/>
    <w:rsid w:val="008B300E"/>
    <w:rsid w:val="008B316B"/>
    <w:rsid w:val="008B3B19"/>
    <w:rsid w:val="008B4224"/>
    <w:rsid w:val="008B4692"/>
    <w:rsid w:val="008B5059"/>
    <w:rsid w:val="008B5349"/>
    <w:rsid w:val="008B5369"/>
    <w:rsid w:val="008B5BF2"/>
    <w:rsid w:val="008B5CD6"/>
    <w:rsid w:val="008B5E13"/>
    <w:rsid w:val="008B5E7B"/>
    <w:rsid w:val="008B6869"/>
    <w:rsid w:val="008B6934"/>
    <w:rsid w:val="008B6CF8"/>
    <w:rsid w:val="008B70A6"/>
    <w:rsid w:val="008B7154"/>
    <w:rsid w:val="008B72F6"/>
    <w:rsid w:val="008C0D50"/>
    <w:rsid w:val="008C119E"/>
    <w:rsid w:val="008C1E24"/>
    <w:rsid w:val="008C296B"/>
    <w:rsid w:val="008C2A46"/>
    <w:rsid w:val="008C3087"/>
    <w:rsid w:val="008C3158"/>
    <w:rsid w:val="008C31AE"/>
    <w:rsid w:val="008C3719"/>
    <w:rsid w:val="008C37DC"/>
    <w:rsid w:val="008C4278"/>
    <w:rsid w:val="008C520E"/>
    <w:rsid w:val="008C563B"/>
    <w:rsid w:val="008C567E"/>
    <w:rsid w:val="008C5DEE"/>
    <w:rsid w:val="008C6285"/>
    <w:rsid w:val="008C6BF8"/>
    <w:rsid w:val="008C6E15"/>
    <w:rsid w:val="008C7182"/>
    <w:rsid w:val="008C7268"/>
    <w:rsid w:val="008C7CA5"/>
    <w:rsid w:val="008C7D9D"/>
    <w:rsid w:val="008C7EA8"/>
    <w:rsid w:val="008D0250"/>
    <w:rsid w:val="008D0416"/>
    <w:rsid w:val="008D0420"/>
    <w:rsid w:val="008D0AF2"/>
    <w:rsid w:val="008D0C2B"/>
    <w:rsid w:val="008D13C6"/>
    <w:rsid w:val="008D13D3"/>
    <w:rsid w:val="008D1576"/>
    <w:rsid w:val="008D198F"/>
    <w:rsid w:val="008D1B04"/>
    <w:rsid w:val="008D1BBE"/>
    <w:rsid w:val="008D20C2"/>
    <w:rsid w:val="008D22AC"/>
    <w:rsid w:val="008D2888"/>
    <w:rsid w:val="008D2F85"/>
    <w:rsid w:val="008D3212"/>
    <w:rsid w:val="008D3235"/>
    <w:rsid w:val="008D33C8"/>
    <w:rsid w:val="008D3893"/>
    <w:rsid w:val="008D3D37"/>
    <w:rsid w:val="008D4207"/>
    <w:rsid w:val="008D45CD"/>
    <w:rsid w:val="008D4B13"/>
    <w:rsid w:val="008D554F"/>
    <w:rsid w:val="008D55F1"/>
    <w:rsid w:val="008D5BEE"/>
    <w:rsid w:val="008D5CD7"/>
    <w:rsid w:val="008D6D32"/>
    <w:rsid w:val="008D718E"/>
    <w:rsid w:val="008D7240"/>
    <w:rsid w:val="008D728B"/>
    <w:rsid w:val="008D7874"/>
    <w:rsid w:val="008E04C1"/>
    <w:rsid w:val="008E0629"/>
    <w:rsid w:val="008E09C5"/>
    <w:rsid w:val="008E0AA7"/>
    <w:rsid w:val="008E17D0"/>
    <w:rsid w:val="008E1DF8"/>
    <w:rsid w:val="008E2355"/>
    <w:rsid w:val="008E2CD9"/>
    <w:rsid w:val="008E2F44"/>
    <w:rsid w:val="008E3018"/>
    <w:rsid w:val="008E3151"/>
    <w:rsid w:val="008E32EE"/>
    <w:rsid w:val="008E3386"/>
    <w:rsid w:val="008E461C"/>
    <w:rsid w:val="008E46EF"/>
    <w:rsid w:val="008E4CDE"/>
    <w:rsid w:val="008E5409"/>
    <w:rsid w:val="008E5410"/>
    <w:rsid w:val="008E5A3F"/>
    <w:rsid w:val="008E5F24"/>
    <w:rsid w:val="008E5FEA"/>
    <w:rsid w:val="008E6658"/>
    <w:rsid w:val="008E7209"/>
    <w:rsid w:val="008E7256"/>
    <w:rsid w:val="008E7263"/>
    <w:rsid w:val="008E7391"/>
    <w:rsid w:val="008E7448"/>
    <w:rsid w:val="008E7793"/>
    <w:rsid w:val="008E7A54"/>
    <w:rsid w:val="008E7D8C"/>
    <w:rsid w:val="008F0388"/>
    <w:rsid w:val="008F11BB"/>
    <w:rsid w:val="008F16FF"/>
    <w:rsid w:val="008F182F"/>
    <w:rsid w:val="008F193C"/>
    <w:rsid w:val="008F1CD3"/>
    <w:rsid w:val="008F1E95"/>
    <w:rsid w:val="008F1F76"/>
    <w:rsid w:val="008F2304"/>
    <w:rsid w:val="008F443C"/>
    <w:rsid w:val="008F57DD"/>
    <w:rsid w:val="008F5AEE"/>
    <w:rsid w:val="008F5DAB"/>
    <w:rsid w:val="008F617B"/>
    <w:rsid w:val="008F625E"/>
    <w:rsid w:val="008F64A2"/>
    <w:rsid w:val="008F6964"/>
    <w:rsid w:val="008F69B1"/>
    <w:rsid w:val="008F6B98"/>
    <w:rsid w:val="008F6EAA"/>
    <w:rsid w:val="008F77FF"/>
    <w:rsid w:val="008F7800"/>
    <w:rsid w:val="008F7BCA"/>
    <w:rsid w:val="00900824"/>
    <w:rsid w:val="00900F4D"/>
    <w:rsid w:val="00901408"/>
    <w:rsid w:val="00901611"/>
    <w:rsid w:val="0090167B"/>
    <w:rsid w:val="00901BEB"/>
    <w:rsid w:val="00901BF0"/>
    <w:rsid w:val="009021E1"/>
    <w:rsid w:val="00902BD1"/>
    <w:rsid w:val="00902DEC"/>
    <w:rsid w:val="0090342E"/>
    <w:rsid w:val="00903981"/>
    <w:rsid w:val="00903BDC"/>
    <w:rsid w:val="00903D3A"/>
    <w:rsid w:val="009044B9"/>
    <w:rsid w:val="009047B1"/>
    <w:rsid w:val="00904C86"/>
    <w:rsid w:val="00904E21"/>
    <w:rsid w:val="009067F5"/>
    <w:rsid w:val="0090680D"/>
    <w:rsid w:val="00906C65"/>
    <w:rsid w:val="00907B6C"/>
    <w:rsid w:val="0091045D"/>
    <w:rsid w:val="009106FD"/>
    <w:rsid w:val="009110BF"/>
    <w:rsid w:val="0091129E"/>
    <w:rsid w:val="00911CDC"/>
    <w:rsid w:val="00911DCF"/>
    <w:rsid w:val="00911E48"/>
    <w:rsid w:val="00911ED8"/>
    <w:rsid w:val="00912098"/>
    <w:rsid w:val="0091281A"/>
    <w:rsid w:val="0091298B"/>
    <w:rsid w:val="00912B24"/>
    <w:rsid w:val="00913774"/>
    <w:rsid w:val="009139B5"/>
    <w:rsid w:val="00913A3C"/>
    <w:rsid w:val="00913D2A"/>
    <w:rsid w:val="00914514"/>
    <w:rsid w:val="00914549"/>
    <w:rsid w:val="00914BFC"/>
    <w:rsid w:val="00914C08"/>
    <w:rsid w:val="00914C3F"/>
    <w:rsid w:val="00914F2F"/>
    <w:rsid w:val="00915FE0"/>
    <w:rsid w:val="00916057"/>
    <w:rsid w:val="0091667F"/>
    <w:rsid w:val="00916905"/>
    <w:rsid w:val="00916AD1"/>
    <w:rsid w:val="00917637"/>
    <w:rsid w:val="00917946"/>
    <w:rsid w:val="00917FEE"/>
    <w:rsid w:val="0092023D"/>
    <w:rsid w:val="0092035F"/>
    <w:rsid w:val="00920472"/>
    <w:rsid w:val="00920916"/>
    <w:rsid w:val="00920CC8"/>
    <w:rsid w:val="00921034"/>
    <w:rsid w:val="009210EF"/>
    <w:rsid w:val="00921251"/>
    <w:rsid w:val="00921736"/>
    <w:rsid w:val="00921861"/>
    <w:rsid w:val="00921865"/>
    <w:rsid w:val="0092189E"/>
    <w:rsid w:val="009219FD"/>
    <w:rsid w:val="00921DF7"/>
    <w:rsid w:val="00922BBE"/>
    <w:rsid w:val="00922FC0"/>
    <w:rsid w:val="009236BD"/>
    <w:rsid w:val="0092480D"/>
    <w:rsid w:val="00924C8F"/>
    <w:rsid w:val="0092504C"/>
    <w:rsid w:val="009257B0"/>
    <w:rsid w:val="009258BD"/>
    <w:rsid w:val="00925DEB"/>
    <w:rsid w:val="00925F48"/>
    <w:rsid w:val="009261B0"/>
    <w:rsid w:val="009263C0"/>
    <w:rsid w:val="009265C7"/>
    <w:rsid w:val="00927D0B"/>
    <w:rsid w:val="009302D4"/>
    <w:rsid w:val="009303D4"/>
    <w:rsid w:val="009307F2"/>
    <w:rsid w:val="0093084E"/>
    <w:rsid w:val="009308C6"/>
    <w:rsid w:val="00930CEC"/>
    <w:rsid w:val="00930F4A"/>
    <w:rsid w:val="00931158"/>
    <w:rsid w:val="00932068"/>
    <w:rsid w:val="0093279F"/>
    <w:rsid w:val="00932B2D"/>
    <w:rsid w:val="0093340C"/>
    <w:rsid w:val="0093375E"/>
    <w:rsid w:val="00933BEF"/>
    <w:rsid w:val="009340CA"/>
    <w:rsid w:val="00934B8B"/>
    <w:rsid w:val="00934B9D"/>
    <w:rsid w:val="00934FFC"/>
    <w:rsid w:val="00935321"/>
    <w:rsid w:val="0093787E"/>
    <w:rsid w:val="00940A67"/>
    <w:rsid w:val="009412CC"/>
    <w:rsid w:val="009427EB"/>
    <w:rsid w:val="00942A91"/>
    <w:rsid w:val="00942B2D"/>
    <w:rsid w:val="009431A9"/>
    <w:rsid w:val="00943419"/>
    <w:rsid w:val="0094388B"/>
    <w:rsid w:val="00943D09"/>
    <w:rsid w:val="00943D78"/>
    <w:rsid w:val="00943D96"/>
    <w:rsid w:val="00944826"/>
    <w:rsid w:val="009451CD"/>
    <w:rsid w:val="00945586"/>
    <w:rsid w:val="009457A1"/>
    <w:rsid w:val="0094626C"/>
    <w:rsid w:val="00947086"/>
    <w:rsid w:val="00947C5D"/>
    <w:rsid w:val="00947CA9"/>
    <w:rsid w:val="00947FE2"/>
    <w:rsid w:val="00950478"/>
    <w:rsid w:val="0095067C"/>
    <w:rsid w:val="00950888"/>
    <w:rsid w:val="00950A28"/>
    <w:rsid w:val="00950AF9"/>
    <w:rsid w:val="00950B5F"/>
    <w:rsid w:val="00950D35"/>
    <w:rsid w:val="0095144C"/>
    <w:rsid w:val="0095165B"/>
    <w:rsid w:val="009519D0"/>
    <w:rsid w:val="00951B17"/>
    <w:rsid w:val="00951B8D"/>
    <w:rsid w:val="009522F5"/>
    <w:rsid w:val="00952EC9"/>
    <w:rsid w:val="009532AF"/>
    <w:rsid w:val="009536A8"/>
    <w:rsid w:val="0095397E"/>
    <w:rsid w:val="0095458D"/>
    <w:rsid w:val="00954596"/>
    <w:rsid w:val="00955851"/>
    <w:rsid w:val="00957E23"/>
    <w:rsid w:val="0096037A"/>
    <w:rsid w:val="009610A9"/>
    <w:rsid w:val="00961466"/>
    <w:rsid w:val="00961487"/>
    <w:rsid w:val="00961825"/>
    <w:rsid w:val="00961BA7"/>
    <w:rsid w:val="00961F01"/>
    <w:rsid w:val="00962162"/>
    <w:rsid w:val="009623BC"/>
    <w:rsid w:val="009628BE"/>
    <w:rsid w:val="00962AF0"/>
    <w:rsid w:val="00962B23"/>
    <w:rsid w:val="00962C47"/>
    <w:rsid w:val="009631C8"/>
    <w:rsid w:val="00963AE4"/>
    <w:rsid w:val="00963C14"/>
    <w:rsid w:val="0096403E"/>
    <w:rsid w:val="00964075"/>
    <w:rsid w:val="009645CD"/>
    <w:rsid w:val="00964CC5"/>
    <w:rsid w:val="00965113"/>
    <w:rsid w:val="00965940"/>
    <w:rsid w:val="00965A4E"/>
    <w:rsid w:val="00966BE5"/>
    <w:rsid w:val="00966EB0"/>
    <w:rsid w:val="00966F74"/>
    <w:rsid w:val="0097043C"/>
    <w:rsid w:val="009704FD"/>
    <w:rsid w:val="00970D0B"/>
    <w:rsid w:val="00970FC2"/>
    <w:rsid w:val="00971116"/>
    <w:rsid w:val="00972032"/>
    <w:rsid w:val="0097287E"/>
    <w:rsid w:val="00972B55"/>
    <w:rsid w:val="00972C24"/>
    <w:rsid w:val="00972D0E"/>
    <w:rsid w:val="00972E28"/>
    <w:rsid w:val="00972E6A"/>
    <w:rsid w:val="00973030"/>
    <w:rsid w:val="009733F3"/>
    <w:rsid w:val="0097405A"/>
    <w:rsid w:val="0097419A"/>
    <w:rsid w:val="009748E4"/>
    <w:rsid w:val="00975EC7"/>
    <w:rsid w:val="00976A6E"/>
    <w:rsid w:val="00976BA8"/>
    <w:rsid w:val="00976BC0"/>
    <w:rsid w:val="00976CC9"/>
    <w:rsid w:val="00976D65"/>
    <w:rsid w:val="00976F72"/>
    <w:rsid w:val="00976F84"/>
    <w:rsid w:val="009770FE"/>
    <w:rsid w:val="00977ADF"/>
    <w:rsid w:val="00977CE6"/>
    <w:rsid w:val="009807AC"/>
    <w:rsid w:val="00980B43"/>
    <w:rsid w:val="00980C18"/>
    <w:rsid w:val="00980CD0"/>
    <w:rsid w:val="00980D81"/>
    <w:rsid w:val="00980DAA"/>
    <w:rsid w:val="00980F13"/>
    <w:rsid w:val="009810E9"/>
    <w:rsid w:val="00981368"/>
    <w:rsid w:val="0098141C"/>
    <w:rsid w:val="009815DE"/>
    <w:rsid w:val="00981AA9"/>
    <w:rsid w:val="00981C91"/>
    <w:rsid w:val="00982869"/>
    <w:rsid w:val="00982B2F"/>
    <w:rsid w:val="00983132"/>
    <w:rsid w:val="00983314"/>
    <w:rsid w:val="00983DF2"/>
    <w:rsid w:val="009842CF"/>
    <w:rsid w:val="0098433A"/>
    <w:rsid w:val="00984C66"/>
    <w:rsid w:val="00984F6C"/>
    <w:rsid w:val="00985675"/>
    <w:rsid w:val="00985726"/>
    <w:rsid w:val="00985939"/>
    <w:rsid w:val="0098637F"/>
    <w:rsid w:val="009864C5"/>
    <w:rsid w:val="009864CE"/>
    <w:rsid w:val="00986A9B"/>
    <w:rsid w:val="00986B9C"/>
    <w:rsid w:val="00987B14"/>
    <w:rsid w:val="00987BAB"/>
    <w:rsid w:val="009905F8"/>
    <w:rsid w:val="009906BF"/>
    <w:rsid w:val="00990A0A"/>
    <w:rsid w:val="009913F3"/>
    <w:rsid w:val="00991DA1"/>
    <w:rsid w:val="009927F1"/>
    <w:rsid w:val="0099291A"/>
    <w:rsid w:val="00992DD9"/>
    <w:rsid w:val="009936C4"/>
    <w:rsid w:val="00993E3A"/>
    <w:rsid w:val="009943AD"/>
    <w:rsid w:val="009948ED"/>
    <w:rsid w:val="00994987"/>
    <w:rsid w:val="00994A29"/>
    <w:rsid w:val="00994BFC"/>
    <w:rsid w:val="009952B4"/>
    <w:rsid w:val="00995861"/>
    <w:rsid w:val="00995ADA"/>
    <w:rsid w:val="009962C4"/>
    <w:rsid w:val="0099643A"/>
    <w:rsid w:val="00996719"/>
    <w:rsid w:val="00997431"/>
    <w:rsid w:val="009974CB"/>
    <w:rsid w:val="0099780E"/>
    <w:rsid w:val="00997959"/>
    <w:rsid w:val="009A04A6"/>
    <w:rsid w:val="009A0AD5"/>
    <w:rsid w:val="009A0BAF"/>
    <w:rsid w:val="009A0CAA"/>
    <w:rsid w:val="009A0F31"/>
    <w:rsid w:val="009A13B9"/>
    <w:rsid w:val="009A1431"/>
    <w:rsid w:val="009A153D"/>
    <w:rsid w:val="009A1634"/>
    <w:rsid w:val="009A16B8"/>
    <w:rsid w:val="009A1B91"/>
    <w:rsid w:val="009A1F18"/>
    <w:rsid w:val="009A28F9"/>
    <w:rsid w:val="009A2972"/>
    <w:rsid w:val="009A351B"/>
    <w:rsid w:val="009A3A34"/>
    <w:rsid w:val="009A3FE2"/>
    <w:rsid w:val="009A400C"/>
    <w:rsid w:val="009A4B2C"/>
    <w:rsid w:val="009A5592"/>
    <w:rsid w:val="009A59BA"/>
    <w:rsid w:val="009A613B"/>
    <w:rsid w:val="009A6417"/>
    <w:rsid w:val="009A6A9C"/>
    <w:rsid w:val="009A6F53"/>
    <w:rsid w:val="009A7B97"/>
    <w:rsid w:val="009B01DF"/>
    <w:rsid w:val="009B020D"/>
    <w:rsid w:val="009B0239"/>
    <w:rsid w:val="009B02DE"/>
    <w:rsid w:val="009B072F"/>
    <w:rsid w:val="009B0773"/>
    <w:rsid w:val="009B07A1"/>
    <w:rsid w:val="009B09CC"/>
    <w:rsid w:val="009B0C0C"/>
    <w:rsid w:val="009B173B"/>
    <w:rsid w:val="009B192A"/>
    <w:rsid w:val="009B1A1A"/>
    <w:rsid w:val="009B1FC1"/>
    <w:rsid w:val="009B22A0"/>
    <w:rsid w:val="009B23FF"/>
    <w:rsid w:val="009B2608"/>
    <w:rsid w:val="009B2939"/>
    <w:rsid w:val="009B2A71"/>
    <w:rsid w:val="009B2CCD"/>
    <w:rsid w:val="009B2E67"/>
    <w:rsid w:val="009B36D3"/>
    <w:rsid w:val="009B4027"/>
    <w:rsid w:val="009B435F"/>
    <w:rsid w:val="009B4975"/>
    <w:rsid w:val="009B5348"/>
    <w:rsid w:val="009B53CB"/>
    <w:rsid w:val="009B561F"/>
    <w:rsid w:val="009B569F"/>
    <w:rsid w:val="009B5773"/>
    <w:rsid w:val="009B5D2D"/>
    <w:rsid w:val="009B5E61"/>
    <w:rsid w:val="009B609E"/>
    <w:rsid w:val="009B6228"/>
    <w:rsid w:val="009B6FC6"/>
    <w:rsid w:val="009B799C"/>
    <w:rsid w:val="009B7AF7"/>
    <w:rsid w:val="009C058F"/>
    <w:rsid w:val="009C1355"/>
    <w:rsid w:val="009C16E0"/>
    <w:rsid w:val="009C1CBE"/>
    <w:rsid w:val="009C2B3E"/>
    <w:rsid w:val="009C2EA2"/>
    <w:rsid w:val="009C30DE"/>
    <w:rsid w:val="009C3256"/>
    <w:rsid w:val="009C3721"/>
    <w:rsid w:val="009C4141"/>
    <w:rsid w:val="009C4B55"/>
    <w:rsid w:val="009C4F84"/>
    <w:rsid w:val="009C506C"/>
    <w:rsid w:val="009C56B2"/>
    <w:rsid w:val="009C5FCC"/>
    <w:rsid w:val="009C601A"/>
    <w:rsid w:val="009C61A2"/>
    <w:rsid w:val="009C651F"/>
    <w:rsid w:val="009C65C8"/>
    <w:rsid w:val="009C662B"/>
    <w:rsid w:val="009C6D3D"/>
    <w:rsid w:val="009C6DF6"/>
    <w:rsid w:val="009C6E92"/>
    <w:rsid w:val="009C7360"/>
    <w:rsid w:val="009C7510"/>
    <w:rsid w:val="009C7A4A"/>
    <w:rsid w:val="009D04F7"/>
    <w:rsid w:val="009D1163"/>
    <w:rsid w:val="009D1501"/>
    <w:rsid w:val="009D1589"/>
    <w:rsid w:val="009D1B37"/>
    <w:rsid w:val="009D2003"/>
    <w:rsid w:val="009D292E"/>
    <w:rsid w:val="009D2C15"/>
    <w:rsid w:val="009D2FD3"/>
    <w:rsid w:val="009D323A"/>
    <w:rsid w:val="009D32FB"/>
    <w:rsid w:val="009D36AF"/>
    <w:rsid w:val="009D38C2"/>
    <w:rsid w:val="009D3A6E"/>
    <w:rsid w:val="009D3BAE"/>
    <w:rsid w:val="009D417F"/>
    <w:rsid w:val="009D42DD"/>
    <w:rsid w:val="009D45E5"/>
    <w:rsid w:val="009D4B85"/>
    <w:rsid w:val="009D535B"/>
    <w:rsid w:val="009D539D"/>
    <w:rsid w:val="009D5570"/>
    <w:rsid w:val="009D5B88"/>
    <w:rsid w:val="009D6296"/>
    <w:rsid w:val="009D630B"/>
    <w:rsid w:val="009D63F2"/>
    <w:rsid w:val="009D6CAA"/>
    <w:rsid w:val="009D6CF6"/>
    <w:rsid w:val="009D6E69"/>
    <w:rsid w:val="009D6F61"/>
    <w:rsid w:val="009D719B"/>
    <w:rsid w:val="009E02DC"/>
    <w:rsid w:val="009E1062"/>
    <w:rsid w:val="009E1098"/>
    <w:rsid w:val="009E13FD"/>
    <w:rsid w:val="009E1B5E"/>
    <w:rsid w:val="009E1C19"/>
    <w:rsid w:val="009E1F2F"/>
    <w:rsid w:val="009E2040"/>
    <w:rsid w:val="009E26F8"/>
    <w:rsid w:val="009E2A4D"/>
    <w:rsid w:val="009E2D45"/>
    <w:rsid w:val="009E3851"/>
    <w:rsid w:val="009E40F9"/>
    <w:rsid w:val="009E46CD"/>
    <w:rsid w:val="009E49AE"/>
    <w:rsid w:val="009E4A8E"/>
    <w:rsid w:val="009E4DC7"/>
    <w:rsid w:val="009E5488"/>
    <w:rsid w:val="009E5AFE"/>
    <w:rsid w:val="009E5B12"/>
    <w:rsid w:val="009E5B92"/>
    <w:rsid w:val="009E660A"/>
    <w:rsid w:val="009E68FC"/>
    <w:rsid w:val="009E6B64"/>
    <w:rsid w:val="009E72E5"/>
    <w:rsid w:val="009E7636"/>
    <w:rsid w:val="009F062A"/>
    <w:rsid w:val="009F06D4"/>
    <w:rsid w:val="009F0E72"/>
    <w:rsid w:val="009F0FB3"/>
    <w:rsid w:val="009F299C"/>
    <w:rsid w:val="009F2B21"/>
    <w:rsid w:val="009F2E46"/>
    <w:rsid w:val="009F2EFD"/>
    <w:rsid w:val="009F2F1C"/>
    <w:rsid w:val="009F366E"/>
    <w:rsid w:val="009F4068"/>
    <w:rsid w:val="009F46C8"/>
    <w:rsid w:val="009F4F2A"/>
    <w:rsid w:val="009F5485"/>
    <w:rsid w:val="009F5A4F"/>
    <w:rsid w:val="009F660B"/>
    <w:rsid w:val="009F671E"/>
    <w:rsid w:val="009F67F2"/>
    <w:rsid w:val="009F6F96"/>
    <w:rsid w:val="009F7142"/>
    <w:rsid w:val="009F7ED1"/>
    <w:rsid w:val="00A00303"/>
    <w:rsid w:val="00A00A46"/>
    <w:rsid w:val="00A00F76"/>
    <w:rsid w:val="00A0149B"/>
    <w:rsid w:val="00A0156F"/>
    <w:rsid w:val="00A01607"/>
    <w:rsid w:val="00A0162D"/>
    <w:rsid w:val="00A018D4"/>
    <w:rsid w:val="00A019E6"/>
    <w:rsid w:val="00A028E0"/>
    <w:rsid w:val="00A02F9D"/>
    <w:rsid w:val="00A033DE"/>
    <w:rsid w:val="00A03685"/>
    <w:rsid w:val="00A03767"/>
    <w:rsid w:val="00A038E7"/>
    <w:rsid w:val="00A0394A"/>
    <w:rsid w:val="00A03AC4"/>
    <w:rsid w:val="00A04099"/>
    <w:rsid w:val="00A04587"/>
    <w:rsid w:val="00A04834"/>
    <w:rsid w:val="00A04C82"/>
    <w:rsid w:val="00A04D4D"/>
    <w:rsid w:val="00A05628"/>
    <w:rsid w:val="00A05D40"/>
    <w:rsid w:val="00A07C44"/>
    <w:rsid w:val="00A07C4D"/>
    <w:rsid w:val="00A07DCF"/>
    <w:rsid w:val="00A1032A"/>
    <w:rsid w:val="00A10506"/>
    <w:rsid w:val="00A10E36"/>
    <w:rsid w:val="00A11BD9"/>
    <w:rsid w:val="00A11BEA"/>
    <w:rsid w:val="00A11D3C"/>
    <w:rsid w:val="00A12114"/>
    <w:rsid w:val="00A12835"/>
    <w:rsid w:val="00A12979"/>
    <w:rsid w:val="00A131A9"/>
    <w:rsid w:val="00A13222"/>
    <w:rsid w:val="00A1496E"/>
    <w:rsid w:val="00A14D6B"/>
    <w:rsid w:val="00A14F84"/>
    <w:rsid w:val="00A15060"/>
    <w:rsid w:val="00A156D5"/>
    <w:rsid w:val="00A16037"/>
    <w:rsid w:val="00A1650A"/>
    <w:rsid w:val="00A16D6D"/>
    <w:rsid w:val="00A16D6F"/>
    <w:rsid w:val="00A175B0"/>
    <w:rsid w:val="00A17C75"/>
    <w:rsid w:val="00A20DBF"/>
    <w:rsid w:val="00A21039"/>
    <w:rsid w:val="00A211C8"/>
    <w:rsid w:val="00A21203"/>
    <w:rsid w:val="00A2121E"/>
    <w:rsid w:val="00A21E7C"/>
    <w:rsid w:val="00A21EAC"/>
    <w:rsid w:val="00A21FA2"/>
    <w:rsid w:val="00A21FC3"/>
    <w:rsid w:val="00A221DE"/>
    <w:rsid w:val="00A22598"/>
    <w:rsid w:val="00A228FD"/>
    <w:rsid w:val="00A229D4"/>
    <w:rsid w:val="00A22CB2"/>
    <w:rsid w:val="00A22D65"/>
    <w:rsid w:val="00A23138"/>
    <w:rsid w:val="00A2349C"/>
    <w:rsid w:val="00A23940"/>
    <w:rsid w:val="00A23ECC"/>
    <w:rsid w:val="00A24509"/>
    <w:rsid w:val="00A24717"/>
    <w:rsid w:val="00A24CD3"/>
    <w:rsid w:val="00A250AB"/>
    <w:rsid w:val="00A25129"/>
    <w:rsid w:val="00A25461"/>
    <w:rsid w:val="00A25993"/>
    <w:rsid w:val="00A25EAF"/>
    <w:rsid w:val="00A261D7"/>
    <w:rsid w:val="00A26367"/>
    <w:rsid w:val="00A2678A"/>
    <w:rsid w:val="00A269E1"/>
    <w:rsid w:val="00A26A7C"/>
    <w:rsid w:val="00A26D5D"/>
    <w:rsid w:val="00A27343"/>
    <w:rsid w:val="00A27372"/>
    <w:rsid w:val="00A27509"/>
    <w:rsid w:val="00A27B8D"/>
    <w:rsid w:val="00A27C1C"/>
    <w:rsid w:val="00A27CBC"/>
    <w:rsid w:val="00A305AE"/>
    <w:rsid w:val="00A309EC"/>
    <w:rsid w:val="00A30F6A"/>
    <w:rsid w:val="00A3184D"/>
    <w:rsid w:val="00A32AEA"/>
    <w:rsid w:val="00A32D36"/>
    <w:rsid w:val="00A32F32"/>
    <w:rsid w:val="00A335A9"/>
    <w:rsid w:val="00A33862"/>
    <w:rsid w:val="00A33E80"/>
    <w:rsid w:val="00A33EFE"/>
    <w:rsid w:val="00A340C4"/>
    <w:rsid w:val="00A34401"/>
    <w:rsid w:val="00A35718"/>
    <w:rsid w:val="00A35A93"/>
    <w:rsid w:val="00A35FBF"/>
    <w:rsid w:val="00A361C5"/>
    <w:rsid w:val="00A36806"/>
    <w:rsid w:val="00A37817"/>
    <w:rsid w:val="00A37C4F"/>
    <w:rsid w:val="00A400AD"/>
    <w:rsid w:val="00A40525"/>
    <w:rsid w:val="00A40949"/>
    <w:rsid w:val="00A4148D"/>
    <w:rsid w:val="00A415CD"/>
    <w:rsid w:val="00A41BBB"/>
    <w:rsid w:val="00A4245B"/>
    <w:rsid w:val="00A424F4"/>
    <w:rsid w:val="00A42533"/>
    <w:rsid w:val="00A427D9"/>
    <w:rsid w:val="00A429AB"/>
    <w:rsid w:val="00A43D34"/>
    <w:rsid w:val="00A43DDC"/>
    <w:rsid w:val="00A444DF"/>
    <w:rsid w:val="00A44518"/>
    <w:rsid w:val="00A44D0E"/>
    <w:rsid w:val="00A45128"/>
    <w:rsid w:val="00A4588D"/>
    <w:rsid w:val="00A45C48"/>
    <w:rsid w:val="00A45CDD"/>
    <w:rsid w:val="00A4621D"/>
    <w:rsid w:val="00A4691E"/>
    <w:rsid w:val="00A469EA"/>
    <w:rsid w:val="00A46CC4"/>
    <w:rsid w:val="00A50548"/>
    <w:rsid w:val="00A50931"/>
    <w:rsid w:val="00A5097A"/>
    <w:rsid w:val="00A509FB"/>
    <w:rsid w:val="00A51028"/>
    <w:rsid w:val="00A5129D"/>
    <w:rsid w:val="00A51B57"/>
    <w:rsid w:val="00A51C19"/>
    <w:rsid w:val="00A51E04"/>
    <w:rsid w:val="00A52034"/>
    <w:rsid w:val="00A522B5"/>
    <w:rsid w:val="00A5244D"/>
    <w:rsid w:val="00A52C31"/>
    <w:rsid w:val="00A52F37"/>
    <w:rsid w:val="00A533C5"/>
    <w:rsid w:val="00A534A8"/>
    <w:rsid w:val="00A53572"/>
    <w:rsid w:val="00A5388C"/>
    <w:rsid w:val="00A5397B"/>
    <w:rsid w:val="00A53BE1"/>
    <w:rsid w:val="00A54644"/>
    <w:rsid w:val="00A54B90"/>
    <w:rsid w:val="00A555B2"/>
    <w:rsid w:val="00A55921"/>
    <w:rsid w:val="00A560E3"/>
    <w:rsid w:val="00A5617E"/>
    <w:rsid w:val="00A56225"/>
    <w:rsid w:val="00A5628F"/>
    <w:rsid w:val="00A564AF"/>
    <w:rsid w:val="00A566A8"/>
    <w:rsid w:val="00A56D0B"/>
    <w:rsid w:val="00A5775C"/>
    <w:rsid w:val="00A57A0F"/>
    <w:rsid w:val="00A57DA9"/>
    <w:rsid w:val="00A57E39"/>
    <w:rsid w:val="00A60CA5"/>
    <w:rsid w:val="00A60E72"/>
    <w:rsid w:val="00A60FA5"/>
    <w:rsid w:val="00A60FAC"/>
    <w:rsid w:val="00A6176D"/>
    <w:rsid w:val="00A61C7D"/>
    <w:rsid w:val="00A61F0C"/>
    <w:rsid w:val="00A61FF0"/>
    <w:rsid w:val="00A62580"/>
    <w:rsid w:val="00A62CB9"/>
    <w:rsid w:val="00A62D9E"/>
    <w:rsid w:val="00A6357E"/>
    <w:rsid w:val="00A63717"/>
    <w:rsid w:val="00A63AC9"/>
    <w:rsid w:val="00A64370"/>
    <w:rsid w:val="00A64502"/>
    <w:rsid w:val="00A64B5F"/>
    <w:rsid w:val="00A64D4F"/>
    <w:rsid w:val="00A64F17"/>
    <w:rsid w:val="00A65125"/>
    <w:rsid w:val="00A65EA0"/>
    <w:rsid w:val="00A66517"/>
    <w:rsid w:val="00A66A69"/>
    <w:rsid w:val="00A66E80"/>
    <w:rsid w:val="00A674EE"/>
    <w:rsid w:val="00A67575"/>
    <w:rsid w:val="00A67B0E"/>
    <w:rsid w:val="00A67F45"/>
    <w:rsid w:val="00A67FDD"/>
    <w:rsid w:val="00A70E5F"/>
    <w:rsid w:val="00A70FEA"/>
    <w:rsid w:val="00A710A8"/>
    <w:rsid w:val="00A712B7"/>
    <w:rsid w:val="00A71427"/>
    <w:rsid w:val="00A718EF"/>
    <w:rsid w:val="00A72134"/>
    <w:rsid w:val="00A726A8"/>
    <w:rsid w:val="00A72951"/>
    <w:rsid w:val="00A72BB0"/>
    <w:rsid w:val="00A72EBD"/>
    <w:rsid w:val="00A72EE7"/>
    <w:rsid w:val="00A73505"/>
    <w:rsid w:val="00A73937"/>
    <w:rsid w:val="00A739AC"/>
    <w:rsid w:val="00A73E29"/>
    <w:rsid w:val="00A745C8"/>
    <w:rsid w:val="00A75E02"/>
    <w:rsid w:val="00A76C7E"/>
    <w:rsid w:val="00A76E79"/>
    <w:rsid w:val="00A7771B"/>
    <w:rsid w:val="00A77758"/>
    <w:rsid w:val="00A778C8"/>
    <w:rsid w:val="00A779CE"/>
    <w:rsid w:val="00A77B53"/>
    <w:rsid w:val="00A77F8F"/>
    <w:rsid w:val="00A80346"/>
    <w:rsid w:val="00A811F1"/>
    <w:rsid w:val="00A81BE1"/>
    <w:rsid w:val="00A82887"/>
    <w:rsid w:val="00A83010"/>
    <w:rsid w:val="00A8331D"/>
    <w:rsid w:val="00A835A9"/>
    <w:rsid w:val="00A8373A"/>
    <w:rsid w:val="00A83986"/>
    <w:rsid w:val="00A83BF5"/>
    <w:rsid w:val="00A849ED"/>
    <w:rsid w:val="00A84CD1"/>
    <w:rsid w:val="00A84DC4"/>
    <w:rsid w:val="00A84EE8"/>
    <w:rsid w:val="00A85906"/>
    <w:rsid w:val="00A85C82"/>
    <w:rsid w:val="00A85E2E"/>
    <w:rsid w:val="00A861F3"/>
    <w:rsid w:val="00A8660B"/>
    <w:rsid w:val="00A86BFC"/>
    <w:rsid w:val="00A87285"/>
    <w:rsid w:val="00A8728F"/>
    <w:rsid w:val="00A873E4"/>
    <w:rsid w:val="00A8756A"/>
    <w:rsid w:val="00A87754"/>
    <w:rsid w:val="00A879B8"/>
    <w:rsid w:val="00A87F7D"/>
    <w:rsid w:val="00A906B7"/>
    <w:rsid w:val="00A9070E"/>
    <w:rsid w:val="00A91331"/>
    <w:rsid w:val="00A91873"/>
    <w:rsid w:val="00A92692"/>
    <w:rsid w:val="00A92741"/>
    <w:rsid w:val="00A92DD4"/>
    <w:rsid w:val="00A92FC6"/>
    <w:rsid w:val="00A9326D"/>
    <w:rsid w:val="00A933D5"/>
    <w:rsid w:val="00A93534"/>
    <w:rsid w:val="00A9365C"/>
    <w:rsid w:val="00A938E6"/>
    <w:rsid w:val="00A94200"/>
    <w:rsid w:val="00A946AB"/>
    <w:rsid w:val="00A94D0F"/>
    <w:rsid w:val="00A94DFA"/>
    <w:rsid w:val="00A94F13"/>
    <w:rsid w:val="00A955E0"/>
    <w:rsid w:val="00A9568C"/>
    <w:rsid w:val="00A95BED"/>
    <w:rsid w:val="00A95C74"/>
    <w:rsid w:val="00A95C7A"/>
    <w:rsid w:val="00A95EA2"/>
    <w:rsid w:val="00A96B02"/>
    <w:rsid w:val="00A96F0D"/>
    <w:rsid w:val="00A96F7A"/>
    <w:rsid w:val="00A96FAD"/>
    <w:rsid w:val="00A97242"/>
    <w:rsid w:val="00A97875"/>
    <w:rsid w:val="00A9787E"/>
    <w:rsid w:val="00A97AF9"/>
    <w:rsid w:val="00AA0369"/>
    <w:rsid w:val="00AA0500"/>
    <w:rsid w:val="00AA08E8"/>
    <w:rsid w:val="00AA0DB4"/>
    <w:rsid w:val="00AA11C5"/>
    <w:rsid w:val="00AA14CE"/>
    <w:rsid w:val="00AA15FE"/>
    <w:rsid w:val="00AA17E2"/>
    <w:rsid w:val="00AA1DB3"/>
    <w:rsid w:val="00AA1E7E"/>
    <w:rsid w:val="00AA21B7"/>
    <w:rsid w:val="00AA2EDE"/>
    <w:rsid w:val="00AA3827"/>
    <w:rsid w:val="00AA382D"/>
    <w:rsid w:val="00AA390F"/>
    <w:rsid w:val="00AA3FD2"/>
    <w:rsid w:val="00AA431E"/>
    <w:rsid w:val="00AA4A2C"/>
    <w:rsid w:val="00AA4CEB"/>
    <w:rsid w:val="00AA579A"/>
    <w:rsid w:val="00AA59A6"/>
    <w:rsid w:val="00AA5E5C"/>
    <w:rsid w:val="00AA6109"/>
    <w:rsid w:val="00AA6299"/>
    <w:rsid w:val="00AA66B6"/>
    <w:rsid w:val="00AA674E"/>
    <w:rsid w:val="00AA6E05"/>
    <w:rsid w:val="00AA6E60"/>
    <w:rsid w:val="00AA71B7"/>
    <w:rsid w:val="00AA78EA"/>
    <w:rsid w:val="00AB0099"/>
    <w:rsid w:val="00AB0262"/>
    <w:rsid w:val="00AB0356"/>
    <w:rsid w:val="00AB0556"/>
    <w:rsid w:val="00AB069A"/>
    <w:rsid w:val="00AB0A6D"/>
    <w:rsid w:val="00AB11F1"/>
    <w:rsid w:val="00AB14A1"/>
    <w:rsid w:val="00AB1BA0"/>
    <w:rsid w:val="00AB1BFF"/>
    <w:rsid w:val="00AB202A"/>
    <w:rsid w:val="00AB2DAC"/>
    <w:rsid w:val="00AB39B5"/>
    <w:rsid w:val="00AB3DA7"/>
    <w:rsid w:val="00AB3E56"/>
    <w:rsid w:val="00AB3FA9"/>
    <w:rsid w:val="00AB415A"/>
    <w:rsid w:val="00AB44F4"/>
    <w:rsid w:val="00AB4A3C"/>
    <w:rsid w:val="00AB4C55"/>
    <w:rsid w:val="00AB4D42"/>
    <w:rsid w:val="00AB4F20"/>
    <w:rsid w:val="00AB51C6"/>
    <w:rsid w:val="00AB5265"/>
    <w:rsid w:val="00AB5328"/>
    <w:rsid w:val="00AB5555"/>
    <w:rsid w:val="00AB55AD"/>
    <w:rsid w:val="00AB5D1B"/>
    <w:rsid w:val="00AB60EE"/>
    <w:rsid w:val="00AB6243"/>
    <w:rsid w:val="00AB6918"/>
    <w:rsid w:val="00AB6B40"/>
    <w:rsid w:val="00AB6FA3"/>
    <w:rsid w:val="00AB740A"/>
    <w:rsid w:val="00AB767F"/>
    <w:rsid w:val="00AB7828"/>
    <w:rsid w:val="00AB7E0A"/>
    <w:rsid w:val="00AC0595"/>
    <w:rsid w:val="00AC07CA"/>
    <w:rsid w:val="00AC0CDE"/>
    <w:rsid w:val="00AC1215"/>
    <w:rsid w:val="00AC19B5"/>
    <w:rsid w:val="00AC1DA5"/>
    <w:rsid w:val="00AC1F6A"/>
    <w:rsid w:val="00AC216B"/>
    <w:rsid w:val="00AC2690"/>
    <w:rsid w:val="00AC26B1"/>
    <w:rsid w:val="00AC2837"/>
    <w:rsid w:val="00AC2CFF"/>
    <w:rsid w:val="00AC317E"/>
    <w:rsid w:val="00AC392C"/>
    <w:rsid w:val="00AC42B8"/>
    <w:rsid w:val="00AC45C5"/>
    <w:rsid w:val="00AC4791"/>
    <w:rsid w:val="00AC4A76"/>
    <w:rsid w:val="00AC4FB6"/>
    <w:rsid w:val="00AC4FD1"/>
    <w:rsid w:val="00AC500B"/>
    <w:rsid w:val="00AC525D"/>
    <w:rsid w:val="00AC5666"/>
    <w:rsid w:val="00AC5841"/>
    <w:rsid w:val="00AC5FEF"/>
    <w:rsid w:val="00AC6036"/>
    <w:rsid w:val="00AC6243"/>
    <w:rsid w:val="00AC7831"/>
    <w:rsid w:val="00AC7B06"/>
    <w:rsid w:val="00AD0328"/>
    <w:rsid w:val="00AD0756"/>
    <w:rsid w:val="00AD0B00"/>
    <w:rsid w:val="00AD11DC"/>
    <w:rsid w:val="00AD1885"/>
    <w:rsid w:val="00AD1966"/>
    <w:rsid w:val="00AD19E8"/>
    <w:rsid w:val="00AD1DAE"/>
    <w:rsid w:val="00AD21D8"/>
    <w:rsid w:val="00AD2253"/>
    <w:rsid w:val="00AD2B03"/>
    <w:rsid w:val="00AD2E07"/>
    <w:rsid w:val="00AD2F3E"/>
    <w:rsid w:val="00AD322C"/>
    <w:rsid w:val="00AD3237"/>
    <w:rsid w:val="00AD38A9"/>
    <w:rsid w:val="00AD3E97"/>
    <w:rsid w:val="00AD4071"/>
    <w:rsid w:val="00AD44EA"/>
    <w:rsid w:val="00AD4516"/>
    <w:rsid w:val="00AD4782"/>
    <w:rsid w:val="00AD4B47"/>
    <w:rsid w:val="00AD4BFF"/>
    <w:rsid w:val="00AD5236"/>
    <w:rsid w:val="00AD527D"/>
    <w:rsid w:val="00AD54E0"/>
    <w:rsid w:val="00AD5F0C"/>
    <w:rsid w:val="00AD5F36"/>
    <w:rsid w:val="00AD5F3C"/>
    <w:rsid w:val="00AD6008"/>
    <w:rsid w:val="00AD6153"/>
    <w:rsid w:val="00AD64F5"/>
    <w:rsid w:val="00AD6EF1"/>
    <w:rsid w:val="00AD758E"/>
    <w:rsid w:val="00AD7AB5"/>
    <w:rsid w:val="00AE0063"/>
    <w:rsid w:val="00AE08B7"/>
    <w:rsid w:val="00AE0DBA"/>
    <w:rsid w:val="00AE160F"/>
    <w:rsid w:val="00AE1D6D"/>
    <w:rsid w:val="00AE21DC"/>
    <w:rsid w:val="00AE239B"/>
    <w:rsid w:val="00AE25D2"/>
    <w:rsid w:val="00AE270B"/>
    <w:rsid w:val="00AE2870"/>
    <w:rsid w:val="00AE2B47"/>
    <w:rsid w:val="00AE2CAD"/>
    <w:rsid w:val="00AE3090"/>
    <w:rsid w:val="00AE35CC"/>
    <w:rsid w:val="00AE3606"/>
    <w:rsid w:val="00AE380E"/>
    <w:rsid w:val="00AE38E3"/>
    <w:rsid w:val="00AE3AAD"/>
    <w:rsid w:val="00AE3B3B"/>
    <w:rsid w:val="00AE4189"/>
    <w:rsid w:val="00AE433C"/>
    <w:rsid w:val="00AE4E66"/>
    <w:rsid w:val="00AE4FF7"/>
    <w:rsid w:val="00AE503A"/>
    <w:rsid w:val="00AE5547"/>
    <w:rsid w:val="00AE5B1F"/>
    <w:rsid w:val="00AE5C82"/>
    <w:rsid w:val="00AE5F7D"/>
    <w:rsid w:val="00AE6051"/>
    <w:rsid w:val="00AE66CA"/>
    <w:rsid w:val="00AE68E2"/>
    <w:rsid w:val="00AF0157"/>
    <w:rsid w:val="00AF22E1"/>
    <w:rsid w:val="00AF2A92"/>
    <w:rsid w:val="00AF2EC7"/>
    <w:rsid w:val="00AF30D5"/>
    <w:rsid w:val="00AF3613"/>
    <w:rsid w:val="00AF3AC0"/>
    <w:rsid w:val="00AF4595"/>
    <w:rsid w:val="00AF4A19"/>
    <w:rsid w:val="00AF4F4A"/>
    <w:rsid w:val="00AF66BA"/>
    <w:rsid w:val="00AF687C"/>
    <w:rsid w:val="00AF75F5"/>
    <w:rsid w:val="00AF7A6C"/>
    <w:rsid w:val="00B0076F"/>
    <w:rsid w:val="00B009A9"/>
    <w:rsid w:val="00B00C24"/>
    <w:rsid w:val="00B00DB3"/>
    <w:rsid w:val="00B00F93"/>
    <w:rsid w:val="00B013C3"/>
    <w:rsid w:val="00B01555"/>
    <w:rsid w:val="00B01BBE"/>
    <w:rsid w:val="00B02E28"/>
    <w:rsid w:val="00B03399"/>
    <w:rsid w:val="00B03EFF"/>
    <w:rsid w:val="00B03F92"/>
    <w:rsid w:val="00B043C6"/>
    <w:rsid w:val="00B049C6"/>
    <w:rsid w:val="00B054EB"/>
    <w:rsid w:val="00B055D8"/>
    <w:rsid w:val="00B0564D"/>
    <w:rsid w:val="00B059C5"/>
    <w:rsid w:val="00B05D72"/>
    <w:rsid w:val="00B0625C"/>
    <w:rsid w:val="00B06392"/>
    <w:rsid w:val="00B068F4"/>
    <w:rsid w:val="00B06CD6"/>
    <w:rsid w:val="00B06EBC"/>
    <w:rsid w:val="00B0708A"/>
    <w:rsid w:val="00B07232"/>
    <w:rsid w:val="00B075D7"/>
    <w:rsid w:val="00B07A16"/>
    <w:rsid w:val="00B1031A"/>
    <w:rsid w:val="00B10D22"/>
    <w:rsid w:val="00B11341"/>
    <w:rsid w:val="00B11B1A"/>
    <w:rsid w:val="00B11C0C"/>
    <w:rsid w:val="00B11D2D"/>
    <w:rsid w:val="00B1223C"/>
    <w:rsid w:val="00B123F0"/>
    <w:rsid w:val="00B12891"/>
    <w:rsid w:val="00B12E7E"/>
    <w:rsid w:val="00B12FA5"/>
    <w:rsid w:val="00B143E3"/>
    <w:rsid w:val="00B146C1"/>
    <w:rsid w:val="00B146E7"/>
    <w:rsid w:val="00B147DD"/>
    <w:rsid w:val="00B14A57"/>
    <w:rsid w:val="00B14D0B"/>
    <w:rsid w:val="00B156DF"/>
    <w:rsid w:val="00B159CF"/>
    <w:rsid w:val="00B15ABB"/>
    <w:rsid w:val="00B15CF8"/>
    <w:rsid w:val="00B15D3D"/>
    <w:rsid w:val="00B160CF"/>
    <w:rsid w:val="00B16973"/>
    <w:rsid w:val="00B16BB1"/>
    <w:rsid w:val="00B16F9E"/>
    <w:rsid w:val="00B17027"/>
    <w:rsid w:val="00B2036A"/>
    <w:rsid w:val="00B206F9"/>
    <w:rsid w:val="00B20713"/>
    <w:rsid w:val="00B21057"/>
    <w:rsid w:val="00B214ED"/>
    <w:rsid w:val="00B21894"/>
    <w:rsid w:val="00B21B23"/>
    <w:rsid w:val="00B21C3C"/>
    <w:rsid w:val="00B2202B"/>
    <w:rsid w:val="00B2206C"/>
    <w:rsid w:val="00B22097"/>
    <w:rsid w:val="00B22D3F"/>
    <w:rsid w:val="00B23422"/>
    <w:rsid w:val="00B2365C"/>
    <w:rsid w:val="00B23795"/>
    <w:rsid w:val="00B23953"/>
    <w:rsid w:val="00B23969"/>
    <w:rsid w:val="00B23AAA"/>
    <w:rsid w:val="00B23E18"/>
    <w:rsid w:val="00B2420C"/>
    <w:rsid w:val="00B24948"/>
    <w:rsid w:val="00B24C3A"/>
    <w:rsid w:val="00B24CBD"/>
    <w:rsid w:val="00B24F43"/>
    <w:rsid w:val="00B25107"/>
    <w:rsid w:val="00B251B6"/>
    <w:rsid w:val="00B25862"/>
    <w:rsid w:val="00B25CA3"/>
    <w:rsid w:val="00B26413"/>
    <w:rsid w:val="00B266EB"/>
    <w:rsid w:val="00B26BDF"/>
    <w:rsid w:val="00B27050"/>
    <w:rsid w:val="00B278BD"/>
    <w:rsid w:val="00B27B9F"/>
    <w:rsid w:val="00B27E2A"/>
    <w:rsid w:val="00B30028"/>
    <w:rsid w:val="00B3009C"/>
    <w:rsid w:val="00B30C2A"/>
    <w:rsid w:val="00B30F19"/>
    <w:rsid w:val="00B31467"/>
    <w:rsid w:val="00B31530"/>
    <w:rsid w:val="00B31E8D"/>
    <w:rsid w:val="00B32A9A"/>
    <w:rsid w:val="00B32B22"/>
    <w:rsid w:val="00B32FAD"/>
    <w:rsid w:val="00B32FC6"/>
    <w:rsid w:val="00B3313B"/>
    <w:rsid w:val="00B331E8"/>
    <w:rsid w:val="00B331EA"/>
    <w:rsid w:val="00B33796"/>
    <w:rsid w:val="00B33EEB"/>
    <w:rsid w:val="00B341F4"/>
    <w:rsid w:val="00B34732"/>
    <w:rsid w:val="00B347CB"/>
    <w:rsid w:val="00B34CFB"/>
    <w:rsid w:val="00B34D82"/>
    <w:rsid w:val="00B34DC9"/>
    <w:rsid w:val="00B353B8"/>
    <w:rsid w:val="00B35A93"/>
    <w:rsid w:val="00B35BEB"/>
    <w:rsid w:val="00B35C56"/>
    <w:rsid w:val="00B35F0A"/>
    <w:rsid w:val="00B36248"/>
    <w:rsid w:val="00B363B1"/>
    <w:rsid w:val="00B36736"/>
    <w:rsid w:val="00B36AD4"/>
    <w:rsid w:val="00B36F17"/>
    <w:rsid w:val="00B371AA"/>
    <w:rsid w:val="00B372ED"/>
    <w:rsid w:val="00B37320"/>
    <w:rsid w:val="00B3782E"/>
    <w:rsid w:val="00B4006F"/>
    <w:rsid w:val="00B40590"/>
    <w:rsid w:val="00B40603"/>
    <w:rsid w:val="00B40AF6"/>
    <w:rsid w:val="00B41071"/>
    <w:rsid w:val="00B415C2"/>
    <w:rsid w:val="00B416F6"/>
    <w:rsid w:val="00B41F62"/>
    <w:rsid w:val="00B41FDB"/>
    <w:rsid w:val="00B41FE5"/>
    <w:rsid w:val="00B425C0"/>
    <w:rsid w:val="00B426FD"/>
    <w:rsid w:val="00B4298B"/>
    <w:rsid w:val="00B42AAA"/>
    <w:rsid w:val="00B439D0"/>
    <w:rsid w:val="00B443BF"/>
    <w:rsid w:val="00B446EE"/>
    <w:rsid w:val="00B44D74"/>
    <w:rsid w:val="00B44FAA"/>
    <w:rsid w:val="00B46957"/>
    <w:rsid w:val="00B46CFD"/>
    <w:rsid w:val="00B46DB0"/>
    <w:rsid w:val="00B47921"/>
    <w:rsid w:val="00B47B54"/>
    <w:rsid w:val="00B50B29"/>
    <w:rsid w:val="00B50E99"/>
    <w:rsid w:val="00B51926"/>
    <w:rsid w:val="00B51F9A"/>
    <w:rsid w:val="00B5244A"/>
    <w:rsid w:val="00B529EA"/>
    <w:rsid w:val="00B52B18"/>
    <w:rsid w:val="00B53EDB"/>
    <w:rsid w:val="00B53F1C"/>
    <w:rsid w:val="00B54050"/>
    <w:rsid w:val="00B54111"/>
    <w:rsid w:val="00B5452F"/>
    <w:rsid w:val="00B54DA7"/>
    <w:rsid w:val="00B54E17"/>
    <w:rsid w:val="00B551D6"/>
    <w:rsid w:val="00B55F31"/>
    <w:rsid w:val="00B56D17"/>
    <w:rsid w:val="00B57477"/>
    <w:rsid w:val="00B600C6"/>
    <w:rsid w:val="00B60167"/>
    <w:rsid w:val="00B60FC0"/>
    <w:rsid w:val="00B61281"/>
    <w:rsid w:val="00B6155A"/>
    <w:rsid w:val="00B61665"/>
    <w:rsid w:val="00B6229D"/>
    <w:rsid w:val="00B63528"/>
    <w:rsid w:val="00B63922"/>
    <w:rsid w:val="00B63C3F"/>
    <w:rsid w:val="00B63D38"/>
    <w:rsid w:val="00B63DAF"/>
    <w:rsid w:val="00B63E98"/>
    <w:rsid w:val="00B6405E"/>
    <w:rsid w:val="00B640B9"/>
    <w:rsid w:val="00B6416E"/>
    <w:rsid w:val="00B65754"/>
    <w:rsid w:val="00B661AA"/>
    <w:rsid w:val="00B66235"/>
    <w:rsid w:val="00B66242"/>
    <w:rsid w:val="00B670D3"/>
    <w:rsid w:val="00B6787B"/>
    <w:rsid w:val="00B67958"/>
    <w:rsid w:val="00B67B45"/>
    <w:rsid w:val="00B701D1"/>
    <w:rsid w:val="00B711A9"/>
    <w:rsid w:val="00B713B7"/>
    <w:rsid w:val="00B715A3"/>
    <w:rsid w:val="00B716BB"/>
    <w:rsid w:val="00B716FD"/>
    <w:rsid w:val="00B71D48"/>
    <w:rsid w:val="00B72339"/>
    <w:rsid w:val="00B72443"/>
    <w:rsid w:val="00B734C2"/>
    <w:rsid w:val="00B73BDA"/>
    <w:rsid w:val="00B73CEE"/>
    <w:rsid w:val="00B73D55"/>
    <w:rsid w:val="00B74053"/>
    <w:rsid w:val="00B747AF"/>
    <w:rsid w:val="00B74DAE"/>
    <w:rsid w:val="00B7592D"/>
    <w:rsid w:val="00B75A61"/>
    <w:rsid w:val="00B761EA"/>
    <w:rsid w:val="00B765A0"/>
    <w:rsid w:val="00B768D8"/>
    <w:rsid w:val="00B769E6"/>
    <w:rsid w:val="00B76B27"/>
    <w:rsid w:val="00B76C02"/>
    <w:rsid w:val="00B778C2"/>
    <w:rsid w:val="00B77BD2"/>
    <w:rsid w:val="00B8008E"/>
    <w:rsid w:val="00B800A1"/>
    <w:rsid w:val="00B80CE6"/>
    <w:rsid w:val="00B80EE7"/>
    <w:rsid w:val="00B814CB"/>
    <w:rsid w:val="00B81B6A"/>
    <w:rsid w:val="00B820F4"/>
    <w:rsid w:val="00B824EA"/>
    <w:rsid w:val="00B830D0"/>
    <w:rsid w:val="00B833A3"/>
    <w:rsid w:val="00B835E0"/>
    <w:rsid w:val="00B83747"/>
    <w:rsid w:val="00B83893"/>
    <w:rsid w:val="00B8396D"/>
    <w:rsid w:val="00B83D33"/>
    <w:rsid w:val="00B83E78"/>
    <w:rsid w:val="00B842DE"/>
    <w:rsid w:val="00B847AE"/>
    <w:rsid w:val="00B8492F"/>
    <w:rsid w:val="00B84BC5"/>
    <w:rsid w:val="00B84BE8"/>
    <w:rsid w:val="00B84F83"/>
    <w:rsid w:val="00B85185"/>
    <w:rsid w:val="00B86E68"/>
    <w:rsid w:val="00B87507"/>
    <w:rsid w:val="00B87E35"/>
    <w:rsid w:val="00B87E74"/>
    <w:rsid w:val="00B87E90"/>
    <w:rsid w:val="00B87ED4"/>
    <w:rsid w:val="00B90331"/>
    <w:rsid w:val="00B903ED"/>
    <w:rsid w:val="00B90A07"/>
    <w:rsid w:val="00B90B2D"/>
    <w:rsid w:val="00B90B6F"/>
    <w:rsid w:val="00B91AD7"/>
    <w:rsid w:val="00B91C28"/>
    <w:rsid w:val="00B923CB"/>
    <w:rsid w:val="00B924B8"/>
    <w:rsid w:val="00B92631"/>
    <w:rsid w:val="00B931CB"/>
    <w:rsid w:val="00B935A1"/>
    <w:rsid w:val="00B93FCE"/>
    <w:rsid w:val="00B9408B"/>
    <w:rsid w:val="00B94C2F"/>
    <w:rsid w:val="00B95DAD"/>
    <w:rsid w:val="00B9607B"/>
    <w:rsid w:val="00B96C0C"/>
    <w:rsid w:val="00B96D51"/>
    <w:rsid w:val="00B9734D"/>
    <w:rsid w:val="00B9772B"/>
    <w:rsid w:val="00B97732"/>
    <w:rsid w:val="00B97B97"/>
    <w:rsid w:val="00B97FBA"/>
    <w:rsid w:val="00BA055F"/>
    <w:rsid w:val="00BA0AD5"/>
    <w:rsid w:val="00BA1FD3"/>
    <w:rsid w:val="00BA27F4"/>
    <w:rsid w:val="00BA29AF"/>
    <w:rsid w:val="00BA2BEE"/>
    <w:rsid w:val="00BA2E40"/>
    <w:rsid w:val="00BA3CB7"/>
    <w:rsid w:val="00BA41DE"/>
    <w:rsid w:val="00BA4566"/>
    <w:rsid w:val="00BA495B"/>
    <w:rsid w:val="00BA4DAA"/>
    <w:rsid w:val="00BA501B"/>
    <w:rsid w:val="00BA556C"/>
    <w:rsid w:val="00BA6F7C"/>
    <w:rsid w:val="00BA7417"/>
    <w:rsid w:val="00BA773F"/>
    <w:rsid w:val="00BB064F"/>
    <w:rsid w:val="00BB0D73"/>
    <w:rsid w:val="00BB0DDF"/>
    <w:rsid w:val="00BB0E17"/>
    <w:rsid w:val="00BB0F31"/>
    <w:rsid w:val="00BB140F"/>
    <w:rsid w:val="00BB15AB"/>
    <w:rsid w:val="00BB1734"/>
    <w:rsid w:val="00BB189B"/>
    <w:rsid w:val="00BB1D21"/>
    <w:rsid w:val="00BB2A3A"/>
    <w:rsid w:val="00BB2E51"/>
    <w:rsid w:val="00BB3235"/>
    <w:rsid w:val="00BB37A0"/>
    <w:rsid w:val="00BB3D9C"/>
    <w:rsid w:val="00BB4BEA"/>
    <w:rsid w:val="00BB4C1A"/>
    <w:rsid w:val="00BB4FD1"/>
    <w:rsid w:val="00BB50AB"/>
    <w:rsid w:val="00BB50C8"/>
    <w:rsid w:val="00BB554C"/>
    <w:rsid w:val="00BB599E"/>
    <w:rsid w:val="00BB6664"/>
    <w:rsid w:val="00BB682C"/>
    <w:rsid w:val="00BB6BEB"/>
    <w:rsid w:val="00BB762A"/>
    <w:rsid w:val="00BB7703"/>
    <w:rsid w:val="00BC01FC"/>
    <w:rsid w:val="00BC02D4"/>
    <w:rsid w:val="00BC033E"/>
    <w:rsid w:val="00BC0377"/>
    <w:rsid w:val="00BC0B0A"/>
    <w:rsid w:val="00BC0D57"/>
    <w:rsid w:val="00BC0E78"/>
    <w:rsid w:val="00BC1B81"/>
    <w:rsid w:val="00BC1BD9"/>
    <w:rsid w:val="00BC1F79"/>
    <w:rsid w:val="00BC21A9"/>
    <w:rsid w:val="00BC2201"/>
    <w:rsid w:val="00BC244A"/>
    <w:rsid w:val="00BC2C4E"/>
    <w:rsid w:val="00BC3930"/>
    <w:rsid w:val="00BC3C7A"/>
    <w:rsid w:val="00BC49BC"/>
    <w:rsid w:val="00BC4BB8"/>
    <w:rsid w:val="00BC5748"/>
    <w:rsid w:val="00BC713C"/>
    <w:rsid w:val="00BC7A0C"/>
    <w:rsid w:val="00BC7DC6"/>
    <w:rsid w:val="00BD0B25"/>
    <w:rsid w:val="00BD1039"/>
    <w:rsid w:val="00BD129A"/>
    <w:rsid w:val="00BD13B5"/>
    <w:rsid w:val="00BD15E7"/>
    <w:rsid w:val="00BD1F70"/>
    <w:rsid w:val="00BD270B"/>
    <w:rsid w:val="00BD2C4B"/>
    <w:rsid w:val="00BD2E32"/>
    <w:rsid w:val="00BD2EFC"/>
    <w:rsid w:val="00BD340E"/>
    <w:rsid w:val="00BD3F0A"/>
    <w:rsid w:val="00BD3F8D"/>
    <w:rsid w:val="00BD43E4"/>
    <w:rsid w:val="00BD4857"/>
    <w:rsid w:val="00BD4D39"/>
    <w:rsid w:val="00BD5C74"/>
    <w:rsid w:val="00BD5E04"/>
    <w:rsid w:val="00BD60AD"/>
    <w:rsid w:val="00BD6C02"/>
    <w:rsid w:val="00BD6D46"/>
    <w:rsid w:val="00BD729E"/>
    <w:rsid w:val="00BE05D9"/>
    <w:rsid w:val="00BE1244"/>
    <w:rsid w:val="00BE165D"/>
    <w:rsid w:val="00BE1BF1"/>
    <w:rsid w:val="00BE2394"/>
    <w:rsid w:val="00BE269A"/>
    <w:rsid w:val="00BE2702"/>
    <w:rsid w:val="00BE2BC8"/>
    <w:rsid w:val="00BE363D"/>
    <w:rsid w:val="00BE38D3"/>
    <w:rsid w:val="00BE39A7"/>
    <w:rsid w:val="00BE4131"/>
    <w:rsid w:val="00BE4326"/>
    <w:rsid w:val="00BE44C2"/>
    <w:rsid w:val="00BE50D2"/>
    <w:rsid w:val="00BE5477"/>
    <w:rsid w:val="00BE5E36"/>
    <w:rsid w:val="00BE5F4F"/>
    <w:rsid w:val="00BE60DB"/>
    <w:rsid w:val="00BE6C01"/>
    <w:rsid w:val="00BE7249"/>
    <w:rsid w:val="00BE7F96"/>
    <w:rsid w:val="00BF0191"/>
    <w:rsid w:val="00BF0804"/>
    <w:rsid w:val="00BF0B05"/>
    <w:rsid w:val="00BF1257"/>
    <w:rsid w:val="00BF13EC"/>
    <w:rsid w:val="00BF1C07"/>
    <w:rsid w:val="00BF1E36"/>
    <w:rsid w:val="00BF26BD"/>
    <w:rsid w:val="00BF2853"/>
    <w:rsid w:val="00BF2A60"/>
    <w:rsid w:val="00BF3085"/>
    <w:rsid w:val="00BF34E9"/>
    <w:rsid w:val="00BF3863"/>
    <w:rsid w:val="00BF3DEE"/>
    <w:rsid w:val="00BF4AE6"/>
    <w:rsid w:val="00BF54AC"/>
    <w:rsid w:val="00BF54BD"/>
    <w:rsid w:val="00BF58B5"/>
    <w:rsid w:val="00BF5C34"/>
    <w:rsid w:val="00BF6B8E"/>
    <w:rsid w:val="00BF6EE5"/>
    <w:rsid w:val="00BF7406"/>
    <w:rsid w:val="00C00F23"/>
    <w:rsid w:val="00C01082"/>
    <w:rsid w:val="00C0176E"/>
    <w:rsid w:val="00C018E1"/>
    <w:rsid w:val="00C01B0D"/>
    <w:rsid w:val="00C0233D"/>
    <w:rsid w:val="00C0251E"/>
    <w:rsid w:val="00C025A5"/>
    <w:rsid w:val="00C03C78"/>
    <w:rsid w:val="00C04EDE"/>
    <w:rsid w:val="00C04FA3"/>
    <w:rsid w:val="00C04FD3"/>
    <w:rsid w:val="00C05057"/>
    <w:rsid w:val="00C065A2"/>
    <w:rsid w:val="00C0697C"/>
    <w:rsid w:val="00C07679"/>
    <w:rsid w:val="00C07919"/>
    <w:rsid w:val="00C079FE"/>
    <w:rsid w:val="00C1017A"/>
    <w:rsid w:val="00C1025B"/>
    <w:rsid w:val="00C103F9"/>
    <w:rsid w:val="00C104AC"/>
    <w:rsid w:val="00C10F52"/>
    <w:rsid w:val="00C110E1"/>
    <w:rsid w:val="00C1198F"/>
    <w:rsid w:val="00C11FA1"/>
    <w:rsid w:val="00C1288D"/>
    <w:rsid w:val="00C12E21"/>
    <w:rsid w:val="00C12E65"/>
    <w:rsid w:val="00C12EE9"/>
    <w:rsid w:val="00C13848"/>
    <w:rsid w:val="00C13C20"/>
    <w:rsid w:val="00C13F74"/>
    <w:rsid w:val="00C144F3"/>
    <w:rsid w:val="00C146D3"/>
    <w:rsid w:val="00C15B23"/>
    <w:rsid w:val="00C15BF3"/>
    <w:rsid w:val="00C15C63"/>
    <w:rsid w:val="00C16209"/>
    <w:rsid w:val="00C162A8"/>
    <w:rsid w:val="00C168D4"/>
    <w:rsid w:val="00C16BE0"/>
    <w:rsid w:val="00C2041D"/>
    <w:rsid w:val="00C2073A"/>
    <w:rsid w:val="00C20BCF"/>
    <w:rsid w:val="00C21161"/>
    <w:rsid w:val="00C215F4"/>
    <w:rsid w:val="00C216A3"/>
    <w:rsid w:val="00C21733"/>
    <w:rsid w:val="00C21C39"/>
    <w:rsid w:val="00C22685"/>
    <w:rsid w:val="00C229CF"/>
    <w:rsid w:val="00C22A91"/>
    <w:rsid w:val="00C230B5"/>
    <w:rsid w:val="00C2325C"/>
    <w:rsid w:val="00C239ED"/>
    <w:rsid w:val="00C23AC1"/>
    <w:rsid w:val="00C23DAC"/>
    <w:rsid w:val="00C246A3"/>
    <w:rsid w:val="00C2489E"/>
    <w:rsid w:val="00C24D9D"/>
    <w:rsid w:val="00C257FA"/>
    <w:rsid w:val="00C25CF3"/>
    <w:rsid w:val="00C263E9"/>
    <w:rsid w:val="00C267BB"/>
    <w:rsid w:val="00C26AEB"/>
    <w:rsid w:val="00C26B3A"/>
    <w:rsid w:val="00C26D74"/>
    <w:rsid w:val="00C26EB7"/>
    <w:rsid w:val="00C2775A"/>
    <w:rsid w:val="00C27886"/>
    <w:rsid w:val="00C30316"/>
    <w:rsid w:val="00C3063A"/>
    <w:rsid w:val="00C306B9"/>
    <w:rsid w:val="00C308B6"/>
    <w:rsid w:val="00C30BAD"/>
    <w:rsid w:val="00C30E93"/>
    <w:rsid w:val="00C311AB"/>
    <w:rsid w:val="00C31E8F"/>
    <w:rsid w:val="00C322D1"/>
    <w:rsid w:val="00C3323F"/>
    <w:rsid w:val="00C332C7"/>
    <w:rsid w:val="00C33429"/>
    <w:rsid w:val="00C3355E"/>
    <w:rsid w:val="00C3359F"/>
    <w:rsid w:val="00C335DA"/>
    <w:rsid w:val="00C33D3E"/>
    <w:rsid w:val="00C33EFA"/>
    <w:rsid w:val="00C33F43"/>
    <w:rsid w:val="00C34970"/>
    <w:rsid w:val="00C35AEA"/>
    <w:rsid w:val="00C35CC0"/>
    <w:rsid w:val="00C35D9C"/>
    <w:rsid w:val="00C362E0"/>
    <w:rsid w:val="00C363AF"/>
    <w:rsid w:val="00C36743"/>
    <w:rsid w:val="00C36BB0"/>
    <w:rsid w:val="00C36ED4"/>
    <w:rsid w:val="00C36FAF"/>
    <w:rsid w:val="00C376CC"/>
    <w:rsid w:val="00C37B91"/>
    <w:rsid w:val="00C400F7"/>
    <w:rsid w:val="00C40185"/>
    <w:rsid w:val="00C40699"/>
    <w:rsid w:val="00C40EC6"/>
    <w:rsid w:val="00C417AA"/>
    <w:rsid w:val="00C419AD"/>
    <w:rsid w:val="00C41B5F"/>
    <w:rsid w:val="00C41B7E"/>
    <w:rsid w:val="00C41BD0"/>
    <w:rsid w:val="00C41C0F"/>
    <w:rsid w:val="00C43029"/>
    <w:rsid w:val="00C436E3"/>
    <w:rsid w:val="00C437BA"/>
    <w:rsid w:val="00C44094"/>
    <w:rsid w:val="00C4426E"/>
    <w:rsid w:val="00C44395"/>
    <w:rsid w:val="00C443B3"/>
    <w:rsid w:val="00C45CE8"/>
    <w:rsid w:val="00C465E7"/>
    <w:rsid w:val="00C46637"/>
    <w:rsid w:val="00C46A8C"/>
    <w:rsid w:val="00C46BFD"/>
    <w:rsid w:val="00C46F06"/>
    <w:rsid w:val="00C479A5"/>
    <w:rsid w:val="00C47D22"/>
    <w:rsid w:val="00C47DA6"/>
    <w:rsid w:val="00C50173"/>
    <w:rsid w:val="00C503F9"/>
    <w:rsid w:val="00C508F4"/>
    <w:rsid w:val="00C50982"/>
    <w:rsid w:val="00C50986"/>
    <w:rsid w:val="00C50ABF"/>
    <w:rsid w:val="00C50BAA"/>
    <w:rsid w:val="00C50EF2"/>
    <w:rsid w:val="00C51256"/>
    <w:rsid w:val="00C51566"/>
    <w:rsid w:val="00C516B7"/>
    <w:rsid w:val="00C516C4"/>
    <w:rsid w:val="00C51A62"/>
    <w:rsid w:val="00C51C1F"/>
    <w:rsid w:val="00C51E17"/>
    <w:rsid w:val="00C51F68"/>
    <w:rsid w:val="00C52433"/>
    <w:rsid w:val="00C52830"/>
    <w:rsid w:val="00C52D62"/>
    <w:rsid w:val="00C52EF3"/>
    <w:rsid w:val="00C533D4"/>
    <w:rsid w:val="00C53A4C"/>
    <w:rsid w:val="00C5400E"/>
    <w:rsid w:val="00C5434F"/>
    <w:rsid w:val="00C5448D"/>
    <w:rsid w:val="00C5477F"/>
    <w:rsid w:val="00C547B7"/>
    <w:rsid w:val="00C54B9A"/>
    <w:rsid w:val="00C5503B"/>
    <w:rsid w:val="00C55167"/>
    <w:rsid w:val="00C55A32"/>
    <w:rsid w:val="00C564F2"/>
    <w:rsid w:val="00C56525"/>
    <w:rsid w:val="00C5658B"/>
    <w:rsid w:val="00C56B12"/>
    <w:rsid w:val="00C56F11"/>
    <w:rsid w:val="00C576B0"/>
    <w:rsid w:val="00C60330"/>
    <w:rsid w:val="00C60E5E"/>
    <w:rsid w:val="00C610A7"/>
    <w:rsid w:val="00C615A2"/>
    <w:rsid w:val="00C61E88"/>
    <w:rsid w:val="00C61F3A"/>
    <w:rsid w:val="00C61FDF"/>
    <w:rsid w:val="00C629CB"/>
    <w:rsid w:val="00C62B75"/>
    <w:rsid w:val="00C639FA"/>
    <w:rsid w:val="00C63AD4"/>
    <w:rsid w:val="00C6454F"/>
    <w:rsid w:val="00C64C1E"/>
    <w:rsid w:val="00C65078"/>
    <w:rsid w:val="00C651EE"/>
    <w:rsid w:val="00C657B5"/>
    <w:rsid w:val="00C659DF"/>
    <w:rsid w:val="00C661E1"/>
    <w:rsid w:val="00C66686"/>
    <w:rsid w:val="00C6673C"/>
    <w:rsid w:val="00C67363"/>
    <w:rsid w:val="00C678A5"/>
    <w:rsid w:val="00C678C4"/>
    <w:rsid w:val="00C679AD"/>
    <w:rsid w:val="00C701BD"/>
    <w:rsid w:val="00C703A9"/>
    <w:rsid w:val="00C70827"/>
    <w:rsid w:val="00C70E5B"/>
    <w:rsid w:val="00C710BE"/>
    <w:rsid w:val="00C71215"/>
    <w:rsid w:val="00C71309"/>
    <w:rsid w:val="00C7216B"/>
    <w:rsid w:val="00C724DC"/>
    <w:rsid w:val="00C725F9"/>
    <w:rsid w:val="00C727BE"/>
    <w:rsid w:val="00C732A9"/>
    <w:rsid w:val="00C73448"/>
    <w:rsid w:val="00C73E2E"/>
    <w:rsid w:val="00C7453B"/>
    <w:rsid w:val="00C74546"/>
    <w:rsid w:val="00C74639"/>
    <w:rsid w:val="00C7482A"/>
    <w:rsid w:val="00C748E2"/>
    <w:rsid w:val="00C7491B"/>
    <w:rsid w:val="00C75061"/>
    <w:rsid w:val="00C75BED"/>
    <w:rsid w:val="00C76333"/>
    <w:rsid w:val="00C768F7"/>
    <w:rsid w:val="00C77087"/>
    <w:rsid w:val="00C7776C"/>
    <w:rsid w:val="00C777BC"/>
    <w:rsid w:val="00C81586"/>
    <w:rsid w:val="00C81AB2"/>
    <w:rsid w:val="00C827E8"/>
    <w:rsid w:val="00C82EB1"/>
    <w:rsid w:val="00C830C2"/>
    <w:rsid w:val="00C837B8"/>
    <w:rsid w:val="00C8398D"/>
    <w:rsid w:val="00C83AF7"/>
    <w:rsid w:val="00C84BC2"/>
    <w:rsid w:val="00C84D13"/>
    <w:rsid w:val="00C84F50"/>
    <w:rsid w:val="00C85139"/>
    <w:rsid w:val="00C85657"/>
    <w:rsid w:val="00C8566D"/>
    <w:rsid w:val="00C860B8"/>
    <w:rsid w:val="00C870B9"/>
    <w:rsid w:val="00C873D8"/>
    <w:rsid w:val="00C87E6C"/>
    <w:rsid w:val="00C9046C"/>
    <w:rsid w:val="00C90475"/>
    <w:rsid w:val="00C90819"/>
    <w:rsid w:val="00C91618"/>
    <w:rsid w:val="00C91989"/>
    <w:rsid w:val="00C91C88"/>
    <w:rsid w:val="00C91DF2"/>
    <w:rsid w:val="00C929DA"/>
    <w:rsid w:val="00C92DBF"/>
    <w:rsid w:val="00C939C3"/>
    <w:rsid w:val="00C94228"/>
    <w:rsid w:val="00C94657"/>
    <w:rsid w:val="00C9527B"/>
    <w:rsid w:val="00C9543D"/>
    <w:rsid w:val="00C959F2"/>
    <w:rsid w:val="00C966E7"/>
    <w:rsid w:val="00C96C75"/>
    <w:rsid w:val="00C96D56"/>
    <w:rsid w:val="00C97509"/>
    <w:rsid w:val="00C977E6"/>
    <w:rsid w:val="00C97D3F"/>
    <w:rsid w:val="00CA0020"/>
    <w:rsid w:val="00CA0592"/>
    <w:rsid w:val="00CA0664"/>
    <w:rsid w:val="00CA0B2E"/>
    <w:rsid w:val="00CA1566"/>
    <w:rsid w:val="00CA18CA"/>
    <w:rsid w:val="00CA1EA8"/>
    <w:rsid w:val="00CA2557"/>
    <w:rsid w:val="00CA4F70"/>
    <w:rsid w:val="00CA5413"/>
    <w:rsid w:val="00CA54E3"/>
    <w:rsid w:val="00CA5674"/>
    <w:rsid w:val="00CA5A45"/>
    <w:rsid w:val="00CA5BDA"/>
    <w:rsid w:val="00CA5C1A"/>
    <w:rsid w:val="00CA5F2E"/>
    <w:rsid w:val="00CA6104"/>
    <w:rsid w:val="00CA62FD"/>
    <w:rsid w:val="00CA633F"/>
    <w:rsid w:val="00CA641E"/>
    <w:rsid w:val="00CA6DDC"/>
    <w:rsid w:val="00CA6FC0"/>
    <w:rsid w:val="00CA7006"/>
    <w:rsid w:val="00CA7558"/>
    <w:rsid w:val="00CA785F"/>
    <w:rsid w:val="00CA792A"/>
    <w:rsid w:val="00CA7949"/>
    <w:rsid w:val="00CA7C17"/>
    <w:rsid w:val="00CB0841"/>
    <w:rsid w:val="00CB08A8"/>
    <w:rsid w:val="00CB0C6E"/>
    <w:rsid w:val="00CB0C89"/>
    <w:rsid w:val="00CB1E97"/>
    <w:rsid w:val="00CB226B"/>
    <w:rsid w:val="00CB229B"/>
    <w:rsid w:val="00CB3185"/>
    <w:rsid w:val="00CB33B4"/>
    <w:rsid w:val="00CB3685"/>
    <w:rsid w:val="00CB3D93"/>
    <w:rsid w:val="00CB4441"/>
    <w:rsid w:val="00CB4769"/>
    <w:rsid w:val="00CB4B1A"/>
    <w:rsid w:val="00CB4B9F"/>
    <w:rsid w:val="00CB4E1F"/>
    <w:rsid w:val="00CB5713"/>
    <w:rsid w:val="00CB5EC6"/>
    <w:rsid w:val="00CB65F2"/>
    <w:rsid w:val="00CB7872"/>
    <w:rsid w:val="00CB78C6"/>
    <w:rsid w:val="00CB7FF0"/>
    <w:rsid w:val="00CC00CF"/>
    <w:rsid w:val="00CC117C"/>
    <w:rsid w:val="00CC1209"/>
    <w:rsid w:val="00CC147E"/>
    <w:rsid w:val="00CC152E"/>
    <w:rsid w:val="00CC1EC9"/>
    <w:rsid w:val="00CC2044"/>
    <w:rsid w:val="00CC2493"/>
    <w:rsid w:val="00CC3222"/>
    <w:rsid w:val="00CC35F1"/>
    <w:rsid w:val="00CC35FF"/>
    <w:rsid w:val="00CC3A62"/>
    <w:rsid w:val="00CC415D"/>
    <w:rsid w:val="00CC4333"/>
    <w:rsid w:val="00CC4E62"/>
    <w:rsid w:val="00CC4E79"/>
    <w:rsid w:val="00CC5300"/>
    <w:rsid w:val="00CC5D2F"/>
    <w:rsid w:val="00CC60CB"/>
    <w:rsid w:val="00CC610F"/>
    <w:rsid w:val="00CC6738"/>
    <w:rsid w:val="00CC67E3"/>
    <w:rsid w:val="00CC791B"/>
    <w:rsid w:val="00CC7B9D"/>
    <w:rsid w:val="00CC7DA8"/>
    <w:rsid w:val="00CD099B"/>
    <w:rsid w:val="00CD0E6E"/>
    <w:rsid w:val="00CD10C6"/>
    <w:rsid w:val="00CD1CF5"/>
    <w:rsid w:val="00CD1FDC"/>
    <w:rsid w:val="00CD23AE"/>
    <w:rsid w:val="00CD263D"/>
    <w:rsid w:val="00CD275D"/>
    <w:rsid w:val="00CD27DF"/>
    <w:rsid w:val="00CD2D8A"/>
    <w:rsid w:val="00CD2D8C"/>
    <w:rsid w:val="00CD3AFC"/>
    <w:rsid w:val="00CD3BAC"/>
    <w:rsid w:val="00CD3FF2"/>
    <w:rsid w:val="00CD472D"/>
    <w:rsid w:val="00CD4A65"/>
    <w:rsid w:val="00CD4BF4"/>
    <w:rsid w:val="00CD4F83"/>
    <w:rsid w:val="00CD531F"/>
    <w:rsid w:val="00CD6210"/>
    <w:rsid w:val="00CD624A"/>
    <w:rsid w:val="00CD6702"/>
    <w:rsid w:val="00CD6FA3"/>
    <w:rsid w:val="00CD717C"/>
    <w:rsid w:val="00CD75B9"/>
    <w:rsid w:val="00CD7D61"/>
    <w:rsid w:val="00CE0D13"/>
    <w:rsid w:val="00CE1AE5"/>
    <w:rsid w:val="00CE2184"/>
    <w:rsid w:val="00CE28FA"/>
    <w:rsid w:val="00CE2C1F"/>
    <w:rsid w:val="00CE3A8C"/>
    <w:rsid w:val="00CE3B7F"/>
    <w:rsid w:val="00CE3E55"/>
    <w:rsid w:val="00CE3FA2"/>
    <w:rsid w:val="00CE41A0"/>
    <w:rsid w:val="00CE4243"/>
    <w:rsid w:val="00CE4958"/>
    <w:rsid w:val="00CE4AC6"/>
    <w:rsid w:val="00CE63C1"/>
    <w:rsid w:val="00CE652B"/>
    <w:rsid w:val="00CE663A"/>
    <w:rsid w:val="00CE68E2"/>
    <w:rsid w:val="00CE69AC"/>
    <w:rsid w:val="00CE6BA3"/>
    <w:rsid w:val="00CE706E"/>
    <w:rsid w:val="00CE70B1"/>
    <w:rsid w:val="00CE7117"/>
    <w:rsid w:val="00CE7AE4"/>
    <w:rsid w:val="00CE7D47"/>
    <w:rsid w:val="00CF059C"/>
    <w:rsid w:val="00CF08E4"/>
    <w:rsid w:val="00CF0A4C"/>
    <w:rsid w:val="00CF0EA8"/>
    <w:rsid w:val="00CF150A"/>
    <w:rsid w:val="00CF15F4"/>
    <w:rsid w:val="00CF1E4E"/>
    <w:rsid w:val="00CF1E5A"/>
    <w:rsid w:val="00CF2225"/>
    <w:rsid w:val="00CF25E7"/>
    <w:rsid w:val="00CF2C29"/>
    <w:rsid w:val="00CF30BC"/>
    <w:rsid w:val="00CF377B"/>
    <w:rsid w:val="00CF39B5"/>
    <w:rsid w:val="00CF3A45"/>
    <w:rsid w:val="00CF3C77"/>
    <w:rsid w:val="00CF3D22"/>
    <w:rsid w:val="00CF3F5B"/>
    <w:rsid w:val="00CF40F0"/>
    <w:rsid w:val="00CF45A2"/>
    <w:rsid w:val="00CF474F"/>
    <w:rsid w:val="00CF4D76"/>
    <w:rsid w:val="00CF4E2A"/>
    <w:rsid w:val="00CF52E7"/>
    <w:rsid w:val="00CF642D"/>
    <w:rsid w:val="00CF6494"/>
    <w:rsid w:val="00CF649C"/>
    <w:rsid w:val="00CF64A9"/>
    <w:rsid w:val="00CF64B5"/>
    <w:rsid w:val="00CF6CFC"/>
    <w:rsid w:val="00CF6FB3"/>
    <w:rsid w:val="00CF702C"/>
    <w:rsid w:val="00CF7853"/>
    <w:rsid w:val="00CF7902"/>
    <w:rsid w:val="00D004ED"/>
    <w:rsid w:val="00D00536"/>
    <w:rsid w:val="00D01395"/>
    <w:rsid w:val="00D01ACB"/>
    <w:rsid w:val="00D0260F"/>
    <w:rsid w:val="00D02696"/>
    <w:rsid w:val="00D03257"/>
    <w:rsid w:val="00D033EE"/>
    <w:rsid w:val="00D035C7"/>
    <w:rsid w:val="00D03708"/>
    <w:rsid w:val="00D0391A"/>
    <w:rsid w:val="00D03B14"/>
    <w:rsid w:val="00D04A20"/>
    <w:rsid w:val="00D04DA4"/>
    <w:rsid w:val="00D051D3"/>
    <w:rsid w:val="00D06776"/>
    <w:rsid w:val="00D06E46"/>
    <w:rsid w:val="00D06F95"/>
    <w:rsid w:val="00D07012"/>
    <w:rsid w:val="00D07357"/>
    <w:rsid w:val="00D104C7"/>
    <w:rsid w:val="00D1158C"/>
    <w:rsid w:val="00D11600"/>
    <w:rsid w:val="00D118C1"/>
    <w:rsid w:val="00D118E6"/>
    <w:rsid w:val="00D119A2"/>
    <w:rsid w:val="00D1248A"/>
    <w:rsid w:val="00D12657"/>
    <w:rsid w:val="00D12E31"/>
    <w:rsid w:val="00D13069"/>
    <w:rsid w:val="00D137F9"/>
    <w:rsid w:val="00D1458C"/>
    <w:rsid w:val="00D150FB"/>
    <w:rsid w:val="00D15AD5"/>
    <w:rsid w:val="00D15E61"/>
    <w:rsid w:val="00D1620E"/>
    <w:rsid w:val="00D16867"/>
    <w:rsid w:val="00D16B91"/>
    <w:rsid w:val="00D16C21"/>
    <w:rsid w:val="00D16EEC"/>
    <w:rsid w:val="00D171E3"/>
    <w:rsid w:val="00D1792B"/>
    <w:rsid w:val="00D20216"/>
    <w:rsid w:val="00D2047A"/>
    <w:rsid w:val="00D20631"/>
    <w:rsid w:val="00D207FC"/>
    <w:rsid w:val="00D20AF0"/>
    <w:rsid w:val="00D20D68"/>
    <w:rsid w:val="00D21312"/>
    <w:rsid w:val="00D2258A"/>
    <w:rsid w:val="00D2260B"/>
    <w:rsid w:val="00D22CF0"/>
    <w:rsid w:val="00D22D49"/>
    <w:rsid w:val="00D23930"/>
    <w:rsid w:val="00D23A23"/>
    <w:rsid w:val="00D24056"/>
    <w:rsid w:val="00D24D8A"/>
    <w:rsid w:val="00D24DA4"/>
    <w:rsid w:val="00D25235"/>
    <w:rsid w:val="00D252EF"/>
    <w:rsid w:val="00D25383"/>
    <w:rsid w:val="00D25670"/>
    <w:rsid w:val="00D258E0"/>
    <w:rsid w:val="00D2591D"/>
    <w:rsid w:val="00D26DED"/>
    <w:rsid w:val="00D301AF"/>
    <w:rsid w:val="00D301FF"/>
    <w:rsid w:val="00D30557"/>
    <w:rsid w:val="00D30690"/>
    <w:rsid w:val="00D31DC4"/>
    <w:rsid w:val="00D3257F"/>
    <w:rsid w:val="00D32733"/>
    <w:rsid w:val="00D33851"/>
    <w:rsid w:val="00D3385C"/>
    <w:rsid w:val="00D33DDF"/>
    <w:rsid w:val="00D340E2"/>
    <w:rsid w:val="00D34DF6"/>
    <w:rsid w:val="00D35277"/>
    <w:rsid w:val="00D35C6B"/>
    <w:rsid w:val="00D35DC1"/>
    <w:rsid w:val="00D35E80"/>
    <w:rsid w:val="00D36018"/>
    <w:rsid w:val="00D36242"/>
    <w:rsid w:val="00D36251"/>
    <w:rsid w:val="00D36887"/>
    <w:rsid w:val="00D369BC"/>
    <w:rsid w:val="00D37105"/>
    <w:rsid w:val="00D37563"/>
    <w:rsid w:val="00D379EB"/>
    <w:rsid w:val="00D400B8"/>
    <w:rsid w:val="00D4022C"/>
    <w:rsid w:val="00D40916"/>
    <w:rsid w:val="00D40962"/>
    <w:rsid w:val="00D40B13"/>
    <w:rsid w:val="00D41023"/>
    <w:rsid w:val="00D41050"/>
    <w:rsid w:val="00D4141A"/>
    <w:rsid w:val="00D4158A"/>
    <w:rsid w:val="00D41B4F"/>
    <w:rsid w:val="00D41C6C"/>
    <w:rsid w:val="00D41D53"/>
    <w:rsid w:val="00D42047"/>
    <w:rsid w:val="00D422B0"/>
    <w:rsid w:val="00D42465"/>
    <w:rsid w:val="00D4275B"/>
    <w:rsid w:val="00D42E5B"/>
    <w:rsid w:val="00D43648"/>
    <w:rsid w:val="00D43984"/>
    <w:rsid w:val="00D439D1"/>
    <w:rsid w:val="00D43C68"/>
    <w:rsid w:val="00D444B2"/>
    <w:rsid w:val="00D45038"/>
    <w:rsid w:val="00D45101"/>
    <w:rsid w:val="00D453E4"/>
    <w:rsid w:val="00D46678"/>
    <w:rsid w:val="00D46A17"/>
    <w:rsid w:val="00D46B81"/>
    <w:rsid w:val="00D47226"/>
    <w:rsid w:val="00D4742E"/>
    <w:rsid w:val="00D502F8"/>
    <w:rsid w:val="00D503E5"/>
    <w:rsid w:val="00D508BE"/>
    <w:rsid w:val="00D50B21"/>
    <w:rsid w:val="00D50CE9"/>
    <w:rsid w:val="00D51349"/>
    <w:rsid w:val="00D516F8"/>
    <w:rsid w:val="00D51D06"/>
    <w:rsid w:val="00D521DE"/>
    <w:rsid w:val="00D524CA"/>
    <w:rsid w:val="00D526C8"/>
    <w:rsid w:val="00D527AF"/>
    <w:rsid w:val="00D52853"/>
    <w:rsid w:val="00D529E1"/>
    <w:rsid w:val="00D52D09"/>
    <w:rsid w:val="00D534C2"/>
    <w:rsid w:val="00D5410F"/>
    <w:rsid w:val="00D54461"/>
    <w:rsid w:val="00D54AFD"/>
    <w:rsid w:val="00D54EA3"/>
    <w:rsid w:val="00D54F60"/>
    <w:rsid w:val="00D5514A"/>
    <w:rsid w:val="00D5574D"/>
    <w:rsid w:val="00D564AE"/>
    <w:rsid w:val="00D564DF"/>
    <w:rsid w:val="00D56BDA"/>
    <w:rsid w:val="00D56CF0"/>
    <w:rsid w:val="00D56FAA"/>
    <w:rsid w:val="00D576DD"/>
    <w:rsid w:val="00D57CB4"/>
    <w:rsid w:val="00D61477"/>
    <w:rsid w:val="00D61764"/>
    <w:rsid w:val="00D619E2"/>
    <w:rsid w:val="00D61E89"/>
    <w:rsid w:val="00D62036"/>
    <w:rsid w:val="00D620CC"/>
    <w:rsid w:val="00D6223F"/>
    <w:rsid w:val="00D6253E"/>
    <w:rsid w:val="00D62F1C"/>
    <w:rsid w:val="00D63305"/>
    <w:rsid w:val="00D634B8"/>
    <w:rsid w:val="00D63EF3"/>
    <w:rsid w:val="00D63F6C"/>
    <w:rsid w:val="00D6407C"/>
    <w:rsid w:val="00D642F4"/>
    <w:rsid w:val="00D64441"/>
    <w:rsid w:val="00D6449E"/>
    <w:rsid w:val="00D645D9"/>
    <w:rsid w:val="00D64DF1"/>
    <w:rsid w:val="00D64FA4"/>
    <w:rsid w:val="00D6511E"/>
    <w:rsid w:val="00D65497"/>
    <w:rsid w:val="00D654DA"/>
    <w:rsid w:val="00D6609E"/>
    <w:rsid w:val="00D661DD"/>
    <w:rsid w:val="00D66562"/>
    <w:rsid w:val="00D66AC3"/>
    <w:rsid w:val="00D678E2"/>
    <w:rsid w:val="00D67A9F"/>
    <w:rsid w:val="00D67C20"/>
    <w:rsid w:val="00D70034"/>
    <w:rsid w:val="00D7033F"/>
    <w:rsid w:val="00D70C1B"/>
    <w:rsid w:val="00D70CCA"/>
    <w:rsid w:val="00D70E5C"/>
    <w:rsid w:val="00D71014"/>
    <w:rsid w:val="00D71045"/>
    <w:rsid w:val="00D713F5"/>
    <w:rsid w:val="00D7146C"/>
    <w:rsid w:val="00D718CD"/>
    <w:rsid w:val="00D7364A"/>
    <w:rsid w:val="00D7365C"/>
    <w:rsid w:val="00D7416F"/>
    <w:rsid w:val="00D7453E"/>
    <w:rsid w:val="00D74592"/>
    <w:rsid w:val="00D755F2"/>
    <w:rsid w:val="00D76197"/>
    <w:rsid w:val="00D762AC"/>
    <w:rsid w:val="00D7712C"/>
    <w:rsid w:val="00D77222"/>
    <w:rsid w:val="00D775E7"/>
    <w:rsid w:val="00D777D5"/>
    <w:rsid w:val="00D777E7"/>
    <w:rsid w:val="00D77813"/>
    <w:rsid w:val="00D77B9E"/>
    <w:rsid w:val="00D77CD6"/>
    <w:rsid w:val="00D80534"/>
    <w:rsid w:val="00D818AB"/>
    <w:rsid w:val="00D81A7C"/>
    <w:rsid w:val="00D81CA9"/>
    <w:rsid w:val="00D81E4E"/>
    <w:rsid w:val="00D82203"/>
    <w:rsid w:val="00D822C4"/>
    <w:rsid w:val="00D83707"/>
    <w:rsid w:val="00D837A6"/>
    <w:rsid w:val="00D839D8"/>
    <w:rsid w:val="00D83F9E"/>
    <w:rsid w:val="00D840C2"/>
    <w:rsid w:val="00D84207"/>
    <w:rsid w:val="00D84562"/>
    <w:rsid w:val="00D84D2E"/>
    <w:rsid w:val="00D85000"/>
    <w:rsid w:val="00D85685"/>
    <w:rsid w:val="00D85882"/>
    <w:rsid w:val="00D85C16"/>
    <w:rsid w:val="00D86169"/>
    <w:rsid w:val="00D862E7"/>
    <w:rsid w:val="00D8669F"/>
    <w:rsid w:val="00D86990"/>
    <w:rsid w:val="00D8717B"/>
    <w:rsid w:val="00D8732E"/>
    <w:rsid w:val="00D8765A"/>
    <w:rsid w:val="00D87BFD"/>
    <w:rsid w:val="00D90BA5"/>
    <w:rsid w:val="00D90CEF"/>
    <w:rsid w:val="00D91294"/>
    <w:rsid w:val="00D913EB"/>
    <w:rsid w:val="00D9152D"/>
    <w:rsid w:val="00D9186A"/>
    <w:rsid w:val="00D92432"/>
    <w:rsid w:val="00D92773"/>
    <w:rsid w:val="00D92D3F"/>
    <w:rsid w:val="00D92D47"/>
    <w:rsid w:val="00D93BE7"/>
    <w:rsid w:val="00D94213"/>
    <w:rsid w:val="00D9427A"/>
    <w:rsid w:val="00D94453"/>
    <w:rsid w:val="00D94976"/>
    <w:rsid w:val="00D94BEB"/>
    <w:rsid w:val="00D94E48"/>
    <w:rsid w:val="00D94EA5"/>
    <w:rsid w:val="00D94F69"/>
    <w:rsid w:val="00D95F32"/>
    <w:rsid w:val="00D973A2"/>
    <w:rsid w:val="00D975F4"/>
    <w:rsid w:val="00DA0214"/>
    <w:rsid w:val="00DA024A"/>
    <w:rsid w:val="00DA07EE"/>
    <w:rsid w:val="00DA0A58"/>
    <w:rsid w:val="00DA0A59"/>
    <w:rsid w:val="00DA0F87"/>
    <w:rsid w:val="00DA1C85"/>
    <w:rsid w:val="00DA1CC9"/>
    <w:rsid w:val="00DA2A67"/>
    <w:rsid w:val="00DA2C81"/>
    <w:rsid w:val="00DA2E58"/>
    <w:rsid w:val="00DA3050"/>
    <w:rsid w:val="00DA328E"/>
    <w:rsid w:val="00DA3AA6"/>
    <w:rsid w:val="00DA3E54"/>
    <w:rsid w:val="00DA408C"/>
    <w:rsid w:val="00DA42C0"/>
    <w:rsid w:val="00DA46C1"/>
    <w:rsid w:val="00DA5BD2"/>
    <w:rsid w:val="00DA5C96"/>
    <w:rsid w:val="00DA5FAD"/>
    <w:rsid w:val="00DA6463"/>
    <w:rsid w:val="00DA6913"/>
    <w:rsid w:val="00DA70DD"/>
    <w:rsid w:val="00DA7C13"/>
    <w:rsid w:val="00DB06E1"/>
    <w:rsid w:val="00DB088F"/>
    <w:rsid w:val="00DB0B4A"/>
    <w:rsid w:val="00DB1487"/>
    <w:rsid w:val="00DB168E"/>
    <w:rsid w:val="00DB19B4"/>
    <w:rsid w:val="00DB19F1"/>
    <w:rsid w:val="00DB1F04"/>
    <w:rsid w:val="00DB23B7"/>
    <w:rsid w:val="00DB26AE"/>
    <w:rsid w:val="00DB291E"/>
    <w:rsid w:val="00DB2DFC"/>
    <w:rsid w:val="00DB3884"/>
    <w:rsid w:val="00DB40C3"/>
    <w:rsid w:val="00DB41EA"/>
    <w:rsid w:val="00DB4258"/>
    <w:rsid w:val="00DB4411"/>
    <w:rsid w:val="00DB466D"/>
    <w:rsid w:val="00DB4C3D"/>
    <w:rsid w:val="00DB50EA"/>
    <w:rsid w:val="00DB5471"/>
    <w:rsid w:val="00DB5FD0"/>
    <w:rsid w:val="00DB6051"/>
    <w:rsid w:val="00DB6851"/>
    <w:rsid w:val="00DB7054"/>
    <w:rsid w:val="00DB709F"/>
    <w:rsid w:val="00DB7352"/>
    <w:rsid w:val="00DB7395"/>
    <w:rsid w:val="00DB75C2"/>
    <w:rsid w:val="00DB776B"/>
    <w:rsid w:val="00DB7B24"/>
    <w:rsid w:val="00DB7E2C"/>
    <w:rsid w:val="00DC027B"/>
    <w:rsid w:val="00DC05A6"/>
    <w:rsid w:val="00DC0A64"/>
    <w:rsid w:val="00DC0C1E"/>
    <w:rsid w:val="00DC0FC4"/>
    <w:rsid w:val="00DC1612"/>
    <w:rsid w:val="00DC198F"/>
    <w:rsid w:val="00DC1B9A"/>
    <w:rsid w:val="00DC2344"/>
    <w:rsid w:val="00DC2E4F"/>
    <w:rsid w:val="00DC32E9"/>
    <w:rsid w:val="00DC35F7"/>
    <w:rsid w:val="00DC384C"/>
    <w:rsid w:val="00DC3C7E"/>
    <w:rsid w:val="00DC40C4"/>
    <w:rsid w:val="00DC4AFD"/>
    <w:rsid w:val="00DC4D87"/>
    <w:rsid w:val="00DC4D8A"/>
    <w:rsid w:val="00DC4FD7"/>
    <w:rsid w:val="00DC5BE1"/>
    <w:rsid w:val="00DC65A1"/>
    <w:rsid w:val="00DC6DF6"/>
    <w:rsid w:val="00DC72E3"/>
    <w:rsid w:val="00DC7BF0"/>
    <w:rsid w:val="00DC7BFE"/>
    <w:rsid w:val="00DD08C7"/>
    <w:rsid w:val="00DD1386"/>
    <w:rsid w:val="00DD1523"/>
    <w:rsid w:val="00DD1A10"/>
    <w:rsid w:val="00DD1A62"/>
    <w:rsid w:val="00DD1DBB"/>
    <w:rsid w:val="00DD200D"/>
    <w:rsid w:val="00DD2446"/>
    <w:rsid w:val="00DD25FF"/>
    <w:rsid w:val="00DD2990"/>
    <w:rsid w:val="00DD2FE9"/>
    <w:rsid w:val="00DD3541"/>
    <w:rsid w:val="00DD3A7E"/>
    <w:rsid w:val="00DD3BF9"/>
    <w:rsid w:val="00DD4255"/>
    <w:rsid w:val="00DD434E"/>
    <w:rsid w:val="00DD4402"/>
    <w:rsid w:val="00DD45C6"/>
    <w:rsid w:val="00DD465E"/>
    <w:rsid w:val="00DD4C01"/>
    <w:rsid w:val="00DD4F27"/>
    <w:rsid w:val="00DD53ED"/>
    <w:rsid w:val="00DD55DE"/>
    <w:rsid w:val="00DD56F3"/>
    <w:rsid w:val="00DD5700"/>
    <w:rsid w:val="00DD5824"/>
    <w:rsid w:val="00DD60CE"/>
    <w:rsid w:val="00DD60D0"/>
    <w:rsid w:val="00DD6200"/>
    <w:rsid w:val="00DD686C"/>
    <w:rsid w:val="00DD6E86"/>
    <w:rsid w:val="00DE0E5D"/>
    <w:rsid w:val="00DE0F26"/>
    <w:rsid w:val="00DE1288"/>
    <w:rsid w:val="00DE1994"/>
    <w:rsid w:val="00DE1F74"/>
    <w:rsid w:val="00DE2414"/>
    <w:rsid w:val="00DE2DE1"/>
    <w:rsid w:val="00DE359B"/>
    <w:rsid w:val="00DE35D5"/>
    <w:rsid w:val="00DE373A"/>
    <w:rsid w:val="00DE3BDD"/>
    <w:rsid w:val="00DE3C47"/>
    <w:rsid w:val="00DE447F"/>
    <w:rsid w:val="00DE48F0"/>
    <w:rsid w:val="00DE490D"/>
    <w:rsid w:val="00DE4A77"/>
    <w:rsid w:val="00DE4D8A"/>
    <w:rsid w:val="00DE5369"/>
    <w:rsid w:val="00DE58B3"/>
    <w:rsid w:val="00DE68EE"/>
    <w:rsid w:val="00DE6D24"/>
    <w:rsid w:val="00DE6E33"/>
    <w:rsid w:val="00DE6E84"/>
    <w:rsid w:val="00DE7285"/>
    <w:rsid w:val="00DE7A60"/>
    <w:rsid w:val="00DE7C40"/>
    <w:rsid w:val="00DE7CF5"/>
    <w:rsid w:val="00DF039A"/>
    <w:rsid w:val="00DF0ABC"/>
    <w:rsid w:val="00DF0EA5"/>
    <w:rsid w:val="00DF133D"/>
    <w:rsid w:val="00DF187A"/>
    <w:rsid w:val="00DF1F1D"/>
    <w:rsid w:val="00DF23A5"/>
    <w:rsid w:val="00DF26D2"/>
    <w:rsid w:val="00DF2F90"/>
    <w:rsid w:val="00DF3AAE"/>
    <w:rsid w:val="00DF4586"/>
    <w:rsid w:val="00DF4905"/>
    <w:rsid w:val="00DF4C6E"/>
    <w:rsid w:val="00DF50B2"/>
    <w:rsid w:val="00DF5560"/>
    <w:rsid w:val="00DF5744"/>
    <w:rsid w:val="00DF59BB"/>
    <w:rsid w:val="00DF5A29"/>
    <w:rsid w:val="00DF5CA4"/>
    <w:rsid w:val="00DF6666"/>
    <w:rsid w:val="00DF745E"/>
    <w:rsid w:val="00DF762E"/>
    <w:rsid w:val="00E00019"/>
    <w:rsid w:val="00E0044E"/>
    <w:rsid w:val="00E00816"/>
    <w:rsid w:val="00E0224C"/>
    <w:rsid w:val="00E0239F"/>
    <w:rsid w:val="00E0267B"/>
    <w:rsid w:val="00E02E70"/>
    <w:rsid w:val="00E03A6C"/>
    <w:rsid w:val="00E04041"/>
    <w:rsid w:val="00E04441"/>
    <w:rsid w:val="00E04846"/>
    <w:rsid w:val="00E04B19"/>
    <w:rsid w:val="00E05805"/>
    <w:rsid w:val="00E05ADD"/>
    <w:rsid w:val="00E05F03"/>
    <w:rsid w:val="00E05F74"/>
    <w:rsid w:val="00E060A5"/>
    <w:rsid w:val="00E06297"/>
    <w:rsid w:val="00E06370"/>
    <w:rsid w:val="00E06B7B"/>
    <w:rsid w:val="00E06E20"/>
    <w:rsid w:val="00E07D1E"/>
    <w:rsid w:val="00E07DD9"/>
    <w:rsid w:val="00E07E0D"/>
    <w:rsid w:val="00E102F8"/>
    <w:rsid w:val="00E10494"/>
    <w:rsid w:val="00E105BB"/>
    <w:rsid w:val="00E1073E"/>
    <w:rsid w:val="00E108EA"/>
    <w:rsid w:val="00E10E08"/>
    <w:rsid w:val="00E11D8F"/>
    <w:rsid w:val="00E11EA3"/>
    <w:rsid w:val="00E129AC"/>
    <w:rsid w:val="00E12FCF"/>
    <w:rsid w:val="00E13273"/>
    <w:rsid w:val="00E13379"/>
    <w:rsid w:val="00E138A7"/>
    <w:rsid w:val="00E139EE"/>
    <w:rsid w:val="00E14525"/>
    <w:rsid w:val="00E14D83"/>
    <w:rsid w:val="00E14FA6"/>
    <w:rsid w:val="00E1590E"/>
    <w:rsid w:val="00E1592A"/>
    <w:rsid w:val="00E15A0D"/>
    <w:rsid w:val="00E15B8D"/>
    <w:rsid w:val="00E15FC6"/>
    <w:rsid w:val="00E16640"/>
    <w:rsid w:val="00E16B19"/>
    <w:rsid w:val="00E16CE8"/>
    <w:rsid w:val="00E1740F"/>
    <w:rsid w:val="00E200CF"/>
    <w:rsid w:val="00E21398"/>
    <w:rsid w:val="00E22E89"/>
    <w:rsid w:val="00E23535"/>
    <w:rsid w:val="00E237C7"/>
    <w:rsid w:val="00E237EF"/>
    <w:rsid w:val="00E24287"/>
    <w:rsid w:val="00E25573"/>
    <w:rsid w:val="00E258B8"/>
    <w:rsid w:val="00E25FE3"/>
    <w:rsid w:val="00E261F0"/>
    <w:rsid w:val="00E2675D"/>
    <w:rsid w:val="00E27C34"/>
    <w:rsid w:val="00E30193"/>
    <w:rsid w:val="00E303FB"/>
    <w:rsid w:val="00E310F8"/>
    <w:rsid w:val="00E31367"/>
    <w:rsid w:val="00E31471"/>
    <w:rsid w:val="00E3181C"/>
    <w:rsid w:val="00E31BB2"/>
    <w:rsid w:val="00E328E1"/>
    <w:rsid w:val="00E32EF3"/>
    <w:rsid w:val="00E3320C"/>
    <w:rsid w:val="00E33629"/>
    <w:rsid w:val="00E336E3"/>
    <w:rsid w:val="00E33BD1"/>
    <w:rsid w:val="00E33E21"/>
    <w:rsid w:val="00E34BC4"/>
    <w:rsid w:val="00E34EF6"/>
    <w:rsid w:val="00E34F89"/>
    <w:rsid w:val="00E3540C"/>
    <w:rsid w:val="00E3582D"/>
    <w:rsid w:val="00E35CDB"/>
    <w:rsid w:val="00E35FF5"/>
    <w:rsid w:val="00E36187"/>
    <w:rsid w:val="00E36332"/>
    <w:rsid w:val="00E36C9B"/>
    <w:rsid w:val="00E372F7"/>
    <w:rsid w:val="00E37533"/>
    <w:rsid w:val="00E37638"/>
    <w:rsid w:val="00E37B8D"/>
    <w:rsid w:val="00E37E9D"/>
    <w:rsid w:val="00E37EE3"/>
    <w:rsid w:val="00E4032F"/>
    <w:rsid w:val="00E40361"/>
    <w:rsid w:val="00E40442"/>
    <w:rsid w:val="00E40918"/>
    <w:rsid w:val="00E41039"/>
    <w:rsid w:val="00E415A1"/>
    <w:rsid w:val="00E41852"/>
    <w:rsid w:val="00E41934"/>
    <w:rsid w:val="00E41B71"/>
    <w:rsid w:val="00E41C49"/>
    <w:rsid w:val="00E42569"/>
    <w:rsid w:val="00E428DF"/>
    <w:rsid w:val="00E434A0"/>
    <w:rsid w:val="00E43847"/>
    <w:rsid w:val="00E440D3"/>
    <w:rsid w:val="00E4441D"/>
    <w:rsid w:val="00E44D30"/>
    <w:rsid w:val="00E454A9"/>
    <w:rsid w:val="00E4597F"/>
    <w:rsid w:val="00E4698A"/>
    <w:rsid w:val="00E46CB7"/>
    <w:rsid w:val="00E46CD7"/>
    <w:rsid w:val="00E471A3"/>
    <w:rsid w:val="00E4723D"/>
    <w:rsid w:val="00E47469"/>
    <w:rsid w:val="00E47C7E"/>
    <w:rsid w:val="00E50514"/>
    <w:rsid w:val="00E5077C"/>
    <w:rsid w:val="00E509F7"/>
    <w:rsid w:val="00E50EC8"/>
    <w:rsid w:val="00E510C3"/>
    <w:rsid w:val="00E514D9"/>
    <w:rsid w:val="00E5159B"/>
    <w:rsid w:val="00E515AD"/>
    <w:rsid w:val="00E515C6"/>
    <w:rsid w:val="00E5166F"/>
    <w:rsid w:val="00E51BDA"/>
    <w:rsid w:val="00E52E0D"/>
    <w:rsid w:val="00E52FE2"/>
    <w:rsid w:val="00E537C5"/>
    <w:rsid w:val="00E53A24"/>
    <w:rsid w:val="00E54027"/>
    <w:rsid w:val="00E54629"/>
    <w:rsid w:val="00E54715"/>
    <w:rsid w:val="00E549FE"/>
    <w:rsid w:val="00E54D6B"/>
    <w:rsid w:val="00E54E6F"/>
    <w:rsid w:val="00E55161"/>
    <w:rsid w:val="00E55338"/>
    <w:rsid w:val="00E566EB"/>
    <w:rsid w:val="00E569AF"/>
    <w:rsid w:val="00E56E79"/>
    <w:rsid w:val="00E57349"/>
    <w:rsid w:val="00E5774E"/>
    <w:rsid w:val="00E577B0"/>
    <w:rsid w:val="00E57CBB"/>
    <w:rsid w:val="00E57EAE"/>
    <w:rsid w:val="00E57EEB"/>
    <w:rsid w:val="00E60318"/>
    <w:rsid w:val="00E60BA8"/>
    <w:rsid w:val="00E60D3A"/>
    <w:rsid w:val="00E60E6A"/>
    <w:rsid w:val="00E6116D"/>
    <w:rsid w:val="00E6127D"/>
    <w:rsid w:val="00E61E25"/>
    <w:rsid w:val="00E61E28"/>
    <w:rsid w:val="00E62426"/>
    <w:rsid w:val="00E62695"/>
    <w:rsid w:val="00E6275F"/>
    <w:rsid w:val="00E628E4"/>
    <w:rsid w:val="00E62FA5"/>
    <w:rsid w:val="00E64453"/>
    <w:rsid w:val="00E647F7"/>
    <w:rsid w:val="00E64CFA"/>
    <w:rsid w:val="00E64EAB"/>
    <w:rsid w:val="00E65588"/>
    <w:rsid w:val="00E65FF5"/>
    <w:rsid w:val="00E66857"/>
    <w:rsid w:val="00E668D4"/>
    <w:rsid w:val="00E66DC2"/>
    <w:rsid w:val="00E673EA"/>
    <w:rsid w:val="00E67556"/>
    <w:rsid w:val="00E679C5"/>
    <w:rsid w:val="00E70257"/>
    <w:rsid w:val="00E70E8A"/>
    <w:rsid w:val="00E71225"/>
    <w:rsid w:val="00E71A18"/>
    <w:rsid w:val="00E7252F"/>
    <w:rsid w:val="00E7255C"/>
    <w:rsid w:val="00E72F4A"/>
    <w:rsid w:val="00E737C1"/>
    <w:rsid w:val="00E73FC2"/>
    <w:rsid w:val="00E740FC"/>
    <w:rsid w:val="00E74481"/>
    <w:rsid w:val="00E74517"/>
    <w:rsid w:val="00E74707"/>
    <w:rsid w:val="00E74F13"/>
    <w:rsid w:val="00E750D8"/>
    <w:rsid w:val="00E755D7"/>
    <w:rsid w:val="00E7566D"/>
    <w:rsid w:val="00E766A6"/>
    <w:rsid w:val="00E76E91"/>
    <w:rsid w:val="00E774B4"/>
    <w:rsid w:val="00E778F5"/>
    <w:rsid w:val="00E802B1"/>
    <w:rsid w:val="00E80E7C"/>
    <w:rsid w:val="00E8119B"/>
    <w:rsid w:val="00E8166D"/>
    <w:rsid w:val="00E81779"/>
    <w:rsid w:val="00E81E76"/>
    <w:rsid w:val="00E81ED0"/>
    <w:rsid w:val="00E8205B"/>
    <w:rsid w:val="00E82444"/>
    <w:rsid w:val="00E82B1C"/>
    <w:rsid w:val="00E82F52"/>
    <w:rsid w:val="00E83014"/>
    <w:rsid w:val="00E8341C"/>
    <w:rsid w:val="00E837CA"/>
    <w:rsid w:val="00E83ACD"/>
    <w:rsid w:val="00E840B8"/>
    <w:rsid w:val="00E84885"/>
    <w:rsid w:val="00E8559A"/>
    <w:rsid w:val="00E8602B"/>
    <w:rsid w:val="00E86B5F"/>
    <w:rsid w:val="00E87647"/>
    <w:rsid w:val="00E87D05"/>
    <w:rsid w:val="00E90A6A"/>
    <w:rsid w:val="00E9109C"/>
    <w:rsid w:val="00E914F3"/>
    <w:rsid w:val="00E91614"/>
    <w:rsid w:val="00E91F96"/>
    <w:rsid w:val="00E925E0"/>
    <w:rsid w:val="00E92E99"/>
    <w:rsid w:val="00E932FF"/>
    <w:rsid w:val="00E94E00"/>
    <w:rsid w:val="00E9503E"/>
    <w:rsid w:val="00E95B5D"/>
    <w:rsid w:val="00E95BED"/>
    <w:rsid w:val="00E96305"/>
    <w:rsid w:val="00E968FD"/>
    <w:rsid w:val="00E96D55"/>
    <w:rsid w:val="00E97993"/>
    <w:rsid w:val="00EA04B5"/>
    <w:rsid w:val="00EA09D9"/>
    <w:rsid w:val="00EA0AD8"/>
    <w:rsid w:val="00EA0D5D"/>
    <w:rsid w:val="00EA1192"/>
    <w:rsid w:val="00EA153F"/>
    <w:rsid w:val="00EA1847"/>
    <w:rsid w:val="00EA1B57"/>
    <w:rsid w:val="00EA2332"/>
    <w:rsid w:val="00EA2788"/>
    <w:rsid w:val="00EA2A9F"/>
    <w:rsid w:val="00EA2C6E"/>
    <w:rsid w:val="00EA38EB"/>
    <w:rsid w:val="00EA4155"/>
    <w:rsid w:val="00EA4192"/>
    <w:rsid w:val="00EA46DB"/>
    <w:rsid w:val="00EA4964"/>
    <w:rsid w:val="00EA4C95"/>
    <w:rsid w:val="00EA4F1A"/>
    <w:rsid w:val="00EA5F1E"/>
    <w:rsid w:val="00EA6F03"/>
    <w:rsid w:val="00EA7331"/>
    <w:rsid w:val="00EA75D4"/>
    <w:rsid w:val="00EA788F"/>
    <w:rsid w:val="00EA7A64"/>
    <w:rsid w:val="00EA7CC8"/>
    <w:rsid w:val="00EB02DE"/>
    <w:rsid w:val="00EB0A07"/>
    <w:rsid w:val="00EB112F"/>
    <w:rsid w:val="00EB1630"/>
    <w:rsid w:val="00EB1B69"/>
    <w:rsid w:val="00EB1C78"/>
    <w:rsid w:val="00EB2AFA"/>
    <w:rsid w:val="00EB2C05"/>
    <w:rsid w:val="00EB2E04"/>
    <w:rsid w:val="00EB3B46"/>
    <w:rsid w:val="00EB44E1"/>
    <w:rsid w:val="00EB47DF"/>
    <w:rsid w:val="00EB48DD"/>
    <w:rsid w:val="00EB4B27"/>
    <w:rsid w:val="00EB4CE6"/>
    <w:rsid w:val="00EB4F08"/>
    <w:rsid w:val="00EB5660"/>
    <w:rsid w:val="00EB5B01"/>
    <w:rsid w:val="00EB5B5A"/>
    <w:rsid w:val="00EB5C04"/>
    <w:rsid w:val="00EB6723"/>
    <w:rsid w:val="00EB6876"/>
    <w:rsid w:val="00EB7C72"/>
    <w:rsid w:val="00EB7D48"/>
    <w:rsid w:val="00EC03D4"/>
    <w:rsid w:val="00EC0C5B"/>
    <w:rsid w:val="00EC107A"/>
    <w:rsid w:val="00EC1ADE"/>
    <w:rsid w:val="00EC208D"/>
    <w:rsid w:val="00EC215B"/>
    <w:rsid w:val="00EC2507"/>
    <w:rsid w:val="00EC256E"/>
    <w:rsid w:val="00EC2E07"/>
    <w:rsid w:val="00EC37D5"/>
    <w:rsid w:val="00EC43C7"/>
    <w:rsid w:val="00EC465D"/>
    <w:rsid w:val="00EC4A05"/>
    <w:rsid w:val="00EC5C89"/>
    <w:rsid w:val="00EC5CF6"/>
    <w:rsid w:val="00EC65E3"/>
    <w:rsid w:val="00EC66D2"/>
    <w:rsid w:val="00EC67E7"/>
    <w:rsid w:val="00EC69F8"/>
    <w:rsid w:val="00EC6DF4"/>
    <w:rsid w:val="00EC6FC8"/>
    <w:rsid w:val="00EC7410"/>
    <w:rsid w:val="00EC783C"/>
    <w:rsid w:val="00EC7884"/>
    <w:rsid w:val="00EC78FB"/>
    <w:rsid w:val="00ED021B"/>
    <w:rsid w:val="00ED044E"/>
    <w:rsid w:val="00ED0A1B"/>
    <w:rsid w:val="00ED0F71"/>
    <w:rsid w:val="00ED1FC1"/>
    <w:rsid w:val="00ED21BC"/>
    <w:rsid w:val="00ED2FEC"/>
    <w:rsid w:val="00ED3496"/>
    <w:rsid w:val="00ED3891"/>
    <w:rsid w:val="00ED3F67"/>
    <w:rsid w:val="00ED40CD"/>
    <w:rsid w:val="00ED43D7"/>
    <w:rsid w:val="00ED440A"/>
    <w:rsid w:val="00ED460D"/>
    <w:rsid w:val="00ED4F54"/>
    <w:rsid w:val="00ED50EA"/>
    <w:rsid w:val="00ED52C0"/>
    <w:rsid w:val="00ED5346"/>
    <w:rsid w:val="00ED66CC"/>
    <w:rsid w:val="00ED7971"/>
    <w:rsid w:val="00ED7E96"/>
    <w:rsid w:val="00EE0748"/>
    <w:rsid w:val="00EE089B"/>
    <w:rsid w:val="00EE1095"/>
    <w:rsid w:val="00EE15D6"/>
    <w:rsid w:val="00EE29A0"/>
    <w:rsid w:val="00EE2A4A"/>
    <w:rsid w:val="00EE2A60"/>
    <w:rsid w:val="00EE2CEA"/>
    <w:rsid w:val="00EE3365"/>
    <w:rsid w:val="00EE382D"/>
    <w:rsid w:val="00EE4591"/>
    <w:rsid w:val="00EE48DF"/>
    <w:rsid w:val="00EE4AB3"/>
    <w:rsid w:val="00EE570E"/>
    <w:rsid w:val="00EE6173"/>
    <w:rsid w:val="00EE6F32"/>
    <w:rsid w:val="00EE7405"/>
    <w:rsid w:val="00EE7FEA"/>
    <w:rsid w:val="00EF02EF"/>
    <w:rsid w:val="00EF033E"/>
    <w:rsid w:val="00EF06EC"/>
    <w:rsid w:val="00EF07BE"/>
    <w:rsid w:val="00EF07F1"/>
    <w:rsid w:val="00EF0874"/>
    <w:rsid w:val="00EF14FF"/>
    <w:rsid w:val="00EF267D"/>
    <w:rsid w:val="00EF27D9"/>
    <w:rsid w:val="00EF2BFE"/>
    <w:rsid w:val="00EF2D85"/>
    <w:rsid w:val="00EF2F96"/>
    <w:rsid w:val="00EF308E"/>
    <w:rsid w:val="00EF30BF"/>
    <w:rsid w:val="00EF357E"/>
    <w:rsid w:val="00EF3597"/>
    <w:rsid w:val="00EF402C"/>
    <w:rsid w:val="00EF45E0"/>
    <w:rsid w:val="00EF4E6F"/>
    <w:rsid w:val="00EF51BD"/>
    <w:rsid w:val="00EF5C82"/>
    <w:rsid w:val="00EF5FD7"/>
    <w:rsid w:val="00EF616E"/>
    <w:rsid w:val="00EF6439"/>
    <w:rsid w:val="00EF6D3C"/>
    <w:rsid w:val="00EF6FA7"/>
    <w:rsid w:val="00EF7A15"/>
    <w:rsid w:val="00F00F78"/>
    <w:rsid w:val="00F01F8C"/>
    <w:rsid w:val="00F02532"/>
    <w:rsid w:val="00F028F9"/>
    <w:rsid w:val="00F02D93"/>
    <w:rsid w:val="00F035A6"/>
    <w:rsid w:val="00F039F8"/>
    <w:rsid w:val="00F03BA2"/>
    <w:rsid w:val="00F04AD0"/>
    <w:rsid w:val="00F055F6"/>
    <w:rsid w:val="00F05ED3"/>
    <w:rsid w:val="00F06009"/>
    <w:rsid w:val="00F0621F"/>
    <w:rsid w:val="00F06709"/>
    <w:rsid w:val="00F07585"/>
    <w:rsid w:val="00F0786A"/>
    <w:rsid w:val="00F10033"/>
    <w:rsid w:val="00F10450"/>
    <w:rsid w:val="00F10848"/>
    <w:rsid w:val="00F10B68"/>
    <w:rsid w:val="00F1105D"/>
    <w:rsid w:val="00F11870"/>
    <w:rsid w:val="00F11F55"/>
    <w:rsid w:val="00F12D0E"/>
    <w:rsid w:val="00F12DEC"/>
    <w:rsid w:val="00F12FFA"/>
    <w:rsid w:val="00F13151"/>
    <w:rsid w:val="00F1327B"/>
    <w:rsid w:val="00F13A02"/>
    <w:rsid w:val="00F13AEC"/>
    <w:rsid w:val="00F14B13"/>
    <w:rsid w:val="00F15523"/>
    <w:rsid w:val="00F15F38"/>
    <w:rsid w:val="00F1600C"/>
    <w:rsid w:val="00F16309"/>
    <w:rsid w:val="00F16391"/>
    <w:rsid w:val="00F16904"/>
    <w:rsid w:val="00F16EAC"/>
    <w:rsid w:val="00F1779D"/>
    <w:rsid w:val="00F2062B"/>
    <w:rsid w:val="00F209DE"/>
    <w:rsid w:val="00F20B19"/>
    <w:rsid w:val="00F21A18"/>
    <w:rsid w:val="00F21E61"/>
    <w:rsid w:val="00F220EA"/>
    <w:rsid w:val="00F222CD"/>
    <w:rsid w:val="00F223A5"/>
    <w:rsid w:val="00F2245C"/>
    <w:rsid w:val="00F24EA4"/>
    <w:rsid w:val="00F25159"/>
    <w:rsid w:val="00F2582D"/>
    <w:rsid w:val="00F2625A"/>
    <w:rsid w:val="00F27597"/>
    <w:rsid w:val="00F31A03"/>
    <w:rsid w:val="00F31C15"/>
    <w:rsid w:val="00F31CEC"/>
    <w:rsid w:val="00F3283C"/>
    <w:rsid w:val="00F32B0E"/>
    <w:rsid w:val="00F32D0F"/>
    <w:rsid w:val="00F339C4"/>
    <w:rsid w:val="00F33A63"/>
    <w:rsid w:val="00F34004"/>
    <w:rsid w:val="00F343F0"/>
    <w:rsid w:val="00F34620"/>
    <w:rsid w:val="00F34804"/>
    <w:rsid w:val="00F34AAB"/>
    <w:rsid w:val="00F34C4D"/>
    <w:rsid w:val="00F350CF"/>
    <w:rsid w:val="00F35582"/>
    <w:rsid w:val="00F3568D"/>
    <w:rsid w:val="00F35A98"/>
    <w:rsid w:val="00F37004"/>
    <w:rsid w:val="00F37200"/>
    <w:rsid w:val="00F376A1"/>
    <w:rsid w:val="00F37B8E"/>
    <w:rsid w:val="00F37E50"/>
    <w:rsid w:val="00F40F2E"/>
    <w:rsid w:val="00F415F9"/>
    <w:rsid w:val="00F41746"/>
    <w:rsid w:val="00F41E79"/>
    <w:rsid w:val="00F4315F"/>
    <w:rsid w:val="00F4386D"/>
    <w:rsid w:val="00F44000"/>
    <w:rsid w:val="00F445AC"/>
    <w:rsid w:val="00F445F6"/>
    <w:rsid w:val="00F44B04"/>
    <w:rsid w:val="00F4512F"/>
    <w:rsid w:val="00F45763"/>
    <w:rsid w:val="00F45A5C"/>
    <w:rsid w:val="00F45BCF"/>
    <w:rsid w:val="00F45BEA"/>
    <w:rsid w:val="00F45CFE"/>
    <w:rsid w:val="00F46877"/>
    <w:rsid w:val="00F46B04"/>
    <w:rsid w:val="00F47F3E"/>
    <w:rsid w:val="00F47F76"/>
    <w:rsid w:val="00F506B7"/>
    <w:rsid w:val="00F50DA9"/>
    <w:rsid w:val="00F511B6"/>
    <w:rsid w:val="00F5120B"/>
    <w:rsid w:val="00F51793"/>
    <w:rsid w:val="00F522F1"/>
    <w:rsid w:val="00F52AD4"/>
    <w:rsid w:val="00F530E6"/>
    <w:rsid w:val="00F532C7"/>
    <w:rsid w:val="00F5380B"/>
    <w:rsid w:val="00F5393C"/>
    <w:rsid w:val="00F5416F"/>
    <w:rsid w:val="00F54929"/>
    <w:rsid w:val="00F549A4"/>
    <w:rsid w:val="00F54EE5"/>
    <w:rsid w:val="00F5504E"/>
    <w:rsid w:val="00F55358"/>
    <w:rsid w:val="00F55B5B"/>
    <w:rsid w:val="00F5603C"/>
    <w:rsid w:val="00F5605C"/>
    <w:rsid w:val="00F564B9"/>
    <w:rsid w:val="00F57522"/>
    <w:rsid w:val="00F57905"/>
    <w:rsid w:val="00F57909"/>
    <w:rsid w:val="00F57B94"/>
    <w:rsid w:val="00F6050E"/>
    <w:rsid w:val="00F609C0"/>
    <w:rsid w:val="00F6106F"/>
    <w:rsid w:val="00F612D6"/>
    <w:rsid w:val="00F61D27"/>
    <w:rsid w:val="00F6272A"/>
    <w:rsid w:val="00F63400"/>
    <w:rsid w:val="00F636C6"/>
    <w:rsid w:val="00F63BFE"/>
    <w:rsid w:val="00F63C17"/>
    <w:rsid w:val="00F63C2F"/>
    <w:rsid w:val="00F64211"/>
    <w:rsid w:val="00F64298"/>
    <w:rsid w:val="00F6433D"/>
    <w:rsid w:val="00F6486C"/>
    <w:rsid w:val="00F65363"/>
    <w:rsid w:val="00F6573E"/>
    <w:rsid w:val="00F65D3C"/>
    <w:rsid w:val="00F662EB"/>
    <w:rsid w:val="00F66FCE"/>
    <w:rsid w:val="00F67606"/>
    <w:rsid w:val="00F67B2E"/>
    <w:rsid w:val="00F67CD0"/>
    <w:rsid w:val="00F70327"/>
    <w:rsid w:val="00F70E7F"/>
    <w:rsid w:val="00F70FEF"/>
    <w:rsid w:val="00F72297"/>
    <w:rsid w:val="00F72FA8"/>
    <w:rsid w:val="00F73060"/>
    <w:rsid w:val="00F73419"/>
    <w:rsid w:val="00F75415"/>
    <w:rsid w:val="00F7583C"/>
    <w:rsid w:val="00F76599"/>
    <w:rsid w:val="00F76762"/>
    <w:rsid w:val="00F76EFE"/>
    <w:rsid w:val="00F773F9"/>
    <w:rsid w:val="00F77C6D"/>
    <w:rsid w:val="00F8010C"/>
    <w:rsid w:val="00F8024B"/>
    <w:rsid w:val="00F804E7"/>
    <w:rsid w:val="00F80A02"/>
    <w:rsid w:val="00F8101C"/>
    <w:rsid w:val="00F81027"/>
    <w:rsid w:val="00F81030"/>
    <w:rsid w:val="00F817B9"/>
    <w:rsid w:val="00F81CB7"/>
    <w:rsid w:val="00F82280"/>
    <w:rsid w:val="00F822B8"/>
    <w:rsid w:val="00F8235F"/>
    <w:rsid w:val="00F82949"/>
    <w:rsid w:val="00F8356C"/>
    <w:rsid w:val="00F83A22"/>
    <w:rsid w:val="00F83A97"/>
    <w:rsid w:val="00F83B42"/>
    <w:rsid w:val="00F843AF"/>
    <w:rsid w:val="00F844F0"/>
    <w:rsid w:val="00F84710"/>
    <w:rsid w:val="00F84895"/>
    <w:rsid w:val="00F84E9D"/>
    <w:rsid w:val="00F8626F"/>
    <w:rsid w:val="00F862EC"/>
    <w:rsid w:val="00F8659E"/>
    <w:rsid w:val="00F869CC"/>
    <w:rsid w:val="00F86CE4"/>
    <w:rsid w:val="00F86F42"/>
    <w:rsid w:val="00F87D39"/>
    <w:rsid w:val="00F90433"/>
    <w:rsid w:val="00F912F9"/>
    <w:rsid w:val="00F914B6"/>
    <w:rsid w:val="00F9152E"/>
    <w:rsid w:val="00F91828"/>
    <w:rsid w:val="00F91941"/>
    <w:rsid w:val="00F92E3F"/>
    <w:rsid w:val="00F93697"/>
    <w:rsid w:val="00F937A0"/>
    <w:rsid w:val="00F938D2"/>
    <w:rsid w:val="00F93BA9"/>
    <w:rsid w:val="00F9515E"/>
    <w:rsid w:val="00F959E2"/>
    <w:rsid w:val="00F95B9D"/>
    <w:rsid w:val="00F96057"/>
    <w:rsid w:val="00F960FF"/>
    <w:rsid w:val="00F96389"/>
    <w:rsid w:val="00F9650E"/>
    <w:rsid w:val="00F96B73"/>
    <w:rsid w:val="00F96D6E"/>
    <w:rsid w:val="00F96EA6"/>
    <w:rsid w:val="00F9755E"/>
    <w:rsid w:val="00F977C7"/>
    <w:rsid w:val="00F97C0B"/>
    <w:rsid w:val="00F97C96"/>
    <w:rsid w:val="00FA0890"/>
    <w:rsid w:val="00FA0BC3"/>
    <w:rsid w:val="00FA0BF5"/>
    <w:rsid w:val="00FA0CFA"/>
    <w:rsid w:val="00FA164A"/>
    <w:rsid w:val="00FA1959"/>
    <w:rsid w:val="00FA1D3C"/>
    <w:rsid w:val="00FA21DD"/>
    <w:rsid w:val="00FA251C"/>
    <w:rsid w:val="00FA2533"/>
    <w:rsid w:val="00FA261D"/>
    <w:rsid w:val="00FA2703"/>
    <w:rsid w:val="00FA3513"/>
    <w:rsid w:val="00FA3BFC"/>
    <w:rsid w:val="00FA3F3E"/>
    <w:rsid w:val="00FA4272"/>
    <w:rsid w:val="00FA4855"/>
    <w:rsid w:val="00FA4ACD"/>
    <w:rsid w:val="00FA55FF"/>
    <w:rsid w:val="00FA5F14"/>
    <w:rsid w:val="00FA6428"/>
    <w:rsid w:val="00FA6ADE"/>
    <w:rsid w:val="00FA6FB3"/>
    <w:rsid w:val="00FA6FDC"/>
    <w:rsid w:val="00FA7144"/>
    <w:rsid w:val="00FA7184"/>
    <w:rsid w:val="00FA794C"/>
    <w:rsid w:val="00FB0119"/>
    <w:rsid w:val="00FB08F3"/>
    <w:rsid w:val="00FB0D2F"/>
    <w:rsid w:val="00FB13A2"/>
    <w:rsid w:val="00FB1938"/>
    <w:rsid w:val="00FB1D9D"/>
    <w:rsid w:val="00FB1FFB"/>
    <w:rsid w:val="00FB250C"/>
    <w:rsid w:val="00FB3304"/>
    <w:rsid w:val="00FB433E"/>
    <w:rsid w:val="00FB46B8"/>
    <w:rsid w:val="00FB4A91"/>
    <w:rsid w:val="00FB4B38"/>
    <w:rsid w:val="00FB53A7"/>
    <w:rsid w:val="00FB54BB"/>
    <w:rsid w:val="00FB5AC0"/>
    <w:rsid w:val="00FB69A2"/>
    <w:rsid w:val="00FB6C91"/>
    <w:rsid w:val="00FB74E8"/>
    <w:rsid w:val="00FB7905"/>
    <w:rsid w:val="00FC0263"/>
    <w:rsid w:val="00FC0348"/>
    <w:rsid w:val="00FC0451"/>
    <w:rsid w:val="00FC0FB5"/>
    <w:rsid w:val="00FC102A"/>
    <w:rsid w:val="00FC154C"/>
    <w:rsid w:val="00FC172C"/>
    <w:rsid w:val="00FC1BA5"/>
    <w:rsid w:val="00FC1DBC"/>
    <w:rsid w:val="00FC1F0E"/>
    <w:rsid w:val="00FC2637"/>
    <w:rsid w:val="00FC28CA"/>
    <w:rsid w:val="00FC2B1A"/>
    <w:rsid w:val="00FC2DEC"/>
    <w:rsid w:val="00FC2E93"/>
    <w:rsid w:val="00FC32BC"/>
    <w:rsid w:val="00FC393B"/>
    <w:rsid w:val="00FC3A4C"/>
    <w:rsid w:val="00FC3FA9"/>
    <w:rsid w:val="00FC4052"/>
    <w:rsid w:val="00FC4330"/>
    <w:rsid w:val="00FC44DD"/>
    <w:rsid w:val="00FC47D9"/>
    <w:rsid w:val="00FC4EA6"/>
    <w:rsid w:val="00FC5252"/>
    <w:rsid w:val="00FC632E"/>
    <w:rsid w:val="00FC6356"/>
    <w:rsid w:val="00FC6408"/>
    <w:rsid w:val="00FC6AB3"/>
    <w:rsid w:val="00FC6C09"/>
    <w:rsid w:val="00FC79FF"/>
    <w:rsid w:val="00FC7D01"/>
    <w:rsid w:val="00FD0130"/>
    <w:rsid w:val="00FD0373"/>
    <w:rsid w:val="00FD04C8"/>
    <w:rsid w:val="00FD0582"/>
    <w:rsid w:val="00FD0852"/>
    <w:rsid w:val="00FD0C93"/>
    <w:rsid w:val="00FD0FD3"/>
    <w:rsid w:val="00FD1062"/>
    <w:rsid w:val="00FD1234"/>
    <w:rsid w:val="00FD1820"/>
    <w:rsid w:val="00FD197E"/>
    <w:rsid w:val="00FD2171"/>
    <w:rsid w:val="00FD2589"/>
    <w:rsid w:val="00FD2E66"/>
    <w:rsid w:val="00FD3EE6"/>
    <w:rsid w:val="00FD4196"/>
    <w:rsid w:val="00FD41D5"/>
    <w:rsid w:val="00FD4876"/>
    <w:rsid w:val="00FD49AF"/>
    <w:rsid w:val="00FD4B73"/>
    <w:rsid w:val="00FD50A6"/>
    <w:rsid w:val="00FD525B"/>
    <w:rsid w:val="00FD52A3"/>
    <w:rsid w:val="00FD5394"/>
    <w:rsid w:val="00FD58B9"/>
    <w:rsid w:val="00FD6140"/>
    <w:rsid w:val="00FD67D9"/>
    <w:rsid w:val="00FD68D4"/>
    <w:rsid w:val="00FD6D0D"/>
    <w:rsid w:val="00FE00D9"/>
    <w:rsid w:val="00FE0699"/>
    <w:rsid w:val="00FE1186"/>
    <w:rsid w:val="00FE177A"/>
    <w:rsid w:val="00FE1FC5"/>
    <w:rsid w:val="00FE240A"/>
    <w:rsid w:val="00FE28CD"/>
    <w:rsid w:val="00FE2A46"/>
    <w:rsid w:val="00FE3C87"/>
    <w:rsid w:val="00FE3E3C"/>
    <w:rsid w:val="00FE419B"/>
    <w:rsid w:val="00FE43B1"/>
    <w:rsid w:val="00FE43E7"/>
    <w:rsid w:val="00FE44FC"/>
    <w:rsid w:val="00FE48EB"/>
    <w:rsid w:val="00FE4B37"/>
    <w:rsid w:val="00FE4B66"/>
    <w:rsid w:val="00FE4DFE"/>
    <w:rsid w:val="00FE4F18"/>
    <w:rsid w:val="00FE4F6E"/>
    <w:rsid w:val="00FE5202"/>
    <w:rsid w:val="00FE583F"/>
    <w:rsid w:val="00FE5B49"/>
    <w:rsid w:val="00FE5CC4"/>
    <w:rsid w:val="00FE5CE0"/>
    <w:rsid w:val="00FE6B13"/>
    <w:rsid w:val="00FE7437"/>
    <w:rsid w:val="00FE7575"/>
    <w:rsid w:val="00FF1070"/>
    <w:rsid w:val="00FF1203"/>
    <w:rsid w:val="00FF13E2"/>
    <w:rsid w:val="00FF1951"/>
    <w:rsid w:val="00FF1A27"/>
    <w:rsid w:val="00FF1A42"/>
    <w:rsid w:val="00FF2237"/>
    <w:rsid w:val="00FF2934"/>
    <w:rsid w:val="00FF3399"/>
    <w:rsid w:val="00FF343E"/>
    <w:rsid w:val="00FF3645"/>
    <w:rsid w:val="00FF409E"/>
    <w:rsid w:val="00FF41D2"/>
    <w:rsid w:val="00FF48E7"/>
    <w:rsid w:val="00FF4953"/>
    <w:rsid w:val="00FF4DBA"/>
    <w:rsid w:val="00FF5728"/>
    <w:rsid w:val="00FF5FA3"/>
    <w:rsid w:val="00FF5FCE"/>
    <w:rsid w:val="00FF6177"/>
    <w:rsid w:val="00FF6AD9"/>
    <w:rsid w:val="00FF702B"/>
    <w:rsid w:val="00FF76E5"/>
    <w:rsid w:val="00FF7AF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2E81C"/>
  <w15:chartTrackingRefBased/>
  <w15:docId w15:val="{01967ECC-CCDD-406C-9A48-48930E34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Plain Text" w:uiPriority="99"/>
    <w:lsdException w:name="Normal (Web)"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3FB"/>
    <w:rPr>
      <w:sz w:val="24"/>
      <w:szCs w:val="24"/>
    </w:rPr>
  </w:style>
  <w:style w:type="paragraph" w:styleId="Heading1">
    <w:name w:val="heading 1"/>
    <w:basedOn w:val="Normal"/>
    <w:link w:val="Heading1Char"/>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3">
    <w:name w:val="heading 3"/>
    <w:basedOn w:val="Normal"/>
    <w:next w:val="Normal"/>
    <w:link w:val="Heading3Char"/>
    <w:qFormat/>
    <w:locked/>
    <w:rsid w:val="005141E9"/>
    <w:pPr>
      <w:keepNext/>
      <w:spacing w:before="240" w:after="60"/>
      <w:outlineLvl w:val="2"/>
    </w:pPr>
    <w:rPr>
      <w:rFonts w:ascii="Calibri Light" w:hAnsi="Calibri Light"/>
      <w:b/>
      <w:bCs/>
      <w:sz w:val="26"/>
      <w:szCs w:val="26"/>
    </w:rPr>
  </w:style>
  <w:style w:type="paragraph" w:styleId="Heading4">
    <w:name w:val="heading 4"/>
    <w:basedOn w:val="Normal"/>
    <w:next w:val="Normal"/>
    <w:qFormat/>
    <w:locked/>
    <w:rsid w:val="003F7A7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4826"/>
    <w:rPr>
      <w:rFonts w:ascii="Cambria" w:hAnsi="Cambria" w:cs="Times New Roman"/>
      <w:b/>
      <w:bCs/>
      <w:color w:val="365F91"/>
      <w:sz w:val="28"/>
      <w:szCs w:val="28"/>
    </w:rPr>
  </w:style>
  <w:style w:type="character" w:styleId="Hyperlink">
    <w:name w:val="Hyperlink"/>
    <w:rsid w:val="00944826"/>
    <w:rPr>
      <w:rFonts w:cs="Times New Roman"/>
      <w:color w:val="0000FF"/>
      <w:u w:val="single"/>
    </w:rPr>
  </w:style>
  <w:style w:type="character" w:styleId="FollowedHyperlink">
    <w:name w:val="FollowedHyperlink"/>
    <w:semiHidden/>
    <w:rsid w:val="00944826"/>
    <w:rPr>
      <w:rFonts w:cs="Times New Roman"/>
      <w:color w:val="800080"/>
      <w:u w:val="single"/>
    </w:rPr>
  </w:style>
  <w:style w:type="paragraph" w:customStyle="1" w:styleId="h1">
    <w:name w:val="h1"/>
    <w:basedOn w:val="Normal"/>
    <w:rsid w:val="00944826"/>
    <w:pPr>
      <w:spacing w:after="150"/>
    </w:pPr>
    <w:rPr>
      <w:color w:val="306060"/>
      <w:sz w:val="31"/>
      <w:szCs w:val="31"/>
    </w:rPr>
  </w:style>
  <w:style w:type="paragraph" w:customStyle="1" w:styleId="h2">
    <w:name w:val="h2"/>
    <w:basedOn w:val="Normal"/>
    <w:rsid w:val="00944826"/>
    <w:pPr>
      <w:spacing w:before="100" w:beforeAutospacing="1" w:after="100" w:afterAutospacing="1"/>
    </w:pPr>
    <w:rPr>
      <w:color w:val="306060"/>
    </w:rPr>
  </w:style>
  <w:style w:type="paragraph" w:customStyle="1" w:styleId="a">
    <w:name w:val="a"/>
    <w:basedOn w:val="Normal"/>
    <w:rsid w:val="00944826"/>
    <w:pPr>
      <w:spacing w:before="100" w:beforeAutospacing="1" w:after="100" w:afterAutospacing="1"/>
    </w:pPr>
    <w:rPr>
      <w:color w:val="306060"/>
    </w:rPr>
  </w:style>
  <w:style w:type="paragraph" w:customStyle="1" w:styleId="b">
    <w:name w:val="b"/>
    <w:basedOn w:val="Normal"/>
    <w:rsid w:val="00944826"/>
    <w:pPr>
      <w:spacing w:before="100" w:beforeAutospacing="1" w:after="100" w:afterAutospacing="1"/>
    </w:pPr>
    <w:rPr>
      <w:color w:val="306060"/>
    </w:rPr>
  </w:style>
  <w:style w:type="paragraph" w:customStyle="1" w:styleId="body">
    <w:name w:val="body"/>
    <w:basedOn w:val="Normal"/>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rsid w:val="00944826"/>
    <w:pPr>
      <w:spacing w:before="100" w:beforeAutospacing="1" w:after="100" w:afterAutospacing="1"/>
    </w:pPr>
    <w:rPr>
      <w:color w:val="F0F8F8"/>
    </w:rPr>
  </w:style>
  <w:style w:type="paragraph" w:customStyle="1" w:styleId="radio">
    <w:name w:val="radio"/>
    <w:basedOn w:val="Normal"/>
    <w:rsid w:val="00944826"/>
    <w:pPr>
      <w:spacing w:before="100" w:beforeAutospacing="1" w:after="100" w:afterAutospacing="1"/>
    </w:pPr>
  </w:style>
  <w:style w:type="paragraph" w:customStyle="1" w:styleId="headcol">
    <w:name w:val="headcol"/>
    <w:basedOn w:val="Normal"/>
    <w:rsid w:val="00944826"/>
    <w:pPr>
      <w:spacing w:before="100" w:beforeAutospacing="1" w:after="100" w:afterAutospacing="1"/>
    </w:pPr>
    <w:rPr>
      <w:color w:val="F0F8F8"/>
    </w:rPr>
  </w:style>
  <w:style w:type="paragraph" w:customStyle="1" w:styleId="titlecol">
    <w:name w:val="titlecol"/>
    <w:basedOn w:val="Normal"/>
    <w:rsid w:val="00944826"/>
    <w:pPr>
      <w:spacing w:before="100" w:beforeAutospacing="1" w:after="100" w:afterAutospacing="1"/>
      <w:jc w:val="right"/>
    </w:pPr>
    <w:rPr>
      <w:b/>
      <w:bCs/>
    </w:rPr>
  </w:style>
  <w:style w:type="paragraph" w:customStyle="1" w:styleId="th">
    <w:name w:val="th"/>
    <w:basedOn w:val="Normal"/>
    <w:rsid w:val="00944826"/>
    <w:pPr>
      <w:spacing w:before="100" w:beforeAutospacing="1" w:after="100" w:afterAutospacing="1"/>
    </w:pPr>
    <w:rPr>
      <w:b/>
      <w:bCs/>
      <w:color w:val="333333"/>
    </w:rPr>
  </w:style>
  <w:style w:type="paragraph" w:customStyle="1" w:styleId="thr">
    <w:name w:val="thr"/>
    <w:basedOn w:val="Normal"/>
    <w:rsid w:val="00944826"/>
    <w:pPr>
      <w:spacing w:before="100" w:beforeAutospacing="1" w:after="100" w:afterAutospacing="1"/>
      <w:jc w:val="right"/>
    </w:pPr>
  </w:style>
  <w:style w:type="paragraph" w:customStyle="1" w:styleId="bdc">
    <w:name w:val="bdc"/>
    <w:basedOn w:val="Normal"/>
    <w:rsid w:val="00944826"/>
    <w:pPr>
      <w:spacing w:before="100" w:beforeAutospacing="1" w:after="100" w:afterAutospacing="1"/>
    </w:pPr>
    <w:rPr>
      <w:b/>
      <w:bCs/>
    </w:rPr>
  </w:style>
  <w:style w:type="paragraph" w:customStyle="1" w:styleId="input">
    <w:name w:val="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rsid w:val="00944826"/>
    <w:pPr>
      <w:shd w:val="clear" w:color="auto" w:fill="F0F8F8"/>
      <w:spacing w:before="100" w:beforeAutospacing="1" w:after="100" w:afterAutospacing="1"/>
    </w:pPr>
    <w:rPr>
      <w:color w:val="333333"/>
    </w:rPr>
  </w:style>
  <w:style w:type="paragraph" w:customStyle="1" w:styleId="top1">
    <w:name w:val="top1"/>
    <w:basedOn w:val="Normal"/>
    <w:rsid w:val="00944826"/>
    <w:pPr>
      <w:spacing w:before="100" w:beforeAutospacing="1" w:after="100" w:afterAutospacing="1"/>
    </w:pPr>
  </w:style>
  <w:style w:type="paragraph" w:customStyle="1" w:styleId="logo">
    <w:name w:val="logo"/>
    <w:basedOn w:val="Normal"/>
    <w:rsid w:val="00944826"/>
    <w:pPr>
      <w:spacing w:before="100" w:beforeAutospacing="1" w:after="100" w:afterAutospacing="1"/>
    </w:pPr>
  </w:style>
  <w:style w:type="paragraph" w:customStyle="1" w:styleId="top2">
    <w:name w:val="top2"/>
    <w:basedOn w:val="Normal"/>
    <w:rsid w:val="00944826"/>
    <w:pPr>
      <w:spacing w:before="100" w:beforeAutospacing="1" w:after="100" w:afterAutospacing="1"/>
    </w:pPr>
  </w:style>
  <w:style w:type="paragraph" w:customStyle="1" w:styleId="hline">
    <w:name w:val="hline"/>
    <w:basedOn w:val="Normal"/>
    <w:rsid w:val="00944826"/>
    <w:pPr>
      <w:spacing w:before="100" w:beforeAutospacing="1" w:after="100" w:afterAutospacing="1"/>
    </w:pPr>
  </w:style>
  <w:style w:type="paragraph" w:customStyle="1" w:styleId="vline">
    <w:name w:val="vline"/>
    <w:basedOn w:val="Normal"/>
    <w:rsid w:val="00944826"/>
    <w:pPr>
      <w:spacing w:before="100" w:beforeAutospacing="1" w:after="100" w:afterAutospacing="1"/>
    </w:pPr>
  </w:style>
  <w:style w:type="paragraph" w:customStyle="1" w:styleId="zvabri">
    <w:name w:val="zvabri"/>
    <w:basedOn w:val="Normal"/>
    <w:rsid w:val="00944826"/>
    <w:pPr>
      <w:spacing w:before="100" w:beforeAutospacing="1" w:after="100" w:afterAutospacing="1"/>
    </w:pPr>
    <w:rPr>
      <w:color w:val="FF0000"/>
    </w:rPr>
  </w:style>
  <w:style w:type="paragraph" w:styleId="z-TopofForm">
    <w:name w:val="HTML Top of Form"/>
    <w:basedOn w:val="Normal"/>
    <w:next w:val="Normal"/>
    <w:link w:val="z-TopofFormChar"/>
    <w:hidden/>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semiHidden/>
    <w:locked/>
    <w:rsid w:val="00944826"/>
    <w:rPr>
      <w:rFonts w:ascii="Arial" w:hAnsi="Arial" w:cs="Arial"/>
      <w:vanish/>
      <w:sz w:val="16"/>
      <w:szCs w:val="16"/>
    </w:rPr>
  </w:style>
  <w:style w:type="paragraph" w:styleId="z-BottomofForm">
    <w:name w:val="HTML Bottom of Form"/>
    <w:basedOn w:val="Normal"/>
    <w:next w:val="Normal"/>
    <w:link w:val="z-BottomofFormChar"/>
    <w:hidden/>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rsid w:val="00944826"/>
    <w:pPr>
      <w:spacing w:before="75" w:after="75"/>
      <w:ind w:left="450" w:firstLine="375"/>
      <w:jc w:val="both"/>
    </w:pPr>
  </w:style>
  <w:style w:type="paragraph" w:customStyle="1" w:styleId="nais2">
    <w:name w:val="nais2"/>
    <w:basedOn w:val="Normal"/>
    <w:rsid w:val="00944826"/>
    <w:pPr>
      <w:spacing w:before="75" w:after="75"/>
      <w:ind w:left="900" w:firstLine="375"/>
      <w:jc w:val="both"/>
    </w:pPr>
  </w:style>
  <w:style w:type="paragraph" w:customStyle="1" w:styleId="naispant">
    <w:name w:val="naispant"/>
    <w:basedOn w:val="Normal"/>
    <w:rsid w:val="00944826"/>
    <w:pPr>
      <w:spacing w:before="75" w:after="75"/>
      <w:ind w:left="375" w:firstLine="375"/>
      <w:jc w:val="both"/>
    </w:pPr>
    <w:rPr>
      <w:b/>
      <w:bCs/>
    </w:rPr>
  </w:style>
  <w:style w:type="paragraph" w:customStyle="1" w:styleId="naisvisr">
    <w:name w:val="naisvisr"/>
    <w:basedOn w:val="Normal"/>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semiHidden/>
    <w:rsid w:val="002308FA"/>
    <w:rPr>
      <w:rFonts w:ascii="Tahoma" w:hAnsi="Tahoma"/>
      <w:sz w:val="16"/>
      <w:szCs w:val="16"/>
      <w:lang w:val="x-none" w:eastAsia="x-none"/>
    </w:rPr>
  </w:style>
  <w:style w:type="character" w:customStyle="1" w:styleId="BalloonTextChar">
    <w:name w:val="Balloon Text Char"/>
    <w:link w:val="BalloonText"/>
    <w:semiHidden/>
    <w:locked/>
    <w:rsid w:val="002308FA"/>
    <w:rPr>
      <w:rFonts w:ascii="Tahoma" w:hAnsi="Tahoma" w:cs="Tahoma"/>
      <w:sz w:val="16"/>
      <w:szCs w:val="16"/>
    </w:rPr>
  </w:style>
  <w:style w:type="table" w:styleId="TableGrid">
    <w:name w:val="Table Grid"/>
    <w:basedOn w:val="TableNormal"/>
    <w:locked/>
    <w:rsid w:val="00CD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D24A9"/>
    <w:pPr>
      <w:ind w:firstLine="709"/>
      <w:jc w:val="both"/>
    </w:pPr>
    <w:rPr>
      <w:sz w:val="28"/>
      <w:szCs w:val="28"/>
      <w:lang w:eastAsia="x-none"/>
    </w:rPr>
  </w:style>
  <w:style w:type="character" w:customStyle="1" w:styleId="BodyTextIndent3Char">
    <w:name w:val="Body Text Indent 3 Char"/>
    <w:link w:val="BodyTextIndent3"/>
    <w:locked/>
    <w:rsid w:val="006D24A9"/>
    <w:rPr>
      <w:rFonts w:cs="Times New Roman"/>
      <w:sz w:val="28"/>
      <w:szCs w:val="28"/>
      <w:lang w:val="lv-LV"/>
    </w:rPr>
  </w:style>
  <w:style w:type="paragraph" w:styleId="Header">
    <w:name w:val="header"/>
    <w:aliases w:val="18pt Bold"/>
    <w:basedOn w:val="Normal"/>
    <w:link w:val="HeaderChar"/>
    <w:rsid w:val="00745496"/>
    <w:pPr>
      <w:tabs>
        <w:tab w:val="center" w:pos="4153"/>
        <w:tab w:val="right" w:pos="8306"/>
      </w:tabs>
    </w:pPr>
  </w:style>
  <w:style w:type="character" w:customStyle="1" w:styleId="HeaderChar">
    <w:name w:val="Header Char"/>
    <w:aliases w:val="18pt Bold Char"/>
    <w:link w:val="Header"/>
    <w:locked/>
    <w:rsid w:val="009A1431"/>
    <w:rPr>
      <w:rFonts w:cs="Times New Roman"/>
      <w:sz w:val="24"/>
      <w:szCs w:val="24"/>
      <w:lang w:val="lv-LV" w:eastAsia="lv-LV"/>
    </w:rPr>
  </w:style>
  <w:style w:type="character" w:styleId="PageNumber">
    <w:name w:val="page number"/>
    <w:rsid w:val="00745496"/>
    <w:rPr>
      <w:rFonts w:cs="Times New Roman"/>
    </w:rPr>
  </w:style>
  <w:style w:type="paragraph" w:styleId="Footer">
    <w:name w:val="footer"/>
    <w:basedOn w:val="Normal"/>
    <w:link w:val="FooterChar1"/>
    <w:rsid w:val="00745496"/>
    <w:pPr>
      <w:tabs>
        <w:tab w:val="center" w:pos="4153"/>
        <w:tab w:val="right" w:pos="8306"/>
      </w:tabs>
    </w:pPr>
  </w:style>
  <w:style w:type="character" w:customStyle="1" w:styleId="FooterChar1">
    <w:name w:val="Footer Char1"/>
    <w:link w:val="Footer"/>
    <w:semiHidden/>
    <w:locked/>
    <w:rsid w:val="009A1431"/>
    <w:rPr>
      <w:rFonts w:cs="Times New Roman"/>
      <w:sz w:val="24"/>
      <w:szCs w:val="24"/>
      <w:lang w:val="lv-LV" w:eastAsia="lv-LV"/>
    </w:rPr>
  </w:style>
  <w:style w:type="paragraph" w:customStyle="1" w:styleId="ColorfulList-Accent12">
    <w:name w:val="Colorful List - Accent 12"/>
    <w:aliases w:val="2,Strip"/>
    <w:basedOn w:val="Normal"/>
    <w:link w:val="ColorfulList-Accent1Char"/>
    <w:uiPriority w:val="34"/>
    <w:qFormat/>
    <w:rsid w:val="00426E9B"/>
    <w:pPr>
      <w:spacing w:after="200" w:line="276" w:lineRule="auto"/>
      <w:ind w:left="720"/>
      <w:contextualSpacing/>
    </w:pPr>
    <w:rPr>
      <w:rFonts w:ascii="Calibri" w:hAnsi="Calibri"/>
      <w:sz w:val="22"/>
      <w:szCs w:val="22"/>
      <w:lang w:val="x-none" w:eastAsia="en-US"/>
    </w:rPr>
  </w:style>
  <w:style w:type="character" w:styleId="CommentReference">
    <w:name w:val="annotation reference"/>
    <w:uiPriority w:val="99"/>
    <w:rsid w:val="00FE43E7"/>
    <w:rPr>
      <w:rFonts w:cs="Times New Roman"/>
      <w:sz w:val="16"/>
      <w:szCs w:val="16"/>
    </w:rPr>
  </w:style>
  <w:style w:type="paragraph" w:styleId="CommentText">
    <w:name w:val="annotation text"/>
    <w:basedOn w:val="Normal"/>
    <w:link w:val="CommentTextChar1"/>
    <w:uiPriority w:val="99"/>
    <w:rsid w:val="00FE43E7"/>
    <w:rPr>
      <w:sz w:val="20"/>
      <w:szCs w:val="20"/>
      <w:lang w:val="x-none" w:eastAsia="x-none"/>
    </w:rPr>
  </w:style>
  <w:style w:type="character" w:customStyle="1" w:styleId="CommentTextChar1">
    <w:name w:val="Comment Text Char1"/>
    <w:link w:val="CommentText"/>
    <w:uiPriority w:val="99"/>
    <w:locked/>
    <w:rsid w:val="00FE43E7"/>
    <w:rPr>
      <w:rFonts w:cs="Times New Roman"/>
    </w:rPr>
  </w:style>
  <w:style w:type="paragraph" w:styleId="CommentSubject">
    <w:name w:val="annotation subject"/>
    <w:basedOn w:val="CommentText"/>
    <w:next w:val="CommentText"/>
    <w:link w:val="CommentSubjectChar"/>
    <w:semiHidden/>
    <w:rsid w:val="00FE43E7"/>
    <w:rPr>
      <w:b/>
      <w:bCs/>
    </w:rPr>
  </w:style>
  <w:style w:type="character" w:customStyle="1" w:styleId="CommentSubjectChar">
    <w:name w:val="Comment Subject Char"/>
    <w:link w:val="CommentSubject"/>
    <w:semiHidden/>
    <w:locked/>
    <w:rsid w:val="00FE43E7"/>
    <w:rPr>
      <w:rFonts w:cs="Times New Roman"/>
      <w:b/>
      <w:bCs/>
    </w:rPr>
  </w:style>
  <w:style w:type="character" w:customStyle="1" w:styleId="FooterChar">
    <w:name w:val="Footer Char"/>
    <w:uiPriority w:val="99"/>
    <w:locked/>
    <w:rsid w:val="00174ECD"/>
    <w:rPr>
      <w:rFonts w:cs="Times New Roman"/>
      <w:sz w:val="24"/>
      <w:szCs w:val="24"/>
      <w:lang w:eastAsia="en-US"/>
    </w:rPr>
  </w:style>
  <w:style w:type="paragraph" w:styleId="BodyText">
    <w:name w:val="Body Text"/>
    <w:basedOn w:val="Normal"/>
    <w:rsid w:val="009451CD"/>
    <w:pPr>
      <w:spacing w:after="120"/>
    </w:pPr>
  </w:style>
  <w:style w:type="paragraph" w:customStyle="1" w:styleId="Default">
    <w:name w:val="Default"/>
    <w:uiPriority w:val="99"/>
    <w:rsid w:val="00784EBA"/>
    <w:pPr>
      <w:autoSpaceDE w:val="0"/>
      <w:autoSpaceDN w:val="0"/>
      <w:adjustRightInd w:val="0"/>
    </w:pPr>
    <w:rPr>
      <w:color w:val="000000"/>
      <w:sz w:val="24"/>
      <w:szCs w:val="24"/>
    </w:rPr>
  </w:style>
  <w:style w:type="paragraph" w:customStyle="1" w:styleId="EE-paragr-12">
    <w:name w:val="EE-paragr-12"/>
    <w:basedOn w:val="Normal"/>
    <w:link w:val="EE-paragr-12Char"/>
    <w:rsid w:val="00FC6408"/>
    <w:pPr>
      <w:jc w:val="both"/>
    </w:pPr>
  </w:style>
  <w:style w:type="character" w:customStyle="1" w:styleId="EE-paragr-12Char">
    <w:name w:val="EE-paragr-12 Char"/>
    <w:link w:val="EE-paragr-12"/>
    <w:locked/>
    <w:rsid w:val="00FC6408"/>
    <w:rPr>
      <w:rFonts w:cs="Times New Roman"/>
      <w:sz w:val="24"/>
      <w:szCs w:val="24"/>
      <w:lang w:val="lv-LV" w:eastAsia="lv-LV" w:bidi="ar-SA"/>
    </w:rPr>
  </w:style>
  <w:style w:type="paragraph" w:customStyle="1" w:styleId="StyleEE-numbering12pt">
    <w:name w:val="Style EE-numbering + 12 pt"/>
    <w:basedOn w:val="Normal"/>
    <w:link w:val="StyleEE-numbering12ptChar"/>
    <w:autoRedefine/>
    <w:rsid w:val="007C64FF"/>
    <w:pPr>
      <w:spacing w:before="120"/>
      <w:jc w:val="both"/>
    </w:pPr>
    <w:rPr>
      <w:bCs/>
      <w:noProof/>
      <w:color w:val="000000"/>
    </w:rPr>
  </w:style>
  <w:style w:type="character" w:customStyle="1" w:styleId="StyleEE-numbering12ptChar">
    <w:name w:val="Style EE-numbering + 12 pt Char"/>
    <w:link w:val="StyleEE-numbering12pt"/>
    <w:locked/>
    <w:rsid w:val="007C64FF"/>
    <w:rPr>
      <w:rFonts w:cs="Times New Roman"/>
      <w:bCs/>
      <w:noProof/>
      <w:color w:val="000000"/>
      <w:sz w:val="24"/>
      <w:szCs w:val="24"/>
      <w:lang w:val="lv-LV" w:eastAsia="lv-LV" w:bidi="ar-SA"/>
    </w:rPr>
  </w:style>
  <w:style w:type="paragraph" w:customStyle="1" w:styleId="RakstzCharCharRakstzCharCharRakstz">
    <w:name w:val="Rakstz. Char Char Rakstz. Char Char Rakstz."/>
    <w:basedOn w:val="Normal"/>
    <w:rsid w:val="00421CBF"/>
    <w:pPr>
      <w:spacing w:after="160" w:line="240" w:lineRule="exact"/>
    </w:pPr>
    <w:rPr>
      <w:rFonts w:ascii="Tahoma" w:hAnsi="Tahoma"/>
      <w:sz w:val="20"/>
      <w:szCs w:val="20"/>
      <w:lang w:val="en-US" w:eastAsia="en-US"/>
    </w:rPr>
  </w:style>
  <w:style w:type="character" w:customStyle="1" w:styleId="CommentTextChar">
    <w:name w:val="Comment Text Char"/>
    <w:uiPriority w:val="99"/>
    <w:locked/>
    <w:rsid w:val="00253080"/>
    <w:rPr>
      <w:rFonts w:cs="Times New Roman"/>
      <w:lang w:eastAsia="en-US"/>
    </w:rPr>
  </w:style>
  <w:style w:type="character" w:customStyle="1" w:styleId="CharChar2">
    <w:name w:val="Char Char2"/>
    <w:basedOn w:val="DefaultParagraphFont"/>
    <w:semiHidden/>
    <w:rsid w:val="007A37E4"/>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A21E7C"/>
    <w:pPr>
      <w:jc w:val="both"/>
    </w:pPr>
    <w:rPr>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A21E7C"/>
    <w:rPr>
      <w:lang w:val="lv-LV" w:eastAsia="en-US" w:bidi="ar-SA"/>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rsid w:val="00A21E7C"/>
    <w:rPr>
      <w:vertAlign w:val="superscript"/>
    </w:rPr>
  </w:style>
  <w:style w:type="paragraph" w:customStyle="1" w:styleId="tv213">
    <w:name w:val="tv213"/>
    <w:basedOn w:val="Normal"/>
    <w:rsid w:val="0053084C"/>
    <w:pPr>
      <w:spacing w:before="100" w:beforeAutospacing="1" w:after="100" w:afterAutospacing="1"/>
    </w:pPr>
  </w:style>
  <w:style w:type="paragraph" w:customStyle="1" w:styleId="Body0">
    <w:name w:val="Body"/>
    <w:rsid w:val="002E7AE1"/>
    <w:rPr>
      <w:rFonts w:ascii="Helvetica" w:eastAsia="ヒラギノ角ゴ Pro W3" w:hAnsi="Helvetica"/>
      <w:color w:val="000000"/>
      <w:sz w:val="24"/>
      <w:lang w:val="en-US"/>
    </w:rPr>
  </w:style>
  <w:style w:type="paragraph" w:styleId="BodyText2">
    <w:name w:val="Body Text 2"/>
    <w:basedOn w:val="Normal"/>
    <w:link w:val="BodyText2Char"/>
    <w:rsid w:val="00E25FE3"/>
    <w:pPr>
      <w:spacing w:after="120" w:line="480" w:lineRule="auto"/>
    </w:pPr>
    <w:rPr>
      <w:lang w:val="x-none" w:eastAsia="x-none"/>
    </w:rPr>
  </w:style>
  <w:style w:type="character" w:customStyle="1" w:styleId="BodyText2Char">
    <w:name w:val="Body Text 2 Char"/>
    <w:link w:val="BodyText2"/>
    <w:rsid w:val="00E25FE3"/>
    <w:rPr>
      <w:sz w:val="24"/>
      <w:szCs w:val="24"/>
    </w:rPr>
  </w:style>
  <w:style w:type="character" w:styleId="HTMLTypewriter">
    <w:name w:val="HTML Typewriter"/>
    <w:uiPriority w:val="99"/>
    <w:unhideWhenUsed/>
    <w:rsid w:val="00890E5F"/>
    <w:rPr>
      <w:rFonts w:ascii="Courier New" w:eastAsia="Times New Roman" w:hAnsi="Courier New" w:cs="Courier New"/>
      <w:sz w:val="20"/>
      <w:szCs w:val="20"/>
    </w:rPr>
  </w:style>
  <w:style w:type="character" w:customStyle="1" w:styleId="ColorfulList-Accent1Char">
    <w:name w:val="Colorful List - Accent 1 Char"/>
    <w:aliases w:val="2 Char,Strip Char,List Paragraph Char,H&amp;P List Paragraph Char,Colorful List - Accent 12 Char,Saraksta rindkopa Char,Saraksta rindkopa1 Char"/>
    <w:link w:val="ColorfulList-Accent12"/>
    <w:uiPriority w:val="34"/>
    <w:qFormat/>
    <w:rsid w:val="0022272B"/>
    <w:rPr>
      <w:rFonts w:ascii="Calibri" w:hAnsi="Calibri"/>
      <w:sz w:val="22"/>
      <w:szCs w:val="22"/>
      <w:lang w:eastAsia="en-US"/>
    </w:rPr>
  </w:style>
  <w:style w:type="paragraph" w:customStyle="1" w:styleId="ColorfulShading-Accent11">
    <w:name w:val="Colorful Shading - Accent 11"/>
    <w:hidden/>
    <w:uiPriority w:val="99"/>
    <w:semiHidden/>
    <w:rsid w:val="00286B53"/>
    <w:pPr>
      <w:spacing w:line="276" w:lineRule="auto"/>
      <w:jc w:val="both"/>
    </w:pPr>
    <w:rPr>
      <w:rFonts w:ascii="Calibri" w:eastAsia="ヒラギノ角ゴ Pro W3" w:hAnsi="Calibri"/>
      <w:color w:val="000000"/>
      <w:sz w:val="22"/>
      <w:szCs w:val="24"/>
      <w:lang w:eastAsia="en-US"/>
    </w:rPr>
  </w:style>
  <w:style w:type="paragraph" w:customStyle="1" w:styleId="IAPteksts">
    <w:name w:val="IAP teksts"/>
    <w:basedOn w:val="Normal"/>
    <w:link w:val="IAPtekstsChar"/>
    <w:qFormat/>
    <w:rsid w:val="003F7DB7"/>
    <w:pPr>
      <w:tabs>
        <w:tab w:val="right" w:pos="8640"/>
      </w:tabs>
      <w:spacing w:before="120" w:after="120" w:line="240" w:lineRule="exact"/>
      <w:ind w:firstLine="567"/>
      <w:jc w:val="both"/>
    </w:pPr>
    <w:rPr>
      <w:rFonts w:ascii="Garamond" w:eastAsia="Calibri" w:hAnsi="Garamond"/>
      <w:noProof/>
      <w:szCs w:val="22"/>
      <w:lang w:val="x-none" w:eastAsia="en-US"/>
    </w:rPr>
  </w:style>
  <w:style w:type="character" w:customStyle="1" w:styleId="IAPtekstsChar">
    <w:name w:val="IAP teksts Char"/>
    <w:link w:val="IAPteksts"/>
    <w:rsid w:val="003F7DB7"/>
    <w:rPr>
      <w:rFonts w:ascii="Garamond" w:eastAsia="Calibri" w:hAnsi="Garamond"/>
      <w:noProof/>
      <w:sz w:val="24"/>
      <w:szCs w:val="22"/>
      <w:lang w:eastAsia="en-US"/>
    </w:rPr>
  </w:style>
  <w:style w:type="paragraph" w:customStyle="1" w:styleId="MediumGrid21">
    <w:name w:val="Medium Grid 21"/>
    <w:uiPriority w:val="1"/>
    <w:qFormat/>
    <w:rsid w:val="00AB60EE"/>
    <w:rPr>
      <w:rFonts w:ascii="Calibri" w:eastAsia="Calibri" w:hAnsi="Calibri"/>
      <w:sz w:val="22"/>
      <w:szCs w:val="22"/>
      <w:lang w:eastAsia="en-US"/>
    </w:rPr>
  </w:style>
  <w:style w:type="character" w:customStyle="1" w:styleId="apple-converted-space">
    <w:name w:val="apple-converted-space"/>
    <w:rsid w:val="00CC7B9D"/>
  </w:style>
  <w:style w:type="paragraph" w:customStyle="1" w:styleId="Normal1">
    <w:name w:val="Normal1"/>
    <w:rsid w:val="00C246A3"/>
    <w:pPr>
      <w:spacing w:line="276" w:lineRule="auto"/>
      <w:jc w:val="both"/>
    </w:pPr>
    <w:rPr>
      <w:rFonts w:ascii="Calibri" w:hAnsi="Calibri" w:cs="Calibri"/>
      <w:color w:val="000000"/>
      <w:sz w:val="22"/>
      <w:szCs w:val="22"/>
    </w:rPr>
  </w:style>
  <w:style w:type="paragraph" w:customStyle="1" w:styleId="Stils1">
    <w:name w:val="Stils 1"/>
    <w:basedOn w:val="Normal"/>
    <w:link w:val="Stils1Char"/>
    <w:qFormat/>
    <w:rsid w:val="00A97875"/>
    <w:pPr>
      <w:jc w:val="both"/>
    </w:pPr>
    <w:rPr>
      <w:rFonts w:eastAsia="Calibri"/>
      <w:lang w:val="x-none" w:eastAsia="en-US"/>
    </w:rPr>
  </w:style>
  <w:style w:type="character" w:customStyle="1" w:styleId="Stils1Char">
    <w:name w:val="Stils 1 Char"/>
    <w:link w:val="Stils1"/>
    <w:rsid w:val="00A97875"/>
    <w:rPr>
      <w:rFonts w:eastAsia="Calibri"/>
      <w:sz w:val="24"/>
      <w:szCs w:val="24"/>
      <w:lang w:eastAsia="en-US"/>
    </w:rPr>
  </w:style>
  <w:style w:type="paragraph" w:customStyle="1" w:styleId="tv2131">
    <w:name w:val="tv2131"/>
    <w:basedOn w:val="Normal"/>
    <w:rsid w:val="00A80346"/>
    <w:pPr>
      <w:spacing w:line="360" w:lineRule="auto"/>
      <w:ind w:firstLine="335"/>
    </w:pPr>
    <w:rPr>
      <w:color w:val="414142"/>
      <w:sz w:val="22"/>
      <w:szCs w:val="22"/>
    </w:rPr>
  </w:style>
  <w:style w:type="character" w:customStyle="1" w:styleId="naisf14ptRakstz">
    <w:name w:val="naisf + 14pt Rakstz."/>
    <w:link w:val="naisf14pt"/>
    <w:locked/>
    <w:rsid w:val="00211273"/>
    <w:rPr>
      <w:sz w:val="28"/>
      <w:szCs w:val="24"/>
    </w:rPr>
  </w:style>
  <w:style w:type="paragraph" w:customStyle="1" w:styleId="naisf14pt">
    <w:name w:val="naisf + 14pt"/>
    <w:basedOn w:val="Normal"/>
    <w:link w:val="naisf14ptRakstz"/>
    <w:rsid w:val="00211273"/>
    <w:pPr>
      <w:ind w:right="57" w:firstLine="709"/>
      <w:jc w:val="both"/>
    </w:pPr>
    <w:rPr>
      <w:sz w:val="28"/>
    </w:rPr>
  </w:style>
  <w:style w:type="paragraph" w:customStyle="1" w:styleId="CharCharCharChar">
    <w:name w:val="Char Char Char Char"/>
    <w:aliases w:val="Char2"/>
    <w:basedOn w:val="Normal"/>
    <w:next w:val="Normal"/>
    <w:link w:val="FootnoteReference"/>
    <w:uiPriority w:val="99"/>
    <w:rsid w:val="00B56D17"/>
    <w:pPr>
      <w:spacing w:after="160" w:line="240" w:lineRule="exact"/>
      <w:jc w:val="both"/>
    </w:pPr>
    <w:rPr>
      <w:sz w:val="20"/>
      <w:szCs w:val="20"/>
      <w:vertAlign w:val="superscript"/>
    </w:rPr>
  </w:style>
  <w:style w:type="character" w:customStyle="1" w:styleId="FontStyle26">
    <w:name w:val="Font Style26"/>
    <w:uiPriority w:val="99"/>
    <w:rsid w:val="00A22598"/>
    <w:rPr>
      <w:rFonts w:ascii="Times New Roman" w:hAnsi="Times New Roman" w:cs="Times New Roman"/>
      <w:sz w:val="26"/>
      <w:szCs w:val="26"/>
    </w:rPr>
  </w:style>
  <w:style w:type="character" w:customStyle="1" w:styleId="spelle">
    <w:name w:val="spelle"/>
    <w:rsid w:val="00B9772B"/>
  </w:style>
  <w:style w:type="paragraph" w:customStyle="1" w:styleId="tvhtml">
    <w:name w:val="tv_html"/>
    <w:basedOn w:val="Normal"/>
    <w:rsid w:val="006B523A"/>
    <w:pPr>
      <w:spacing w:before="100" w:beforeAutospacing="1" w:after="100" w:afterAutospacing="1"/>
    </w:pPr>
  </w:style>
  <w:style w:type="paragraph" w:customStyle="1" w:styleId="ColorfulList-Accent11">
    <w:name w:val="Colorful List - Accent 11"/>
    <w:aliases w:val="H&amp;P List Paragraph"/>
    <w:basedOn w:val="Normal"/>
    <w:uiPriority w:val="34"/>
    <w:qFormat/>
    <w:rsid w:val="00AC7831"/>
    <w:pPr>
      <w:spacing w:after="200" w:line="276" w:lineRule="auto"/>
      <w:ind w:left="720"/>
      <w:contextualSpacing/>
    </w:pPr>
    <w:rPr>
      <w:rFonts w:ascii="Calibri" w:eastAsia="PMingLiU" w:hAnsi="Calibri"/>
      <w:sz w:val="22"/>
      <w:szCs w:val="22"/>
    </w:rPr>
  </w:style>
  <w:style w:type="paragraph" w:customStyle="1" w:styleId="ColorfulList-Accent13">
    <w:name w:val="Colorful List - Accent 13"/>
    <w:basedOn w:val="Normal"/>
    <w:uiPriority w:val="34"/>
    <w:qFormat/>
    <w:rsid w:val="00EA2332"/>
    <w:pPr>
      <w:widowControl w:val="0"/>
      <w:spacing w:after="200" w:line="276" w:lineRule="auto"/>
      <w:ind w:left="720"/>
      <w:contextualSpacing/>
    </w:pPr>
    <w:rPr>
      <w:rFonts w:ascii="Calibri" w:eastAsia="Calibri" w:hAnsi="Calibri"/>
      <w:sz w:val="22"/>
      <w:szCs w:val="22"/>
      <w:lang w:eastAsia="en-US"/>
    </w:rPr>
  </w:style>
  <w:style w:type="character" w:customStyle="1" w:styleId="Heading3Char">
    <w:name w:val="Heading 3 Char"/>
    <w:link w:val="Heading3"/>
    <w:semiHidden/>
    <w:rsid w:val="005141E9"/>
    <w:rPr>
      <w:rFonts w:ascii="Calibri Light" w:eastAsia="Times New Roman" w:hAnsi="Calibri Light" w:cs="Times New Roman"/>
      <w:b/>
      <w:bCs/>
      <w:sz w:val="26"/>
      <w:szCs w:val="26"/>
    </w:rPr>
  </w:style>
  <w:style w:type="paragraph" w:styleId="PlainText">
    <w:name w:val="Plain Text"/>
    <w:basedOn w:val="Normal"/>
    <w:link w:val="PlainTextChar"/>
    <w:uiPriority w:val="99"/>
    <w:unhideWhenUsed/>
    <w:rsid w:val="007F71D8"/>
    <w:rPr>
      <w:rFonts w:ascii="Calibri" w:eastAsia="Calibri" w:hAnsi="Calibri"/>
      <w:sz w:val="22"/>
      <w:szCs w:val="21"/>
      <w:lang w:eastAsia="en-US"/>
    </w:rPr>
  </w:style>
  <w:style w:type="character" w:customStyle="1" w:styleId="PlainTextChar">
    <w:name w:val="Plain Text Char"/>
    <w:link w:val="PlainText"/>
    <w:uiPriority w:val="99"/>
    <w:rsid w:val="007F71D8"/>
    <w:rPr>
      <w:rFonts w:ascii="Calibri" w:eastAsia="Calibri" w:hAnsi="Calibri"/>
      <w:sz w:val="22"/>
      <w:szCs w:val="21"/>
      <w:lang w:eastAsia="en-US"/>
    </w:rPr>
  </w:style>
  <w:style w:type="paragraph" w:customStyle="1" w:styleId="MediumGrid1-Accent21">
    <w:name w:val="Medium Grid 1 - Accent 21"/>
    <w:basedOn w:val="Normal"/>
    <w:uiPriority w:val="34"/>
    <w:qFormat/>
    <w:rsid w:val="00C01B0D"/>
    <w:pPr>
      <w:spacing w:after="200" w:line="276" w:lineRule="auto"/>
      <w:ind w:left="720"/>
      <w:contextualSpacing/>
    </w:pPr>
    <w:rPr>
      <w:rFonts w:ascii="Calibri" w:eastAsia="Calibri" w:hAnsi="Calibri"/>
      <w:sz w:val="22"/>
      <w:szCs w:val="22"/>
      <w:lang w:eastAsia="en-US"/>
    </w:rPr>
  </w:style>
  <w:style w:type="paragraph" w:styleId="ListParagraph">
    <w:name w:val="List Paragraph"/>
    <w:aliases w:val="Saraksta rindkopa,Saraksta rindkopa1"/>
    <w:basedOn w:val="Normal"/>
    <w:uiPriority w:val="34"/>
    <w:qFormat/>
    <w:rsid w:val="00962B23"/>
    <w:pPr>
      <w:ind w:left="720"/>
    </w:pPr>
    <w:rPr>
      <w:rFonts w:ascii="Calibri" w:eastAsia="Calibri" w:hAnsi="Calibri"/>
      <w:sz w:val="22"/>
      <w:szCs w:val="22"/>
      <w:lang w:eastAsia="en-US"/>
    </w:rPr>
  </w:style>
  <w:style w:type="paragraph" w:customStyle="1" w:styleId="CM1">
    <w:name w:val="CM1"/>
    <w:basedOn w:val="Default"/>
    <w:next w:val="Default"/>
    <w:uiPriority w:val="99"/>
    <w:rsid w:val="005E64CF"/>
    <w:rPr>
      <w:rFonts w:ascii="EUAlbertina" w:hAnsi="EUAlbertina"/>
      <w:color w:val="auto"/>
    </w:rPr>
  </w:style>
  <w:style w:type="paragraph" w:customStyle="1" w:styleId="CM3">
    <w:name w:val="CM3"/>
    <w:basedOn w:val="Default"/>
    <w:next w:val="Default"/>
    <w:uiPriority w:val="99"/>
    <w:rsid w:val="005E64CF"/>
    <w:rPr>
      <w:rFonts w:ascii="EUAlbertina" w:hAnsi="EUAlbertina"/>
      <w:color w:val="auto"/>
    </w:rPr>
  </w:style>
  <w:style w:type="paragraph" w:customStyle="1" w:styleId="Normal2">
    <w:name w:val="Normal2"/>
    <w:basedOn w:val="Normal"/>
    <w:rsid w:val="003E4F12"/>
    <w:pPr>
      <w:spacing w:before="100" w:beforeAutospacing="1" w:after="100" w:afterAutospacing="1"/>
    </w:pPr>
  </w:style>
  <w:style w:type="paragraph" w:customStyle="1" w:styleId="Style1">
    <w:name w:val="Style1"/>
    <w:basedOn w:val="ListParagraph"/>
    <w:link w:val="Style1Char"/>
    <w:qFormat/>
    <w:rsid w:val="00B12E7E"/>
    <w:pPr>
      <w:numPr>
        <w:numId w:val="44"/>
      </w:numPr>
      <w:ind w:left="0" w:firstLine="720"/>
      <w:jc w:val="both"/>
    </w:pPr>
    <w:rPr>
      <w:rFonts w:ascii="Times New Roman" w:hAnsi="Times New Roman"/>
      <w:sz w:val="28"/>
      <w:szCs w:val="28"/>
    </w:rPr>
  </w:style>
  <w:style w:type="paragraph" w:customStyle="1" w:styleId="tv2132">
    <w:name w:val="tv2132"/>
    <w:basedOn w:val="Normal"/>
    <w:rsid w:val="008C37DC"/>
    <w:pPr>
      <w:spacing w:line="360" w:lineRule="auto"/>
      <w:ind w:firstLine="300"/>
      <w:jc w:val="both"/>
    </w:pPr>
    <w:rPr>
      <w:color w:val="414142"/>
      <w:sz w:val="20"/>
      <w:szCs w:val="20"/>
      <w:lang w:val="en-US" w:eastAsia="en-US"/>
    </w:rPr>
  </w:style>
  <w:style w:type="character" w:customStyle="1" w:styleId="Style1Char">
    <w:name w:val="Style1 Char"/>
    <w:link w:val="Style1"/>
    <w:rsid w:val="00543F44"/>
    <w:rPr>
      <w:rFonts w:eastAsia="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single" w:sz="12" w:space="0" w:color="8CC4C3"/>
            <w:left w:val="single" w:sz="12" w:space="0" w:color="8CC4C3"/>
            <w:bottom w:val="single" w:sz="12" w:space="0" w:color="8CC4C3"/>
            <w:right w:val="single" w:sz="12" w:space="0" w:color="8CC4C3"/>
          </w:divBdr>
          <w:divsChild>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53"/>
      <w:marRight w:val="53"/>
      <w:marTop w:val="105"/>
      <w:marBottom w:val="105"/>
      <w:divBdr>
        <w:top w:val="none" w:sz="0" w:space="0" w:color="auto"/>
        <w:left w:val="none" w:sz="0" w:space="0" w:color="auto"/>
        <w:bottom w:val="none" w:sz="0" w:space="0" w:color="auto"/>
        <w:right w:val="none" w:sz="0" w:space="0" w:color="auto"/>
      </w:divBdr>
      <w:divsChild>
        <w:div w:id="29">
          <w:marLeft w:val="0"/>
          <w:marRight w:val="0"/>
          <w:marTop w:val="240"/>
          <w:marBottom w:val="0"/>
          <w:divBdr>
            <w:top w:val="none" w:sz="0" w:space="0" w:color="auto"/>
            <w:left w:val="none" w:sz="0" w:space="0" w:color="auto"/>
            <w:bottom w:val="none" w:sz="0" w:space="0" w:color="auto"/>
            <w:right w:val="none" w:sz="0" w:space="0" w:color="auto"/>
          </w:divBdr>
        </w:div>
      </w:divsChild>
    </w:div>
    <w:div w:id="1663514">
      <w:bodyDiv w:val="1"/>
      <w:marLeft w:val="0"/>
      <w:marRight w:val="0"/>
      <w:marTop w:val="0"/>
      <w:marBottom w:val="0"/>
      <w:divBdr>
        <w:top w:val="none" w:sz="0" w:space="0" w:color="auto"/>
        <w:left w:val="none" w:sz="0" w:space="0" w:color="auto"/>
        <w:bottom w:val="none" w:sz="0" w:space="0" w:color="auto"/>
        <w:right w:val="none" w:sz="0" w:space="0" w:color="auto"/>
      </w:divBdr>
    </w:div>
    <w:div w:id="37051251">
      <w:bodyDiv w:val="1"/>
      <w:marLeft w:val="0"/>
      <w:marRight w:val="0"/>
      <w:marTop w:val="0"/>
      <w:marBottom w:val="0"/>
      <w:divBdr>
        <w:top w:val="none" w:sz="0" w:space="0" w:color="auto"/>
        <w:left w:val="none" w:sz="0" w:space="0" w:color="auto"/>
        <w:bottom w:val="none" w:sz="0" w:space="0" w:color="auto"/>
        <w:right w:val="none" w:sz="0" w:space="0" w:color="auto"/>
      </w:divBdr>
    </w:div>
    <w:div w:id="44377105">
      <w:bodyDiv w:val="1"/>
      <w:marLeft w:val="0"/>
      <w:marRight w:val="0"/>
      <w:marTop w:val="0"/>
      <w:marBottom w:val="0"/>
      <w:divBdr>
        <w:top w:val="none" w:sz="0" w:space="0" w:color="auto"/>
        <w:left w:val="none" w:sz="0" w:space="0" w:color="auto"/>
        <w:bottom w:val="none" w:sz="0" w:space="0" w:color="auto"/>
        <w:right w:val="none" w:sz="0" w:space="0" w:color="auto"/>
      </w:divBdr>
    </w:div>
    <w:div w:id="51929100">
      <w:bodyDiv w:val="1"/>
      <w:marLeft w:val="0"/>
      <w:marRight w:val="0"/>
      <w:marTop w:val="0"/>
      <w:marBottom w:val="0"/>
      <w:divBdr>
        <w:top w:val="none" w:sz="0" w:space="0" w:color="auto"/>
        <w:left w:val="none" w:sz="0" w:space="0" w:color="auto"/>
        <w:bottom w:val="none" w:sz="0" w:space="0" w:color="auto"/>
        <w:right w:val="none" w:sz="0" w:space="0" w:color="auto"/>
      </w:divBdr>
    </w:div>
    <w:div w:id="71976143">
      <w:bodyDiv w:val="1"/>
      <w:marLeft w:val="0"/>
      <w:marRight w:val="0"/>
      <w:marTop w:val="0"/>
      <w:marBottom w:val="0"/>
      <w:divBdr>
        <w:top w:val="none" w:sz="0" w:space="0" w:color="auto"/>
        <w:left w:val="none" w:sz="0" w:space="0" w:color="auto"/>
        <w:bottom w:val="none" w:sz="0" w:space="0" w:color="auto"/>
        <w:right w:val="none" w:sz="0" w:space="0" w:color="auto"/>
      </w:divBdr>
    </w:div>
    <w:div w:id="85662349">
      <w:bodyDiv w:val="1"/>
      <w:marLeft w:val="0"/>
      <w:marRight w:val="0"/>
      <w:marTop w:val="0"/>
      <w:marBottom w:val="0"/>
      <w:divBdr>
        <w:top w:val="none" w:sz="0" w:space="0" w:color="auto"/>
        <w:left w:val="none" w:sz="0" w:space="0" w:color="auto"/>
        <w:bottom w:val="none" w:sz="0" w:space="0" w:color="auto"/>
        <w:right w:val="none" w:sz="0" w:space="0" w:color="auto"/>
      </w:divBdr>
    </w:div>
    <w:div w:id="98726087">
      <w:bodyDiv w:val="1"/>
      <w:marLeft w:val="0"/>
      <w:marRight w:val="0"/>
      <w:marTop w:val="0"/>
      <w:marBottom w:val="0"/>
      <w:divBdr>
        <w:top w:val="none" w:sz="0" w:space="0" w:color="auto"/>
        <w:left w:val="none" w:sz="0" w:space="0" w:color="auto"/>
        <w:bottom w:val="none" w:sz="0" w:space="0" w:color="auto"/>
        <w:right w:val="none" w:sz="0" w:space="0" w:color="auto"/>
      </w:divBdr>
    </w:div>
    <w:div w:id="101272066">
      <w:bodyDiv w:val="1"/>
      <w:marLeft w:val="0"/>
      <w:marRight w:val="0"/>
      <w:marTop w:val="0"/>
      <w:marBottom w:val="0"/>
      <w:divBdr>
        <w:top w:val="none" w:sz="0" w:space="0" w:color="auto"/>
        <w:left w:val="none" w:sz="0" w:space="0" w:color="auto"/>
        <w:bottom w:val="none" w:sz="0" w:space="0" w:color="auto"/>
        <w:right w:val="none" w:sz="0" w:space="0" w:color="auto"/>
      </w:divBdr>
    </w:div>
    <w:div w:id="119766398">
      <w:bodyDiv w:val="1"/>
      <w:marLeft w:val="0"/>
      <w:marRight w:val="0"/>
      <w:marTop w:val="0"/>
      <w:marBottom w:val="0"/>
      <w:divBdr>
        <w:top w:val="none" w:sz="0" w:space="0" w:color="auto"/>
        <w:left w:val="none" w:sz="0" w:space="0" w:color="auto"/>
        <w:bottom w:val="none" w:sz="0" w:space="0" w:color="auto"/>
        <w:right w:val="none" w:sz="0" w:space="0" w:color="auto"/>
      </w:divBdr>
    </w:div>
    <w:div w:id="126511981">
      <w:bodyDiv w:val="1"/>
      <w:marLeft w:val="0"/>
      <w:marRight w:val="0"/>
      <w:marTop w:val="0"/>
      <w:marBottom w:val="0"/>
      <w:divBdr>
        <w:top w:val="none" w:sz="0" w:space="0" w:color="auto"/>
        <w:left w:val="none" w:sz="0" w:space="0" w:color="auto"/>
        <w:bottom w:val="none" w:sz="0" w:space="0" w:color="auto"/>
        <w:right w:val="none" w:sz="0" w:space="0" w:color="auto"/>
      </w:divBdr>
    </w:div>
    <w:div w:id="139614785">
      <w:bodyDiv w:val="1"/>
      <w:marLeft w:val="0"/>
      <w:marRight w:val="0"/>
      <w:marTop w:val="0"/>
      <w:marBottom w:val="0"/>
      <w:divBdr>
        <w:top w:val="none" w:sz="0" w:space="0" w:color="auto"/>
        <w:left w:val="none" w:sz="0" w:space="0" w:color="auto"/>
        <w:bottom w:val="none" w:sz="0" w:space="0" w:color="auto"/>
        <w:right w:val="none" w:sz="0" w:space="0" w:color="auto"/>
      </w:divBdr>
    </w:div>
    <w:div w:id="165631652">
      <w:bodyDiv w:val="1"/>
      <w:marLeft w:val="0"/>
      <w:marRight w:val="0"/>
      <w:marTop w:val="0"/>
      <w:marBottom w:val="0"/>
      <w:divBdr>
        <w:top w:val="none" w:sz="0" w:space="0" w:color="auto"/>
        <w:left w:val="none" w:sz="0" w:space="0" w:color="auto"/>
        <w:bottom w:val="none" w:sz="0" w:space="0" w:color="auto"/>
        <w:right w:val="none" w:sz="0" w:space="0" w:color="auto"/>
      </w:divBdr>
      <w:divsChild>
        <w:div w:id="11691782">
          <w:marLeft w:val="0"/>
          <w:marRight w:val="0"/>
          <w:marTop w:val="0"/>
          <w:marBottom w:val="0"/>
          <w:divBdr>
            <w:top w:val="none" w:sz="0" w:space="0" w:color="auto"/>
            <w:left w:val="none" w:sz="0" w:space="0" w:color="auto"/>
            <w:bottom w:val="none" w:sz="0" w:space="0" w:color="auto"/>
            <w:right w:val="none" w:sz="0" w:space="0" w:color="auto"/>
          </w:divBdr>
          <w:divsChild>
            <w:div w:id="1790709334">
              <w:marLeft w:val="0"/>
              <w:marRight w:val="0"/>
              <w:marTop w:val="0"/>
              <w:marBottom w:val="0"/>
              <w:divBdr>
                <w:top w:val="none" w:sz="0" w:space="0" w:color="auto"/>
                <w:left w:val="none" w:sz="0" w:space="0" w:color="auto"/>
                <w:bottom w:val="none" w:sz="0" w:space="0" w:color="auto"/>
                <w:right w:val="none" w:sz="0" w:space="0" w:color="auto"/>
              </w:divBdr>
              <w:divsChild>
                <w:div w:id="352928031">
                  <w:marLeft w:val="0"/>
                  <w:marRight w:val="0"/>
                  <w:marTop w:val="0"/>
                  <w:marBottom w:val="0"/>
                  <w:divBdr>
                    <w:top w:val="none" w:sz="0" w:space="0" w:color="auto"/>
                    <w:left w:val="none" w:sz="0" w:space="0" w:color="auto"/>
                    <w:bottom w:val="none" w:sz="0" w:space="0" w:color="auto"/>
                    <w:right w:val="none" w:sz="0" w:space="0" w:color="auto"/>
                  </w:divBdr>
                  <w:divsChild>
                    <w:div w:id="1133328955">
                      <w:marLeft w:val="0"/>
                      <w:marRight w:val="0"/>
                      <w:marTop w:val="0"/>
                      <w:marBottom w:val="0"/>
                      <w:divBdr>
                        <w:top w:val="none" w:sz="0" w:space="0" w:color="auto"/>
                        <w:left w:val="none" w:sz="0" w:space="0" w:color="auto"/>
                        <w:bottom w:val="none" w:sz="0" w:space="0" w:color="auto"/>
                        <w:right w:val="none" w:sz="0" w:space="0" w:color="auto"/>
                      </w:divBdr>
                      <w:divsChild>
                        <w:div w:id="1880584601">
                          <w:marLeft w:val="0"/>
                          <w:marRight w:val="0"/>
                          <w:marTop w:val="0"/>
                          <w:marBottom w:val="0"/>
                          <w:divBdr>
                            <w:top w:val="none" w:sz="0" w:space="0" w:color="auto"/>
                            <w:left w:val="none" w:sz="0" w:space="0" w:color="auto"/>
                            <w:bottom w:val="none" w:sz="0" w:space="0" w:color="auto"/>
                            <w:right w:val="none" w:sz="0" w:space="0" w:color="auto"/>
                          </w:divBdr>
                          <w:divsChild>
                            <w:div w:id="6286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2056">
      <w:bodyDiv w:val="1"/>
      <w:marLeft w:val="0"/>
      <w:marRight w:val="0"/>
      <w:marTop w:val="0"/>
      <w:marBottom w:val="0"/>
      <w:divBdr>
        <w:top w:val="none" w:sz="0" w:space="0" w:color="auto"/>
        <w:left w:val="none" w:sz="0" w:space="0" w:color="auto"/>
        <w:bottom w:val="none" w:sz="0" w:space="0" w:color="auto"/>
        <w:right w:val="none" w:sz="0" w:space="0" w:color="auto"/>
      </w:divBdr>
      <w:divsChild>
        <w:div w:id="806706159">
          <w:marLeft w:val="0"/>
          <w:marRight w:val="0"/>
          <w:marTop w:val="480"/>
          <w:marBottom w:val="240"/>
          <w:divBdr>
            <w:top w:val="none" w:sz="0" w:space="0" w:color="auto"/>
            <w:left w:val="none" w:sz="0" w:space="0" w:color="auto"/>
            <w:bottom w:val="none" w:sz="0" w:space="0" w:color="auto"/>
            <w:right w:val="none" w:sz="0" w:space="0" w:color="auto"/>
          </w:divBdr>
        </w:div>
        <w:div w:id="2004895989">
          <w:marLeft w:val="0"/>
          <w:marRight w:val="0"/>
          <w:marTop w:val="0"/>
          <w:marBottom w:val="567"/>
          <w:divBdr>
            <w:top w:val="none" w:sz="0" w:space="0" w:color="auto"/>
            <w:left w:val="none" w:sz="0" w:space="0" w:color="auto"/>
            <w:bottom w:val="none" w:sz="0" w:space="0" w:color="auto"/>
            <w:right w:val="none" w:sz="0" w:space="0" w:color="auto"/>
          </w:divBdr>
        </w:div>
      </w:divsChild>
    </w:div>
    <w:div w:id="217202966">
      <w:bodyDiv w:val="1"/>
      <w:marLeft w:val="0"/>
      <w:marRight w:val="0"/>
      <w:marTop w:val="0"/>
      <w:marBottom w:val="0"/>
      <w:divBdr>
        <w:top w:val="none" w:sz="0" w:space="0" w:color="auto"/>
        <w:left w:val="none" w:sz="0" w:space="0" w:color="auto"/>
        <w:bottom w:val="none" w:sz="0" w:space="0" w:color="auto"/>
        <w:right w:val="none" w:sz="0" w:space="0" w:color="auto"/>
      </w:divBdr>
    </w:div>
    <w:div w:id="222376828">
      <w:bodyDiv w:val="1"/>
      <w:marLeft w:val="0"/>
      <w:marRight w:val="0"/>
      <w:marTop w:val="0"/>
      <w:marBottom w:val="0"/>
      <w:divBdr>
        <w:top w:val="none" w:sz="0" w:space="0" w:color="auto"/>
        <w:left w:val="none" w:sz="0" w:space="0" w:color="auto"/>
        <w:bottom w:val="none" w:sz="0" w:space="0" w:color="auto"/>
        <w:right w:val="none" w:sz="0" w:space="0" w:color="auto"/>
      </w:divBdr>
    </w:div>
    <w:div w:id="255136237">
      <w:bodyDiv w:val="1"/>
      <w:marLeft w:val="0"/>
      <w:marRight w:val="0"/>
      <w:marTop w:val="0"/>
      <w:marBottom w:val="0"/>
      <w:divBdr>
        <w:top w:val="none" w:sz="0" w:space="0" w:color="auto"/>
        <w:left w:val="none" w:sz="0" w:space="0" w:color="auto"/>
        <w:bottom w:val="none" w:sz="0" w:space="0" w:color="auto"/>
        <w:right w:val="none" w:sz="0" w:space="0" w:color="auto"/>
      </w:divBdr>
    </w:div>
    <w:div w:id="257494142">
      <w:bodyDiv w:val="1"/>
      <w:marLeft w:val="0"/>
      <w:marRight w:val="0"/>
      <w:marTop w:val="0"/>
      <w:marBottom w:val="0"/>
      <w:divBdr>
        <w:top w:val="none" w:sz="0" w:space="0" w:color="auto"/>
        <w:left w:val="none" w:sz="0" w:space="0" w:color="auto"/>
        <w:bottom w:val="none" w:sz="0" w:space="0" w:color="auto"/>
        <w:right w:val="none" w:sz="0" w:space="0" w:color="auto"/>
      </w:divBdr>
    </w:div>
    <w:div w:id="276301653">
      <w:bodyDiv w:val="1"/>
      <w:marLeft w:val="0"/>
      <w:marRight w:val="0"/>
      <w:marTop w:val="0"/>
      <w:marBottom w:val="0"/>
      <w:divBdr>
        <w:top w:val="none" w:sz="0" w:space="0" w:color="auto"/>
        <w:left w:val="none" w:sz="0" w:space="0" w:color="auto"/>
        <w:bottom w:val="none" w:sz="0" w:space="0" w:color="auto"/>
        <w:right w:val="none" w:sz="0" w:space="0" w:color="auto"/>
      </w:divBdr>
    </w:div>
    <w:div w:id="294603503">
      <w:bodyDiv w:val="1"/>
      <w:marLeft w:val="0"/>
      <w:marRight w:val="0"/>
      <w:marTop w:val="0"/>
      <w:marBottom w:val="0"/>
      <w:divBdr>
        <w:top w:val="none" w:sz="0" w:space="0" w:color="auto"/>
        <w:left w:val="none" w:sz="0" w:space="0" w:color="auto"/>
        <w:bottom w:val="none" w:sz="0" w:space="0" w:color="auto"/>
        <w:right w:val="none" w:sz="0" w:space="0" w:color="auto"/>
      </w:divBdr>
    </w:div>
    <w:div w:id="299655377">
      <w:bodyDiv w:val="1"/>
      <w:marLeft w:val="0"/>
      <w:marRight w:val="0"/>
      <w:marTop w:val="0"/>
      <w:marBottom w:val="0"/>
      <w:divBdr>
        <w:top w:val="none" w:sz="0" w:space="0" w:color="auto"/>
        <w:left w:val="none" w:sz="0" w:space="0" w:color="auto"/>
        <w:bottom w:val="none" w:sz="0" w:space="0" w:color="auto"/>
        <w:right w:val="none" w:sz="0" w:space="0" w:color="auto"/>
      </w:divBdr>
    </w:div>
    <w:div w:id="316879564">
      <w:bodyDiv w:val="1"/>
      <w:marLeft w:val="0"/>
      <w:marRight w:val="0"/>
      <w:marTop w:val="0"/>
      <w:marBottom w:val="0"/>
      <w:divBdr>
        <w:top w:val="none" w:sz="0" w:space="0" w:color="auto"/>
        <w:left w:val="none" w:sz="0" w:space="0" w:color="auto"/>
        <w:bottom w:val="none" w:sz="0" w:space="0" w:color="auto"/>
        <w:right w:val="none" w:sz="0" w:space="0" w:color="auto"/>
      </w:divBdr>
    </w:div>
    <w:div w:id="345406619">
      <w:bodyDiv w:val="1"/>
      <w:marLeft w:val="0"/>
      <w:marRight w:val="0"/>
      <w:marTop w:val="0"/>
      <w:marBottom w:val="0"/>
      <w:divBdr>
        <w:top w:val="none" w:sz="0" w:space="0" w:color="auto"/>
        <w:left w:val="none" w:sz="0" w:space="0" w:color="auto"/>
        <w:bottom w:val="none" w:sz="0" w:space="0" w:color="auto"/>
        <w:right w:val="none" w:sz="0" w:space="0" w:color="auto"/>
      </w:divBdr>
    </w:div>
    <w:div w:id="346366163">
      <w:bodyDiv w:val="1"/>
      <w:marLeft w:val="0"/>
      <w:marRight w:val="0"/>
      <w:marTop w:val="0"/>
      <w:marBottom w:val="0"/>
      <w:divBdr>
        <w:top w:val="none" w:sz="0" w:space="0" w:color="auto"/>
        <w:left w:val="none" w:sz="0" w:space="0" w:color="auto"/>
        <w:bottom w:val="none" w:sz="0" w:space="0" w:color="auto"/>
        <w:right w:val="none" w:sz="0" w:space="0" w:color="auto"/>
      </w:divBdr>
    </w:div>
    <w:div w:id="367219754">
      <w:bodyDiv w:val="1"/>
      <w:marLeft w:val="0"/>
      <w:marRight w:val="0"/>
      <w:marTop w:val="0"/>
      <w:marBottom w:val="0"/>
      <w:divBdr>
        <w:top w:val="none" w:sz="0" w:space="0" w:color="auto"/>
        <w:left w:val="none" w:sz="0" w:space="0" w:color="auto"/>
        <w:bottom w:val="none" w:sz="0" w:space="0" w:color="auto"/>
        <w:right w:val="none" w:sz="0" w:space="0" w:color="auto"/>
      </w:divBdr>
    </w:div>
    <w:div w:id="396436306">
      <w:bodyDiv w:val="1"/>
      <w:marLeft w:val="0"/>
      <w:marRight w:val="0"/>
      <w:marTop w:val="0"/>
      <w:marBottom w:val="0"/>
      <w:divBdr>
        <w:top w:val="none" w:sz="0" w:space="0" w:color="auto"/>
        <w:left w:val="none" w:sz="0" w:space="0" w:color="auto"/>
        <w:bottom w:val="none" w:sz="0" w:space="0" w:color="auto"/>
        <w:right w:val="none" w:sz="0" w:space="0" w:color="auto"/>
      </w:divBdr>
    </w:div>
    <w:div w:id="409153687">
      <w:bodyDiv w:val="1"/>
      <w:marLeft w:val="0"/>
      <w:marRight w:val="0"/>
      <w:marTop w:val="0"/>
      <w:marBottom w:val="0"/>
      <w:divBdr>
        <w:top w:val="none" w:sz="0" w:space="0" w:color="auto"/>
        <w:left w:val="none" w:sz="0" w:space="0" w:color="auto"/>
        <w:bottom w:val="none" w:sz="0" w:space="0" w:color="auto"/>
        <w:right w:val="none" w:sz="0" w:space="0" w:color="auto"/>
      </w:divBdr>
    </w:div>
    <w:div w:id="445657735">
      <w:bodyDiv w:val="1"/>
      <w:marLeft w:val="0"/>
      <w:marRight w:val="0"/>
      <w:marTop w:val="0"/>
      <w:marBottom w:val="0"/>
      <w:divBdr>
        <w:top w:val="none" w:sz="0" w:space="0" w:color="auto"/>
        <w:left w:val="none" w:sz="0" w:space="0" w:color="auto"/>
        <w:bottom w:val="none" w:sz="0" w:space="0" w:color="auto"/>
        <w:right w:val="none" w:sz="0" w:space="0" w:color="auto"/>
      </w:divBdr>
    </w:div>
    <w:div w:id="461970808">
      <w:bodyDiv w:val="1"/>
      <w:marLeft w:val="0"/>
      <w:marRight w:val="0"/>
      <w:marTop w:val="0"/>
      <w:marBottom w:val="0"/>
      <w:divBdr>
        <w:top w:val="none" w:sz="0" w:space="0" w:color="auto"/>
        <w:left w:val="none" w:sz="0" w:space="0" w:color="auto"/>
        <w:bottom w:val="none" w:sz="0" w:space="0" w:color="auto"/>
        <w:right w:val="none" w:sz="0" w:space="0" w:color="auto"/>
      </w:divBdr>
    </w:div>
    <w:div w:id="562370249">
      <w:bodyDiv w:val="1"/>
      <w:marLeft w:val="0"/>
      <w:marRight w:val="0"/>
      <w:marTop w:val="0"/>
      <w:marBottom w:val="0"/>
      <w:divBdr>
        <w:top w:val="none" w:sz="0" w:space="0" w:color="auto"/>
        <w:left w:val="none" w:sz="0" w:space="0" w:color="auto"/>
        <w:bottom w:val="none" w:sz="0" w:space="0" w:color="auto"/>
        <w:right w:val="none" w:sz="0" w:space="0" w:color="auto"/>
      </w:divBdr>
    </w:div>
    <w:div w:id="647630972">
      <w:bodyDiv w:val="1"/>
      <w:marLeft w:val="0"/>
      <w:marRight w:val="0"/>
      <w:marTop w:val="0"/>
      <w:marBottom w:val="0"/>
      <w:divBdr>
        <w:top w:val="none" w:sz="0" w:space="0" w:color="auto"/>
        <w:left w:val="none" w:sz="0" w:space="0" w:color="auto"/>
        <w:bottom w:val="none" w:sz="0" w:space="0" w:color="auto"/>
        <w:right w:val="none" w:sz="0" w:space="0" w:color="auto"/>
      </w:divBdr>
    </w:div>
    <w:div w:id="673142150">
      <w:bodyDiv w:val="1"/>
      <w:marLeft w:val="0"/>
      <w:marRight w:val="0"/>
      <w:marTop w:val="0"/>
      <w:marBottom w:val="0"/>
      <w:divBdr>
        <w:top w:val="none" w:sz="0" w:space="0" w:color="auto"/>
        <w:left w:val="none" w:sz="0" w:space="0" w:color="auto"/>
        <w:bottom w:val="none" w:sz="0" w:space="0" w:color="auto"/>
        <w:right w:val="none" w:sz="0" w:space="0" w:color="auto"/>
      </w:divBdr>
    </w:div>
    <w:div w:id="708457594">
      <w:bodyDiv w:val="1"/>
      <w:marLeft w:val="0"/>
      <w:marRight w:val="0"/>
      <w:marTop w:val="0"/>
      <w:marBottom w:val="0"/>
      <w:divBdr>
        <w:top w:val="none" w:sz="0" w:space="0" w:color="auto"/>
        <w:left w:val="none" w:sz="0" w:space="0" w:color="auto"/>
        <w:bottom w:val="none" w:sz="0" w:space="0" w:color="auto"/>
        <w:right w:val="none" w:sz="0" w:space="0" w:color="auto"/>
      </w:divBdr>
    </w:div>
    <w:div w:id="716902393">
      <w:bodyDiv w:val="1"/>
      <w:marLeft w:val="0"/>
      <w:marRight w:val="0"/>
      <w:marTop w:val="0"/>
      <w:marBottom w:val="0"/>
      <w:divBdr>
        <w:top w:val="none" w:sz="0" w:space="0" w:color="auto"/>
        <w:left w:val="none" w:sz="0" w:space="0" w:color="auto"/>
        <w:bottom w:val="none" w:sz="0" w:space="0" w:color="auto"/>
        <w:right w:val="none" w:sz="0" w:space="0" w:color="auto"/>
      </w:divBdr>
    </w:div>
    <w:div w:id="744955525">
      <w:bodyDiv w:val="1"/>
      <w:marLeft w:val="0"/>
      <w:marRight w:val="0"/>
      <w:marTop w:val="0"/>
      <w:marBottom w:val="0"/>
      <w:divBdr>
        <w:top w:val="none" w:sz="0" w:space="0" w:color="auto"/>
        <w:left w:val="none" w:sz="0" w:space="0" w:color="auto"/>
        <w:bottom w:val="none" w:sz="0" w:space="0" w:color="auto"/>
        <w:right w:val="none" w:sz="0" w:space="0" w:color="auto"/>
      </w:divBdr>
      <w:divsChild>
        <w:div w:id="411854146">
          <w:marLeft w:val="0"/>
          <w:marRight w:val="0"/>
          <w:marTop w:val="0"/>
          <w:marBottom w:val="0"/>
          <w:divBdr>
            <w:top w:val="none" w:sz="0" w:space="0" w:color="auto"/>
            <w:left w:val="none" w:sz="0" w:space="0" w:color="auto"/>
            <w:bottom w:val="none" w:sz="0" w:space="0" w:color="auto"/>
            <w:right w:val="none" w:sz="0" w:space="0" w:color="auto"/>
          </w:divBdr>
          <w:divsChild>
            <w:div w:id="65998089">
              <w:marLeft w:val="0"/>
              <w:marRight w:val="0"/>
              <w:marTop w:val="0"/>
              <w:marBottom w:val="0"/>
              <w:divBdr>
                <w:top w:val="none" w:sz="0" w:space="0" w:color="auto"/>
                <w:left w:val="none" w:sz="0" w:space="0" w:color="auto"/>
                <w:bottom w:val="none" w:sz="0" w:space="0" w:color="auto"/>
                <w:right w:val="none" w:sz="0" w:space="0" w:color="auto"/>
              </w:divBdr>
              <w:divsChild>
                <w:div w:id="486749128">
                  <w:marLeft w:val="0"/>
                  <w:marRight w:val="0"/>
                  <w:marTop w:val="0"/>
                  <w:marBottom w:val="0"/>
                  <w:divBdr>
                    <w:top w:val="none" w:sz="0" w:space="0" w:color="auto"/>
                    <w:left w:val="none" w:sz="0" w:space="0" w:color="auto"/>
                    <w:bottom w:val="none" w:sz="0" w:space="0" w:color="auto"/>
                    <w:right w:val="none" w:sz="0" w:space="0" w:color="auto"/>
                  </w:divBdr>
                  <w:divsChild>
                    <w:div w:id="1305548922">
                      <w:marLeft w:val="0"/>
                      <w:marRight w:val="0"/>
                      <w:marTop w:val="0"/>
                      <w:marBottom w:val="567"/>
                      <w:divBdr>
                        <w:top w:val="none" w:sz="0" w:space="0" w:color="auto"/>
                        <w:left w:val="none" w:sz="0" w:space="0" w:color="auto"/>
                        <w:bottom w:val="none" w:sz="0" w:space="0" w:color="auto"/>
                        <w:right w:val="none" w:sz="0" w:space="0" w:color="auto"/>
                      </w:divBdr>
                    </w:div>
                    <w:div w:id="19695077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746729033">
      <w:bodyDiv w:val="1"/>
      <w:marLeft w:val="0"/>
      <w:marRight w:val="0"/>
      <w:marTop w:val="0"/>
      <w:marBottom w:val="0"/>
      <w:divBdr>
        <w:top w:val="none" w:sz="0" w:space="0" w:color="auto"/>
        <w:left w:val="none" w:sz="0" w:space="0" w:color="auto"/>
        <w:bottom w:val="none" w:sz="0" w:space="0" w:color="auto"/>
        <w:right w:val="none" w:sz="0" w:space="0" w:color="auto"/>
      </w:divBdr>
    </w:div>
    <w:div w:id="757750459">
      <w:bodyDiv w:val="1"/>
      <w:marLeft w:val="0"/>
      <w:marRight w:val="0"/>
      <w:marTop w:val="0"/>
      <w:marBottom w:val="0"/>
      <w:divBdr>
        <w:top w:val="none" w:sz="0" w:space="0" w:color="auto"/>
        <w:left w:val="none" w:sz="0" w:space="0" w:color="auto"/>
        <w:bottom w:val="none" w:sz="0" w:space="0" w:color="auto"/>
        <w:right w:val="none" w:sz="0" w:space="0" w:color="auto"/>
      </w:divBdr>
    </w:div>
    <w:div w:id="759907900">
      <w:bodyDiv w:val="1"/>
      <w:marLeft w:val="0"/>
      <w:marRight w:val="0"/>
      <w:marTop w:val="0"/>
      <w:marBottom w:val="0"/>
      <w:divBdr>
        <w:top w:val="none" w:sz="0" w:space="0" w:color="auto"/>
        <w:left w:val="none" w:sz="0" w:space="0" w:color="auto"/>
        <w:bottom w:val="none" w:sz="0" w:space="0" w:color="auto"/>
        <w:right w:val="none" w:sz="0" w:space="0" w:color="auto"/>
      </w:divBdr>
    </w:div>
    <w:div w:id="787507025">
      <w:bodyDiv w:val="1"/>
      <w:marLeft w:val="0"/>
      <w:marRight w:val="0"/>
      <w:marTop w:val="0"/>
      <w:marBottom w:val="0"/>
      <w:divBdr>
        <w:top w:val="none" w:sz="0" w:space="0" w:color="auto"/>
        <w:left w:val="none" w:sz="0" w:space="0" w:color="auto"/>
        <w:bottom w:val="none" w:sz="0" w:space="0" w:color="auto"/>
        <w:right w:val="none" w:sz="0" w:space="0" w:color="auto"/>
      </w:divBdr>
      <w:divsChild>
        <w:div w:id="1481386204">
          <w:marLeft w:val="0"/>
          <w:marRight w:val="0"/>
          <w:marTop w:val="0"/>
          <w:marBottom w:val="0"/>
          <w:divBdr>
            <w:top w:val="none" w:sz="0" w:space="0" w:color="auto"/>
            <w:left w:val="none" w:sz="0" w:space="0" w:color="auto"/>
            <w:bottom w:val="none" w:sz="0" w:space="0" w:color="auto"/>
            <w:right w:val="none" w:sz="0" w:space="0" w:color="auto"/>
          </w:divBdr>
        </w:div>
      </w:divsChild>
    </w:div>
    <w:div w:id="834959283">
      <w:bodyDiv w:val="1"/>
      <w:marLeft w:val="0"/>
      <w:marRight w:val="0"/>
      <w:marTop w:val="0"/>
      <w:marBottom w:val="0"/>
      <w:divBdr>
        <w:top w:val="none" w:sz="0" w:space="0" w:color="auto"/>
        <w:left w:val="none" w:sz="0" w:space="0" w:color="auto"/>
        <w:bottom w:val="none" w:sz="0" w:space="0" w:color="auto"/>
        <w:right w:val="none" w:sz="0" w:space="0" w:color="auto"/>
      </w:divBdr>
      <w:divsChild>
        <w:div w:id="211113371">
          <w:marLeft w:val="0"/>
          <w:marRight w:val="0"/>
          <w:marTop w:val="0"/>
          <w:marBottom w:val="0"/>
          <w:divBdr>
            <w:top w:val="none" w:sz="0" w:space="0" w:color="auto"/>
            <w:left w:val="none" w:sz="0" w:space="0" w:color="auto"/>
            <w:bottom w:val="none" w:sz="0" w:space="0" w:color="auto"/>
            <w:right w:val="none" w:sz="0" w:space="0" w:color="auto"/>
          </w:divBdr>
          <w:divsChild>
            <w:div w:id="1196499403">
              <w:marLeft w:val="0"/>
              <w:marRight w:val="0"/>
              <w:marTop w:val="0"/>
              <w:marBottom w:val="0"/>
              <w:divBdr>
                <w:top w:val="none" w:sz="0" w:space="0" w:color="auto"/>
                <w:left w:val="none" w:sz="0" w:space="0" w:color="auto"/>
                <w:bottom w:val="none" w:sz="0" w:space="0" w:color="auto"/>
                <w:right w:val="none" w:sz="0" w:space="0" w:color="auto"/>
              </w:divBdr>
              <w:divsChild>
                <w:div w:id="1944914369">
                  <w:marLeft w:val="0"/>
                  <w:marRight w:val="0"/>
                  <w:marTop w:val="0"/>
                  <w:marBottom w:val="0"/>
                  <w:divBdr>
                    <w:top w:val="none" w:sz="0" w:space="0" w:color="auto"/>
                    <w:left w:val="none" w:sz="0" w:space="0" w:color="auto"/>
                    <w:bottom w:val="none" w:sz="0" w:space="0" w:color="auto"/>
                    <w:right w:val="none" w:sz="0" w:space="0" w:color="auto"/>
                  </w:divBdr>
                  <w:divsChild>
                    <w:div w:id="290863665">
                      <w:marLeft w:val="0"/>
                      <w:marRight w:val="0"/>
                      <w:marTop w:val="0"/>
                      <w:marBottom w:val="0"/>
                      <w:divBdr>
                        <w:top w:val="none" w:sz="0" w:space="0" w:color="auto"/>
                        <w:left w:val="none" w:sz="0" w:space="0" w:color="auto"/>
                        <w:bottom w:val="none" w:sz="0" w:space="0" w:color="auto"/>
                        <w:right w:val="none" w:sz="0" w:space="0" w:color="auto"/>
                      </w:divBdr>
                      <w:divsChild>
                        <w:div w:id="1714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2497">
      <w:bodyDiv w:val="1"/>
      <w:marLeft w:val="0"/>
      <w:marRight w:val="0"/>
      <w:marTop w:val="0"/>
      <w:marBottom w:val="0"/>
      <w:divBdr>
        <w:top w:val="none" w:sz="0" w:space="0" w:color="auto"/>
        <w:left w:val="none" w:sz="0" w:space="0" w:color="auto"/>
        <w:bottom w:val="none" w:sz="0" w:space="0" w:color="auto"/>
        <w:right w:val="none" w:sz="0" w:space="0" w:color="auto"/>
      </w:divBdr>
    </w:div>
    <w:div w:id="883717520">
      <w:bodyDiv w:val="1"/>
      <w:marLeft w:val="0"/>
      <w:marRight w:val="0"/>
      <w:marTop w:val="0"/>
      <w:marBottom w:val="0"/>
      <w:divBdr>
        <w:top w:val="none" w:sz="0" w:space="0" w:color="auto"/>
        <w:left w:val="none" w:sz="0" w:space="0" w:color="auto"/>
        <w:bottom w:val="none" w:sz="0" w:space="0" w:color="auto"/>
        <w:right w:val="none" w:sz="0" w:space="0" w:color="auto"/>
      </w:divBdr>
    </w:div>
    <w:div w:id="886837828">
      <w:bodyDiv w:val="1"/>
      <w:marLeft w:val="0"/>
      <w:marRight w:val="0"/>
      <w:marTop w:val="0"/>
      <w:marBottom w:val="0"/>
      <w:divBdr>
        <w:top w:val="none" w:sz="0" w:space="0" w:color="auto"/>
        <w:left w:val="none" w:sz="0" w:space="0" w:color="auto"/>
        <w:bottom w:val="none" w:sz="0" w:space="0" w:color="auto"/>
        <w:right w:val="none" w:sz="0" w:space="0" w:color="auto"/>
      </w:divBdr>
    </w:div>
    <w:div w:id="890769345">
      <w:bodyDiv w:val="1"/>
      <w:marLeft w:val="0"/>
      <w:marRight w:val="0"/>
      <w:marTop w:val="0"/>
      <w:marBottom w:val="0"/>
      <w:divBdr>
        <w:top w:val="none" w:sz="0" w:space="0" w:color="auto"/>
        <w:left w:val="none" w:sz="0" w:space="0" w:color="auto"/>
        <w:bottom w:val="none" w:sz="0" w:space="0" w:color="auto"/>
        <w:right w:val="none" w:sz="0" w:space="0" w:color="auto"/>
      </w:divBdr>
    </w:div>
    <w:div w:id="971717319">
      <w:bodyDiv w:val="1"/>
      <w:marLeft w:val="0"/>
      <w:marRight w:val="0"/>
      <w:marTop w:val="0"/>
      <w:marBottom w:val="0"/>
      <w:divBdr>
        <w:top w:val="none" w:sz="0" w:space="0" w:color="auto"/>
        <w:left w:val="none" w:sz="0" w:space="0" w:color="auto"/>
        <w:bottom w:val="none" w:sz="0" w:space="0" w:color="auto"/>
        <w:right w:val="none" w:sz="0" w:space="0" w:color="auto"/>
      </w:divBdr>
    </w:div>
    <w:div w:id="972977133">
      <w:bodyDiv w:val="1"/>
      <w:marLeft w:val="0"/>
      <w:marRight w:val="0"/>
      <w:marTop w:val="0"/>
      <w:marBottom w:val="0"/>
      <w:divBdr>
        <w:top w:val="none" w:sz="0" w:space="0" w:color="auto"/>
        <w:left w:val="none" w:sz="0" w:space="0" w:color="auto"/>
        <w:bottom w:val="none" w:sz="0" w:space="0" w:color="auto"/>
        <w:right w:val="none" w:sz="0" w:space="0" w:color="auto"/>
      </w:divBdr>
      <w:divsChild>
        <w:div w:id="148518006">
          <w:marLeft w:val="0"/>
          <w:marRight w:val="0"/>
          <w:marTop w:val="0"/>
          <w:marBottom w:val="0"/>
          <w:divBdr>
            <w:top w:val="none" w:sz="0" w:space="0" w:color="auto"/>
            <w:left w:val="none" w:sz="0" w:space="0" w:color="auto"/>
            <w:bottom w:val="none" w:sz="0" w:space="0" w:color="auto"/>
            <w:right w:val="none" w:sz="0" w:space="0" w:color="auto"/>
          </w:divBdr>
          <w:divsChild>
            <w:div w:id="1480685974">
              <w:marLeft w:val="0"/>
              <w:marRight w:val="0"/>
              <w:marTop w:val="0"/>
              <w:marBottom w:val="0"/>
              <w:divBdr>
                <w:top w:val="none" w:sz="0" w:space="0" w:color="auto"/>
                <w:left w:val="none" w:sz="0" w:space="0" w:color="auto"/>
                <w:bottom w:val="none" w:sz="0" w:space="0" w:color="auto"/>
                <w:right w:val="none" w:sz="0" w:space="0" w:color="auto"/>
              </w:divBdr>
              <w:divsChild>
                <w:div w:id="519664403">
                  <w:marLeft w:val="0"/>
                  <w:marRight w:val="0"/>
                  <w:marTop w:val="0"/>
                  <w:marBottom w:val="0"/>
                  <w:divBdr>
                    <w:top w:val="none" w:sz="0" w:space="0" w:color="auto"/>
                    <w:left w:val="none" w:sz="0" w:space="0" w:color="auto"/>
                    <w:bottom w:val="none" w:sz="0" w:space="0" w:color="auto"/>
                    <w:right w:val="none" w:sz="0" w:space="0" w:color="auto"/>
                  </w:divBdr>
                  <w:divsChild>
                    <w:div w:id="7306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950141">
      <w:bodyDiv w:val="1"/>
      <w:marLeft w:val="0"/>
      <w:marRight w:val="0"/>
      <w:marTop w:val="0"/>
      <w:marBottom w:val="0"/>
      <w:divBdr>
        <w:top w:val="none" w:sz="0" w:space="0" w:color="auto"/>
        <w:left w:val="none" w:sz="0" w:space="0" w:color="auto"/>
        <w:bottom w:val="none" w:sz="0" w:space="0" w:color="auto"/>
        <w:right w:val="none" w:sz="0" w:space="0" w:color="auto"/>
      </w:divBdr>
    </w:div>
    <w:div w:id="999700871">
      <w:bodyDiv w:val="1"/>
      <w:marLeft w:val="0"/>
      <w:marRight w:val="0"/>
      <w:marTop w:val="0"/>
      <w:marBottom w:val="0"/>
      <w:divBdr>
        <w:top w:val="none" w:sz="0" w:space="0" w:color="auto"/>
        <w:left w:val="none" w:sz="0" w:space="0" w:color="auto"/>
        <w:bottom w:val="none" w:sz="0" w:space="0" w:color="auto"/>
        <w:right w:val="none" w:sz="0" w:space="0" w:color="auto"/>
      </w:divBdr>
    </w:div>
    <w:div w:id="1021279714">
      <w:bodyDiv w:val="1"/>
      <w:marLeft w:val="0"/>
      <w:marRight w:val="0"/>
      <w:marTop w:val="0"/>
      <w:marBottom w:val="0"/>
      <w:divBdr>
        <w:top w:val="none" w:sz="0" w:space="0" w:color="auto"/>
        <w:left w:val="none" w:sz="0" w:space="0" w:color="auto"/>
        <w:bottom w:val="none" w:sz="0" w:space="0" w:color="auto"/>
        <w:right w:val="none" w:sz="0" w:space="0" w:color="auto"/>
      </w:divBdr>
    </w:div>
    <w:div w:id="1031491298">
      <w:bodyDiv w:val="1"/>
      <w:marLeft w:val="0"/>
      <w:marRight w:val="0"/>
      <w:marTop w:val="0"/>
      <w:marBottom w:val="0"/>
      <w:divBdr>
        <w:top w:val="none" w:sz="0" w:space="0" w:color="auto"/>
        <w:left w:val="none" w:sz="0" w:space="0" w:color="auto"/>
        <w:bottom w:val="none" w:sz="0" w:space="0" w:color="auto"/>
        <w:right w:val="none" w:sz="0" w:space="0" w:color="auto"/>
      </w:divBdr>
    </w:div>
    <w:div w:id="1040665678">
      <w:bodyDiv w:val="1"/>
      <w:marLeft w:val="0"/>
      <w:marRight w:val="0"/>
      <w:marTop w:val="0"/>
      <w:marBottom w:val="0"/>
      <w:divBdr>
        <w:top w:val="none" w:sz="0" w:space="0" w:color="auto"/>
        <w:left w:val="none" w:sz="0" w:space="0" w:color="auto"/>
        <w:bottom w:val="none" w:sz="0" w:space="0" w:color="auto"/>
        <w:right w:val="none" w:sz="0" w:space="0" w:color="auto"/>
      </w:divBdr>
    </w:div>
    <w:div w:id="1066418195">
      <w:bodyDiv w:val="1"/>
      <w:marLeft w:val="0"/>
      <w:marRight w:val="0"/>
      <w:marTop w:val="0"/>
      <w:marBottom w:val="0"/>
      <w:divBdr>
        <w:top w:val="none" w:sz="0" w:space="0" w:color="auto"/>
        <w:left w:val="none" w:sz="0" w:space="0" w:color="auto"/>
        <w:bottom w:val="none" w:sz="0" w:space="0" w:color="auto"/>
        <w:right w:val="none" w:sz="0" w:space="0" w:color="auto"/>
      </w:divBdr>
    </w:div>
    <w:div w:id="1066951275">
      <w:bodyDiv w:val="1"/>
      <w:marLeft w:val="0"/>
      <w:marRight w:val="0"/>
      <w:marTop w:val="0"/>
      <w:marBottom w:val="0"/>
      <w:divBdr>
        <w:top w:val="none" w:sz="0" w:space="0" w:color="auto"/>
        <w:left w:val="none" w:sz="0" w:space="0" w:color="auto"/>
        <w:bottom w:val="none" w:sz="0" w:space="0" w:color="auto"/>
        <w:right w:val="none" w:sz="0" w:space="0" w:color="auto"/>
      </w:divBdr>
    </w:div>
    <w:div w:id="1069841830">
      <w:bodyDiv w:val="1"/>
      <w:marLeft w:val="0"/>
      <w:marRight w:val="0"/>
      <w:marTop w:val="0"/>
      <w:marBottom w:val="0"/>
      <w:divBdr>
        <w:top w:val="none" w:sz="0" w:space="0" w:color="auto"/>
        <w:left w:val="none" w:sz="0" w:space="0" w:color="auto"/>
        <w:bottom w:val="none" w:sz="0" w:space="0" w:color="auto"/>
        <w:right w:val="none" w:sz="0" w:space="0" w:color="auto"/>
      </w:divBdr>
    </w:div>
    <w:div w:id="1083377251">
      <w:bodyDiv w:val="1"/>
      <w:marLeft w:val="0"/>
      <w:marRight w:val="0"/>
      <w:marTop w:val="0"/>
      <w:marBottom w:val="0"/>
      <w:divBdr>
        <w:top w:val="none" w:sz="0" w:space="0" w:color="auto"/>
        <w:left w:val="none" w:sz="0" w:space="0" w:color="auto"/>
        <w:bottom w:val="none" w:sz="0" w:space="0" w:color="auto"/>
        <w:right w:val="none" w:sz="0" w:space="0" w:color="auto"/>
      </w:divBdr>
    </w:div>
    <w:div w:id="1106534406">
      <w:bodyDiv w:val="1"/>
      <w:marLeft w:val="0"/>
      <w:marRight w:val="0"/>
      <w:marTop w:val="0"/>
      <w:marBottom w:val="0"/>
      <w:divBdr>
        <w:top w:val="none" w:sz="0" w:space="0" w:color="auto"/>
        <w:left w:val="none" w:sz="0" w:space="0" w:color="auto"/>
        <w:bottom w:val="none" w:sz="0" w:space="0" w:color="auto"/>
        <w:right w:val="none" w:sz="0" w:space="0" w:color="auto"/>
      </w:divBdr>
    </w:div>
    <w:div w:id="1125268405">
      <w:bodyDiv w:val="1"/>
      <w:marLeft w:val="0"/>
      <w:marRight w:val="0"/>
      <w:marTop w:val="0"/>
      <w:marBottom w:val="0"/>
      <w:divBdr>
        <w:top w:val="none" w:sz="0" w:space="0" w:color="auto"/>
        <w:left w:val="none" w:sz="0" w:space="0" w:color="auto"/>
        <w:bottom w:val="none" w:sz="0" w:space="0" w:color="auto"/>
        <w:right w:val="none" w:sz="0" w:space="0" w:color="auto"/>
      </w:divBdr>
    </w:div>
    <w:div w:id="1127235879">
      <w:bodyDiv w:val="1"/>
      <w:marLeft w:val="0"/>
      <w:marRight w:val="0"/>
      <w:marTop w:val="0"/>
      <w:marBottom w:val="0"/>
      <w:divBdr>
        <w:top w:val="none" w:sz="0" w:space="0" w:color="auto"/>
        <w:left w:val="none" w:sz="0" w:space="0" w:color="auto"/>
        <w:bottom w:val="none" w:sz="0" w:space="0" w:color="auto"/>
        <w:right w:val="none" w:sz="0" w:space="0" w:color="auto"/>
      </w:divBdr>
    </w:div>
    <w:div w:id="1148012012">
      <w:bodyDiv w:val="1"/>
      <w:marLeft w:val="0"/>
      <w:marRight w:val="0"/>
      <w:marTop w:val="0"/>
      <w:marBottom w:val="0"/>
      <w:divBdr>
        <w:top w:val="none" w:sz="0" w:space="0" w:color="auto"/>
        <w:left w:val="none" w:sz="0" w:space="0" w:color="auto"/>
        <w:bottom w:val="none" w:sz="0" w:space="0" w:color="auto"/>
        <w:right w:val="none" w:sz="0" w:space="0" w:color="auto"/>
      </w:divBdr>
    </w:div>
    <w:div w:id="1223567203">
      <w:bodyDiv w:val="1"/>
      <w:marLeft w:val="0"/>
      <w:marRight w:val="0"/>
      <w:marTop w:val="0"/>
      <w:marBottom w:val="0"/>
      <w:divBdr>
        <w:top w:val="none" w:sz="0" w:space="0" w:color="auto"/>
        <w:left w:val="none" w:sz="0" w:space="0" w:color="auto"/>
        <w:bottom w:val="none" w:sz="0" w:space="0" w:color="auto"/>
        <w:right w:val="none" w:sz="0" w:space="0" w:color="auto"/>
      </w:divBdr>
    </w:div>
    <w:div w:id="1223833173">
      <w:bodyDiv w:val="1"/>
      <w:marLeft w:val="0"/>
      <w:marRight w:val="0"/>
      <w:marTop w:val="0"/>
      <w:marBottom w:val="0"/>
      <w:divBdr>
        <w:top w:val="none" w:sz="0" w:space="0" w:color="auto"/>
        <w:left w:val="none" w:sz="0" w:space="0" w:color="auto"/>
        <w:bottom w:val="none" w:sz="0" w:space="0" w:color="auto"/>
        <w:right w:val="none" w:sz="0" w:space="0" w:color="auto"/>
      </w:divBdr>
    </w:div>
    <w:div w:id="1258902260">
      <w:bodyDiv w:val="1"/>
      <w:marLeft w:val="0"/>
      <w:marRight w:val="0"/>
      <w:marTop w:val="0"/>
      <w:marBottom w:val="0"/>
      <w:divBdr>
        <w:top w:val="none" w:sz="0" w:space="0" w:color="auto"/>
        <w:left w:val="none" w:sz="0" w:space="0" w:color="auto"/>
        <w:bottom w:val="none" w:sz="0" w:space="0" w:color="auto"/>
        <w:right w:val="none" w:sz="0" w:space="0" w:color="auto"/>
      </w:divBdr>
    </w:div>
    <w:div w:id="1267880422">
      <w:bodyDiv w:val="1"/>
      <w:marLeft w:val="0"/>
      <w:marRight w:val="0"/>
      <w:marTop w:val="0"/>
      <w:marBottom w:val="0"/>
      <w:divBdr>
        <w:top w:val="none" w:sz="0" w:space="0" w:color="auto"/>
        <w:left w:val="none" w:sz="0" w:space="0" w:color="auto"/>
        <w:bottom w:val="none" w:sz="0" w:space="0" w:color="auto"/>
        <w:right w:val="none" w:sz="0" w:space="0" w:color="auto"/>
      </w:divBdr>
      <w:divsChild>
        <w:div w:id="2020935078">
          <w:marLeft w:val="1195"/>
          <w:marRight w:val="0"/>
          <w:marTop w:val="0"/>
          <w:marBottom w:val="0"/>
          <w:divBdr>
            <w:top w:val="none" w:sz="0" w:space="0" w:color="auto"/>
            <w:left w:val="none" w:sz="0" w:space="0" w:color="auto"/>
            <w:bottom w:val="none" w:sz="0" w:space="0" w:color="auto"/>
            <w:right w:val="none" w:sz="0" w:space="0" w:color="auto"/>
          </w:divBdr>
        </w:div>
      </w:divsChild>
    </w:div>
    <w:div w:id="1309480403">
      <w:bodyDiv w:val="1"/>
      <w:marLeft w:val="0"/>
      <w:marRight w:val="0"/>
      <w:marTop w:val="0"/>
      <w:marBottom w:val="0"/>
      <w:divBdr>
        <w:top w:val="none" w:sz="0" w:space="0" w:color="auto"/>
        <w:left w:val="none" w:sz="0" w:space="0" w:color="auto"/>
        <w:bottom w:val="none" w:sz="0" w:space="0" w:color="auto"/>
        <w:right w:val="none" w:sz="0" w:space="0" w:color="auto"/>
      </w:divBdr>
    </w:div>
    <w:div w:id="1369335060">
      <w:bodyDiv w:val="1"/>
      <w:marLeft w:val="0"/>
      <w:marRight w:val="0"/>
      <w:marTop w:val="0"/>
      <w:marBottom w:val="0"/>
      <w:divBdr>
        <w:top w:val="none" w:sz="0" w:space="0" w:color="auto"/>
        <w:left w:val="none" w:sz="0" w:space="0" w:color="auto"/>
        <w:bottom w:val="none" w:sz="0" w:space="0" w:color="auto"/>
        <w:right w:val="none" w:sz="0" w:space="0" w:color="auto"/>
      </w:divBdr>
    </w:div>
    <w:div w:id="1378159499">
      <w:bodyDiv w:val="1"/>
      <w:marLeft w:val="0"/>
      <w:marRight w:val="0"/>
      <w:marTop w:val="0"/>
      <w:marBottom w:val="0"/>
      <w:divBdr>
        <w:top w:val="none" w:sz="0" w:space="0" w:color="auto"/>
        <w:left w:val="none" w:sz="0" w:space="0" w:color="auto"/>
        <w:bottom w:val="none" w:sz="0" w:space="0" w:color="auto"/>
        <w:right w:val="none" w:sz="0" w:space="0" w:color="auto"/>
      </w:divBdr>
    </w:div>
    <w:div w:id="1396734248">
      <w:bodyDiv w:val="1"/>
      <w:marLeft w:val="0"/>
      <w:marRight w:val="0"/>
      <w:marTop w:val="0"/>
      <w:marBottom w:val="0"/>
      <w:divBdr>
        <w:top w:val="none" w:sz="0" w:space="0" w:color="auto"/>
        <w:left w:val="none" w:sz="0" w:space="0" w:color="auto"/>
        <w:bottom w:val="none" w:sz="0" w:space="0" w:color="auto"/>
        <w:right w:val="none" w:sz="0" w:space="0" w:color="auto"/>
      </w:divBdr>
    </w:div>
    <w:div w:id="1411780642">
      <w:bodyDiv w:val="1"/>
      <w:marLeft w:val="0"/>
      <w:marRight w:val="0"/>
      <w:marTop w:val="0"/>
      <w:marBottom w:val="0"/>
      <w:divBdr>
        <w:top w:val="none" w:sz="0" w:space="0" w:color="auto"/>
        <w:left w:val="none" w:sz="0" w:space="0" w:color="auto"/>
        <w:bottom w:val="none" w:sz="0" w:space="0" w:color="auto"/>
        <w:right w:val="none" w:sz="0" w:space="0" w:color="auto"/>
      </w:divBdr>
    </w:div>
    <w:div w:id="1420717319">
      <w:bodyDiv w:val="1"/>
      <w:marLeft w:val="0"/>
      <w:marRight w:val="0"/>
      <w:marTop w:val="0"/>
      <w:marBottom w:val="0"/>
      <w:divBdr>
        <w:top w:val="none" w:sz="0" w:space="0" w:color="auto"/>
        <w:left w:val="none" w:sz="0" w:space="0" w:color="auto"/>
        <w:bottom w:val="none" w:sz="0" w:space="0" w:color="auto"/>
        <w:right w:val="none" w:sz="0" w:space="0" w:color="auto"/>
      </w:divBdr>
    </w:div>
    <w:div w:id="1428505538">
      <w:bodyDiv w:val="1"/>
      <w:marLeft w:val="0"/>
      <w:marRight w:val="0"/>
      <w:marTop w:val="0"/>
      <w:marBottom w:val="0"/>
      <w:divBdr>
        <w:top w:val="none" w:sz="0" w:space="0" w:color="auto"/>
        <w:left w:val="none" w:sz="0" w:space="0" w:color="auto"/>
        <w:bottom w:val="none" w:sz="0" w:space="0" w:color="auto"/>
        <w:right w:val="none" w:sz="0" w:space="0" w:color="auto"/>
      </w:divBdr>
      <w:divsChild>
        <w:div w:id="1134132949">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491600026">
                  <w:marLeft w:val="0"/>
                  <w:marRight w:val="0"/>
                  <w:marTop w:val="0"/>
                  <w:marBottom w:val="0"/>
                  <w:divBdr>
                    <w:top w:val="none" w:sz="0" w:space="0" w:color="auto"/>
                    <w:left w:val="none" w:sz="0" w:space="0" w:color="auto"/>
                    <w:bottom w:val="none" w:sz="0" w:space="0" w:color="auto"/>
                    <w:right w:val="none" w:sz="0" w:space="0" w:color="auto"/>
                  </w:divBdr>
                  <w:divsChild>
                    <w:div w:id="1119301495">
                      <w:marLeft w:val="0"/>
                      <w:marRight w:val="0"/>
                      <w:marTop w:val="480"/>
                      <w:marBottom w:val="240"/>
                      <w:divBdr>
                        <w:top w:val="none" w:sz="0" w:space="0" w:color="auto"/>
                        <w:left w:val="none" w:sz="0" w:space="0" w:color="auto"/>
                        <w:bottom w:val="none" w:sz="0" w:space="0" w:color="auto"/>
                        <w:right w:val="none" w:sz="0" w:space="0" w:color="auto"/>
                      </w:divBdr>
                    </w:div>
                    <w:div w:id="212318359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436055121">
      <w:bodyDiv w:val="1"/>
      <w:marLeft w:val="0"/>
      <w:marRight w:val="0"/>
      <w:marTop w:val="0"/>
      <w:marBottom w:val="0"/>
      <w:divBdr>
        <w:top w:val="none" w:sz="0" w:space="0" w:color="auto"/>
        <w:left w:val="none" w:sz="0" w:space="0" w:color="auto"/>
        <w:bottom w:val="none" w:sz="0" w:space="0" w:color="auto"/>
        <w:right w:val="none" w:sz="0" w:space="0" w:color="auto"/>
      </w:divBdr>
    </w:div>
    <w:div w:id="1460605700">
      <w:bodyDiv w:val="1"/>
      <w:marLeft w:val="0"/>
      <w:marRight w:val="0"/>
      <w:marTop w:val="0"/>
      <w:marBottom w:val="0"/>
      <w:divBdr>
        <w:top w:val="none" w:sz="0" w:space="0" w:color="auto"/>
        <w:left w:val="none" w:sz="0" w:space="0" w:color="auto"/>
        <w:bottom w:val="none" w:sz="0" w:space="0" w:color="auto"/>
        <w:right w:val="none" w:sz="0" w:space="0" w:color="auto"/>
      </w:divBdr>
    </w:div>
    <w:div w:id="1540583737">
      <w:bodyDiv w:val="1"/>
      <w:marLeft w:val="0"/>
      <w:marRight w:val="0"/>
      <w:marTop w:val="0"/>
      <w:marBottom w:val="0"/>
      <w:divBdr>
        <w:top w:val="none" w:sz="0" w:space="0" w:color="auto"/>
        <w:left w:val="none" w:sz="0" w:space="0" w:color="auto"/>
        <w:bottom w:val="none" w:sz="0" w:space="0" w:color="auto"/>
        <w:right w:val="none" w:sz="0" w:space="0" w:color="auto"/>
      </w:divBdr>
    </w:div>
    <w:div w:id="1566454412">
      <w:bodyDiv w:val="1"/>
      <w:marLeft w:val="0"/>
      <w:marRight w:val="0"/>
      <w:marTop w:val="0"/>
      <w:marBottom w:val="0"/>
      <w:divBdr>
        <w:top w:val="none" w:sz="0" w:space="0" w:color="auto"/>
        <w:left w:val="none" w:sz="0" w:space="0" w:color="auto"/>
        <w:bottom w:val="none" w:sz="0" w:space="0" w:color="auto"/>
        <w:right w:val="none" w:sz="0" w:space="0" w:color="auto"/>
      </w:divBdr>
    </w:div>
    <w:div w:id="1607034283">
      <w:bodyDiv w:val="1"/>
      <w:marLeft w:val="0"/>
      <w:marRight w:val="0"/>
      <w:marTop w:val="0"/>
      <w:marBottom w:val="0"/>
      <w:divBdr>
        <w:top w:val="none" w:sz="0" w:space="0" w:color="auto"/>
        <w:left w:val="none" w:sz="0" w:space="0" w:color="auto"/>
        <w:bottom w:val="none" w:sz="0" w:space="0" w:color="auto"/>
        <w:right w:val="none" w:sz="0" w:space="0" w:color="auto"/>
      </w:divBdr>
    </w:div>
    <w:div w:id="1663387977">
      <w:bodyDiv w:val="1"/>
      <w:marLeft w:val="0"/>
      <w:marRight w:val="0"/>
      <w:marTop w:val="0"/>
      <w:marBottom w:val="0"/>
      <w:divBdr>
        <w:top w:val="none" w:sz="0" w:space="0" w:color="auto"/>
        <w:left w:val="none" w:sz="0" w:space="0" w:color="auto"/>
        <w:bottom w:val="none" w:sz="0" w:space="0" w:color="auto"/>
        <w:right w:val="none" w:sz="0" w:space="0" w:color="auto"/>
      </w:divBdr>
    </w:div>
    <w:div w:id="1697653696">
      <w:bodyDiv w:val="1"/>
      <w:marLeft w:val="0"/>
      <w:marRight w:val="0"/>
      <w:marTop w:val="0"/>
      <w:marBottom w:val="0"/>
      <w:divBdr>
        <w:top w:val="none" w:sz="0" w:space="0" w:color="auto"/>
        <w:left w:val="none" w:sz="0" w:space="0" w:color="auto"/>
        <w:bottom w:val="none" w:sz="0" w:space="0" w:color="auto"/>
        <w:right w:val="none" w:sz="0" w:space="0" w:color="auto"/>
      </w:divBdr>
    </w:div>
    <w:div w:id="1702317676">
      <w:bodyDiv w:val="1"/>
      <w:marLeft w:val="0"/>
      <w:marRight w:val="0"/>
      <w:marTop w:val="0"/>
      <w:marBottom w:val="0"/>
      <w:divBdr>
        <w:top w:val="none" w:sz="0" w:space="0" w:color="auto"/>
        <w:left w:val="none" w:sz="0" w:space="0" w:color="auto"/>
        <w:bottom w:val="none" w:sz="0" w:space="0" w:color="auto"/>
        <w:right w:val="none" w:sz="0" w:space="0" w:color="auto"/>
      </w:divBdr>
    </w:div>
    <w:div w:id="1736707465">
      <w:bodyDiv w:val="1"/>
      <w:marLeft w:val="0"/>
      <w:marRight w:val="0"/>
      <w:marTop w:val="0"/>
      <w:marBottom w:val="0"/>
      <w:divBdr>
        <w:top w:val="none" w:sz="0" w:space="0" w:color="auto"/>
        <w:left w:val="none" w:sz="0" w:space="0" w:color="auto"/>
        <w:bottom w:val="none" w:sz="0" w:space="0" w:color="auto"/>
        <w:right w:val="none" w:sz="0" w:space="0" w:color="auto"/>
      </w:divBdr>
    </w:div>
    <w:div w:id="1773162780">
      <w:bodyDiv w:val="1"/>
      <w:marLeft w:val="0"/>
      <w:marRight w:val="0"/>
      <w:marTop w:val="0"/>
      <w:marBottom w:val="0"/>
      <w:divBdr>
        <w:top w:val="none" w:sz="0" w:space="0" w:color="auto"/>
        <w:left w:val="none" w:sz="0" w:space="0" w:color="auto"/>
        <w:bottom w:val="none" w:sz="0" w:space="0" w:color="auto"/>
        <w:right w:val="none" w:sz="0" w:space="0" w:color="auto"/>
      </w:divBdr>
    </w:div>
    <w:div w:id="1801263430">
      <w:bodyDiv w:val="1"/>
      <w:marLeft w:val="0"/>
      <w:marRight w:val="0"/>
      <w:marTop w:val="0"/>
      <w:marBottom w:val="0"/>
      <w:divBdr>
        <w:top w:val="none" w:sz="0" w:space="0" w:color="auto"/>
        <w:left w:val="none" w:sz="0" w:space="0" w:color="auto"/>
        <w:bottom w:val="none" w:sz="0" w:space="0" w:color="auto"/>
        <w:right w:val="none" w:sz="0" w:space="0" w:color="auto"/>
      </w:divBdr>
    </w:div>
    <w:div w:id="1808812339">
      <w:bodyDiv w:val="1"/>
      <w:marLeft w:val="0"/>
      <w:marRight w:val="0"/>
      <w:marTop w:val="0"/>
      <w:marBottom w:val="0"/>
      <w:divBdr>
        <w:top w:val="none" w:sz="0" w:space="0" w:color="auto"/>
        <w:left w:val="none" w:sz="0" w:space="0" w:color="auto"/>
        <w:bottom w:val="none" w:sz="0" w:space="0" w:color="auto"/>
        <w:right w:val="none" w:sz="0" w:space="0" w:color="auto"/>
      </w:divBdr>
    </w:div>
    <w:div w:id="1843625558">
      <w:bodyDiv w:val="1"/>
      <w:marLeft w:val="0"/>
      <w:marRight w:val="0"/>
      <w:marTop w:val="0"/>
      <w:marBottom w:val="0"/>
      <w:divBdr>
        <w:top w:val="none" w:sz="0" w:space="0" w:color="auto"/>
        <w:left w:val="none" w:sz="0" w:space="0" w:color="auto"/>
        <w:bottom w:val="none" w:sz="0" w:space="0" w:color="auto"/>
        <w:right w:val="none" w:sz="0" w:space="0" w:color="auto"/>
      </w:divBdr>
    </w:div>
    <w:div w:id="1845435174">
      <w:bodyDiv w:val="1"/>
      <w:marLeft w:val="0"/>
      <w:marRight w:val="0"/>
      <w:marTop w:val="0"/>
      <w:marBottom w:val="0"/>
      <w:divBdr>
        <w:top w:val="none" w:sz="0" w:space="0" w:color="auto"/>
        <w:left w:val="none" w:sz="0" w:space="0" w:color="auto"/>
        <w:bottom w:val="none" w:sz="0" w:space="0" w:color="auto"/>
        <w:right w:val="none" w:sz="0" w:space="0" w:color="auto"/>
      </w:divBdr>
    </w:div>
    <w:div w:id="1848711647">
      <w:bodyDiv w:val="1"/>
      <w:marLeft w:val="0"/>
      <w:marRight w:val="0"/>
      <w:marTop w:val="0"/>
      <w:marBottom w:val="0"/>
      <w:divBdr>
        <w:top w:val="none" w:sz="0" w:space="0" w:color="auto"/>
        <w:left w:val="none" w:sz="0" w:space="0" w:color="auto"/>
        <w:bottom w:val="none" w:sz="0" w:space="0" w:color="auto"/>
        <w:right w:val="none" w:sz="0" w:space="0" w:color="auto"/>
      </w:divBdr>
    </w:div>
    <w:div w:id="1856530002">
      <w:bodyDiv w:val="1"/>
      <w:marLeft w:val="0"/>
      <w:marRight w:val="0"/>
      <w:marTop w:val="0"/>
      <w:marBottom w:val="0"/>
      <w:divBdr>
        <w:top w:val="none" w:sz="0" w:space="0" w:color="auto"/>
        <w:left w:val="none" w:sz="0" w:space="0" w:color="auto"/>
        <w:bottom w:val="none" w:sz="0" w:space="0" w:color="auto"/>
        <w:right w:val="none" w:sz="0" w:space="0" w:color="auto"/>
      </w:divBdr>
    </w:div>
    <w:div w:id="1877809515">
      <w:bodyDiv w:val="1"/>
      <w:marLeft w:val="0"/>
      <w:marRight w:val="0"/>
      <w:marTop w:val="0"/>
      <w:marBottom w:val="0"/>
      <w:divBdr>
        <w:top w:val="none" w:sz="0" w:space="0" w:color="auto"/>
        <w:left w:val="none" w:sz="0" w:space="0" w:color="auto"/>
        <w:bottom w:val="none" w:sz="0" w:space="0" w:color="auto"/>
        <w:right w:val="none" w:sz="0" w:space="0" w:color="auto"/>
      </w:divBdr>
    </w:div>
    <w:div w:id="1894736880">
      <w:bodyDiv w:val="1"/>
      <w:marLeft w:val="0"/>
      <w:marRight w:val="0"/>
      <w:marTop w:val="0"/>
      <w:marBottom w:val="0"/>
      <w:divBdr>
        <w:top w:val="none" w:sz="0" w:space="0" w:color="auto"/>
        <w:left w:val="none" w:sz="0" w:space="0" w:color="auto"/>
        <w:bottom w:val="none" w:sz="0" w:space="0" w:color="auto"/>
        <w:right w:val="none" w:sz="0" w:space="0" w:color="auto"/>
      </w:divBdr>
    </w:div>
    <w:div w:id="1905948328">
      <w:bodyDiv w:val="1"/>
      <w:marLeft w:val="0"/>
      <w:marRight w:val="0"/>
      <w:marTop w:val="0"/>
      <w:marBottom w:val="0"/>
      <w:divBdr>
        <w:top w:val="none" w:sz="0" w:space="0" w:color="auto"/>
        <w:left w:val="none" w:sz="0" w:space="0" w:color="auto"/>
        <w:bottom w:val="none" w:sz="0" w:space="0" w:color="auto"/>
        <w:right w:val="none" w:sz="0" w:space="0" w:color="auto"/>
      </w:divBdr>
    </w:div>
    <w:div w:id="1945838854">
      <w:bodyDiv w:val="1"/>
      <w:marLeft w:val="0"/>
      <w:marRight w:val="0"/>
      <w:marTop w:val="0"/>
      <w:marBottom w:val="0"/>
      <w:divBdr>
        <w:top w:val="none" w:sz="0" w:space="0" w:color="auto"/>
        <w:left w:val="none" w:sz="0" w:space="0" w:color="auto"/>
        <w:bottom w:val="none" w:sz="0" w:space="0" w:color="auto"/>
        <w:right w:val="none" w:sz="0" w:space="0" w:color="auto"/>
      </w:divBdr>
    </w:div>
    <w:div w:id="1980651344">
      <w:bodyDiv w:val="1"/>
      <w:marLeft w:val="0"/>
      <w:marRight w:val="0"/>
      <w:marTop w:val="0"/>
      <w:marBottom w:val="0"/>
      <w:divBdr>
        <w:top w:val="none" w:sz="0" w:space="0" w:color="auto"/>
        <w:left w:val="none" w:sz="0" w:space="0" w:color="auto"/>
        <w:bottom w:val="none" w:sz="0" w:space="0" w:color="auto"/>
        <w:right w:val="none" w:sz="0" w:space="0" w:color="auto"/>
      </w:divBdr>
    </w:div>
    <w:div w:id="2009550019">
      <w:bodyDiv w:val="1"/>
      <w:marLeft w:val="0"/>
      <w:marRight w:val="0"/>
      <w:marTop w:val="0"/>
      <w:marBottom w:val="0"/>
      <w:divBdr>
        <w:top w:val="none" w:sz="0" w:space="0" w:color="auto"/>
        <w:left w:val="none" w:sz="0" w:space="0" w:color="auto"/>
        <w:bottom w:val="none" w:sz="0" w:space="0" w:color="auto"/>
        <w:right w:val="none" w:sz="0" w:space="0" w:color="auto"/>
      </w:divBdr>
    </w:div>
    <w:div w:id="2013755668">
      <w:bodyDiv w:val="1"/>
      <w:marLeft w:val="0"/>
      <w:marRight w:val="0"/>
      <w:marTop w:val="0"/>
      <w:marBottom w:val="0"/>
      <w:divBdr>
        <w:top w:val="none" w:sz="0" w:space="0" w:color="auto"/>
        <w:left w:val="none" w:sz="0" w:space="0" w:color="auto"/>
        <w:bottom w:val="none" w:sz="0" w:space="0" w:color="auto"/>
        <w:right w:val="none" w:sz="0" w:space="0" w:color="auto"/>
      </w:divBdr>
    </w:div>
    <w:div w:id="2063404693">
      <w:bodyDiv w:val="1"/>
      <w:marLeft w:val="0"/>
      <w:marRight w:val="0"/>
      <w:marTop w:val="0"/>
      <w:marBottom w:val="0"/>
      <w:divBdr>
        <w:top w:val="none" w:sz="0" w:space="0" w:color="auto"/>
        <w:left w:val="none" w:sz="0" w:space="0" w:color="auto"/>
        <w:bottom w:val="none" w:sz="0" w:space="0" w:color="auto"/>
        <w:right w:val="none" w:sz="0" w:space="0" w:color="auto"/>
      </w:divBdr>
    </w:div>
    <w:div w:id="2063602302">
      <w:bodyDiv w:val="1"/>
      <w:marLeft w:val="0"/>
      <w:marRight w:val="0"/>
      <w:marTop w:val="0"/>
      <w:marBottom w:val="0"/>
      <w:divBdr>
        <w:top w:val="none" w:sz="0" w:space="0" w:color="auto"/>
        <w:left w:val="none" w:sz="0" w:space="0" w:color="auto"/>
        <w:bottom w:val="none" w:sz="0" w:space="0" w:color="auto"/>
        <w:right w:val="none" w:sz="0" w:space="0" w:color="auto"/>
      </w:divBdr>
      <w:divsChild>
        <w:div w:id="380448267">
          <w:marLeft w:val="0"/>
          <w:marRight w:val="0"/>
          <w:marTop w:val="0"/>
          <w:marBottom w:val="0"/>
          <w:divBdr>
            <w:top w:val="none" w:sz="0" w:space="0" w:color="auto"/>
            <w:left w:val="none" w:sz="0" w:space="0" w:color="auto"/>
            <w:bottom w:val="none" w:sz="0" w:space="0" w:color="auto"/>
            <w:right w:val="none" w:sz="0" w:space="0" w:color="auto"/>
          </w:divBdr>
        </w:div>
        <w:div w:id="403260722">
          <w:marLeft w:val="720"/>
          <w:marRight w:val="0"/>
          <w:marTop w:val="0"/>
          <w:marBottom w:val="0"/>
          <w:divBdr>
            <w:top w:val="none" w:sz="0" w:space="0" w:color="auto"/>
            <w:left w:val="none" w:sz="0" w:space="0" w:color="auto"/>
            <w:bottom w:val="none" w:sz="0" w:space="0" w:color="auto"/>
            <w:right w:val="none" w:sz="0" w:space="0" w:color="auto"/>
          </w:divBdr>
        </w:div>
        <w:div w:id="422411379">
          <w:marLeft w:val="720"/>
          <w:marRight w:val="0"/>
          <w:marTop w:val="0"/>
          <w:marBottom w:val="0"/>
          <w:divBdr>
            <w:top w:val="none" w:sz="0" w:space="0" w:color="auto"/>
            <w:left w:val="none" w:sz="0" w:space="0" w:color="auto"/>
            <w:bottom w:val="none" w:sz="0" w:space="0" w:color="auto"/>
            <w:right w:val="none" w:sz="0" w:space="0" w:color="auto"/>
          </w:divBdr>
        </w:div>
        <w:div w:id="979991650">
          <w:marLeft w:val="0"/>
          <w:marRight w:val="0"/>
          <w:marTop w:val="0"/>
          <w:marBottom w:val="0"/>
          <w:divBdr>
            <w:top w:val="none" w:sz="0" w:space="0" w:color="auto"/>
            <w:left w:val="none" w:sz="0" w:space="0" w:color="auto"/>
            <w:bottom w:val="none" w:sz="0" w:space="0" w:color="auto"/>
            <w:right w:val="none" w:sz="0" w:space="0" w:color="auto"/>
          </w:divBdr>
        </w:div>
        <w:div w:id="1672367442">
          <w:marLeft w:val="720"/>
          <w:marRight w:val="0"/>
          <w:marTop w:val="0"/>
          <w:marBottom w:val="0"/>
          <w:divBdr>
            <w:top w:val="none" w:sz="0" w:space="0" w:color="auto"/>
            <w:left w:val="none" w:sz="0" w:space="0" w:color="auto"/>
            <w:bottom w:val="none" w:sz="0" w:space="0" w:color="auto"/>
            <w:right w:val="none" w:sz="0" w:space="0" w:color="auto"/>
          </w:divBdr>
        </w:div>
        <w:div w:id="1781297798">
          <w:marLeft w:val="0"/>
          <w:marRight w:val="0"/>
          <w:marTop w:val="0"/>
          <w:marBottom w:val="0"/>
          <w:divBdr>
            <w:top w:val="none" w:sz="0" w:space="0" w:color="auto"/>
            <w:left w:val="none" w:sz="0" w:space="0" w:color="auto"/>
            <w:bottom w:val="none" w:sz="0" w:space="0" w:color="auto"/>
            <w:right w:val="none" w:sz="0" w:space="0" w:color="auto"/>
          </w:divBdr>
        </w:div>
        <w:div w:id="1924334076">
          <w:marLeft w:val="720"/>
          <w:marRight w:val="0"/>
          <w:marTop w:val="0"/>
          <w:marBottom w:val="0"/>
          <w:divBdr>
            <w:top w:val="none" w:sz="0" w:space="0" w:color="auto"/>
            <w:left w:val="none" w:sz="0" w:space="0" w:color="auto"/>
            <w:bottom w:val="none" w:sz="0" w:space="0" w:color="auto"/>
            <w:right w:val="none" w:sz="0" w:space="0" w:color="auto"/>
          </w:divBdr>
        </w:div>
        <w:div w:id="1956911970">
          <w:marLeft w:val="0"/>
          <w:marRight w:val="0"/>
          <w:marTop w:val="0"/>
          <w:marBottom w:val="0"/>
          <w:divBdr>
            <w:top w:val="none" w:sz="0" w:space="0" w:color="auto"/>
            <w:left w:val="none" w:sz="0" w:space="0" w:color="auto"/>
            <w:bottom w:val="none" w:sz="0" w:space="0" w:color="auto"/>
            <w:right w:val="none" w:sz="0" w:space="0" w:color="auto"/>
          </w:divBdr>
        </w:div>
      </w:divsChild>
    </w:div>
    <w:div w:id="2085293378">
      <w:bodyDiv w:val="1"/>
      <w:marLeft w:val="0"/>
      <w:marRight w:val="0"/>
      <w:marTop w:val="0"/>
      <w:marBottom w:val="0"/>
      <w:divBdr>
        <w:top w:val="none" w:sz="0" w:space="0" w:color="auto"/>
        <w:left w:val="none" w:sz="0" w:space="0" w:color="auto"/>
        <w:bottom w:val="none" w:sz="0" w:space="0" w:color="auto"/>
        <w:right w:val="none" w:sz="0" w:space="0" w:color="auto"/>
      </w:divBdr>
    </w:div>
    <w:div w:id="2104567182">
      <w:bodyDiv w:val="1"/>
      <w:marLeft w:val="0"/>
      <w:marRight w:val="0"/>
      <w:marTop w:val="0"/>
      <w:marBottom w:val="0"/>
      <w:divBdr>
        <w:top w:val="none" w:sz="0" w:space="0" w:color="auto"/>
        <w:left w:val="none" w:sz="0" w:space="0" w:color="auto"/>
        <w:bottom w:val="none" w:sz="0" w:space="0" w:color="auto"/>
        <w:right w:val="none" w:sz="0" w:space="0" w:color="auto"/>
      </w:divBdr>
    </w:div>
    <w:div w:id="2121101369">
      <w:bodyDiv w:val="1"/>
      <w:marLeft w:val="0"/>
      <w:marRight w:val="0"/>
      <w:marTop w:val="0"/>
      <w:marBottom w:val="0"/>
      <w:divBdr>
        <w:top w:val="none" w:sz="0" w:space="0" w:color="auto"/>
        <w:left w:val="none" w:sz="0" w:space="0" w:color="auto"/>
        <w:bottom w:val="none" w:sz="0" w:space="0" w:color="auto"/>
        <w:right w:val="none" w:sz="0" w:space="0" w:color="auto"/>
      </w:divBdr>
    </w:div>
    <w:div w:id="2133937540">
      <w:bodyDiv w:val="1"/>
      <w:marLeft w:val="0"/>
      <w:marRight w:val="0"/>
      <w:marTop w:val="0"/>
      <w:marBottom w:val="0"/>
      <w:divBdr>
        <w:top w:val="none" w:sz="0" w:space="0" w:color="auto"/>
        <w:left w:val="none" w:sz="0" w:space="0" w:color="auto"/>
        <w:bottom w:val="none" w:sz="0" w:space="0" w:color="auto"/>
        <w:right w:val="none" w:sz="0" w:space="0" w:color="auto"/>
      </w:divBdr>
    </w:div>
    <w:div w:id="2140486711">
      <w:bodyDiv w:val="1"/>
      <w:marLeft w:val="0"/>
      <w:marRight w:val="0"/>
      <w:marTop w:val="0"/>
      <w:marBottom w:val="0"/>
      <w:divBdr>
        <w:top w:val="none" w:sz="0" w:space="0" w:color="auto"/>
        <w:left w:val="none" w:sz="0" w:space="0" w:color="auto"/>
        <w:bottom w:val="none" w:sz="0" w:space="0" w:color="auto"/>
        <w:right w:val="none" w:sz="0" w:space="0" w:color="auto"/>
      </w:divBdr>
    </w:div>
    <w:div w:id="21463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ondi.lv/planosanas-dokument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a.svirksta@iz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F3AE5-59C1-4ECF-B00D-8D0287D63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32</Pages>
  <Words>6578</Words>
  <Characters>47367</Characters>
  <Application>Microsoft Office Word</Application>
  <DocSecurity>0</DocSecurity>
  <Lines>2153</Lines>
  <Paragraphs>359</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2016. gada 12. janvāra noteikumos Nr. 34 "Darbības programmas "Izaugsme un nodarbinātība" 1.1.1. specifiskā atbalsta mērķa "Palielināt Latvi</vt:lpstr>
    </vt:vector>
  </TitlesOfParts>
  <Company>LabMin</Company>
  <LinksUpToDate>false</LinksUpToDate>
  <CharactersWithSpaces>53586</CharactersWithSpaces>
  <SharedDoc>false</SharedDoc>
  <HLinks>
    <vt:vector size="6" baseType="variant">
      <vt:variant>
        <vt:i4>3014753</vt:i4>
      </vt:variant>
      <vt:variant>
        <vt:i4>0</vt:i4>
      </vt:variant>
      <vt:variant>
        <vt:i4>0</vt:i4>
      </vt:variant>
      <vt:variant>
        <vt:i4>5</vt:i4>
      </vt:variant>
      <vt:variant>
        <vt:lpwstr>http://lv.linguee.com/latvie%C5%A1u-ang%C4%BCu/tulkojumi/m%C4%93r%C4%B7orient%C4%93tu.html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dc:title>
  <dc:subject>Izziņa</dc:subject>
  <dc:creator>Inta Švirksta</dc:creator>
  <cp:keywords/>
  <dc:description>inta.svirksta@izm.gov.lv, 67047878</dc:description>
  <cp:lastModifiedBy>Inta Švirksta</cp:lastModifiedBy>
  <cp:revision>14</cp:revision>
  <cp:lastPrinted>2019-03-29T08:40:00Z</cp:lastPrinted>
  <dcterms:created xsi:type="dcterms:W3CDTF">2019-05-22T05:12:00Z</dcterms:created>
  <dcterms:modified xsi:type="dcterms:W3CDTF">2019-06-05T13:12:00Z</dcterms:modified>
  <cp:category>Izglītības un zinātnes  ministrija</cp:category>
</cp:coreProperties>
</file>